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03B849C">
      <w:pPr>
        <w:spacing w:after="160" w:line="259" w:lineRule="auto"/>
        <w:jc w:val="center"/>
      </w:pPr>
    </w:p>
    <w:p w14:paraId="7B88802A">
      <w:pPr>
        <w:spacing w:after="160" w:line="259" w:lineRule="auto"/>
        <w:jc w:val="center"/>
      </w:pPr>
    </w:p>
    <w:p w14:paraId="13F1F3FA">
      <w:pPr>
        <w:spacing w:after="160" w:line="259" w:lineRule="auto"/>
        <w:jc w:val="center"/>
      </w:pPr>
    </w:p>
    <w:p w14:paraId="402DEC9F">
      <w:pPr>
        <w:spacing w:after="160" w:line="259" w:lineRule="auto"/>
        <w:jc w:val="center"/>
        <w:rPr>
          <w:rFonts w:hint="default"/>
          <w:lang w:val="en-US"/>
        </w:rPr>
      </w:pPr>
      <w:r>
        <w:drawing>
          <wp:inline distT="0" distB="0" distL="0" distR="0">
            <wp:extent cx="2362200" cy="866775"/>
            <wp:effectExtent l="0" t="0" r="0" b="9525"/>
            <wp:docPr id="1045694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94001" name="Picture 1"/>
                    <pic:cNvPicPr>
                      <a:picLocks noChangeAspect="1"/>
                    </pic:cNvPicPr>
                  </pic:nvPicPr>
                  <pic:blipFill>
                    <a:blip r:embed="rId7"/>
                    <a:stretch>
                      <a:fillRect/>
                    </a:stretch>
                  </pic:blipFill>
                  <pic:spPr>
                    <a:xfrm>
                      <a:off x="0" y="0"/>
                      <a:ext cx="2362530" cy="866896"/>
                    </a:xfrm>
                    <a:prstGeom prst="rect">
                      <a:avLst/>
                    </a:prstGeom>
                  </pic:spPr>
                </pic:pic>
              </a:graphicData>
            </a:graphic>
          </wp:inline>
        </w:drawing>
      </w:r>
    </w:p>
    <w:p w14:paraId="3CDB5AFE">
      <w:pPr>
        <w:jc w:val="center"/>
        <w:rPr>
          <w:rFonts w:hint="default"/>
          <w:sz w:val="32"/>
          <w:szCs w:val="32"/>
          <w:lang w:val="en-US"/>
        </w:rPr>
      </w:pPr>
      <w:r>
        <w:rPr>
          <w:rFonts w:hint="default"/>
          <w:sz w:val="32"/>
          <w:szCs w:val="32"/>
          <w:lang w:val="en-US"/>
        </w:rPr>
        <w:t xml:space="preserve">MBA International Business </w:t>
      </w:r>
    </w:p>
    <w:p w14:paraId="013C0CA5">
      <w:pPr>
        <w:jc w:val="center"/>
        <w:rPr>
          <w:rFonts w:hint="default"/>
          <w:lang w:val="en-US"/>
        </w:rPr>
      </w:pPr>
    </w:p>
    <w:p w14:paraId="2FC38412">
      <w:pPr>
        <w:jc w:val="center"/>
        <w:rPr>
          <w:rFonts w:hint="default"/>
          <w:b/>
          <w:bCs/>
          <w:sz w:val="28"/>
          <w:szCs w:val="28"/>
          <w:lang w:val="en-US"/>
        </w:rPr>
      </w:pPr>
      <w:r>
        <w:rPr>
          <w:b/>
          <w:bCs/>
          <w:sz w:val="28"/>
          <w:szCs w:val="28"/>
        </w:rPr>
        <w:t xml:space="preserve">LCMB7035 - Dissertation </w:t>
      </w:r>
    </w:p>
    <w:p w14:paraId="7AAE6E78">
      <w:pPr>
        <w:jc w:val="center"/>
        <w:rPr>
          <w:b/>
          <w:bCs/>
          <w:sz w:val="28"/>
          <w:szCs w:val="28"/>
        </w:rPr>
      </w:pPr>
      <w:r>
        <w:rPr>
          <w:b/>
          <w:bCs/>
          <w:sz w:val="28"/>
          <w:szCs w:val="28"/>
        </w:rPr>
        <w:t>The Role of Experiential Marketing in Building Emotional Brand Attachment: A Starbucks Case Study</w:t>
      </w:r>
    </w:p>
    <w:p w14:paraId="10ED84A2">
      <w:pPr>
        <w:rPr>
          <w:b/>
          <w:bCs/>
          <w:sz w:val="28"/>
          <w:szCs w:val="28"/>
        </w:rPr>
      </w:pPr>
    </w:p>
    <w:p w14:paraId="37411A3E">
      <w:pPr>
        <w:jc w:val="center"/>
        <w:rPr>
          <w:rFonts w:hint="default"/>
          <w:b/>
          <w:bCs/>
          <w:sz w:val="28"/>
          <w:szCs w:val="28"/>
          <w:lang w:val="en-US"/>
        </w:rPr>
      </w:pPr>
      <w:r>
        <w:rPr>
          <w:b/>
          <w:bCs/>
          <w:sz w:val="28"/>
          <w:szCs w:val="28"/>
        </w:rPr>
        <w:t>Student Name:</w:t>
      </w:r>
      <w:r>
        <w:rPr>
          <w:rFonts w:hint="default"/>
          <w:b/>
          <w:bCs/>
          <w:sz w:val="28"/>
          <w:szCs w:val="28"/>
          <w:lang w:val="en-US"/>
        </w:rPr>
        <w:t>Papeya Akter</w:t>
      </w:r>
    </w:p>
    <w:p w14:paraId="009B7680">
      <w:pPr>
        <w:spacing w:after="160" w:line="259" w:lineRule="auto"/>
        <w:jc w:val="center"/>
        <w:rPr>
          <w:rFonts w:hint="default"/>
          <w:b/>
          <w:bCs/>
          <w:sz w:val="28"/>
          <w:szCs w:val="28"/>
          <w:lang w:val="en-US"/>
        </w:rPr>
      </w:pPr>
      <w:r>
        <w:rPr>
          <w:b/>
          <w:bCs/>
          <w:sz w:val="28"/>
          <w:szCs w:val="28"/>
        </w:rPr>
        <w:t>Student ID:</w:t>
      </w:r>
      <w:r>
        <w:rPr>
          <w:rFonts w:hint="default"/>
          <w:b/>
          <w:bCs/>
          <w:sz w:val="28"/>
          <w:szCs w:val="28"/>
          <w:lang w:val="en-US"/>
        </w:rPr>
        <w:t>2427999</w:t>
      </w:r>
    </w:p>
    <w:p w14:paraId="14F3E56F">
      <w:pPr>
        <w:spacing w:after="160" w:line="259" w:lineRule="auto"/>
        <w:jc w:val="center"/>
        <w:rPr>
          <w:rFonts w:hint="default"/>
          <w:b/>
          <w:bCs/>
          <w:sz w:val="28"/>
          <w:szCs w:val="28"/>
          <w:lang w:val="en-US"/>
        </w:rPr>
      </w:pPr>
      <w:r>
        <w:rPr>
          <w:b/>
          <w:bCs/>
          <w:sz w:val="28"/>
          <w:szCs w:val="28"/>
        </w:rPr>
        <w:t xml:space="preserve">Module </w:t>
      </w:r>
      <w:r>
        <w:rPr>
          <w:rFonts w:hint="default"/>
          <w:b/>
          <w:bCs/>
          <w:sz w:val="28"/>
          <w:szCs w:val="28"/>
          <w:lang w:val="en-US"/>
        </w:rPr>
        <w:t>Supervisor:</w:t>
      </w:r>
      <w:r>
        <w:rPr>
          <w:b/>
          <w:bCs/>
          <w:sz w:val="28"/>
          <w:szCs w:val="28"/>
        </w:rPr>
        <w:t xml:space="preserve"> </w:t>
      </w:r>
      <w:r>
        <w:rPr>
          <w:rFonts w:hint="default"/>
          <w:b/>
          <w:bCs/>
          <w:sz w:val="28"/>
          <w:szCs w:val="28"/>
          <w:lang w:val="en-US"/>
        </w:rPr>
        <w:t>Amir Homayounfard</w:t>
      </w:r>
    </w:p>
    <w:p w14:paraId="509A9268">
      <w:pPr>
        <w:spacing w:after="160" w:line="259" w:lineRule="auto"/>
        <w:jc w:val="left"/>
        <w:rPr>
          <w:b/>
          <w:bCs/>
          <w:sz w:val="28"/>
          <w:szCs w:val="28"/>
        </w:rPr>
      </w:pPr>
      <w:r>
        <w:rPr>
          <w:b/>
          <w:bCs/>
          <w:sz w:val="28"/>
          <w:szCs w:val="28"/>
        </w:rPr>
        <w:br w:type="page"/>
      </w:r>
    </w:p>
    <w:p w14:paraId="45BAE899">
      <w:pPr>
        <w:pStyle w:val="2"/>
      </w:pPr>
      <w:bookmarkStart w:id="0" w:name="_Toc231245202"/>
      <w:r>
        <w:t>Declaration</w:t>
      </w:r>
      <w:bookmarkEnd w:id="0"/>
    </w:p>
    <w:p w14:paraId="2E7A0455">
      <w:r>
        <w:t>I declare this dissertation to be authentic and have worked on it under the guidance of the Academic Regulations of the University. All information, ideas and materials obtained from sources have been acknowledged properly, by using a suitable reference style. This dissertation has not been submitted previously, either in whole or in part, for any other academic award or qualification. I have completely ensured that the material contained in this dissertation is accurate and authentic.</w:t>
      </w:r>
    </w:p>
    <w:p w14:paraId="23639808">
      <w:pPr>
        <w:spacing w:after="160" w:line="259" w:lineRule="auto"/>
        <w:jc w:val="left"/>
        <w:rPr>
          <w:b/>
          <w:bCs/>
        </w:rPr>
      </w:pPr>
      <w:r>
        <w:rPr>
          <w:b/>
          <w:bCs/>
        </w:rPr>
        <w:br w:type="page"/>
      </w:r>
    </w:p>
    <w:p w14:paraId="1A05070D">
      <w:pPr>
        <w:pStyle w:val="2"/>
      </w:pPr>
      <w:bookmarkStart w:id="1" w:name="_Toc231245203"/>
      <w:r>
        <w:t>Acknowledgement</w:t>
      </w:r>
      <w:bookmarkEnd w:id="1"/>
    </w:p>
    <w:p w14:paraId="4DEC2CDA">
      <w:r>
        <w:t>I would like to thank my supervisor for all the helpful guidance, ongoing support and constructive feedback during this dissertation. I am also thankful to my lecturers and the university for their academic assistance and learning resources. In addition, I would like to thank my family and friends for their encouragement, patience, and motivation during the completion of this research. Their help and cooperation have been of great assistance in the successful completion of this dissertation.</w:t>
      </w:r>
    </w:p>
    <w:p w14:paraId="05AA0FCF">
      <w:pPr>
        <w:spacing w:after="160" w:line="259" w:lineRule="auto"/>
        <w:jc w:val="left"/>
        <w:rPr>
          <w:b/>
          <w:bCs/>
        </w:rPr>
      </w:pPr>
      <w:r>
        <w:rPr>
          <w:b/>
          <w:bCs/>
        </w:rPr>
        <w:br w:type="page"/>
      </w:r>
    </w:p>
    <w:p w14:paraId="78818AB2">
      <w:pPr>
        <w:pStyle w:val="2"/>
      </w:pPr>
      <w:bookmarkStart w:id="2" w:name="_Toc231245204"/>
      <w:r>
        <w:t>AI Use Acknowledgement</w:t>
      </w:r>
      <w:bookmarkEnd w:id="2"/>
    </w:p>
    <w:p w14:paraId="1CB2D743">
      <w:r>
        <w:t>The use of Artificial Intelligence (AI) tools has been limited and supportive as part of the preparation of this dissertation. Advanced tools using artificial intelligence were used to edit the language, organise ideas, check grammar, and provide structure. All critical analysis, interpretation, argument development and final decision in the academic work, however, have been made by the writer independently. The entire content has been reviewed, edited, and checked for academic integrity, originality, and adherence to academic fairness guidelines within educational institutions.</w:t>
      </w:r>
    </w:p>
    <w:p w14:paraId="796E0DF3">
      <w:pPr>
        <w:spacing w:after="160" w:line="259" w:lineRule="auto"/>
        <w:jc w:val="left"/>
        <w:rPr>
          <w:rFonts w:eastAsiaTheme="majorEastAsia" w:cstheme="majorBidi"/>
          <w:b/>
          <w:sz w:val="32"/>
          <w:szCs w:val="32"/>
        </w:rPr>
      </w:pPr>
      <w:r>
        <w:br w:type="page"/>
      </w:r>
    </w:p>
    <w:p w14:paraId="13F8DDEA">
      <w:pPr>
        <w:pStyle w:val="2"/>
      </w:pPr>
      <w:bookmarkStart w:id="3" w:name="_Toc231245205"/>
      <w:r>
        <w:t>Glossary</w:t>
      </w:r>
      <w:bookmarkEnd w:id="3"/>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272"/>
        <w:gridCol w:w="7304"/>
      </w:tblGrid>
      <w:tr w14:paraId="03F50D79">
        <w:tc>
          <w:tcPr>
            <w:tcW w:w="0" w:type="auto"/>
          </w:tcPr>
          <w:p w14:paraId="4D6612CE">
            <w:pPr>
              <w:rPr>
                <w:b w:val="0"/>
                <w:bCs w:val="0"/>
              </w:rPr>
            </w:pPr>
            <w:r>
              <w:rPr>
                <w:b/>
                <w:bCs/>
              </w:rPr>
              <w:t>Term</w:t>
            </w:r>
          </w:p>
        </w:tc>
        <w:tc>
          <w:tcPr>
            <w:tcW w:w="0" w:type="auto"/>
          </w:tcPr>
          <w:p w14:paraId="5FEC3689">
            <w:pPr>
              <w:rPr>
                <w:b w:val="0"/>
                <w:bCs w:val="0"/>
              </w:rPr>
            </w:pPr>
            <w:r>
              <w:rPr>
                <w:b/>
                <w:bCs/>
              </w:rPr>
              <w:t>Definition</w:t>
            </w:r>
          </w:p>
        </w:tc>
      </w:tr>
      <w:tr w14:paraId="31620F4F">
        <w:tc>
          <w:tcPr>
            <w:tcW w:w="0" w:type="auto"/>
            <w:shd w:val="clear" w:color="auto" w:fill="F1F1F1" w:themeFill="background1" w:themeFillShade="F2"/>
          </w:tcPr>
          <w:p w14:paraId="6B129D6B">
            <w:pPr>
              <w:rPr>
                <w:b/>
                <w:bCs/>
              </w:rPr>
            </w:pPr>
            <w:r>
              <w:rPr>
                <w:b/>
                <w:bCs/>
              </w:rPr>
              <w:t>Experiential Marketing</w:t>
            </w:r>
          </w:p>
        </w:tc>
        <w:tc>
          <w:tcPr>
            <w:tcW w:w="0" w:type="auto"/>
            <w:shd w:val="clear" w:color="auto" w:fill="F1F1F1" w:themeFill="background1" w:themeFillShade="F2"/>
          </w:tcPr>
          <w:p w14:paraId="442DF022">
            <w:r>
              <w:t>A marketing approach that focuses on creating sensory, emotional, cognitive, and relational experiences for customers rather than only promoting product features.</w:t>
            </w:r>
          </w:p>
        </w:tc>
      </w:tr>
      <w:tr w14:paraId="33123B76">
        <w:tc>
          <w:tcPr>
            <w:tcW w:w="0" w:type="auto"/>
          </w:tcPr>
          <w:p w14:paraId="19F22411">
            <w:pPr>
              <w:rPr>
                <w:b/>
                <w:bCs/>
              </w:rPr>
            </w:pPr>
            <w:r>
              <w:rPr>
                <w:b/>
                <w:bCs/>
              </w:rPr>
              <w:t>Emotional Brand Attachment</w:t>
            </w:r>
          </w:p>
        </w:tc>
        <w:tc>
          <w:tcPr>
            <w:tcW w:w="0" w:type="auto"/>
          </w:tcPr>
          <w:p w14:paraId="795E55E5">
            <w:r>
              <w:t>A deep psychological and emotional connection between consumers and a brand is developed through meaningful experiences and repeated interactions.</w:t>
            </w:r>
          </w:p>
        </w:tc>
      </w:tr>
      <w:tr w14:paraId="6138081B">
        <w:tc>
          <w:tcPr>
            <w:tcW w:w="0" w:type="auto"/>
            <w:shd w:val="clear" w:color="auto" w:fill="F1F1F1" w:themeFill="background1" w:themeFillShade="F2"/>
          </w:tcPr>
          <w:p w14:paraId="5D7FEEB7">
            <w:pPr>
              <w:rPr>
                <w:b/>
                <w:bCs/>
              </w:rPr>
            </w:pPr>
            <w:r>
              <w:rPr>
                <w:b/>
                <w:bCs/>
              </w:rPr>
              <w:t>Customer Experience</w:t>
            </w:r>
          </w:p>
        </w:tc>
        <w:tc>
          <w:tcPr>
            <w:tcW w:w="0" w:type="auto"/>
            <w:shd w:val="clear" w:color="auto" w:fill="F1F1F1" w:themeFill="background1" w:themeFillShade="F2"/>
          </w:tcPr>
          <w:p w14:paraId="0FF5BBF3">
            <w:r>
              <w:t>The overall perception and response of customers resulting from interactions with a brand across multiple touchpoints.</w:t>
            </w:r>
          </w:p>
        </w:tc>
      </w:tr>
      <w:tr w14:paraId="48D3D6CC">
        <w:tc>
          <w:tcPr>
            <w:tcW w:w="0" w:type="auto"/>
          </w:tcPr>
          <w:p w14:paraId="3D9BE1CE">
            <w:pPr>
              <w:rPr>
                <w:b/>
                <w:bCs/>
              </w:rPr>
            </w:pPr>
            <w:r>
              <w:rPr>
                <w:b/>
                <w:bCs/>
              </w:rPr>
              <w:t>Omnichannel Engagement</w:t>
            </w:r>
          </w:p>
        </w:tc>
        <w:tc>
          <w:tcPr>
            <w:tcW w:w="0" w:type="auto"/>
          </w:tcPr>
          <w:p w14:paraId="20326831">
            <w:r>
              <w:t>The integration of physical and digital channels to provide a consistent and seamless customer experience.</w:t>
            </w:r>
          </w:p>
        </w:tc>
      </w:tr>
      <w:tr w14:paraId="51E78D85">
        <w:tc>
          <w:tcPr>
            <w:tcW w:w="0" w:type="auto"/>
            <w:shd w:val="clear" w:color="auto" w:fill="F1F1F1" w:themeFill="background1" w:themeFillShade="F2"/>
          </w:tcPr>
          <w:p w14:paraId="01E43664">
            <w:pPr>
              <w:rPr>
                <w:b/>
                <w:bCs/>
              </w:rPr>
            </w:pPr>
            <w:r>
              <w:rPr>
                <w:b/>
                <w:bCs/>
              </w:rPr>
              <w:t>Brand Engagement</w:t>
            </w:r>
          </w:p>
        </w:tc>
        <w:tc>
          <w:tcPr>
            <w:tcW w:w="0" w:type="auto"/>
            <w:shd w:val="clear" w:color="auto" w:fill="F1F1F1" w:themeFill="background1" w:themeFillShade="F2"/>
          </w:tcPr>
          <w:p w14:paraId="2B074B7C">
            <w:r>
              <w:t>The level of cognitive, emotional, and behavioural involvement customers have with a brand.</w:t>
            </w:r>
          </w:p>
        </w:tc>
      </w:tr>
      <w:tr w14:paraId="134F9DE0">
        <w:tc>
          <w:tcPr>
            <w:tcW w:w="0" w:type="auto"/>
          </w:tcPr>
          <w:p w14:paraId="3B2CFE02">
            <w:pPr>
              <w:rPr>
                <w:b/>
                <w:bCs/>
              </w:rPr>
            </w:pPr>
            <w:r>
              <w:rPr>
                <w:b/>
                <w:bCs/>
              </w:rPr>
              <w:t>Servicescape</w:t>
            </w:r>
          </w:p>
        </w:tc>
        <w:tc>
          <w:tcPr>
            <w:tcW w:w="0" w:type="auto"/>
          </w:tcPr>
          <w:p w14:paraId="481972A2">
            <w:r>
              <w:t>The physical environment of a service setting, including ambience, layout, design, and sensory elements, influences customer perceptions and behaviour.</w:t>
            </w:r>
          </w:p>
        </w:tc>
      </w:tr>
      <w:tr w14:paraId="43486D0A">
        <w:tc>
          <w:tcPr>
            <w:tcW w:w="0" w:type="auto"/>
            <w:shd w:val="clear" w:color="auto" w:fill="F1F1F1" w:themeFill="background1" w:themeFillShade="F2"/>
          </w:tcPr>
          <w:p w14:paraId="706858DD">
            <w:pPr>
              <w:rPr>
                <w:b/>
                <w:bCs/>
              </w:rPr>
            </w:pPr>
            <w:r>
              <w:rPr>
                <w:b/>
                <w:bCs/>
              </w:rPr>
              <w:t>Third-Place Concept</w:t>
            </w:r>
          </w:p>
        </w:tc>
        <w:tc>
          <w:tcPr>
            <w:tcW w:w="0" w:type="auto"/>
            <w:shd w:val="clear" w:color="auto" w:fill="F1F1F1" w:themeFill="background1" w:themeFillShade="F2"/>
          </w:tcPr>
          <w:p w14:paraId="6E2602DB">
            <w:r>
              <w:t>A social environment outside the home and workplace where customers feel comfort, belonging, and community connection.</w:t>
            </w:r>
          </w:p>
        </w:tc>
      </w:tr>
      <w:tr w14:paraId="4F8F452A">
        <w:tc>
          <w:tcPr>
            <w:tcW w:w="0" w:type="auto"/>
          </w:tcPr>
          <w:p w14:paraId="4C8BFE9C">
            <w:pPr>
              <w:rPr>
                <w:b/>
                <w:bCs/>
              </w:rPr>
            </w:pPr>
            <w:r>
              <w:rPr>
                <w:b/>
                <w:bCs/>
              </w:rPr>
              <w:t>Brand Loyalty</w:t>
            </w:r>
          </w:p>
        </w:tc>
        <w:tc>
          <w:tcPr>
            <w:tcW w:w="0" w:type="auto"/>
          </w:tcPr>
          <w:p w14:paraId="31B388AE">
            <w:r>
              <w:t>The tendency of customers to repeatedly purchase from or remain committed to a specific brand over time.</w:t>
            </w:r>
          </w:p>
        </w:tc>
      </w:tr>
      <w:tr w14:paraId="58F0A1DE">
        <w:tc>
          <w:tcPr>
            <w:tcW w:w="0" w:type="auto"/>
            <w:shd w:val="clear" w:color="auto" w:fill="F1F1F1" w:themeFill="background1" w:themeFillShade="F2"/>
          </w:tcPr>
          <w:p w14:paraId="465D40D0">
            <w:pPr>
              <w:rPr>
                <w:b/>
                <w:bCs/>
              </w:rPr>
            </w:pPr>
            <w:r>
              <w:rPr>
                <w:b/>
                <w:bCs/>
              </w:rPr>
              <w:t>Emotional Branding</w:t>
            </w:r>
          </w:p>
        </w:tc>
        <w:tc>
          <w:tcPr>
            <w:tcW w:w="0" w:type="auto"/>
            <w:shd w:val="clear" w:color="auto" w:fill="F1F1F1" w:themeFill="background1" w:themeFillShade="F2"/>
          </w:tcPr>
          <w:p w14:paraId="028C3C44">
            <w:r>
              <w:t>A branding strategy that creates emotional relationships between consumers and brands through values, identity, and meaningful experiences.</w:t>
            </w:r>
          </w:p>
        </w:tc>
      </w:tr>
      <w:tr w14:paraId="07F13E12">
        <w:tc>
          <w:tcPr>
            <w:tcW w:w="0" w:type="auto"/>
          </w:tcPr>
          <w:p w14:paraId="227E9F17">
            <w:pPr>
              <w:rPr>
                <w:b/>
                <w:bCs/>
              </w:rPr>
            </w:pPr>
            <w:r>
              <w:rPr>
                <w:b/>
                <w:bCs/>
              </w:rPr>
              <w:t>Identity Connection</w:t>
            </w:r>
          </w:p>
        </w:tc>
        <w:tc>
          <w:tcPr>
            <w:tcW w:w="0" w:type="auto"/>
          </w:tcPr>
          <w:p w14:paraId="6EA9ECE0">
            <w:r>
              <w:t>The extent to which consumers associate a brand with their self-image, personality, or lifestyle.</w:t>
            </w:r>
          </w:p>
        </w:tc>
      </w:tr>
    </w:tbl>
    <w:p w14:paraId="13D33E8F"/>
    <w:p w14:paraId="4E66F9A4">
      <w:pPr>
        <w:spacing w:after="160" w:line="259" w:lineRule="auto"/>
        <w:jc w:val="left"/>
      </w:pPr>
      <w:r>
        <w:br w:type="page"/>
      </w:r>
    </w:p>
    <w:p w14:paraId="5F83E6B0">
      <w:pPr>
        <w:pStyle w:val="2"/>
      </w:pPr>
      <w:bookmarkStart w:id="4" w:name="_Toc231245206"/>
      <w:r>
        <w:t>Abstract</w:t>
      </w:r>
      <w:bookmarkEnd w:id="4"/>
    </w:p>
    <w:p w14:paraId="1AD31B40">
      <w:r>
        <w:t>This dissertation explores the effects of emotional branding strategies on consumer perceptions in the luxury fashion market, with Burberry being one of the case studies. Chapter 1 presents the research, including the background, rationale, aim, and objectives and the importance of emotional branding as a means of creating consumer loyalty and brand engagement. Chapter 2 is a critical literature review, which examines the most important theoretical frameworks and current research on emotional branding, luxury marketing, and consumer perception and locates gaps, which explain why the study focused on Burberry. In Chapter 3, the research methodology has been described, it is a qualitative, deductive approach based on the analysis of secondary data supported by the research onion developed by Saunders, though focusing on the ethical aspects, data credibility, and scholarly integrity. Chapter 4 uses the theoretical framework to Burberry, critically assessing its emotional branding initiatives, internal and external environment, the success of its marketing efforts, and synthesising the information with the analytical tool of the TOWS matrix. Chapter 5 provides the analysis of findings, relating the context implemented to the theories of consumer perception, showing how the strategies implemented by Burberry influenced brand loyalty, engagement, and emotional connection. The last chapter of the study is the conclusion, which summarises the main findings, implications of the findings to the management of a luxury brand, and recommendations to improve emotional branding strategies. The dissertation reveals that theoretical knowledge and practical analysis should be combined to present an impression to scholars and practitioners who want to gain an understanding of the processes and impact of emotional branding in the luxury fashion industry.</w:t>
      </w:r>
    </w:p>
    <w:p w14:paraId="3A41D043">
      <w:r>
        <w:br w:type="page"/>
      </w:r>
    </w:p>
    <w:sdt>
      <w:sdtPr>
        <w:rPr>
          <w:rFonts w:eastAsiaTheme="minorHAnsi" w:cstheme="minorBidi"/>
          <w:b w:val="0"/>
          <w:color w:val="auto"/>
          <w:sz w:val="24"/>
          <w:szCs w:val="24"/>
          <w:lang w:val="en-GB"/>
        </w:rPr>
        <w:id w:val="2096975205"/>
        <w:docPartObj>
          <w:docPartGallery w:val="Table of Contents"/>
          <w:docPartUnique/>
        </w:docPartObj>
      </w:sdtPr>
      <w:sdtEndPr>
        <w:rPr>
          <w:rFonts w:eastAsiaTheme="minorHAnsi" w:cstheme="minorBidi"/>
          <w:b w:val="0"/>
          <w:bCs/>
          <w:color w:val="auto"/>
          <w:sz w:val="24"/>
          <w:szCs w:val="24"/>
          <w:lang w:val="en-GB"/>
        </w:rPr>
      </w:sdtEndPr>
      <w:sdtContent>
        <w:p w14:paraId="67B34E9C">
          <w:pPr>
            <w:pStyle w:val="35"/>
            <w:spacing w:line="276" w:lineRule="auto"/>
          </w:pPr>
          <w:r>
            <w:t>Table of Contents</w:t>
          </w:r>
        </w:p>
        <w:p w14:paraId="1A52AC36">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TOC \o "1-3" \h \z \u </w:instrText>
          </w:r>
          <w:r>
            <w:fldChar w:fldCharType="separate"/>
          </w:r>
          <w:r>
            <w:fldChar w:fldCharType="begin"/>
          </w:r>
          <w:r>
            <w:instrText xml:space="preserve"> HYPERLINK \l "_Toc231245202" </w:instrText>
          </w:r>
          <w:r>
            <w:fldChar w:fldCharType="separate"/>
          </w:r>
          <w:r>
            <w:rPr>
              <w:rStyle w:val="17"/>
            </w:rPr>
            <w:t>Declaration</w:t>
          </w:r>
          <w:r>
            <w:tab/>
          </w:r>
          <w:r>
            <w:fldChar w:fldCharType="begin"/>
          </w:r>
          <w:r>
            <w:instrText xml:space="preserve"> PAGEREF _Toc231245202 \h </w:instrText>
          </w:r>
          <w:r>
            <w:fldChar w:fldCharType="separate"/>
          </w:r>
          <w:r>
            <w:t>ii</w:t>
          </w:r>
          <w:r>
            <w:fldChar w:fldCharType="end"/>
          </w:r>
          <w:r>
            <w:fldChar w:fldCharType="end"/>
          </w:r>
        </w:p>
        <w:p w14:paraId="70A54358">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"_Toc231245203" </w:instrText>
          </w:r>
          <w:r>
            <w:fldChar w:fldCharType="separate"/>
          </w:r>
          <w:r>
            <w:rPr>
              <w:rStyle w:val="17"/>
            </w:rPr>
            <w:t>Acknowledgement</w:t>
          </w:r>
          <w:r>
            <w:tab/>
          </w:r>
          <w:r>
            <w:fldChar w:fldCharType="begin"/>
          </w:r>
          <w:r>
            <w:instrText xml:space="preserve"> PAGEREF _Toc231245203 \h </w:instrText>
          </w:r>
          <w:r>
            <w:fldChar w:fldCharType="separate"/>
          </w:r>
          <w:r>
            <w:t>iii</w:t>
          </w:r>
          <w:r>
            <w:fldChar w:fldCharType="end"/>
          </w:r>
          <w:r>
            <w:fldChar w:fldCharType="end"/>
          </w:r>
        </w:p>
        <w:p w14:paraId="0F157BDC">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"_Toc231245204" </w:instrText>
          </w:r>
          <w:r>
            <w:fldChar w:fldCharType="separate"/>
          </w:r>
          <w:r>
            <w:rPr>
              <w:rStyle w:val="17"/>
            </w:rPr>
            <w:t>AI Use Acknowledgement</w:t>
          </w:r>
          <w:r>
            <w:tab/>
          </w:r>
          <w:r>
            <w:fldChar w:fldCharType="begin"/>
          </w:r>
          <w:r>
            <w:instrText xml:space="preserve"> PAGEREF _Toc231245204 \h </w:instrText>
          </w:r>
          <w:r>
            <w:fldChar w:fldCharType="separate"/>
          </w:r>
          <w:r>
            <w:t>iv</w:t>
          </w:r>
          <w:r>
            <w:fldChar w:fldCharType="end"/>
          </w:r>
          <w:r>
            <w:fldChar w:fldCharType="end"/>
          </w:r>
        </w:p>
        <w:p w14:paraId="463D682F">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"_Toc231245205" </w:instrText>
          </w:r>
          <w:r>
            <w:fldChar w:fldCharType="separate"/>
          </w:r>
          <w:r>
            <w:rPr>
              <w:rStyle w:val="17"/>
            </w:rPr>
            <w:t>Glossary</w:t>
          </w:r>
          <w:r>
            <w:tab/>
          </w:r>
          <w:r>
            <w:fldChar w:fldCharType="begin"/>
          </w:r>
          <w:r>
            <w:instrText xml:space="preserve"> PAGEREF _Toc231245205 \h </w:instrText>
          </w:r>
          <w:r>
            <w:fldChar w:fldCharType="separate"/>
          </w:r>
          <w:r>
            <w:t>v</w:t>
          </w:r>
          <w:r>
            <w:fldChar w:fldCharType="end"/>
          </w:r>
          <w:r>
            <w:fldChar w:fldCharType="end"/>
          </w:r>
        </w:p>
        <w:p w14:paraId="3CD2B4EE">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"_Toc231245206" </w:instrText>
          </w:r>
          <w:r>
            <w:fldChar w:fldCharType="separate"/>
          </w:r>
          <w:r>
            <w:rPr>
              <w:rStyle w:val="17"/>
            </w:rPr>
            <w:t>Abstract</w:t>
          </w:r>
          <w:r>
            <w:tab/>
          </w:r>
          <w:r>
            <w:fldChar w:fldCharType="begin"/>
          </w:r>
          <w:r>
            <w:instrText xml:space="preserve"> PAGEREF _Toc231245206 \h </w:instrText>
          </w:r>
          <w:r>
            <w:fldChar w:fldCharType="separate"/>
          </w:r>
          <w:r>
            <w:t>vi</w:t>
          </w:r>
          <w:r>
            <w:fldChar w:fldCharType="end"/>
          </w:r>
          <w:r>
            <w:fldChar w:fldCharType="end"/>
          </w:r>
        </w:p>
        <w:p w14:paraId="7A73F0D7">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"_Toc231245207" </w:instrText>
          </w:r>
          <w:r>
            <w:fldChar w:fldCharType="separate"/>
          </w:r>
          <w:r>
            <w:rPr>
              <w:rStyle w:val="17"/>
            </w:rPr>
            <w:t>Chapter 1: Introduction and Rationale</w:t>
          </w:r>
          <w:r>
            <w:tab/>
          </w:r>
          <w:r>
            <w:fldChar w:fldCharType="begin"/>
          </w:r>
          <w:r>
            <w:instrText xml:space="preserve"> PAGEREF _Toc231245207 \h </w:instrText>
          </w:r>
          <w:r>
            <w:fldChar w:fldCharType="separate"/>
          </w:r>
          <w:r>
            <w:t>1</w:t>
          </w:r>
          <w:r>
            <w:fldChar w:fldCharType="end"/>
          </w:r>
          <w:r>
            <w:fldChar w:fldCharType="end"/>
          </w:r>
        </w:p>
        <w:p w14:paraId="4CEB54E7">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"_Toc231245208" </w:instrText>
          </w:r>
          <w:r>
            <w:fldChar w:fldCharType="separate"/>
          </w:r>
          <w:r>
            <w:rPr>
              <w:rStyle w:val="17"/>
            </w:rPr>
            <w:t>1.1 Research Background</w:t>
          </w:r>
          <w:r>
            <w:tab/>
          </w:r>
          <w:r>
            <w:fldChar w:fldCharType="begin"/>
          </w:r>
          <w:r>
            <w:instrText xml:space="preserve"> PAGEREF _Toc231245208 \h </w:instrText>
          </w:r>
          <w:r>
            <w:fldChar w:fldCharType="separate"/>
          </w:r>
          <w:r>
            <w:t>1</w:t>
          </w:r>
          <w:r>
            <w:fldChar w:fldCharType="end"/>
          </w:r>
          <w:r>
            <w:fldChar w:fldCharType="end"/>
          </w:r>
        </w:p>
        <w:p w14:paraId="7B24F1DD">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"_Toc231245209" </w:instrText>
          </w:r>
          <w:r>
            <w:fldChar w:fldCharType="separate"/>
          </w:r>
          <w:r>
            <w:rPr>
              <w:rStyle w:val="17"/>
            </w:rPr>
            <w:t>1.2 Research Rationale</w:t>
          </w:r>
          <w:r>
            <w:tab/>
          </w:r>
          <w:r>
            <w:fldChar w:fldCharType="begin"/>
          </w:r>
          <w:r>
            <w:instrText xml:space="preserve"> PAGEREF _Toc231245209 \h </w:instrText>
          </w:r>
          <w:r>
            <w:fldChar w:fldCharType="separate"/>
          </w:r>
          <w:r>
            <w:t>2</w:t>
          </w:r>
          <w:r>
            <w:fldChar w:fldCharType="end"/>
          </w:r>
          <w:r>
            <w:fldChar w:fldCharType="end"/>
          </w:r>
        </w:p>
        <w:p w14:paraId="535FA438">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"_Toc231245210" </w:instrText>
          </w:r>
          <w:r>
            <w:fldChar w:fldCharType="separate"/>
          </w:r>
          <w:r>
            <w:rPr>
              <w:rStyle w:val="17"/>
            </w:rPr>
            <w:t>1.2.1 Theoretical Justification</w:t>
          </w:r>
          <w:r>
            <w:tab/>
          </w:r>
          <w:r>
            <w:fldChar w:fldCharType="begin"/>
          </w:r>
          <w:r>
            <w:instrText xml:space="preserve"> PAGEREF _Toc231245210 \h </w:instrText>
          </w:r>
          <w:r>
            <w:fldChar w:fldCharType="separate"/>
          </w:r>
          <w:r>
            <w:t>2</w:t>
          </w:r>
          <w:r>
            <w:fldChar w:fldCharType="end"/>
          </w:r>
          <w:r>
            <w:fldChar w:fldCharType="end"/>
          </w:r>
        </w:p>
        <w:p w14:paraId="172BD8C7">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"_Toc231245211" </w:instrText>
          </w:r>
          <w:r>
            <w:fldChar w:fldCharType="separate"/>
          </w:r>
          <w:r>
            <w:rPr>
              <w:rStyle w:val="17"/>
            </w:rPr>
            <w:t>1.2.2 Practical Justification</w:t>
          </w:r>
          <w:r>
            <w:tab/>
          </w:r>
          <w:r>
            <w:fldChar w:fldCharType="begin"/>
          </w:r>
          <w:r>
            <w:instrText xml:space="preserve"> PAGEREF _Toc231245211 \h </w:instrText>
          </w:r>
          <w:r>
            <w:fldChar w:fldCharType="separate"/>
          </w:r>
          <w:r>
            <w:t>4</w:t>
          </w:r>
          <w:r>
            <w:fldChar w:fldCharType="end"/>
          </w:r>
          <w:r>
            <w:fldChar w:fldCharType="end"/>
          </w:r>
        </w:p>
        <w:p w14:paraId="08281B5E">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"_Toc231245212" </w:instrText>
          </w:r>
          <w:r>
            <w:fldChar w:fldCharType="separate"/>
          </w:r>
          <w:r>
            <w:rPr>
              <w:rStyle w:val="17"/>
            </w:rPr>
            <w:t>1.2.3 Research Vision</w:t>
          </w:r>
          <w:r>
            <w:tab/>
          </w:r>
          <w:r>
            <w:fldChar w:fldCharType="begin"/>
          </w:r>
          <w:r>
            <w:instrText xml:space="preserve"> PAGEREF _Toc231245212 \h </w:instrText>
          </w:r>
          <w:r>
            <w:fldChar w:fldCharType="separate"/>
          </w:r>
          <w:r>
            <w:t>4</w:t>
          </w:r>
          <w:r>
            <w:fldChar w:fldCharType="end"/>
          </w:r>
          <w:r>
            <w:fldChar w:fldCharType="end"/>
          </w:r>
        </w:p>
        <w:p w14:paraId="05AEAD29">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"_Toc231245213" </w:instrText>
          </w:r>
          <w:r>
            <w:fldChar w:fldCharType="separate"/>
          </w:r>
          <w:r>
            <w:rPr>
              <w:rStyle w:val="17"/>
            </w:rPr>
            <w:t>1.3 Research Aim, Objectives and Questions</w:t>
          </w:r>
          <w:r>
            <w:tab/>
          </w:r>
          <w:r>
            <w:fldChar w:fldCharType="begin"/>
          </w:r>
          <w:r>
            <w:instrText xml:space="preserve"> PAGEREF _Toc231245213 \h </w:instrText>
          </w:r>
          <w:r>
            <w:fldChar w:fldCharType="separate"/>
          </w:r>
          <w:r>
            <w:t>5</w:t>
          </w:r>
          <w:r>
            <w:fldChar w:fldCharType="end"/>
          </w:r>
          <w:r>
            <w:fldChar w:fldCharType="end"/>
          </w:r>
        </w:p>
        <w:p w14:paraId="1935A05D">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"_Toc231245214" </w:instrText>
          </w:r>
          <w:r>
            <w:fldChar w:fldCharType="separate"/>
          </w:r>
          <w:r>
            <w:rPr>
              <w:rStyle w:val="17"/>
            </w:rPr>
            <w:t>1.4 Dissertation Structure</w:t>
          </w:r>
          <w:r>
            <w:tab/>
          </w:r>
          <w:r>
            <w:fldChar w:fldCharType="begin"/>
          </w:r>
          <w:r>
            <w:instrText xml:space="preserve"> PAGEREF _Toc231245214 \h </w:instrText>
          </w:r>
          <w:r>
            <w:fldChar w:fldCharType="separate"/>
          </w:r>
          <w:r>
            <w:t>5</w:t>
          </w:r>
          <w:r>
            <w:fldChar w:fldCharType="end"/>
          </w:r>
          <w:r>
            <w:fldChar w:fldCharType="end"/>
          </w:r>
        </w:p>
        <w:p w14:paraId="3955D88B">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"_Toc231245215" </w:instrText>
          </w:r>
          <w:r>
            <w:fldChar w:fldCharType="separate"/>
          </w:r>
          <w:r>
            <w:rPr>
              <w:rStyle w:val="17"/>
            </w:rPr>
            <w:t>Chapter 2: Literature Review</w:t>
          </w:r>
          <w:r>
            <w:tab/>
          </w:r>
          <w:r>
            <w:fldChar w:fldCharType="begin"/>
          </w:r>
          <w:r>
            <w:instrText xml:space="preserve"> PAGEREF _Toc231245215 \h </w:instrText>
          </w:r>
          <w:r>
            <w:fldChar w:fldCharType="separate"/>
          </w:r>
          <w:r>
            <w:t>7</w:t>
          </w:r>
          <w:r>
            <w:fldChar w:fldCharType="end"/>
          </w:r>
          <w:r>
            <w:fldChar w:fldCharType="end"/>
          </w:r>
        </w:p>
        <w:p w14:paraId="2D610E49">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"_Toc231245216" </w:instrText>
          </w:r>
          <w:r>
            <w:fldChar w:fldCharType="separate"/>
          </w:r>
          <w:r>
            <w:rPr>
              <w:rStyle w:val="17"/>
            </w:rPr>
            <w:t>2.1 Introduction</w:t>
          </w:r>
          <w:r>
            <w:tab/>
          </w:r>
          <w:r>
            <w:fldChar w:fldCharType="begin"/>
          </w:r>
          <w:r>
            <w:instrText xml:space="preserve"> PAGEREF _Toc231245216 \h </w:instrText>
          </w:r>
          <w:r>
            <w:fldChar w:fldCharType="separate"/>
          </w:r>
          <w:r>
            <w:t>7</w:t>
          </w:r>
          <w:r>
            <w:fldChar w:fldCharType="end"/>
          </w:r>
          <w:r>
            <w:fldChar w:fldCharType="end"/>
          </w:r>
        </w:p>
        <w:p w14:paraId="7F6DCC6D">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"_Toc231245217" </w:instrText>
          </w:r>
          <w:r>
            <w:fldChar w:fldCharType="separate"/>
          </w:r>
          <w:r>
            <w:rPr>
              <w:rStyle w:val="17"/>
            </w:rPr>
            <w:t>2.2 Thematic Overview of the Literature</w:t>
          </w:r>
          <w:r>
            <w:tab/>
          </w:r>
          <w:r>
            <w:fldChar w:fldCharType="begin"/>
          </w:r>
          <w:r>
            <w:instrText xml:space="preserve"> PAGEREF _Toc231245217 \h </w:instrText>
          </w:r>
          <w:r>
            <w:fldChar w:fldCharType="separate"/>
          </w:r>
          <w:r>
            <w:t>7</w:t>
          </w:r>
          <w:r>
            <w:fldChar w:fldCharType="end"/>
          </w:r>
          <w:r>
            <w:fldChar w:fldCharType="end"/>
          </w:r>
        </w:p>
        <w:p w14:paraId="32485D7F">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"_Toc231245218" </w:instrText>
          </w:r>
          <w:r>
            <w:fldChar w:fldCharType="separate"/>
          </w:r>
          <w:r>
            <w:rPr>
              <w:rStyle w:val="17"/>
            </w:rPr>
            <w:t>2.2.1 Experiential Marketing and Experience Economy</w:t>
          </w:r>
          <w:r>
            <w:tab/>
          </w:r>
          <w:r>
            <w:fldChar w:fldCharType="begin"/>
          </w:r>
          <w:r>
            <w:instrText xml:space="preserve"> PAGEREF _Toc231245218 \h </w:instrText>
          </w:r>
          <w:r>
            <w:fldChar w:fldCharType="separate"/>
          </w:r>
          <w:r>
            <w:t>7</w:t>
          </w:r>
          <w:r>
            <w:fldChar w:fldCharType="end"/>
          </w:r>
          <w:r>
            <w:fldChar w:fldCharType="end"/>
          </w:r>
        </w:p>
        <w:p w14:paraId="1D379A32">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"_Toc231245219" </w:instrText>
          </w:r>
          <w:r>
            <w:fldChar w:fldCharType="separate"/>
          </w:r>
          <w:r>
            <w:rPr>
              <w:rStyle w:val="17"/>
            </w:rPr>
            <w:t>2.2.2 Customer Experience and Brand Engagement in Omnichannel Contexts</w:t>
          </w:r>
          <w:r>
            <w:tab/>
          </w:r>
          <w:r>
            <w:fldChar w:fldCharType="begin"/>
          </w:r>
          <w:r>
            <w:instrText xml:space="preserve"> PAGEREF _Toc231245219 \h </w:instrText>
          </w:r>
          <w:r>
            <w:fldChar w:fldCharType="separate"/>
          </w:r>
          <w:r>
            <w:t>9</w:t>
          </w:r>
          <w:r>
            <w:fldChar w:fldCharType="end"/>
          </w:r>
          <w:r>
            <w:fldChar w:fldCharType="end"/>
          </w:r>
        </w:p>
        <w:p w14:paraId="79232775">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"_Toc231245220" </w:instrText>
          </w:r>
          <w:r>
            <w:fldChar w:fldCharType="separate"/>
          </w:r>
          <w:r>
            <w:rPr>
              <w:rStyle w:val="17"/>
            </w:rPr>
            <w:t>2.2.3 Emotional Brand Attachment and Emotional Branding</w:t>
          </w:r>
          <w:r>
            <w:tab/>
          </w:r>
          <w:r>
            <w:fldChar w:fldCharType="begin"/>
          </w:r>
          <w:r>
            <w:instrText xml:space="preserve"> PAGEREF _Toc231245220 \h </w:instrText>
          </w:r>
          <w:r>
            <w:fldChar w:fldCharType="separate"/>
          </w:r>
          <w:r>
            <w:t>10</w:t>
          </w:r>
          <w:r>
            <w:fldChar w:fldCharType="end"/>
          </w:r>
          <w:r>
            <w:fldChar w:fldCharType="end"/>
          </w:r>
        </w:p>
        <w:p w14:paraId="54ADB5A7">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"_Toc231245221" </w:instrText>
          </w:r>
          <w:r>
            <w:fldChar w:fldCharType="separate"/>
          </w:r>
          <w:r>
            <w:rPr>
              <w:rStyle w:val="17"/>
            </w:rPr>
            <w:t>2.2.4 Linking Experiential Marketing to Emotional Brand Attachment (Mechanisms and Context: Starbucks &amp; Coffee Industry)</w:t>
          </w:r>
          <w:r>
            <w:tab/>
          </w:r>
          <w:r>
            <w:fldChar w:fldCharType="begin"/>
          </w:r>
          <w:r>
            <w:instrText xml:space="preserve"> PAGEREF _Toc231245221 \h </w:instrText>
          </w:r>
          <w:r>
            <w:fldChar w:fldCharType="separate"/>
          </w:r>
          <w:r>
            <w:t>11</w:t>
          </w:r>
          <w:r>
            <w:fldChar w:fldCharType="end"/>
          </w:r>
          <w:r>
            <w:fldChar w:fldCharType="end"/>
          </w:r>
        </w:p>
        <w:p w14:paraId="271EB524">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"_Toc231245222" </w:instrText>
          </w:r>
          <w:r>
            <w:fldChar w:fldCharType="separate"/>
          </w:r>
          <w:r>
            <w:rPr>
              <w:rStyle w:val="17"/>
            </w:rPr>
            <w:t>2.3 Theoretical Foundation and Contribution</w:t>
          </w:r>
          <w:r>
            <w:tab/>
          </w:r>
          <w:r>
            <w:fldChar w:fldCharType="begin"/>
          </w:r>
          <w:r>
            <w:instrText xml:space="preserve"> PAGEREF _Toc231245222 \h </w:instrText>
          </w:r>
          <w:r>
            <w:fldChar w:fldCharType="separate"/>
          </w:r>
          <w:r>
            <w:t>13</w:t>
          </w:r>
          <w:r>
            <w:fldChar w:fldCharType="end"/>
          </w:r>
          <w:r>
            <w:fldChar w:fldCharType="end"/>
          </w:r>
        </w:p>
        <w:p w14:paraId="6017E803">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"_Toc231245223" </w:instrText>
          </w:r>
          <w:r>
            <w:fldChar w:fldCharType="separate"/>
          </w:r>
          <w:r>
            <w:rPr>
              <w:rStyle w:val="17"/>
            </w:rPr>
            <w:t>2.4 Conceptual Framework</w:t>
          </w:r>
          <w:r>
            <w:tab/>
          </w:r>
          <w:r>
            <w:fldChar w:fldCharType="begin"/>
          </w:r>
          <w:r>
            <w:instrText xml:space="preserve"> PAGEREF _Toc231245223 \h </w:instrText>
          </w:r>
          <w:r>
            <w:fldChar w:fldCharType="separate"/>
          </w:r>
          <w:r>
            <w:t>14</w:t>
          </w:r>
          <w:r>
            <w:fldChar w:fldCharType="end"/>
          </w:r>
          <w:r>
            <w:fldChar w:fldCharType="end"/>
          </w:r>
        </w:p>
        <w:p w14:paraId="102CB54D">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"_Toc231245224" </w:instrText>
          </w:r>
          <w:r>
            <w:fldChar w:fldCharType="separate"/>
          </w:r>
          <w:r>
            <w:rPr>
              <w:rStyle w:val="17"/>
            </w:rPr>
            <w:t>2.5 Summary Table of Key Literature</w:t>
          </w:r>
          <w:r>
            <w:tab/>
          </w:r>
          <w:r>
            <w:fldChar w:fldCharType="begin"/>
          </w:r>
          <w:r>
            <w:instrText xml:space="preserve"> PAGEREF _Toc231245224 \h </w:instrText>
          </w:r>
          <w:r>
            <w:fldChar w:fldCharType="separate"/>
          </w:r>
          <w:r>
            <w:t>16</w:t>
          </w:r>
          <w:r>
            <w:fldChar w:fldCharType="end"/>
          </w:r>
          <w:r>
            <w:fldChar w:fldCharType="end"/>
          </w:r>
        </w:p>
        <w:p w14:paraId="1E340844">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"_Toc231245225" </w:instrText>
          </w:r>
          <w:r>
            <w:fldChar w:fldCharType="separate"/>
          </w:r>
          <w:r>
            <w:rPr>
              <w:rStyle w:val="17"/>
            </w:rPr>
            <w:t>2.6 Conclusion</w:t>
          </w:r>
          <w:r>
            <w:tab/>
          </w:r>
          <w:r>
            <w:fldChar w:fldCharType="begin"/>
          </w:r>
          <w:r>
            <w:instrText xml:space="preserve"> PAGEREF _Toc231245225 \h </w:instrText>
          </w:r>
          <w:r>
            <w:fldChar w:fldCharType="separate"/>
          </w:r>
          <w:r>
            <w:t>19</w:t>
          </w:r>
          <w:r>
            <w:fldChar w:fldCharType="end"/>
          </w:r>
          <w:r>
            <w:fldChar w:fldCharType="end"/>
          </w:r>
        </w:p>
        <w:p w14:paraId="4D2DE282">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"_Toc231245226" </w:instrText>
          </w:r>
          <w:r>
            <w:fldChar w:fldCharType="separate"/>
          </w:r>
          <w:r>
            <w:rPr>
              <w:rStyle w:val="17"/>
            </w:rPr>
            <w:t>Chapter 3: Research Methodology</w:t>
          </w:r>
          <w:r>
            <w:tab/>
          </w:r>
          <w:r>
            <w:fldChar w:fldCharType="begin"/>
          </w:r>
          <w:r>
            <w:instrText xml:space="preserve"> PAGEREF _Toc231245226 \h </w:instrText>
          </w:r>
          <w:r>
            <w:fldChar w:fldCharType="separate"/>
          </w:r>
          <w:r>
            <w:t>20</w:t>
          </w:r>
          <w:r>
            <w:fldChar w:fldCharType="end"/>
          </w:r>
          <w:r>
            <w:fldChar w:fldCharType="end"/>
          </w:r>
        </w:p>
        <w:p w14:paraId="74576BD7">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"_Toc231245227" </w:instrText>
          </w:r>
          <w:r>
            <w:fldChar w:fldCharType="separate"/>
          </w:r>
          <w:r>
            <w:rPr>
              <w:rStyle w:val="17"/>
            </w:rPr>
            <w:t>3.1 Introduction</w:t>
          </w:r>
          <w:r>
            <w:tab/>
          </w:r>
          <w:r>
            <w:fldChar w:fldCharType="begin"/>
          </w:r>
          <w:r>
            <w:instrText xml:space="preserve"> PAGEREF _Toc231245227 \h </w:instrText>
          </w:r>
          <w:r>
            <w:fldChar w:fldCharType="separate"/>
          </w:r>
          <w:r>
            <w:t>20</w:t>
          </w:r>
          <w:r>
            <w:fldChar w:fldCharType="end"/>
          </w:r>
          <w:r>
            <w:fldChar w:fldCharType="end"/>
          </w:r>
        </w:p>
        <w:p w14:paraId="58D11668">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"_Toc231245228" </w:instrText>
          </w:r>
          <w:r>
            <w:fldChar w:fldCharType="separate"/>
          </w:r>
          <w:r>
            <w:rPr>
              <w:rStyle w:val="17"/>
            </w:rPr>
            <w:t>3.2 Research Philosophy, Approach, and Design</w:t>
          </w:r>
          <w:r>
            <w:tab/>
          </w:r>
          <w:r>
            <w:fldChar w:fldCharType="begin"/>
          </w:r>
          <w:r>
            <w:instrText xml:space="preserve"> PAGEREF _Toc231245228 \h </w:instrText>
          </w:r>
          <w:r>
            <w:fldChar w:fldCharType="separate"/>
          </w:r>
          <w:r>
            <w:t>20</w:t>
          </w:r>
          <w:r>
            <w:fldChar w:fldCharType="end"/>
          </w:r>
          <w:r>
            <w:fldChar w:fldCharType="end"/>
          </w:r>
        </w:p>
        <w:p w14:paraId="685584FF">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"_Toc231245229" </w:instrText>
          </w:r>
          <w:r>
            <w:fldChar w:fldCharType="separate"/>
          </w:r>
          <w:r>
            <w:rPr>
              <w:rStyle w:val="17"/>
            </w:rPr>
            <w:t>3.2.1 Research Philosophy</w:t>
          </w:r>
          <w:r>
            <w:tab/>
          </w:r>
          <w:r>
            <w:fldChar w:fldCharType="begin"/>
          </w:r>
          <w:r>
            <w:instrText xml:space="preserve"> PAGEREF _Toc231245229 \h </w:instrText>
          </w:r>
          <w:r>
            <w:fldChar w:fldCharType="separate"/>
          </w:r>
          <w:r>
            <w:t>21</w:t>
          </w:r>
          <w:r>
            <w:fldChar w:fldCharType="end"/>
          </w:r>
          <w:r>
            <w:fldChar w:fldCharType="end"/>
          </w:r>
        </w:p>
        <w:p w14:paraId="33DC1616">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"_Toc231245230" </w:instrText>
          </w:r>
          <w:r>
            <w:fldChar w:fldCharType="separate"/>
          </w:r>
          <w:r>
            <w:rPr>
              <w:rStyle w:val="17"/>
            </w:rPr>
            <w:t>3.2.2 Research Approach</w:t>
          </w:r>
          <w:r>
            <w:tab/>
          </w:r>
          <w:r>
            <w:fldChar w:fldCharType="begin"/>
          </w:r>
          <w:r>
            <w:instrText xml:space="preserve"> PAGEREF _Toc231245230 \h </w:instrText>
          </w:r>
          <w:r>
            <w:fldChar w:fldCharType="separate"/>
          </w:r>
          <w:r>
            <w:t>21</w:t>
          </w:r>
          <w:r>
            <w:fldChar w:fldCharType="end"/>
          </w:r>
          <w:r>
            <w:fldChar w:fldCharType="end"/>
          </w:r>
        </w:p>
        <w:p w14:paraId="1D480F9A">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"_Toc231245231" </w:instrText>
          </w:r>
          <w:r>
            <w:fldChar w:fldCharType="separate"/>
          </w:r>
          <w:r>
            <w:rPr>
              <w:rStyle w:val="17"/>
            </w:rPr>
            <w:t>3.2.3 Research Strategy</w:t>
          </w:r>
          <w:r>
            <w:tab/>
          </w:r>
          <w:r>
            <w:fldChar w:fldCharType="begin"/>
          </w:r>
          <w:r>
            <w:instrText xml:space="preserve"> PAGEREF _Toc231245231 \h </w:instrText>
          </w:r>
          <w:r>
            <w:fldChar w:fldCharType="separate"/>
          </w:r>
          <w:r>
            <w:t>21</w:t>
          </w:r>
          <w:r>
            <w:fldChar w:fldCharType="end"/>
          </w:r>
          <w:r>
            <w:fldChar w:fldCharType="end"/>
          </w:r>
        </w:p>
        <w:p w14:paraId="708B56F7">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"_Toc231245232" </w:instrText>
          </w:r>
          <w:r>
            <w:fldChar w:fldCharType="separate"/>
          </w:r>
          <w:r>
            <w:rPr>
              <w:rStyle w:val="17"/>
            </w:rPr>
            <w:t>3.3 Justification for Case Study Methodology</w:t>
          </w:r>
          <w:r>
            <w:tab/>
          </w:r>
          <w:r>
            <w:fldChar w:fldCharType="begin"/>
          </w:r>
          <w:r>
            <w:instrText xml:space="preserve"> PAGEREF _Toc231245232 \h </w:instrText>
          </w:r>
          <w:r>
            <w:fldChar w:fldCharType="separate"/>
          </w:r>
          <w:r>
            <w:t>22</w:t>
          </w:r>
          <w:r>
            <w:fldChar w:fldCharType="end"/>
          </w:r>
          <w:r>
            <w:fldChar w:fldCharType="end"/>
          </w:r>
        </w:p>
        <w:p w14:paraId="2C9441A2">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"_Toc231245233" </w:instrText>
          </w:r>
          <w:r>
            <w:fldChar w:fldCharType="separate"/>
          </w:r>
          <w:r>
            <w:rPr>
              <w:rStyle w:val="17"/>
            </w:rPr>
            <w:t>3.4 Case Selection and Sampling Strategy</w:t>
          </w:r>
          <w:r>
            <w:tab/>
          </w:r>
          <w:r>
            <w:fldChar w:fldCharType="begin"/>
          </w:r>
          <w:r>
            <w:instrText xml:space="preserve"> PAGEREF _Toc231245233 \h </w:instrText>
          </w:r>
          <w:r>
            <w:fldChar w:fldCharType="separate"/>
          </w:r>
          <w:r>
            <w:t>22</w:t>
          </w:r>
          <w:r>
            <w:fldChar w:fldCharType="end"/>
          </w:r>
          <w:r>
            <w:fldChar w:fldCharType="end"/>
          </w:r>
        </w:p>
        <w:p w14:paraId="4EA6C016">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"_Toc231245234" </w:instrText>
          </w:r>
          <w:r>
            <w:fldChar w:fldCharType="separate"/>
          </w:r>
          <w:r>
            <w:rPr>
              <w:rStyle w:val="17"/>
            </w:rPr>
            <w:t>3.4.1 Sampling Logic</w:t>
          </w:r>
          <w:r>
            <w:tab/>
          </w:r>
          <w:r>
            <w:fldChar w:fldCharType="begin"/>
          </w:r>
          <w:r>
            <w:instrText xml:space="preserve"> PAGEREF _Toc231245234 \h </w:instrText>
          </w:r>
          <w:r>
            <w:fldChar w:fldCharType="separate"/>
          </w:r>
          <w:r>
            <w:t>22</w:t>
          </w:r>
          <w:r>
            <w:fldChar w:fldCharType="end"/>
          </w:r>
          <w:r>
            <w:fldChar w:fldCharType="end"/>
          </w:r>
        </w:p>
        <w:p w14:paraId="6E23FCD5">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"_Toc231245235" </w:instrText>
          </w:r>
          <w:r>
            <w:fldChar w:fldCharType="separate"/>
          </w:r>
          <w:r>
            <w:rPr>
              <w:rStyle w:val="17"/>
            </w:rPr>
            <w:t>3.4.2 Case Selection Criteria</w:t>
          </w:r>
          <w:r>
            <w:tab/>
          </w:r>
          <w:r>
            <w:fldChar w:fldCharType="begin"/>
          </w:r>
          <w:r>
            <w:instrText xml:space="preserve"> PAGEREF _Toc231245235 \h </w:instrText>
          </w:r>
          <w:r>
            <w:fldChar w:fldCharType="separate"/>
          </w:r>
          <w:r>
            <w:t>23</w:t>
          </w:r>
          <w:r>
            <w:fldChar w:fldCharType="end"/>
          </w:r>
          <w:r>
            <w:fldChar w:fldCharType="end"/>
          </w:r>
        </w:p>
        <w:p w14:paraId="75A76658">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"_Toc231245236" </w:instrText>
          </w:r>
          <w:r>
            <w:fldChar w:fldCharType="separate"/>
          </w:r>
          <w:r>
            <w:rPr>
              <w:rStyle w:val="17"/>
            </w:rPr>
            <w:t>3.4.3 Case Profile</w:t>
          </w:r>
          <w:r>
            <w:tab/>
          </w:r>
          <w:r>
            <w:fldChar w:fldCharType="begin"/>
          </w:r>
          <w:r>
            <w:instrText xml:space="preserve"> PAGEREF _Toc231245236 \h </w:instrText>
          </w:r>
          <w:r>
            <w:fldChar w:fldCharType="separate"/>
          </w:r>
          <w:r>
            <w:t>23</w:t>
          </w:r>
          <w:r>
            <w:fldChar w:fldCharType="end"/>
          </w:r>
          <w:r>
            <w:fldChar w:fldCharType="end"/>
          </w:r>
        </w:p>
        <w:p w14:paraId="320E3E9F">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"_Toc231245237" </w:instrText>
          </w:r>
          <w:r>
            <w:fldChar w:fldCharType="separate"/>
          </w:r>
          <w:r>
            <w:rPr>
              <w:rStyle w:val="17"/>
            </w:rPr>
            <w:t>3.4.4 Justification of Case Choice</w:t>
          </w:r>
          <w:r>
            <w:tab/>
          </w:r>
          <w:r>
            <w:fldChar w:fldCharType="begin"/>
          </w:r>
          <w:r>
            <w:instrText xml:space="preserve"> PAGEREF _Toc231245237 \h </w:instrText>
          </w:r>
          <w:r>
            <w:fldChar w:fldCharType="separate"/>
          </w:r>
          <w:r>
            <w:t>24</w:t>
          </w:r>
          <w:r>
            <w:fldChar w:fldCharType="end"/>
          </w:r>
          <w:r>
            <w:fldChar w:fldCharType="end"/>
          </w:r>
        </w:p>
        <w:p w14:paraId="67852EF4">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"_Toc231245238" </w:instrText>
          </w:r>
          <w:r>
            <w:fldChar w:fldCharType="separate"/>
          </w:r>
          <w:r>
            <w:rPr>
              <w:rStyle w:val="17"/>
            </w:rPr>
            <w:t>3.5 Data Sources and Data Collection</w:t>
          </w:r>
          <w:r>
            <w:tab/>
          </w:r>
          <w:r>
            <w:fldChar w:fldCharType="begin"/>
          </w:r>
          <w:r>
            <w:instrText xml:space="preserve"> PAGEREF _Toc231245238 \h </w:instrText>
          </w:r>
          <w:r>
            <w:fldChar w:fldCharType="separate"/>
          </w:r>
          <w:r>
            <w:t>24</w:t>
          </w:r>
          <w:r>
            <w:fldChar w:fldCharType="end"/>
          </w:r>
          <w:r>
            <w:fldChar w:fldCharType="end"/>
          </w:r>
        </w:p>
        <w:p w14:paraId="7B6734A2">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"_Toc231245239" </w:instrText>
          </w:r>
          <w:r>
            <w:fldChar w:fldCharType="separate"/>
          </w:r>
          <w:r>
            <w:rPr>
              <w:rStyle w:val="17"/>
            </w:rPr>
            <w:t>3.5.1 Types of Secondary Data Sources</w:t>
          </w:r>
          <w:r>
            <w:tab/>
          </w:r>
          <w:r>
            <w:fldChar w:fldCharType="begin"/>
          </w:r>
          <w:r>
            <w:instrText xml:space="preserve"> PAGEREF _Toc231245239 \h </w:instrText>
          </w:r>
          <w:r>
            <w:fldChar w:fldCharType="separate"/>
          </w:r>
          <w:r>
            <w:t>24</w:t>
          </w:r>
          <w:r>
            <w:fldChar w:fldCharType="end"/>
          </w:r>
          <w:r>
            <w:fldChar w:fldCharType="end"/>
          </w:r>
        </w:p>
        <w:p w14:paraId="415B1D91">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"_Toc231245240" </w:instrText>
          </w:r>
          <w:r>
            <w:fldChar w:fldCharType="separate"/>
          </w:r>
          <w:r>
            <w:rPr>
              <w:rStyle w:val="17"/>
            </w:rPr>
            <w:t>3.5.2 Data Collection Process</w:t>
          </w:r>
          <w:r>
            <w:tab/>
          </w:r>
          <w:r>
            <w:fldChar w:fldCharType="begin"/>
          </w:r>
          <w:r>
            <w:instrText xml:space="preserve"> PAGEREF _Toc231245240 \h </w:instrText>
          </w:r>
          <w:r>
            <w:fldChar w:fldCharType="separate"/>
          </w:r>
          <w:r>
            <w:t>25</w:t>
          </w:r>
          <w:r>
            <w:fldChar w:fldCharType="end"/>
          </w:r>
          <w:r>
            <w:fldChar w:fldCharType="end"/>
          </w:r>
        </w:p>
        <w:p w14:paraId="5F8A211C">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"_Toc231245241" </w:instrText>
          </w:r>
          <w:r>
            <w:fldChar w:fldCharType="separate"/>
          </w:r>
          <w:r>
            <w:rPr>
              <w:rStyle w:val="17"/>
            </w:rPr>
            <w:t>3.6 Data Analysis Approach</w:t>
          </w:r>
          <w:r>
            <w:tab/>
          </w:r>
          <w:r>
            <w:fldChar w:fldCharType="begin"/>
          </w:r>
          <w:r>
            <w:instrText xml:space="preserve"> PAGEREF _Toc231245241 \h </w:instrText>
          </w:r>
          <w:r>
            <w:fldChar w:fldCharType="separate"/>
          </w:r>
          <w:r>
            <w:t>26</w:t>
          </w:r>
          <w:r>
            <w:fldChar w:fldCharType="end"/>
          </w:r>
          <w:r>
            <w:fldChar w:fldCharType="end"/>
          </w:r>
        </w:p>
        <w:p w14:paraId="51251C6B">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"_Toc231245242" </w:instrText>
          </w:r>
          <w:r>
            <w:fldChar w:fldCharType="separate"/>
          </w:r>
          <w:r>
            <w:rPr>
              <w:rStyle w:val="17"/>
            </w:rPr>
            <w:t>3.6.1 Analysis Framework</w:t>
          </w:r>
          <w:r>
            <w:tab/>
          </w:r>
          <w:r>
            <w:fldChar w:fldCharType="begin"/>
          </w:r>
          <w:r>
            <w:instrText xml:space="preserve"> PAGEREF _Toc231245242 \h </w:instrText>
          </w:r>
          <w:r>
            <w:fldChar w:fldCharType="separate"/>
          </w:r>
          <w:r>
            <w:t>26</w:t>
          </w:r>
          <w:r>
            <w:fldChar w:fldCharType="end"/>
          </w:r>
          <w:r>
            <w:fldChar w:fldCharType="end"/>
          </w:r>
        </w:p>
        <w:p w14:paraId="17C00845">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"_Toc231245243" </w:instrText>
          </w:r>
          <w:r>
            <w:fldChar w:fldCharType="separate"/>
          </w:r>
          <w:r>
            <w:rPr>
              <w:rStyle w:val="17"/>
            </w:rPr>
            <w:t>3.6.2 Thematic Analysis Process</w:t>
          </w:r>
          <w:r>
            <w:tab/>
          </w:r>
          <w:r>
            <w:fldChar w:fldCharType="begin"/>
          </w:r>
          <w:r>
            <w:instrText xml:space="preserve"> PAGEREF _Toc231245243 \h </w:instrText>
          </w:r>
          <w:r>
            <w:fldChar w:fldCharType="separate"/>
          </w:r>
          <w:r>
            <w:t>27</w:t>
          </w:r>
          <w:r>
            <w:fldChar w:fldCharType="end"/>
          </w:r>
          <w:r>
            <w:fldChar w:fldCharType="end"/>
          </w:r>
        </w:p>
        <w:p w14:paraId="3D09F8E9">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"_Toc231245244" </w:instrText>
          </w:r>
          <w:r>
            <w:fldChar w:fldCharType="separate"/>
          </w:r>
          <w:r>
            <w:rPr>
              <w:rStyle w:val="17"/>
            </w:rPr>
            <w:t>3.6.3 Within-Case Analysis</w:t>
          </w:r>
          <w:r>
            <w:tab/>
          </w:r>
          <w:r>
            <w:fldChar w:fldCharType="begin"/>
          </w:r>
          <w:r>
            <w:instrText xml:space="preserve"> PAGEREF _Toc231245244 \h </w:instrText>
          </w:r>
          <w:r>
            <w:fldChar w:fldCharType="separate"/>
          </w:r>
          <w:r>
            <w:t>27</w:t>
          </w:r>
          <w:r>
            <w:fldChar w:fldCharType="end"/>
          </w:r>
          <w:r>
            <w:fldChar w:fldCharType="end"/>
          </w:r>
        </w:p>
        <w:p w14:paraId="429EE52D">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"_Toc231245245" </w:instrText>
          </w:r>
          <w:r>
            <w:fldChar w:fldCharType="separate"/>
          </w:r>
          <w:r>
            <w:rPr>
              <w:rStyle w:val="17"/>
            </w:rPr>
            <w:t>3.6.4 Cross-Source Synthesis</w:t>
          </w:r>
          <w:r>
            <w:tab/>
          </w:r>
          <w:r>
            <w:fldChar w:fldCharType="begin"/>
          </w:r>
          <w:r>
            <w:instrText xml:space="preserve"> PAGEREF _Toc231245245 \h </w:instrText>
          </w:r>
          <w:r>
            <w:fldChar w:fldCharType="separate"/>
          </w:r>
          <w:r>
            <w:t>27</w:t>
          </w:r>
          <w:r>
            <w:fldChar w:fldCharType="end"/>
          </w:r>
          <w:r>
            <w:fldChar w:fldCharType="end"/>
          </w:r>
        </w:p>
        <w:p w14:paraId="64CAC3B7">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"_Toc231245246" </w:instrText>
          </w:r>
          <w:r>
            <w:fldChar w:fldCharType="separate"/>
          </w:r>
          <w:r>
            <w:rPr>
              <w:rStyle w:val="17"/>
            </w:rPr>
            <w:t>3.7 Research Quality and Rigour</w:t>
          </w:r>
          <w:r>
            <w:tab/>
          </w:r>
          <w:r>
            <w:fldChar w:fldCharType="begin"/>
          </w:r>
          <w:r>
            <w:instrText xml:space="preserve"> PAGEREF _Toc231245246 \h </w:instrText>
          </w:r>
          <w:r>
            <w:fldChar w:fldCharType="separate"/>
          </w:r>
          <w:r>
            <w:t>27</w:t>
          </w:r>
          <w:r>
            <w:fldChar w:fldCharType="end"/>
          </w:r>
          <w:r>
            <w:fldChar w:fldCharType="end"/>
          </w:r>
        </w:p>
        <w:p w14:paraId="51C3318D">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"_Toc231245247" </w:instrText>
          </w:r>
          <w:r>
            <w:fldChar w:fldCharType="separate"/>
          </w:r>
          <w:r>
            <w:rPr>
              <w:rStyle w:val="17"/>
            </w:rPr>
            <w:t>3.8 Ethical Considerations</w:t>
          </w:r>
          <w:r>
            <w:tab/>
          </w:r>
          <w:r>
            <w:fldChar w:fldCharType="begin"/>
          </w:r>
          <w:r>
            <w:instrText xml:space="preserve"> PAGEREF _Toc231245247 \h </w:instrText>
          </w:r>
          <w:r>
            <w:fldChar w:fldCharType="separate"/>
          </w:r>
          <w:r>
            <w:t>28</w:t>
          </w:r>
          <w:r>
            <w:fldChar w:fldCharType="end"/>
          </w:r>
          <w:r>
            <w:fldChar w:fldCharType="end"/>
          </w:r>
        </w:p>
        <w:p w14:paraId="4850C18B">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"_Toc231245248" </w:instrText>
          </w:r>
          <w:r>
            <w:fldChar w:fldCharType="separate"/>
          </w:r>
          <w:r>
            <w:rPr>
              <w:rStyle w:val="17"/>
            </w:rPr>
            <w:t>3.9 Chapter Summary</w:t>
          </w:r>
          <w:r>
            <w:tab/>
          </w:r>
          <w:r>
            <w:fldChar w:fldCharType="begin"/>
          </w:r>
          <w:r>
            <w:instrText xml:space="preserve"> PAGEREF _Toc231245248 \h </w:instrText>
          </w:r>
          <w:r>
            <w:fldChar w:fldCharType="separate"/>
          </w:r>
          <w:r>
            <w:t>28</w:t>
          </w:r>
          <w:r>
            <w:fldChar w:fldCharType="end"/>
          </w:r>
          <w:r>
            <w:fldChar w:fldCharType="end"/>
          </w:r>
        </w:p>
        <w:p w14:paraId="5D1DCABC">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"_Toc231245249" </w:instrText>
          </w:r>
          <w:r>
            <w:fldChar w:fldCharType="separate"/>
          </w:r>
          <w:r>
            <w:rPr>
              <w:rStyle w:val="17"/>
            </w:rPr>
            <w:t>Chapter 4: Findings</w:t>
          </w:r>
          <w:r>
            <w:tab/>
          </w:r>
          <w:r>
            <w:fldChar w:fldCharType="begin"/>
          </w:r>
          <w:r>
            <w:instrText xml:space="preserve"> PAGEREF _Toc231245249 \h </w:instrText>
          </w:r>
          <w:r>
            <w:fldChar w:fldCharType="separate"/>
          </w:r>
          <w:r>
            <w:t>29</w:t>
          </w:r>
          <w:r>
            <w:fldChar w:fldCharType="end"/>
          </w:r>
          <w:r>
            <w:fldChar w:fldCharType="end"/>
          </w:r>
        </w:p>
        <w:p w14:paraId="5AF774F3">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"_Toc231245250" </w:instrText>
          </w:r>
          <w:r>
            <w:fldChar w:fldCharType="separate"/>
          </w:r>
          <w:r>
            <w:rPr>
              <w:rStyle w:val="17"/>
            </w:rPr>
            <w:t>4.1 Introduction</w:t>
          </w:r>
          <w:r>
            <w:tab/>
          </w:r>
          <w:r>
            <w:fldChar w:fldCharType="begin"/>
          </w:r>
          <w:r>
            <w:instrText xml:space="preserve"> PAGEREF _Toc231245250 \h </w:instrText>
          </w:r>
          <w:r>
            <w:fldChar w:fldCharType="separate"/>
          </w:r>
          <w:r>
            <w:t>29</w:t>
          </w:r>
          <w:r>
            <w:fldChar w:fldCharType="end"/>
          </w:r>
          <w:r>
            <w:fldChar w:fldCharType="end"/>
          </w:r>
        </w:p>
        <w:p w14:paraId="624E6245">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"_Toc231245251" </w:instrText>
          </w:r>
          <w:r>
            <w:fldChar w:fldCharType="separate"/>
          </w:r>
          <w:r>
            <w:rPr>
              <w:rStyle w:val="17"/>
            </w:rPr>
            <w:t>4.2 Case Study 1: Starbucks</w:t>
          </w:r>
          <w:r>
            <w:tab/>
          </w:r>
          <w:r>
            <w:fldChar w:fldCharType="begin"/>
          </w:r>
          <w:r>
            <w:instrText xml:space="preserve"> PAGEREF _Toc231245251 \h </w:instrText>
          </w:r>
          <w:r>
            <w:fldChar w:fldCharType="separate"/>
          </w:r>
          <w:r>
            <w:t>29</w:t>
          </w:r>
          <w:r>
            <w:fldChar w:fldCharType="end"/>
          </w:r>
          <w:r>
            <w:fldChar w:fldCharType="end"/>
          </w:r>
        </w:p>
        <w:p w14:paraId="741CE2A8">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"_Toc231245252" </w:instrText>
          </w:r>
          <w:r>
            <w:fldChar w:fldCharType="separate"/>
          </w:r>
          <w:r>
            <w:rPr>
              <w:rStyle w:val="17"/>
            </w:rPr>
            <w:t>4.2.1 Introduction and Background</w:t>
          </w:r>
          <w:r>
            <w:tab/>
          </w:r>
          <w:r>
            <w:fldChar w:fldCharType="begin"/>
          </w:r>
          <w:r>
            <w:instrText xml:space="preserve"> PAGEREF _Toc231245252 \h </w:instrText>
          </w:r>
          <w:r>
            <w:fldChar w:fldCharType="separate"/>
          </w:r>
          <w:r>
            <w:t>29</w:t>
          </w:r>
          <w:r>
            <w:fldChar w:fldCharType="end"/>
          </w:r>
          <w:r>
            <w:fldChar w:fldCharType="end"/>
          </w:r>
        </w:p>
        <w:p w14:paraId="13302EF6">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"_Toc231245253" </w:instrText>
          </w:r>
          <w:r>
            <w:fldChar w:fldCharType="separate"/>
          </w:r>
          <w:r>
            <w:rPr>
              <w:rStyle w:val="17"/>
            </w:rPr>
            <w:t>4.2.2 The Challenge or Opportunity</w:t>
          </w:r>
          <w:r>
            <w:tab/>
          </w:r>
          <w:r>
            <w:fldChar w:fldCharType="begin"/>
          </w:r>
          <w:r>
            <w:instrText xml:space="preserve"> PAGEREF _Toc231245253 \h </w:instrText>
          </w:r>
          <w:r>
            <w:fldChar w:fldCharType="separate"/>
          </w:r>
          <w:r>
            <w:t>29</w:t>
          </w:r>
          <w:r>
            <w:fldChar w:fldCharType="end"/>
          </w:r>
          <w:r>
            <w:fldChar w:fldCharType="end"/>
          </w:r>
        </w:p>
        <w:p w14:paraId="3A864472">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"_Toc231245254" </w:instrText>
          </w:r>
          <w:r>
            <w:fldChar w:fldCharType="separate"/>
          </w:r>
          <w:r>
            <w:rPr>
              <w:rStyle w:val="17"/>
            </w:rPr>
            <w:t>4.2.3 The Approach and Implementation</w:t>
          </w:r>
          <w:r>
            <w:tab/>
          </w:r>
          <w:r>
            <w:fldChar w:fldCharType="begin"/>
          </w:r>
          <w:r>
            <w:instrText xml:space="preserve"> PAGEREF _Toc231245254 \h </w:instrText>
          </w:r>
          <w:r>
            <w:fldChar w:fldCharType="separate"/>
          </w:r>
          <w:r>
            <w:t>30</w:t>
          </w:r>
          <w:r>
            <w:fldChar w:fldCharType="end"/>
          </w:r>
          <w:r>
            <w:fldChar w:fldCharType="end"/>
          </w:r>
        </w:p>
        <w:p w14:paraId="4BFCA247">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"_Toc231245255" </w:instrText>
          </w:r>
          <w:r>
            <w:fldChar w:fldCharType="separate"/>
          </w:r>
          <w:r>
            <w:rPr>
              <w:rStyle w:val="17"/>
            </w:rPr>
            <w:t>4.2.4 Outcomes and Results</w:t>
          </w:r>
          <w:r>
            <w:tab/>
          </w:r>
          <w:r>
            <w:fldChar w:fldCharType="begin"/>
          </w:r>
          <w:r>
            <w:instrText xml:space="preserve"> PAGEREF _Toc231245255 \h </w:instrText>
          </w:r>
          <w:r>
            <w:fldChar w:fldCharType="separate"/>
          </w:r>
          <w:r>
            <w:t>30</w:t>
          </w:r>
          <w:r>
            <w:fldChar w:fldCharType="end"/>
          </w:r>
          <w:r>
            <w:fldChar w:fldCharType="end"/>
          </w:r>
        </w:p>
        <w:p w14:paraId="35EA67F8">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"_Toc231245256" </w:instrText>
          </w:r>
          <w:r>
            <w:fldChar w:fldCharType="separate"/>
          </w:r>
          <w:r>
            <w:rPr>
              <w:rStyle w:val="17"/>
            </w:rPr>
            <w:t>4.3 Case Study 2: Costa Coffee</w:t>
          </w:r>
          <w:r>
            <w:tab/>
          </w:r>
          <w:r>
            <w:fldChar w:fldCharType="begin"/>
          </w:r>
          <w:r>
            <w:instrText xml:space="preserve"> PAGEREF _Toc231245256 \h </w:instrText>
          </w:r>
          <w:r>
            <w:fldChar w:fldCharType="separate"/>
          </w:r>
          <w:r>
            <w:t>30</w:t>
          </w:r>
          <w:r>
            <w:fldChar w:fldCharType="end"/>
          </w:r>
          <w:r>
            <w:fldChar w:fldCharType="end"/>
          </w:r>
        </w:p>
        <w:p w14:paraId="7CA35754">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"_Toc231245257" </w:instrText>
          </w:r>
          <w:r>
            <w:fldChar w:fldCharType="separate"/>
          </w:r>
          <w:r>
            <w:rPr>
              <w:rStyle w:val="17"/>
            </w:rPr>
            <w:t>4.3.1 Introduction and Background</w:t>
          </w:r>
          <w:r>
            <w:tab/>
          </w:r>
          <w:r>
            <w:fldChar w:fldCharType="begin"/>
          </w:r>
          <w:r>
            <w:instrText xml:space="preserve"> PAGEREF _Toc231245257 \h </w:instrText>
          </w:r>
          <w:r>
            <w:fldChar w:fldCharType="separate"/>
          </w:r>
          <w:r>
            <w:t>30</w:t>
          </w:r>
          <w:r>
            <w:fldChar w:fldCharType="end"/>
          </w:r>
          <w:r>
            <w:fldChar w:fldCharType="end"/>
          </w:r>
        </w:p>
        <w:p w14:paraId="215A213C">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"_Toc231245258" </w:instrText>
          </w:r>
          <w:r>
            <w:fldChar w:fldCharType="separate"/>
          </w:r>
          <w:r>
            <w:rPr>
              <w:rStyle w:val="17"/>
            </w:rPr>
            <w:t>4.3.2 The Challenge or Opportunity</w:t>
          </w:r>
          <w:r>
            <w:tab/>
          </w:r>
          <w:r>
            <w:fldChar w:fldCharType="begin"/>
          </w:r>
          <w:r>
            <w:instrText xml:space="preserve"> PAGEREF _Toc231245258 \h </w:instrText>
          </w:r>
          <w:r>
            <w:fldChar w:fldCharType="separate"/>
          </w:r>
          <w:r>
            <w:t>31</w:t>
          </w:r>
          <w:r>
            <w:fldChar w:fldCharType="end"/>
          </w:r>
          <w:r>
            <w:fldChar w:fldCharType="end"/>
          </w:r>
        </w:p>
        <w:p w14:paraId="19B9CE0B">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"_Toc231245259" </w:instrText>
          </w:r>
          <w:r>
            <w:fldChar w:fldCharType="separate"/>
          </w:r>
          <w:r>
            <w:rPr>
              <w:rStyle w:val="17"/>
            </w:rPr>
            <w:t>4.3.3 The Approach and Implementation</w:t>
          </w:r>
          <w:r>
            <w:tab/>
          </w:r>
          <w:r>
            <w:fldChar w:fldCharType="begin"/>
          </w:r>
          <w:r>
            <w:instrText xml:space="preserve"> PAGEREF _Toc231245259 \h </w:instrText>
          </w:r>
          <w:r>
            <w:fldChar w:fldCharType="separate"/>
          </w:r>
          <w:r>
            <w:t>31</w:t>
          </w:r>
          <w:r>
            <w:fldChar w:fldCharType="end"/>
          </w:r>
          <w:r>
            <w:fldChar w:fldCharType="end"/>
          </w:r>
        </w:p>
        <w:p w14:paraId="08224E45">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"_Toc231245260" </w:instrText>
          </w:r>
          <w:r>
            <w:fldChar w:fldCharType="separate"/>
          </w:r>
          <w:r>
            <w:rPr>
              <w:rStyle w:val="17"/>
            </w:rPr>
            <w:t>4.3.4 Outcomes and Results</w:t>
          </w:r>
          <w:r>
            <w:tab/>
          </w:r>
          <w:r>
            <w:fldChar w:fldCharType="begin"/>
          </w:r>
          <w:r>
            <w:instrText xml:space="preserve"> PAGEREF _Toc231245260 \h </w:instrText>
          </w:r>
          <w:r>
            <w:fldChar w:fldCharType="separate"/>
          </w:r>
          <w:r>
            <w:t>31</w:t>
          </w:r>
          <w:r>
            <w:fldChar w:fldCharType="end"/>
          </w:r>
          <w:r>
            <w:fldChar w:fldCharType="end"/>
          </w:r>
        </w:p>
        <w:p w14:paraId="2721717A">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"_Toc231245261" </w:instrText>
          </w:r>
          <w:r>
            <w:fldChar w:fldCharType="separate"/>
          </w:r>
          <w:r>
            <w:rPr>
              <w:rStyle w:val="17"/>
            </w:rPr>
            <w:t>4.4 Case Study 3: Dunkin’</w:t>
          </w:r>
          <w:r>
            <w:tab/>
          </w:r>
          <w:r>
            <w:fldChar w:fldCharType="begin"/>
          </w:r>
          <w:r>
            <w:instrText xml:space="preserve"> PAGEREF _Toc231245261 \h </w:instrText>
          </w:r>
          <w:r>
            <w:fldChar w:fldCharType="separate"/>
          </w:r>
          <w:r>
            <w:t>32</w:t>
          </w:r>
          <w:r>
            <w:fldChar w:fldCharType="end"/>
          </w:r>
          <w:r>
            <w:fldChar w:fldCharType="end"/>
          </w:r>
        </w:p>
        <w:p w14:paraId="490B28F1">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"_Toc231245262" </w:instrText>
          </w:r>
          <w:r>
            <w:fldChar w:fldCharType="separate"/>
          </w:r>
          <w:r>
            <w:rPr>
              <w:rStyle w:val="17"/>
            </w:rPr>
            <w:t>4.4.1 Introduction and Background</w:t>
          </w:r>
          <w:r>
            <w:tab/>
          </w:r>
          <w:r>
            <w:fldChar w:fldCharType="begin"/>
          </w:r>
          <w:r>
            <w:instrText xml:space="preserve"> PAGEREF _Toc231245262 \h </w:instrText>
          </w:r>
          <w:r>
            <w:fldChar w:fldCharType="separate"/>
          </w:r>
          <w:r>
            <w:t>32</w:t>
          </w:r>
          <w:r>
            <w:fldChar w:fldCharType="end"/>
          </w:r>
          <w:r>
            <w:fldChar w:fldCharType="end"/>
          </w:r>
        </w:p>
        <w:p w14:paraId="4C2E744D">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"_Toc231245263" </w:instrText>
          </w:r>
          <w:r>
            <w:fldChar w:fldCharType="separate"/>
          </w:r>
          <w:r>
            <w:rPr>
              <w:rStyle w:val="17"/>
            </w:rPr>
            <w:t>4.4.2 The Challenge or Opportunity</w:t>
          </w:r>
          <w:r>
            <w:tab/>
          </w:r>
          <w:r>
            <w:fldChar w:fldCharType="begin"/>
          </w:r>
          <w:r>
            <w:instrText xml:space="preserve"> PAGEREF _Toc231245263 \h </w:instrText>
          </w:r>
          <w:r>
            <w:fldChar w:fldCharType="separate"/>
          </w:r>
          <w:r>
            <w:t>32</w:t>
          </w:r>
          <w:r>
            <w:fldChar w:fldCharType="end"/>
          </w:r>
          <w:r>
            <w:fldChar w:fldCharType="end"/>
          </w:r>
        </w:p>
        <w:p w14:paraId="2D308424">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"_Toc231245264" </w:instrText>
          </w:r>
          <w:r>
            <w:fldChar w:fldCharType="separate"/>
          </w:r>
          <w:r>
            <w:rPr>
              <w:rStyle w:val="17"/>
            </w:rPr>
            <w:t>4.4.3 The Approach and Implementation</w:t>
          </w:r>
          <w:r>
            <w:tab/>
          </w:r>
          <w:r>
            <w:fldChar w:fldCharType="begin"/>
          </w:r>
          <w:r>
            <w:instrText xml:space="preserve"> PAGEREF _Toc231245264 \h </w:instrText>
          </w:r>
          <w:r>
            <w:fldChar w:fldCharType="separate"/>
          </w:r>
          <w:r>
            <w:t>32</w:t>
          </w:r>
          <w:r>
            <w:fldChar w:fldCharType="end"/>
          </w:r>
          <w:r>
            <w:fldChar w:fldCharType="end"/>
          </w:r>
        </w:p>
        <w:p w14:paraId="394A2E92">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"_Toc231245265" </w:instrText>
          </w:r>
          <w:r>
            <w:fldChar w:fldCharType="separate"/>
          </w:r>
          <w:r>
            <w:rPr>
              <w:rStyle w:val="17"/>
            </w:rPr>
            <w:t>4.4.4 Outcomes and Results</w:t>
          </w:r>
          <w:r>
            <w:tab/>
          </w:r>
          <w:r>
            <w:fldChar w:fldCharType="begin"/>
          </w:r>
          <w:r>
            <w:instrText xml:space="preserve"> PAGEREF _Toc231245265 \h </w:instrText>
          </w:r>
          <w:r>
            <w:fldChar w:fldCharType="separate"/>
          </w:r>
          <w:r>
            <w:t>33</w:t>
          </w:r>
          <w:r>
            <w:fldChar w:fldCharType="end"/>
          </w:r>
          <w:r>
            <w:fldChar w:fldCharType="end"/>
          </w:r>
        </w:p>
        <w:p w14:paraId="6DE97A8B">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"_Toc231245266" </w:instrText>
          </w:r>
          <w:r>
            <w:fldChar w:fldCharType="separate"/>
          </w:r>
          <w:r>
            <w:rPr>
              <w:rStyle w:val="17"/>
            </w:rPr>
            <w:t>4.5 Case Study 4: Tim Hortons</w:t>
          </w:r>
          <w:r>
            <w:tab/>
          </w:r>
          <w:r>
            <w:fldChar w:fldCharType="begin"/>
          </w:r>
          <w:r>
            <w:instrText xml:space="preserve"> PAGEREF _Toc231245266 \h </w:instrText>
          </w:r>
          <w:r>
            <w:fldChar w:fldCharType="separate"/>
          </w:r>
          <w:r>
            <w:t>33</w:t>
          </w:r>
          <w:r>
            <w:fldChar w:fldCharType="end"/>
          </w:r>
          <w:r>
            <w:fldChar w:fldCharType="end"/>
          </w:r>
        </w:p>
        <w:p w14:paraId="310F08BA">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"_Toc231245267" </w:instrText>
          </w:r>
          <w:r>
            <w:fldChar w:fldCharType="separate"/>
          </w:r>
          <w:r>
            <w:rPr>
              <w:rStyle w:val="17"/>
            </w:rPr>
            <w:t>4.5.1 Introduction and Background</w:t>
          </w:r>
          <w:r>
            <w:tab/>
          </w:r>
          <w:r>
            <w:fldChar w:fldCharType="begin"/>
          </w:r>
          <w:r>
            <w:instrText xml:space="preserve"> PAGEREF _Toc231245267 \h </w:instrText>
          </w:r>
          <w:r>
            <w:fldChar w:fldCharType="separate"/>
          </w:r>
          <w:r>
            <w:t>33</w:t>
          </w:r>
          <w:r>
            <w:fldChar w:fldCharType="end"/>
          </w:r>
          <w:r>
            <w:fldChar w:fldCharType="end"/>
          </w:r>
        </w:p>
        <w:p w14:paraId="28CEA682">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"_Toc231245268" </w:instrText>
          </w:r>
          <w:r>
            <w:fldChar w:fldCharType="separate"/>
          </w:r>
          <w:r>
            <w:rPr>
              <w:rStyle w:val="17"/>
            </w:rPr>
            <w:t>4.5.2 The Challenge or Opportunity</w:t>
          </w:r>
          <w:r>
            <w:tab/>
          </w:r>
          <w:r>
            <w:fldChar w:fldCharType="begin"/>
          </w:r>
          <w:r>
            <w:instrText xml:space="preserve"> PAGEREF _Toc231245268 \h </w:instrText>
          </w:r>
          <w:r>
            <w:fldChar w:fldCharType="separate"/>
          </w:r>
          <w:r>
            <w:t>33</w:t>
          </w:r>
          <w:r>
            <w:fldChar w:fldCharType="end"/>
          </w:r>
          <w:r>
            <w:fldChar w:fldCharType="end"/>
          </w:r>
        </w:p>
        <w:p w14:paraId="1AD68206">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"_Toc231245269" </w:instrText>
          </w:r>
          <w:r>
            <w:fldChar w:fldCharType="separate"/>
          </w:r>
          <w:r>
            <w:rPr>
              <w:rStyle w:val="17"/>
            </w:rPr>
            <w:t>4.5.3 The Approach and Implementation</w:t>
          </w:r>
          <w:r>
            <w:tab/>
          </w:r>
          <w:r>
            <w:fldChar w:fldCharType="begin"/>
          </w:r>
          <w:r>
            <w:instrText xml:space="preserve"> PAGEREF _Toc231245269 \h </w:instrText>
          </w:r>
          <w:r>
            <w:fldChar w:fldCharType="separate"/>
          </w:r>
          <w:r>
            <w:t>33</w:t>
          </w:r>
          <w:r>
            <w:fldChar w:fldCharType="end"/>
          </w:r>
          <w:r>
            <w:fldChar w:fldCharType="end"/>
          </w:r>
        </w:p>
        <w:p w14:paraId="3246EDE2">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"_Toc231245270" </w:instrText>
          </w:r>
          <w:r>
            <w:fldChar w:fldCharType="separate"/>
          </w:r>
          <w:r>
            <w:rPr>
              <w:rStyle w:val="17"/>
            </w:rPr>
            <w:t>4.5.4 Outcomes and Results</w:t>
          </w:r>
          <w:r>
            <w:tab/>
          </w:r>
          <w:r>
            <w:fldChar w:fldCharType="begin"/>
          </w:r>
          <w:r>
            <w:instrText xml:space="preserve"> PAGEREF _Toc231245270 \h </w:instrText>
          </w:r>
          <w:r>
            <w:fldChar w:fldCharType="separate"/>
          </w:r>
          <w:r>
            <w:t>34</w:t>
          </w:r>
          <w:r>
            <w:fldChar w:fldCharType="end"/>
          </w:r>
          <w:r>
            <w:fldChar w:fldCharType="end"/>
          </w:r>
        </w:p>
        <w:p w14:paraId="6620B870">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"_Toc231245271" </w:instrText>
          </w:r>
          <w:r>
            <w:fldChar w:fldCharType="separate"/>
          </w:r>
          <w:r>
            <w:rPr>
              <w:rStyle w:val="17"/>
            </w:rPr>
            <w:t>4.6 Case Study 5: Caffè Nero</w:t>
          </w:r>
          <w:r>
            <w:tab/>
          </w:r>
          <w:r>
            <w:fldChar w:fldCharType="begin"/>
          </w:r>
          <w:r>
            <w:instrText xml:space="preserve"> PAGEREF _Toc231245271 \h </w:instrText>
          </w:r>
          <w:r>
            <w:fldChar w:fldCharType="separate"/>
          </w:r>
          <w:r>
            <w:t>34</w:t>
          </w:r>
          <w:r>
            <w:fldChar w:fldCharType="end"/>
          </w:r>
          <w:r>
            <w:fldChar w:fldCharType="end"/>
          </w:r>
        </w:p>
        <w:p w14:paraId="10508984">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"_Toc231245272" </w:instrText>
          </w:r>
          <w:r>
            <w:fldChar w:fldCharType="separate"/>
          </w:r>
          <w:r>
            <w:rPr>
              <w:rStyle w:val="17"/>
            </w:rPr>
            <w:t>4.6.1 Introduction and Background</w:t>
          </w:r>
          <w:r>
            <w:tab/>
          </w:r>
          <w:r>
            <w:fldChar w:fldCharType="begin"/>
          </w:r>
          <w:r>
            <w:instrText xml:space="preserve"> PAGEREF _Toc231245272 \h </w:instrText>
          </w:r>
          <w:r>
            <w:fldChar w:fldCharType="separate"/>
          </w:r>
          <w:r>
            <w:t>34</w:t>
          </w:r>
          <w:r>
            <w:fldChar w:fldCharType="end"/>
          </w:r>
          <w:r>
            <w:fldChar w:fldCharType="end"/>
          </w:r>
        </w:p>
        <w:p w14:paraId="7CB844D9">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"_Toc231245273" </w:instrText>
          </w:r>
          <w:r>
            <w:fldChar w:fldCharType="separate"/>
          </w:r>
          <w:r>
            <w:rPr>
              <w:rStyle w:val="17"/>
            </w:rPr>
            <w:t>4.6.2 The Challenge or Opportunity</w:t>
          </w:r>
          <w:r>
            <w:tab/>
          </w:r>
          <w:r>
            <w:fldChar w:fldCharType="begin"/>
          </w:r>
          <w:r>
            <w:instrText xml:space="preserve"> PAGEREF _Toc231245273 \h </w:instrText>
          </w:r>
          <w:r>
            <w:fldChar w:fldCharType="separate"/>
          </w:r>
          <w:r>
            <w:t>34</w:t>
          </w:r>
          <w:r>
            <w:fldChar w:fldCharType="end"/>
          </w:r>
          <w:r>
            <w:fldChar w:fldCharType="end"/>
          </w:r>
        </w:p>
        <w:p w14:paraId="44362601">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"_Toc231245274" </w:instrText>
          </w:r>
          <w:r>
            <w:fldChar w:fldCharType="separate"/>
          </w:r>
          <w:r>
            <w:rPr>
              <w:rStyle w:val="17"/>
            </w:rPr>
            <w:t>4.6.3 The Approach and Implementation</w:t>
          </w:r>
          <w:r>
            <w:tab/>
          </w:r>
          <w:r>
            <w:fldChar w:fldCharType="begin"/>
          </w:r>
          <w:r>
            <w:instrText xml:space="preserve"> PAGEREF _Toc231245274 \h </w:instrText>
          </w:r>
          <w:r>
            <w:fldChar w:fldCharType="separate"/>
          </w:r>
          <w:r>
            <w:t>35</w:t>
          </w:r>
          <w:r>
            <w:fldChar w:fldCharType="end"/>
          </w:r>
          <w:r>
            <w:fldChar w:fldCharType="end"/>
          </w:r>
        </w:p>
        <w:p w14:paraId="6C5CC0DD">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"_Toc231245275" </w:instrText>
          </w:r>
          <w:r>
            <w:fldChar w:fldCharType="separate"/>
          </w:r>
          <w:r>
            <w:rPr>
              <w:rStyle w:val="17"/>
            </w:rPr>
            <w:t>4.6.4 Outcomes and Results</w:t>
          </w:r>
          <w:r>
            <w:tab/>
          </w:r>
          <w:r>
            <w:fldChar w:fldCharType="begin"/>
          </w:r>
          <w:r>
            <w:instrText xml:space="preserve"> PAGEREF _Toc231245275 \h </w:instrText>
          </w:r>
          <w:r>
            <w:fldChar w:fldCharType="separate"/>
          </w:r>
          <w:r>
            <w:t>35</w:t>
          </w:r>
          <w:r>
            <w:fldChar w:fldCharType="end"/>
          </w:r>
          <w:r>
            <w:fldChar w:fldCharType="end"/>
          </w:r>
        </w:p>
        <w:p w14:paraId="3D5FC995">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"_Toc231245276" </w:instrText>
          </w:r>
          <w:r>
            <w:fldChar w:fldCharType="separate"/>
          </w:r>
          <w:r>
            <w:rPr>
              <w:rStyle w:val="17"/>
            </w:rPr>
            <w:t>4.7 Summary of Cross-Case Analysis</w:t>
          </w:r>
          <w:r>
            <w:tab/>
          </w:r>
          <w:r>
            <w:fldChar w:fldCharType="begin"/>
          </w:r>
          <w:r>
            <w:instrText xml:space="preserve"> PAGEREF _Toc231245276 \h </w:instrText>
          </w:r>
          <w:r>
            <w:fldChar w:fldCharType="separate"/>
          </w:r>
          <w:r>
            <w:t>35</w:t>
          </w:r>
          <w:r>
            <w:fldChar w:fldCharType="end"/>
          </w:r>
          <w:r>
            <w:fldChar w:fldCharType="end"/>
          </w:r>
        </w:p>
        <w:p w14:paraId="1EC5372B">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"_Toc231245277" </w:instrText>
          </w:r>
          <w:r>
            <w:fldChar w:fldCharType="separate"/>
          </w:r>
          <w:r>
            <w:rPr>
              <w:rStyle w:val="17"/>
            </w:rPr>
            <w:t>4.7.1 Common Industry Triggers</w:t>
          </w:r>
          <w:r>
            <w:tab/>
          </w:r>
          <w:r>
            <w:fldChar w:fldCharType="begin"/>
          </w:r>
          <w:r>
            <w:instrText xml:space="preserve"> PAGEREF _Toc231245277 \h </w:instrText>
          </w:r>
          <w:r>
            <w:fldChar w:fldCharType="separate"/>
          </w:r>
          <w:r>
            <w:t>35</w:t>
          </w:r>
          <w:r>
            <w:fldChar w:fldCharType="end"/>
          </w:r>
          <w:r>
            <w:fldChar w:fldCharType="end"/>
          </w:r>
        </w:p>
        <w:p w14:paraId="0EE21E87">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"_Toc231245278" </w:instrText>
          </w:r>
          <w:r>
            <w:fldChar w:fldCharType="separate"/>
          </w:r>
          <w:r>
            <w:rPr>
              <w:rStyle w:val="17"/>
            </w:rPr>
            <w:t>4.7.2 Shared Experiential Marketing Patterns</w:t>
          </w:r>
          <w:r>
            <w:tab/>
          </w:r>
          <w:r>
            <w:fldChar w:fldCharType="begin"/>
          </w:r>
          <w:r>
            <w:instrText xml:space="preserve"> PAGEREF _Toc231245278 \h </w:instrText>
          </w:r>
          <w:r>
            <w:fldChar w:fldCharType="separate"/>
          </w:r>
          <w:r>
            <w:t>36</w:t>
          </w:r>
          <w:r>
            <w:fldChar w:fldCharType="end"/>
          </w:r>
          <w:r>
            <w:fldChar w:fldCharType="end"/>
          </w:r>
        </w:p>
        <w:p w14:paraId="13B9D379">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"_Toc231245279" </w:instrText>
          </w:r>
          <w:r>
            <w:fldChar w:fldCharType="separate"/>
          </w:r>
          <w:r>
            <w:rPr>
              <w:rStyle w:val="17"/>
            </w:rPr>
            <w:t>4.7.3 Strategic Differences Across Brands</w:t>
          </w:r>
          <w:r>
            <w:tab/>
          </w:r>
          <w:r>
            <w:fldChar w:fldCharType="begin"/>
          </w:r>
          <w:r>
            <w:instrText xml:space="preserve"> PAGEREF _Toc231245279 \h </w:instrText>
          </w:r>
          <w:r>
            <w:fldChar w:fldCharType="separate"/>
          </w:r>
          <w:r>
            <w:t>36</w:t>
          </w:r>
          <w:r>
            <w:fldChar w:fldCharType="end"/>
          </w:r>
          <w:r>
            <w:fldChar w:fldCharType="end"/>
          </w:r>
        </w:p>
        <w:p w14:paraId="5AF285CC">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"_Toc231245280" </w:instrText>
          </w:r>
          <w:r>
            <w:fldChar w:fldCharType="separate"/>
          </w:r>
          <w:r>
            <w:rPr>
              <w:rStyle w:val="17"/>
            </w:rPr>
            <w:t>4.7.4 Overall Cross-Case Judgement</w:t>
          </w:r>
          <w:r>
            <w:tab/>
          </w:r>
          <w:r>
            <w:fldChar w:fldCharType="begin"/>
          </w:r>
          <w:r>
            <w:instrText xml:space="preserve"> PAGEREF _Toc231245280 \h </w:instrText>
          </w:r>
          <w:r>
            <w:fldChar w:fldCharType="separate"/>
          </w:r>
          <w:r>
            <w:t>36</w:t>
          </w:r>
          <w:r>
            <w:fldChar w:fldCharType="end"/>
          </w:r>
          <w:r>
            <w:fldChar w:fldCharType="end"/>
          </w:r>
        </w:p>
        <w:p w14:paraId="2503CFD5">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"_Toc231245281" </w:instrText>
          </w:r>
          <w:r>
            <w:fldChar w:fldCharType="separate"/>
          </w:r>
          <w:r>
            <w:rPr>
              <w:rStyle w:val="17"/>
            </w:rPr>
            <w:t>4.8 Chapter Summary</w:t>
          </w:r>
          <w:r>
            <w:tab/>
          </w:r>
          <w:r>
            <w:fldChar w:fldCharType="begin"/>
          </w:r>
          <w:r>
            <w:instrText xml:space="preserve"> PAGEREF _Toc231245281 \h </w:instrText>
          </w:r>
          <w:r>
            <w:fldChar w:fldCharType="separate"/>
          </w:r>
          <w:r>
            <w:t>36</w:t>
          </w:r>
          <w:r>
            <w:fldChar w:fldCharType="end"/>
          </w:r>
          <w:r>
            <w:fldChar w:fldCharType="end"/>
          </w:r>
        </w:p>
        <w:p w14:paraId="1E48E75D">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"_Toc231245282" </w:instrText>
          </w:r>
          <w:r>
            <w:fldChar w:fldCharType="separate"/>
          </w:r>
          <w:r>
            <w:rPr>
              <w:rStyle w:val="17"/>
            </w:rPr>
            <w:t>Chapter 5: Discussion and Analysis</w:t>
          </w:r>
          <w:r>
            <w:tab/>
          </w:r>
          <w:r>
            <w:fldChar w:fldCharType="begin"/>
          </w:r>
          <w:r>
            <w:instrText xml:space="preserve"> PAGEREF _Toc231245282 \h </w:instrText>
          </w:r>
          <w:r>
            <w:fldChar w:fldCharType="separate"/>
          </w:r>
          <w:r>
            <w:t>37</w:t>
          </w:r>
          <w:r>
            <w:fldChar w:fldCharType="end"/>
          </w:r>
          <w:r>
            <w:fldChar w:fldCharType="end"/>
          </w:r>
        </w:p>
        <w:p w14:paraId="6DE08B1D">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"_Toc231245283" </w:instrText>
          </w:r>
          <w:r>
            <w:fldChar w:fldCharType="separate"/>
          </w:r>
          <w:r>
            <w:rPr>
              <w:rStyle w:val="17"/>
            </w:rPr>
            <w:t>5.1 Purpose and Positioning</w:t>
          </w:r>
          <w:r>
            <w:tab/>
          </w:r>
          <w:r>
            <w:fldChar w:fldCharType="begin"/>
          </w:r>
          <w:r>
            <w:instrText xml:space="preserve"> PAGEREF _Toc231245283 \h </w:instrText>
          </w:r>
          <w:r>
            <w:fldChar w:fldCharType="separate"/>
          </w:r>
          <w:r>
            <w:t>37</w:t>
          </w:r>
          <w:r>
            <w:fldChar w:fldCharType="end"/>
          </w:r>
          <w:r>
            <w:fldChar w:fldCharType="end"/>
          </w:r>
        </w:p>
        <w:p w14:paraId="5A45B771">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"_Toc231245284" </w:instrText>
          </w:r>
          <w:r>
            <w:fldChar w:fldCharType="separate"/>
          </w:r>
          <w:r>
            <w:rPr>
              <w:rStyle w:val="17"/>
            </w:rPr>
            <w:t>5.2 Analytical Framework and Logic</w:t>
          </w:r>
          <w:r>
            <w:tab/>
          </w:r>
          <w:r>
            <w:fldChar w:fldCharType="begin"/>
          </w:r>
          <w:r>
            <w:instrText xml:space="preserve"> PAGEREF _Toc231245284 \h </w:instrText>
          </w:r>
          <w:r>
            <w:fldChar w:fldCharType="separate"/>
          </w:r>
          <w:r>
            <w:t>37</w:t>
          </w:r>
          <w:r>
            <w:fldChar w:fldCharType="end"/>
          </w:r>
          <w:r>
            <w:fldChar w:fldCharType="end"/>
          </w:r>
        </w:p>
        <w:p w14:paraId="3F9B5712">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"_Toc231245285" </w:instrText>
          </w:r>
          <w:r>
            <w:fldChar w:fldCharType="separate"/>
          </w:r>
          <w:r>
            <w:rPr>
              <w:rStyle w:val="17"/>
            </w:rPr>
            <w:t>5.3 Cross-Case Synthesis: Compare and Contrast with Literature</w:t>
          </w:r>
          <w:r>
            <w:tab/>
          </w:r>
          <w:r>
            <w:fldChar w:fldCharType="begin"/>
          </w:r>
          <w:r>
            <w:instrText xml:space="preserve"> PAGEREF _Toc231245285 \h </w:instrText>
          </w:r>
          <w:r>
            <w:fldChar w:fldCharType="separate"/>
          </w:r>
          <w:r>
            <w:t>38</w:t>
          </w:r>
          <w:r>
            <w:fldChar w:fldCharType="end"/>
          </w:r>
          <w:r>
            <w:fldChar w:fldCharType="end"/>
          </w:r>
        </w:p>
        <w:p w14:paraId="45683264">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"_Toc231245286" </w:instrText>
          </w:r>
          <w:r>
            <w:fldChar w:fldCharType="separate"/>
          </w:r>
          <w:r>
            <w:rPr>
              <w:rStyle w:val="17"/>
            </w:rPr>
            <w:t>5.4 Integration to Conceptual Model</w:t>
          </w:r>
          <w:r>
            <w:tab/>
          </w:r>
          <w:r>
            <w:fldChar w:fldCharType="begin"/>
          </w:r>
          <w:r>
            <w:instrText xml:space="preserve"> PAGEREF _Toc231245286 \h </w:instrText>
          </w:r>
          <w:r>
            <w:fldChar w:fldCharType="separate"/>
          </w:r>
          <w:r>
            <w:t>41</w:t>
          </w:r>
          <w:r>
            <w:fldChar w:fldCharType="end"/>
          </w:r>
          <w:r>
            <w:fldChar w:fldCharType="end"/>
          </w:r>
        </w:p>
        <w:p w14:paraId="496212E6">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"_Toc231245287" </w:instrText>
          </w:r>
          <w:r>
            <w:fldChar w:fldCharType="separate"/>
          </w:r>
          <w:r>
            <w:rPr>
              <w:rStyle w:val="17"/>
            </w:rPr>
            <w:t>5.5 Robustness Considerations</w:t>
          </w:r>
          <w:r>
            <w:tab/>
          </w:r>
          <w:r>
            <w:fldChar w:fldCharType="begin"/>
          </w:r>
          <w:r>
            <w:instrText xml:space="preserve"> PAGEREF _Toc231245287 \h </w:instrText>
          </w:r>
          <w:r>
            <w:fldChar w:fldCharType="separate"/>
          </w:r>
          <w:r>
            <w:t>41</w:t>
          </w:r>
          <w:r>
            <w:fldChar w:fldCharType="end"/>
          </w:r>
          <w:r>
            <w:fldChar w:fldCharType="end"/>
          </w:r>
        </w:p>
        <w:p w14:paraId="527BE2F6">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"_Toc231245288" </w:instrText>
          </w:r>
          <w:r>
            <w:fldChar w:fldCharType="separate"/>
          </w:r>
          <w:r>
            <w:rPr>
              <w:rStyle w:val="17"/>
            </w:rPr>
            <w:t>5.6 Practical Synthesis (Bridge to Chapter 6)</w:t>
          </w:r>
          <w:r>
            <w:tab/>
          </w:r>
          <w:r>
            <w:fldChar w:fldCharType="begin"/>
          </w:r>
          <w:r>
            <w:instrText xml:space="preserve"> PAGEREF _Toc231245288 \h </w:instrText>
          </w:r>
          <w:r>
            <w:fldChar w:fldCharType="separate"/>
          </w:r>
          <w:r>
            <w:t>42</w:t>
          </w:r>
          <w:r>
            <w:fldChar w:fldCharType="end"/>
          </w:r>
          <w:r>
            <w:fldChar w:fldCharType="end"/>
          </w:r>
        </w:p>
        <w:p w14:paraId="75BED64C">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"_Toc231245289" </w:instrText>
          </w:r>
          <w:r>
            <w:fldChar w:fldCharType="separate"/>
          </w:r>
          <w:r>
            <w:rPr>
              <w:rStyle w:val="17"/>
            </w:rPr>
            <w:t>5.7 Chapter Summary</w:t>
          </w:r>
          <w:r>
            <w:tab/>
          </w:r>
          <w:r>
            <w:fldChar w:fldCharType="begin"/>
          </w:r>
          <w:r>
            <w:instrText xml:space="preserve"> PAGEREF _Toc231245289 \h </w:instrText>
          </w:r>
          <w:r>
            <w:fldChar w:fldCharType="separate"/>
          </w:r>
          <w:r>
            <w:t>42</w:t>
          </w:r>
          <w:r>
            <w:fldChar w:fldCharType="end"/>
          </w:r>
          <w:r>
            <w:fldChar w:fldCharType="end"/>
          </w:r>
        </w:p>
        <w:p w14:paraId="35302722">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"_Toc231245290" </w:instrText>
          </w:r>
          <w:r>
            <w:fldChar w:fldCharType="separate"/>
          </w:r>
          <w:r>
            <w:rPr>
              <w:rStyle w:val="17"/>
            </w:rPr>
            <w:t>Chapter 6: Conclusion and Recommendations</w:t>
          </w:r>
          <w:r>
            <w:tab/>
          </w:r>
          <w:r>
            <w:fldChar w:fldCharType="begin"/>
          </w:r>
          <w:r>
            <w:instrText xml:space="preserve"> PAGEREF _Toc231245290 \h </w:instrText>
          </w:r>
          <w:r>
            <w:fldChar w:fldCharType="separate"/>
          </w:r>
          <w:r>
            <w:t>44</w:t>
          </w:r>
          <w:r>
            <w:fldChar w:fldCharType="end"/>
          </w:r>
          <w:r>
            <w:fldChar w:fldCharType="end"/>
          </w:r>
        </w:p>
        <w:p w14:paraId="135A1135">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"_Toc231245291" </w:instrText>
          </w:r>
          <w:r>
            <w:fldChar w:fldCharType="separate"/>
          </w:r>
          <w:r>
            <w:rPr>
              <w:rStyle w:val="17"/>
            </w:rPr>
            <w:t>6.1 Introduction</w:t>
          </w:r>
          <w:r>
            <w:tab/>
          </w:r>
          <w:r>
            <w:fldChar w:fldCharType="begin"/>
          </w:r>
          <w:r>
            <w:instrText xml:space="preserve"> PAGEREF _Toc231245291 \h </w:instrText>
          </w:r>
          <w:r>
            <w:fldChar w:fldCharType="separate"/>
          </w:r>
          <w:r>
            <w:t>44</w:t>
          </w:r>
          <w:r>
            <w:fldChar w:fldCharType="end"/>
          </w:r>
          <w:r>
            <w:fldChar w:fldCharType="end"/>
          </w:r>
        </w:p>
        <w:p w14:paraId="0152C72B">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"_Toc231245292" </w:instrText>
          </w:r>
          <w:r>
            <w:fldChar w:fldCharType="separate"/>
          </w:r>
          <w:r>
            <w:rPr>
              <w:rStyle w:val="17"/>
            </w:rPr>
            <w:t>6.1.1 Purpose of the Chapter</w:t>
          </w:r>
          <w:r>
            <w:tab/>
          </w:r>
          <w:r>
            <w:fldChar w:fldCharType="begin"/>
          </w:r>
          <w:r>
            <w:instrText xml:space="preserve"> PAGEREF _Toc231245292 \h </w:instrText>
          </w:r>
          <w:r>
            <w:fldChar w:fldCharType="separate"/>
          </w:r>
          <w:r>
            <w:t>44</w:t>
          </w:r>
          <w:r>
            <w:fldChar w:fldCharType="end"/>
          </w:r>
          <w:r>
            <w:fldChar w:fldCharType="end"/>
          </w:r>
        </w:p>
        <w:p w14:paraId="5FAF76D7">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"_Toc231245293" </w:instrText>
          </w:r>
          <w:r>
            <w:fldChar w:fldCharType="separate"/>
          </w:r>
          <w:r>
            <w:rPr>
              <w:rStyle w:val="17"/>
            </w:rPr>
            <w:t>6.1.2 Research Recap and Analytical Positioning</w:t>
          </w:r>
          <w:r>
            <w:tab/>
          </w:r>
          <w:r>
            <w:fldChar w:fldCharType="begin"/>
          </w:r>
          <w:r>
            <w:instrText xml:space="preserve"> PAGEREF _Toc231245293 \h </w:instrText>
          </w:r>
          <w:r>
            <w:fldChar w:fldCharType="separate"/>
          </w:r>
          <w:r>
            <w:t>44</w:t>
          </w:r>
          <w:r>
            <w:fldChar w:fldCharType="end"/>
          </w:r>
          <w:r>
            <w:fldChar w:fldCharType="end"/>
          </w:r>
        </w:p>
        <w:p w14:paraId="696EF51D">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"_Toc231245294" </w:instrText>
          </w:r>
          <w:r>
            <w:fldChar w:fldCharType="separate"/>
          </w:r>
          <w:r>
            <w:rPr>
              <w:rStyle w:val="17"/>
            </w:rPr>
            <w:t>6.2 Brief Summary of Key Findings</w:t>
          </w:r>
          <w:r>
            <w:tab/>
          </w:r>
          <w:r>
            <w:fldChar w:fldCharType="begin"/>
          </w:r>
          <w:r>
            <w:instrText xml:space="preserve"> PAGEREF _Toc231245294 \h </w:instrText>
          </w:r>
          <w:r>
            <w:fldChar w:fldCharType="separate"/>
          </w:r>
          <w:r>
            <w:t>44</w:t>
          </w:r>
          <w:r>
            <w:fldChar w:fldCharType="end"/>
          </w:r>
          <w:r>
            <w:fldChar w:fldCharType="end"/>
          </w:r>
        </w:p>
        <w:p w14:paraId="60BE4B20">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"_Toc231245295" </w:instrText>
          </w:r>
          <w:r>
            <w:fldChar w:fldCharType="separate"/>
          </w:r>
          <w:r>
            <w:rPr>
              <w:rStyle w:val="17"/>
            </w:rPr>
            <w:t>6.3 Theoretical Implications</w:t>
          </w:r>
          <w:r>
            <w:tab/>
          </w:r>
          <w:r>
            <w:fldChar w:fldCharType="begin"/>
          </w:r>
          <w:r>
            <w:instrText xml:space="preserve"> PAGEREF _Toc231245295 \h </w:instrText>
          </w:r>
          <w:r>
            <w:fldChar w:fldCharType="separate"/>
          </w:r>
          <w:r>
            <w:t>45</w:t>
          </w:r>
          <w:r>
            <w:fldChar w:fldCharType="end"/>
          </w:r>
          <w:r>
            <w:fldChar w:fldCharType="end"/>
          </w:r>
        </w:p>
        <w:p w14:paraId="7F54F28C">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"_Toc231245296" </w:instrText>
          </w:r>
          <w:r>
            <w:fldChar w:fldCharType="separate"/>
          </w:r>
          <w:r>
            <w:rPr>
              <w:rStyle w:val="17"/>
            </w:rPr>
            <w:t>6.3.1 Contribution 1: Extension of Experiential Marketing Theory</w:t>
          </w:r>
          <w:r>
            <w:tab/>
          </w:r>
          <w:r>
            <w:fldChar w:fldCharType="begin"/>
          </w:r>
          <w:r>
            <w:instrText xml:space="preserve"> PAGEREF _Toc231245296 \h </w:instrText>
          </w:r>
          <w:r>
            <w:fldChar w:fldCharType="separate"/>
          </w:r>
          <w:r>
            <w:t>45</w:t>
          </w:r>
          <w:r>
            <w:fldChar w:fldCharType="end"/>
          </w:r>
          <w:r>
            <w:fldChar w:fldCharType="end"/>
          </w:r>
        </w:p>
        <w:p w14:paraId="78E9E296">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"_Toc231245297" </w:instrText>
          </w:r>
          <w:r>
            <w:fldChar w:fldCharType="separate"/>
          </w:r>
          <w:r>
            <w:rPr>
              <w:rStyle w:val="17"/>
            </w:rPr>
            <w:t>6.3.3 Contribution 3: Mechanism-Based Understanding of Emotional Attachment Formation</w:t>
          </w:r>
          <w:r>
            <w:tab/>
          </w:r>
          <w:r>
            <w:fldChar w:fldCharType="begin"/>
          </w:r>
          <w:r>
            <w:instrText xml:space="preserve"> PAGEREF _Toc231245297 \h </w:instrText>
          </w:r>
          <w:r>
            <w:fldChar w:fldCharType="separate"/>
          </w:r>
          <w:r>
            <w:t>46</w:t>
          </w:r>
          <w:r>
            <w:fldChar w:fldCharType="end"/>
          </w:r>
          <w:r>
            <w:fldChar w:fldCharType="end"/>
          </w:r>
        </w:p>
        <w:p w14:paraId="3FA68CE7">
          <w:pPr>
            <w:pStyle w:val="24"/>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"_Toc231245298" </w:instrText>
          </w:r>
          <w:r>
            <w:fldChar w:fldCharType="separate"/>
          </w:r>
          <w:r>
            <w:rPr>
              <w:rStyle w:val="17"/>
            </w:rPr>
            <w:t>6.3.4 Contribution 4: Refinement of the Conceptual Framework</w:t>
          </w:r>
          <w:r>
            <w:tab/>
          </w:r>
          <w:r>
            <w:fldChar w:fldCharType="begin"/>
          </w:r>
          <w:r>
            <w:instrText xml:space="preserve"> PAGEREF _Toc231245298 \h </w:instrText>
          </w:r>
          <w:r>
            <w:fldChar w:fldCharType="separate"/>
          </w:r>
          <w:r>
            <w:t>46</w:t>
          </w:r>
          <w:r>
            <w:fldChar w:fldCharType="end"/>
          </w:r>
          <w:r>
            <w:fldChar w:fldCharType="end"/>
          </w:r>
        </w:p>
        <w:p w14:paraId="73784FDC">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"_Toc231245299" </w:instrText>
          </w:r>
          <w:r>
            <w:fldChar w:fldCharType="separate"/>
          </w:r>
          <w:r>
            <w:rPr>
              <w:rStyle w:val="17"/>
            </w:rPr>
            <w:t>6.4 Managerial Implications</w:t>
          </w:r>
          <w:r>
            <w:tab/>
          </w:r>
          <w:r>
            <w:fldChar w:fldCharType="begin"/>
          </w:r>
          <w:r>
            <w:instrText xml:space="preserve"> PAGEREF _Toc231245299 \h </w:instrText>
          </w:r>
          <w:r>
            <w:fldChar w:fldCharType="separate"/>
          </w:r>
          <w:r>
            <w:t>47</w:t>
          </w:r>
          <w:r>
            <w:fldChar w:fldCharType="end"/>
          </w:r>
          <w:r>
            <w:fldChar w:fldCharType="end"/>
          </w:r>
        </w:p>
        <w:p w14:paraId="699C91DF">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"_Toc231245300" </w:instrText>
          </w:r>
          <w:r>
            <w:fldChar w:fldCharType="separate"/>
          </w:r>
          <w:r>
            <w:rPr>
              <w:rStyle w:val="17"/>
            </w:rPr>
            <w:t>6.5 Limitations and Directions for Future Research</w:t>
          </w:r>
          <w:r>
            <w:tab/>
          </w:r>
          <w:r>
            <w:fldChar w:fldCharType="begin"/>
          </w:r>
          <w:r>
            <w:instrText xml:space="preserve"> PAGEREF _Toc231245300 \h </w:instrText>
          </w:r>
          <w:r>
            <w:fldChar w:fldCharType="separate"/>
          </w:r>
          <w:r>
            <w:t>48</w:t>
          </w:r>
          <w:r>
            <w:fldChar w:fldCharType="end"/>
          </w:r>
          <w:r>
            <w:fldChar w:fldCharType="end"/>
          </w:r>
        </w:p>
        <w:p w14:paraId="36950808">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"_Toc231245301" </w:instrText>
          </w:r>
          <w:r>
            <w:fldChar w:fldCharType="separate"/>
          </w:r>
          <w:r>
            <w:rPr>
              <w:rStyle w:val="17"/>
            </w:rPr>
            <w:t>6.6 Closing Statement</w:t>
          </w:r>
          <w:r>
            <w:tab/>
          </w:r>
          <w:r>
            <w:fldChar w:fldCharType="begin"/>
          </w:r>
          <w:r>
            <w:instrText xml:space="preserve"> PAGEREF _Toc231245301 \h </w:instrText>
          </w:r>
          <w:r>
            <w:fldChar w:fldCharType="separate"/>
          </w:r>
          <w:r>
            <w:t>48</w:t>
          </w:r>
          <w:r>
            <w:fldChar w:fldCharType="end"/>
          </w:r>
          <w:r>
            <w:fldChar w:fldCharType="end"/>
          </w:r>
        </w:p>
        <w:p w14:paraId="0E61E397">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"_Toc231245302" </w:instrText>
          </w:r>
          <w:r>
            <w:fldChar w:fldCharType="separate"/>
          </w:r>
          <w:r>
            <w:rPr>
              <w:rStyle w:val="17"/>
            </w:rPr>
            <w:t>References</w:t>
          </w:r>
          <w:r>
            <w:tab/>
          </w:r>
          <w:r>
            <w:fldChar w:fldCharType="begin"/>
          </w:r>
          <w:r>
            <w:instrText xml:space="preserve"> PAGEREF _Toc231245302 \h </w:instrText>
          </w:r>
          <w:r>
            <w:fldChar w:fldCharType="separate"/>
          </w:r>
          <w:r>
            <w:t>50</w:t>
          </w:r>
          <w:r>
            <w:fldChar w:fldCharType="end"/>
          </w:r>
          <w:r>
            <w:fldChar w:fldCharType="end"/>
          </w:r>
        </w:p>
        <w:p w14:paraId="5C64D2AC">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"_Toc231245303" </w:instrText>
          </w:r>
          <w:r>
            <w:fldChar w:fldCharType="separate"/>
          </w:r>
          <w:r>
            <w:rPr>
              <w:rStyle w:val="17"/>
            </w:rPr>
            <w:t>Appendices</w:t>
          </w:r>
          <w:r>
            <w:tab/>
          </w:r>
          <w:r>
            <w:fldChar w:fldCharType="begin"/>
          </w:r>
          <w:r>
            <w:instrText xml:space="preserve"> PAGEREF _Toc231245303 \h </w:instrText>
          </w:r>
          <w:r>
            <w:fldChar w:fldCharType="separate"/>
          </w:r>
          <w:r>
            <w:t>55</w:t>
          </w:r>
          <w:r>
            <w:fldChar w:fldCharType="end"/>
          </w:r>
          <w:r>
            <w:fldChar w:fldCharType="end"/>
          </w:r>
        </w:p>
        <w:p w14:paraId="22F300E1">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"_Toc231245304" </w:instrText>
          </w:r>
          <w:r>
            <w:fldChar w:fldCharType="separate"/>
          </w:r>
          <w:r>
            <w:rPr>
              <w:rStyle w:val="17"/>
            </w:rPr>
            <w:t>Appendix A: Search Strategy Table</w:t>
          </w:r>
          <w:r>
            <w:tab/>
          </w:r>
          <w:r>
            <w:fldChar w:fldCharType="begin"/>
          </w:r>
          <w:r>
            <w:instrText xml:space="preserve"> PAGEREF _Toc231245304 \h </w:instrText>
          </w:r>
          <w:r>
            <w:fldChar w:fldCharType="separate"/>
          </w:r>
          <w:r>
            <w:t>55</w:t>
          </w:r>
          <w:r>
            <w:fldChar w:fldCharType="end"/>
          </w:r>
          <w:r>
            <w:fldChar w:fldCharType="end"/>
          </w:r>
        </w:p>
        <w:p w14:paraId="5F757CE5">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"_Toc231245305" </w:instrText>
          </w:r>
          <w:r>
            <w:fldChar w:fldCharType="separate"/>
          </w:r>
          <w:r>
            <w:rPr>
              <w:rStyle w:val="17"/>
            </w:rPr>
            <w:t>Appendix B: Case Selection Criteria</w:t>
          </w:r>
          <w:r>
            <w:tab/>
          </w:r>
          <w:r>
            <w:fldChar w:fldCharType="begin"/>
          </w:r>
          <w:r>
            <w:instrText xml:space="preserve"> PAGEREF _Toc231245305 \h </w:instrText>
          </w:r>
          <w:r>
            <w:fldChar w:fldCharType="separate"/>
          </w:r>
          <w:r>
            <w:t>55</w:t>
          </w:r>
          <w:r>
            <w:fldChar w:fldCharType="end"/>
          </w:r>
          <w:r>
            <w:fldChar w:fldCharType="end"/>
          </w:r>
        </w:p>
        <w:p w14:paraId="39455022">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"_Toc231245306" </w:instrText>
          </w:r>
          <w:r>
            <w:fldChar w:fldCharType="separate"/>
          </w:r>
          <w:r>
            <w:rPr>
              <w:rStyle w:val="17"/>
            </w:rPr>
            <w:t>Appendix C: Thematic Coding Framework</w:t>
          </w:r>
          <w:r>
            <w:tab/>
          </w:r>
          <w:r>
            <w:fldChar w:fldCharType="begin"/>
          </w:r>
          <w:r>
            <w:instrText xml:space="preserve"> PAGEREF _Toc231245306 \h </w:instrText>
          </w:r>
          <w:r>
            <w:fldChar w:fldCharType="separate"/>
          </w:r>
          <w:r>
            <w:t>55</w:t>
          </w:r>
          <w:r>
            <w:fldChar w:fldCharType="end"/>
          </w:r>
          <w:r>
            <w:fldChar w:fldCharType="end"/>
          </w:r>
        </w:p>
        <w:p w14:paraId="331FF441">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"_Toc231245307" </w:instrText>
          </w:r>
          <w:r>
            <w:fldChar w:fldCharType="separate"/>
          </w:r>
          <w:r>
            <w:rPr>
              <w:rStyle w:val="17"/>
            </w:rPr>
            <w:t>Appendix D: Cross-Case Comparison Table</w:t>
          </w:r>
          <w:r>
            <w:tab/>
          </w:r>
          <w:r>
            <w:fldChar w:fldCharType="begin"/>
          </w:r>
          <w:r>
            <w:instrText xml:space="preserve"> PAGEREF _Toc231245307 \h </w:instrText>
          </w:r>
          <w:r>
            <w:fldChar w:fldCharType="separate"/>
          </w:r>
          <w:r>
            <w:t>56</w:t>
          </w:r>
          <w:r>
            <w:fldChar w:fldCharType="end"/>
          </w:r>
          <w:r>
            <w:fldChar w:fldCharType="end"/>
          </w:r>
        </w:p>
        <w:p w14:paraId="6BEA3B86">
          <w:pPr>
            <w:pStyle w:val="23"/>
            <w:tabs>
              <w:tab w:val="right" w:leader="dot" w:pos="9350"/>
            </w:tabs>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"_Toc231245308" </w:instrText>
          </w:r>
          <w:r>
            <w:fldChar w:fldCharType="separate"/>
          </w:r>
          <w:r>
            <w:rPr>
              <w:rStyle w:val="17"/>
            </w:rPr>
            <w:t>Appendix E: Ethical Form</w:t>
          </w:r>
          <w:r>
            <w:tab/>
          </w:r>
          <w:r>
            <w:fldChar w:fldCharType="begin"/>
          </w:r>
          <w:r>
            <w:instrText xml:space="preserve"> PAGEREF _Toc231245308 \h </w:instrText>
          </w:r>
          <w:r>
            <w:fldChar w:fldCharType="separate"/>
          </w:r>
          <w:r>
            <w:t>57</w:t>
          </w:r>
          <w:r>
            <w:fldChar w:fldCharType="end"/>
          </w:r>
          <w:r>
            <w:fldChar w:fldCharType="end"/>
          </w:r>
        </w:p>
        <w:p w14:paraId="13FA82B0">
          <w:pPr>
            <w:pStyle w:val="22"/>
            <w:spacing w:line="240" w:lineRule="auto"/>
            <w:rPr>
              <w:rFonts w:asciiTheme="minorHAnsi" w:hAnsiTheme="minorHAnsi" w:eastAsiaTheme="minorEastAsia"/>
              <w:kern w:val="2"/>
              <w:lang w:eastAsia="en-GB"/>
              <w14:ligatures w14:val="standardContextual"/>
            </w:rPr>
          </w:pPr>
          <w:r>
            <w:fldChar w:fldCharType="begin"/>
          </w:r>
          <w:r>
            <w:instrText xml:space="preserve"> HYPERLINK \l "_Toc231245309" </w:instrText>
          </w:r>
          <w:r>
            <w:fldChar w:fldCharType="separate"/>
          </w:r>
          <w:r>
            <w:fldChar w:fldCharType="end"/>
          </w:r>
        </w:p>
        <w:p w14:paraId="50B3273D">
          <w:pPr>
            <w:spacing w:line="240" w:lineRule="auto"/>
            <w:rPr>
              <w:b/>
              <w:bCs/>
            </w:rPr>
          </w:pPr>
          <w:r>
            <w:rPr>
              <w:b/>
              <w:bCs/>
            </w:rPr>
            <w:fldChar w:fldCharType="end"/>
          </w:r>
        </w:p>
      </w:sdtContent>
    </w:sdt>
    <w:p w14:paraId="0B2F37E0">
      <w:pPr>
        <w:rPr>
          <w:b/>
          <w:bCs/>
        </w:rPr>
      </w:pPr>
    </w:p>
    <w:p w14:paraId="380C6DC1">
      <w:pPr>
        <w:rPr>
          <w:b/>
          <w:bCs/>
          <w:sz w:val="28"/>
          <w:szCs w:val="28"/>
        </w:rPr>
      </w:pPr>
      <w:r>
        <w:rPr>
          <w:b/>
          <w:bCs/>
          <w:sz w:val="28"/>
          <w:szCs w:val="28"/>
        </w:rPr>
        <w:t>List of Figures</w:t>
      </w:r>
    </w:p>
    <w:p w14:paraId="00359C63">
      <w:pPr>
        <w:pStyle w:val="20"/>
        <w:tabs>
          <w:tab w:val="right" w:leader="dot" w:pos="9350"/>
        </w:tabs>
      </w:pPr>
      <w:r>
        <w:rPr>
          <w:b/>
          <w:bCs/>
        </w:rPr>
        <w:t>Figure 1: Conceptual Framework</w:t>
      </w:r>
      <w:r>
        <w:rPr>
          <w:b/>
          <w:bCs/>
        </w:rPr>
        <w:tab/>
      </w:r>
      <w:r>
        <w:rPr>
          <w:b/>
          <w:bCs/>
        </w:rPr>
        <w:t>14</w:t>
      </w:r>
      <w:r>
        <w:rPr>
          <w:b/>
          <w:bCs/>
        </w:rPr>
        <w:fldChar w:fldCharType="begin"/>
      </w:r>
      <w:r>
        <w:rPr>
          <w:b/>
          <w:bCs/>
        </w:rPr>
        <w:instrText xml:space="preserve"> TOC \h \z \c "Figure" </w:instrText>
      </w:r>
      <w:r>
        <w:rPr>
          <w:b/>
          <w:bCs/>
        </w:rPr>
        <w:fldChar w:fldCharType="separate"/>
      </w:r>
    </w:p>
    <w:p w14:paraId="23BD3B49">
      <w:pPr>
        <w:pStyle w:val="20"/>
        <w:tabs>
          <w:tab w:val="right" w:leader="dot" w:pos="9350"/>
        </w:tabs>
        <w:rPr>
          <w:rFonts w:asciiTheme="minorHAnsi" w:hAnsiTheme="minorHAnsi" w:eastAsiaTheme="minorEastAsia"/>
          <w:kern w:val="2"/>
          <w:lang w:eastAsia="en-GB"/>
          <w14:ligatures w14:val="standardContextual"/>
        </w:rPr>
      </w:pPr>
      <w:r>
        <w:fldChar w:fldCharType="begin"/>
      </w:r>
      <w:r>
        <w:instrText xml:space="preserve"> HYPERLINK \l "_Toc231245310" </w:instrText>
      </w:r>
      <w:r>
        <w:fldChar w:fldCharType="separate"/>
      </w:r>
      <w:r>
        <w:rPr>
          <w:rStyle w:val="17"/>
        </w:rPr>
        <w:t>Figure 1 Conceptual Framework</w:t>
      </w:r>
      <w:r>
        <w:tab/>
      </w:r>
      <w:r>
        <w:fldChar w:fldCharType="begin"/>
      </w:r>
      <w:r>
        <w:instrText xml:space="preserve"> PAGEREF _Toc231245310 \h </w:instrText>
      </w:r>
      <w:r>
        <w:fldChar w:fldCharType="separate"/>
      </w:r>
      <w:r>
        <w:t>14</w:t>
      </w:r>
      <w:r>
        <w:fldChar w:fldCharType="end"/>
      </w:r>
      <w:r>
        <w:fldChar w:fldCharType="end"/>
      </w:r>
    </w:p>
    <w:p w14:paraId="2D9837A3">
      <w:pPr>
        <w:pStyle w:val="20"/>
        <w:tabs>
          <w:tab w:val="right" w:leader="dot" w:pos="9350"/>
        </w:tabs>
        <w:rPr>
          <w:rFonts w:asciiTheme="minorHAnsi" w:hAnsiTheme="minorHAnsi" w:eastAsiaTheme="minorEastAsia"/>
          <w:kern w:val="2"/>
          <w:lang w:eastAsia="en-GB"/>
          <w14:ligatures w14:val="standardContextual"/>
        </w:rPr>
      </w:pPr>
      <w:r>
        <w:fldChar w:fldCharType="begin"/>
      </w:r>
      <w:r>
        <w:instrText xml:space="preserve"> HYPERLINK \l "_Toc231245311" </w:instrText>
      </w:r>
      <w:r>
        <w:fldChar w:fldCharType="separate"/>
      </w:r>
      <w:r>
        <w:rPr>
          <w:rStyle w:val="17"/>
        </w:rPr>
        <w:t>Figure 2 Research Onion Model</w:t>
      </w:r>
      <w:r>
        <w:tab/>
      </w:r>
      <w:r>
        <w:fldChar w:fldCharType="begin"/>
      </w:r>
      <w:r>
        <w:instrText xml:space="preserve"> PAGEREF _Toc231245311 \h </w:instrText>
      </w:r>
      <w:r>
        <w:fldChar w:fldCharType="separate"/>
      </w:r>
      <w:r>
        <w:t>20</w:t>
      </w:r>
      <w:r>
        <w:fldChar w:fldCharType="end"/>
      </w:r>
      <w:r>
        <w:fldChar w:fldCharType="end"/>
      </w:r>
    </w:p>
    <w:p w14:paraId="439B4174">
      <w:pPr>
        <w:pStyle w:val="20"/>
        <w:tabs>
          <w:tab w:val="right" w:leader="dot" w:pos="9350"/>
        </w:tabs>
        <w:rPr>
          <w:rFonts w:asciiTheme="minorHAnsi" w:hAnsiTheme="minorHAnsi" w:eastAsiaTheme="minorEastAsia"/>
          <w:kern w:val="2"/>
          <w:lang w:eastAsia="en-GB"/>
          <w14:ligatures w14:val="standardContextual"/>
        </w:rPr>
      </w:pPr>
      <w:r>
        <w:fldChar w:fldCharType="begin"/>
      </w:r>
      <w:r>
        <w:instrText xml:space="preserve"> HYPERLINK \l "_Toc231245312" </w:instrText>
      </w:r>
      <w:r>
        <w:fldChar w:fldCharType="separate"/>
      </w:r>
      <w:r>
        <w:rPr>
          <w:rStyle w:val="17"/>
        </w:rPr>
        <w:t>Figure 3 Analysis Framework</w:t>
      </w:r>
      <w:r>
        <w:tab/>
      </w:r>
      <w:r>
        <w:fldChar w:fldCharType="begin"/>
      </w:r>
      <w:r>
        <w:instrText xml:space="preserve"> PAGEREF _Toc231245312 \h </w:instrText>
      </w:r>
      <w:r>
        <w:fldChar w:fldCharType="separate"/>
      </w:r>
      <w:r>
        <w:t>26</w:t>
      </w:r>
      <w:r>
        <w:fldChar w:fldCharType="end"/>
      </w:r>
      <w:r>
        <w:fldChar w:fldCharType="end"/>
      </w:r>
    </w:p>
    <w:p w14:paraId="2733963E">
      <w:pPr>
        <w:rPr>
          <w:b/>
          <w:bCs/>
          <w:sz w:val="28"/>
          <w:szCs w:val="28"/>
        </w:rPr>
      </w:pPr>
      <w:r>
        <w:rPr>
          <w:b/>
          <w:bCs/>
        </w:rPr>
        <w:fldChar w:fldCharType="end"/>
      </w:r>
      <w:r>
        <w:rPr>
          <w:b/>
          <w:bCs/>
          <w:sz w:val="28"/>
          <w:szCs w:val="28"/>
        </w:rPr>
        <w:t>List of Tables</w:t>
      </w:r>
    </w:p>
    <w:p w14:paraId="3193AAB6">
      <w:pPr>
        <w:pStyle w:val="20"/>
        <w:tabs>
          <w:tab w:val="right" w:leader="dot" w:pos="9350"/>
        </w:tabs>
        <w:rPr>
          <w:rFonts w:asciiTheme="minorHAnsi" w:hAnsiTheme="minorHAnsi" w:eastAsiaTheme="minorEastAsia"/>
          <w:kern w:val="2"/>
          <w:lang w:eastAsia="en-GB"/>
          <w14:ligatures w14:val="standardContextual"/>
        </w:rPr>
      </w:pPr>
      <w:r>
        <w:rPr>
          <w:b/>
          <w:bCs/>
        </w:rPr>
        <w:t>Table 1: Dissertation Structure</w:t>
      </w:r>
      <w:r>
        <w:rPr>
          <w:b/>
          <w:bCs/>
        </w:rPr>
        <w:tab/>
      </w:r>
      <w:r>
        <w:rPr>
          <w:b/>
          <w:bCs/>
        </w:rPr>
        <w:t>5</w:t>
      </w:r>
      <w:r>
        <w:rPr>
          <w:b/>
          <w:bCs/>
        </w:rPr>
        <w:fldChar w:fldCharType="begin"/>
      </w:r>
      <w:r>
        <w:rPr>
          <w:b/>
          <w:bCs/>
        </w:rPr>
        <w:instrText xml:space="preserve"> TOC \h \z \c "Table" </w:instrText>
      </w:r>
      <w:r>
        <w:rPr>
          <w:b/>
          <w:bCs/>
        </w:rPr>
        <w:fldChar w:fldCharType="separate"/>
      </w:r>
    </w:p>
    <w:p w14:paraId="0908D0BA">
      <w:pPr>
        <w:pStyle w:val="20"/>
        <w:tabs>
          <w:tab w:val="right" w:leader="dot" w:pos="9350"/>
        </w:tabs>
        <w:rPr>
          <w:rFonts w:asciiTheme="minorHAnsi" w:hAnsiTheme="minorHAnsi" w:eastAsiaTheme="minorEastAsia"/>
          <w:kern w:val="2"/>
          <w:lang w:eastAsia="en-GB"/>
          <w14:ligatures w14:val="standardContextual"/>
        </w:rPr>
      </w:pPr>
      <w:r>
        <w:fldChar w:fldCharType="begin"/>
      </w:r>
      <w:r>
        <w:instrText xml:space="preserve"> HYPERLINK \l "_Toc229400686" </w:instrText>
      </w:r>
      <w:r>
        <w:fldChar w:fldCharType="separate"/>
      </w:r>
      <w:r>
        <w:rPr>
          <w:rStyle w:val="17"/>
        </w:rPr>
        <w:t>Table 2: Summary Table of Key Literature</w:t>
      </w:r>
      <w:r>
        <w:rPr>
          <w:rStyle w:val="17"/>
        </w:rPr>
        <w:tab/>
      </w:r>
      <w:r>
        <w:rPr>
          <w:rStyle w:val="17"/>
        </w:rPr>
        <w:t>16</w:t>
      </w:r>
      <w:r>
        <w:rPr>
          <w:rStyle w:val="17"/>
        </w:rPr>
        <w:fldChar w:fldCharType="end"/>
      </w:r>
    </w:p>
    <w:p w14:paraId="323C236C">
      <w:pPr>
        <w:pStyle w:val="20"/>
        <w:tabs>
          <w:tab w:val="right" w:leader="dot" w:pos="9350"/>
        </w:tabs>
        <w:rPr>
          <w:rFonts w:asciiTheme="minorHAnsi" w:hAnsiTheme="minorHAnsi" w:eastAsiaTheme="minorEastAsia"/>
          <w:kern w:val="2"/>
          <w:lang w:eastAsia="en-GB"/>
          <w14:ligatures w14:val="standardContextual"/>
        </w:rPr>
      </w:pPr>
      <w:r>
        <w:fldChar w:fldCharType="begin"/>
      </w:r>
      <w:r>
        <w:instrText xml:space="preserve"> HYPERLINK \l "_Toc229400687" </w:instrText>
      </w:r>
      <w:r>
        <w:fldChar w:fldCharType="separate"/>
      </w:r>
      <w:r>
        <w:rPr>
          <w:rStyle w:val="17"/>
        </w:rPr>
        <w:t>Table 3 Case Profile</w:t>
      </w:r>
      <w:r>
        <w:tab/>
      </w:r>
      <w:r>
        <w:fldChar w:fldCharType="begin"/>
      </w:r>
      <w:r>
        <w:instrText xml:space="preserve"> PAGEREF _Toc229400687 \h </w:instrText>
      </w:r>
      <w:r>
        <w:fldChar w:fldCharType="separate"/>
      </w:r>
      <w:r>
        <w:t>23</w:t>
      </w:r>
      <w:r>
        <w:fldChar w:fldCharType="end"/>
      </w:r>
      <w:r>
        <w:fldChar w:fldCharType="end"/>
      </w:r>
    </w:p>
    <w:p w14:paraId="1A8DF793">
      <w:pPr>
        <w:rPr>
          <w:b/>
          <w:bCs/>
        </w:rPr>
      </w:pPr>
      <w:r>
        <w:rPr>
          <w:b/>
          <w:bCs/>
        </w:rPr>
        <w:fldChar w:fldCharType="end"/>
      </w:r>
    </w:p>
    <w:p w14:paraId="49733BFD">
      <w:pPr>
        <w:rPr>
          <w:b/>
          <w:bCs/>
        </w:rPr>
      </w:pPr>
    </w:p>
    <w:p w14:paraId="534F5994">
      <w:pPr>
        <w:sectPr>
          <w:footerReference r:id="rId5" w:type="default"/>
          <w:pgSz w:w="12240" w:h="15840"/>
          <w:pgMar w:top="1440" w:right="1440" w:bottom="1440" w:left="1440" w:header="720" w:footer="720" w:gutter="0"/>
          <w:pgNumType w:fmt="lowerRoman" w:start="1"/>
          <w:cols w:space="720" w:num="1"/>
          <w:docGrid w:linePitch="360" w:charSpace="0"/>
        </w:sectPr>
      </w:pPr>
    </w:p>
    <w:p w14:paraId="6896C165">
      <w:pPr>
        <w:spacing w:after="160" w:line="259" w:lineRule="auto"/>
        <w:jc w:val="left"/>
      </w:pPr>
    </w:p>
    <w:p w14:paraId="70F0A90E">
      <w:pPr>
        <w:pStyle w:val="2"/>
      </w:pPr>
      <w:bookmarkStart w:id="5" w:name="_Toc231245207"/>
      <w:r>
        <w:t>Chapter 1: Introduction and Rationale</w:t>
      </w:r>
      <w:bookmarkEnd w:id="5"/>
    </w:p>
    <w:p w14:paraId="78FAF5C9">
      <w:pPr>
        <w:pStyle w:val="3"/>
      </w:pPr>
      <w:bookmarkStart w:id="6" w:name="_Toc231245208"/>
      <w:r>
        <w:t>1.1 Research Background</w:t>
      </w:r>
      <w:bookmarkEnd w:id="6"/>
    </w:p>
    <w:p w14:paraId="1A6C52B1">
      <w:r>
        <w:t>The coffee house market worldwide has experienced rapid growth in the last ten years and is intensely competitive. In 2023, the coffee market worldwide earned USD 200 billion, and the growth price stayed steady with the urbanisation, lifestyle shifts and premium drink consumption patterns (Akash Raskar, 2025). Starbucks, Costa Coffee, and Dunkin are international chains that do not just compete based on the quality of their products but also on the store experience, brand identity, and interactions with their customers. The competitive landscape is no longer based on price and product differentiation but on experience-based positioning. In more advanced prices, customers demand more coffee shops to serve as social centres, remote work stations, and lifestyle destinations as opposed to basic beverage stores. Consequently, service ambience, setting and emotional appeal have formed a primary competitive strategy in hospitality and retail.</w:t>
      </w:r>
    </w:p>
    <w:p w14:paraId="48AD1263">
      <w:r>
        <w:t>Experience demonstrates that there is an increasing demand towards experience consumption. According to PWC (2025), more than 70% believe that customer experience prominently reflects in the purchasing decision of the consumer, and most consumers are ready to pay more to get a better experience. On the same note, McKinsey (2023) emphasises that customer experience leaders experience a revenue growth rate that is much higher than that in the industry. These results illustrate the increasing significance of value creation that is based on experience. The key distinguishing aspects in the coffeehouse industry are shifting towards store ambience, customised service, online reward systems, and community involvement projects. Competition has also been transformed by technology. Digital rewards, mobile ordering, and app-based interaction make it more convenient and build a stronger brand interaction that extends outside of the brick-and-mortar. Customer experience, hence, acts as a differentiation strategic lever along with a long-lasting brand equity.</w:t>
      </w:r>
    </w:p>
    <w:p w14:paraId="32A741BF">
      <w:r>
        <w:t>In this transformation, experiential marketing is involved. Experience marketing can be defined as strategies that establish sensory, emotional, cognitive and relational contacts between customers and brands, in lieu of the conventional feature-based marketing. Experiential marketing, as opposed to the traditional marketing approach, places emphasis on experiences with the brand. Attitudes and behavioural intentions are determined by sensory design, storytelling, interactive touchpoints, and personalised engagement. It has been argued that experiential features enhance recall and emotional reactions and, as such, aid in loyalty and recommendations (Fakhrurozi et al., 2025). The consumers are demanding genuine and valuable brand experiences that resonate with their lifestyle and identity.</w:t>
      </w:r>
    </w:p>
    <w:p w14:paraId="3E3346A5">
      <w:r>
        <w:t>This topic has become more relevant in the experience economy. Customer experience management is now a board-level concern in the service industries. Omnichannel engagement strategies combine both phylogical and online interactions to improve brand interactions (Chawla, Chawla and Jain, 2024). Nevertheless, in spite of the intensive spending on experiential programmes, most organisations do not know how to transform experiences into sustainable emotional brand attachment. The emotional connection is something that is presupposed to be clear and not directly measured. Starbucks is commonly regarded as the originator of the experiential branding that it pursues with its concept of the third place, the store design, and digital ecosystem. However, less research is conducted in a systematic manner to understand the application of experiential marketing strategies in the relationship between these strategies and the attachment of emotions to the brand in a coffeehouse setting. This paper fills this gap by examining Starbucks as a case study.</w:t>
      </w:r>
    </w:p>
    <w:p w14:paraId="4E5977DA">
      <w:r>
        <w:t>Starbucks is competing on the same level as brands like Costa Coffee, Dunkin', Tim Hortons and Caffè Nero. These companies also utilise experiential tactics such as in-store atmosphere, loyalty programmes and online activity. Nonetheless, Starbucks is even more differentiated by putting more emphasis on emotional branding and the concept of the third place. Hence, the comparative insights would aid in placing Starbucks into the broader experiential marketing context.</w:t>
      </w:r>
    </w:p>
    <w:p w14:paraId="638D9A63">
      <w:r>
        <w:t>Starbucks competes with Costa Coffee, Dunkin', Tim Hortons and Caffè Nero. They also embrace experiential approaches, such as store design, loyalty cards and online engagement. But Starbucks stands out with greater emphasis on emotional branding and the "third place" strategy. As a result, benchmarking insights position Starbucks in the broader experiential marketing field.</w:t>
      </w:r>
    </w:p>
    <w:p w14:paraId="00AB39C4">
      <w:pPr>
        <w:pStyle w:val="3"/>
      </w:pPr>
      <w:bookmarkStart w:id="7" w:name="_Toc231245209"/>
      <w:r>
        <w:t>1.2 Research Rationale</w:t>
      </w:r>
      <w:bookmarkEnd w:id="7"/>
    </w:p>
    <w:p w14:paraId="43D3C7C1">
      <w:pPr>
        <w:pStyle w:val="4"/>
      </w:pPr>
      <w:bookmarkStart w:id="8" w:name="_Toc231245210"/>
      <w:r>
        <w:t>1.2.1 Theoretical Justification</w:t>
      </w:r>
      <w:bookmarkEnd w:id="8"/>
    </w:p>
    <w:p w14:paraId="4EB472E2">
      <w:r>
        <w:t>The available literature gives solid grounds for experiential marketing, customer experience management, and emotional branding. Experiential Marketing Theory, which is put forward by Schmitt (2010), insists that consumers react to the brand based on five experiential modules: sense, feel, think, act and relate. This model describes how brands can structure the stimulus of senses and emotions to build immersive experiences. Likewise, Brand Experience Model created by Brakus, Schmitt and Zarantonello (2009) shows that sensory, affective, behavioural, and intellectual brand-related stimuli affect consumer satisfaction and loyalty. Studies indicate that positive brand experiences influence perceptions, attitude and intention to behave. Customer experience management also highlights that the various touchpoints should be integrated to offer a uniform value to the customer, both on the physical and digital platforms. Emotional branding theory portrays the significance of establishing emotions between consumers and brands. According to Brand Attachment Theory, the more such positive interactions become repetitive, the more psychological attachments develop, and long-term loyalty ensues (Boateng et al., 2020). These theories combine to point out that experiential factors have an impact on consumer behaviour through memory, identity, and emotional resonance shaping. Emotional branding is thus essential in maintaining loyalty even after the business experience is conclusive.</w:t>
      </w:r>
    </w:p>
    <w:p w14:paraId="7BA82323">
      <w:r>
        <w:t>Even with such developments, significant loopholes still exist in the literature. The majority of researches concentrate on the results of customer satisfaction or service quality instead of attachment to the brand. The fact of satisfaction does not always result in profound psychological attachments (Oliver, 1999). Furthermore, the experiential marketing (as a concept) is frequently studied using empirical data regarding general retail settings, but not regarding particular hospitality industry (such as coffeehouse brands). The operation of the experiential strategies in branded service facilities such as Starbucks has received little scholarly attention. A lot of the available studies are based on quantitative survey research that captures the perceptions of experience and provides minimal contextual clues as to how the strategy of experience is implemented into life. Depending on the studies, the evidence is not always consistent on the role of experiential elements in driving loyalty. There are studies that indicate strong mediation effects via satisfaction and weak or indirect ones (Deng, Chen and Zhao, 2023). There is also little research on the suitability of the combination of physical store experiences and online interaction. With the trend where brands are turning towards omnichannel strategies, a closer study is needed into how in-store ambience can be incorporated with digital loyalty programmes.</w:t>
      </w:r>
    </w:p>
    <w:p w14:paraId="41077665">
      <w:r>
        <w:t>Thus, there is an apparent gap in research. Experience in marketing and emotional attachment to a brand is an under-researched area in the hospitality and retail industries. Little is known about the influence of experiential factors on creating emotional brand relations in coffeehouse brands like Starbucks (Asyhari and Dermawan, 2024). This discrepancy has some theoretical interest since it limits the application of the experiential marketing theory in relation to attachment-based models. Experience-based branding models are not complete without analysing emotional attachment directly. Conceptually, by learning how immersive experiences result in emotional attachment, we can gain more insight into how processes that lead to long-term loyalty work. This research thus explores the contribution of experiential marketing to the process of emotional brand attachment using a case study in Starbucks.</w:t>
      </w:r>
    </w:p>
    <w:p w14:paraId="5655CB05">
      <w:pPr>
        <w:pStyle w:val="4"/>
      </w:pPr>
      <w:bookmarkStart w:id="9" w:name="_Toc231245211"/>
      <w:r>
        <w:t>1.2.2 Practical Justification</w:t>
      </w:r>
      <w:bookmarkEnd w:id="9"/>
    </w:p>
    <w:p w14:paraId="5A2D67A8">
      <w:r>
        <w:t>This study is very much applicable in business practise. Customer experience plays a crucial part in achieving competitive advantage in the hospitality and retail industries. Coffeehouse brands do not just compete based on the quality of the product they sell, but also on store environment, service interaction, and brand storytelling. The third place concept at Starbucks makes its stores more of social and community places instead of mere beverage shops (Starbucks, 2024). Digital loyalty programmes and mobile applications increase the level of engagement beyond the physical store. According to PwC (2023), over 70% of buyers find customer experience to be one of the motivators that make purchases. Customer experience in companies that are leaders is better than that of their competitors in terms of increasing revenues and retaining customers.</w:t>
      </w:r>
    </w:p>
    <w:p w14:paraId="1E510D09">
      <w:r>
        <w:t>But managers have serious difficulties. Emotional brand attachment can hardly be measured and controlled. It is complicated to design homogeneous experiences on the physical and digital channels. Global and local relevance have to coexist in a brand (Okonkwo et al., 2023). In the absence of a clear insight into how experiential marketing builds emotional connections, organisations may find themselves spending a lot of money on experiential campaigns without attaining long-term loyalty. The cost of the alternative is high. Lack of building emotional attachment will potentially diminish brand equity and decrease competitive advantage in the experience-based economy. This research is a source of information that can be used to make more successful experiential branding strategies.</w:t>
      </w:r>
    </w:p>
    <w:p w14:paraId="7F2EB476">
      <w:r>
        <w:t>Starbucks aspires to create a "third place" (neither home nor work) that creates a sense of community and security for customers. This approach resonates with experiential marketing, as it involves creating emotional connections, building communities and offering personalised experiences, rather than just transactional relationships.</w:t>
      </w:r>
    </w:p>
    <w:p w14:paraId="7843459B">
      <w:pPr>
        <w:pStyle w:val="4"/>
      </w:pPr>
      <w:bookmarkStart w:id="10" w:name="_Toc231245212"/>
      <w:r>
        <w:t>1.2.3 Research Vision</w:t>
      </w:r>
      <w:bookmarkEnd w:id="10"/>
      <w:r>
        <w:t xml:space="preserve"> </w:t>
      </w:r>
    </w:p>
    <w:p w14:paraId="56A341A6">
      <w:r>
        <w:t>The study will help in enhancing the conceptualisation of experiential marketing as a strategic tool in developing emotional brand attachment in service-based businesses. Although the literature has mainly concentrated on the issue of customer satisfaction and loyalty, this research project preconceives a broader view of the problem, looking at the emotional and psychological mechanisms that support the long-term consumer-brand relationships. By offering context-specific information on the Starbucks example, the study aims to address the gap between the practice of experiential marketing and its results of attachment. In this way, it also aims at helping in the academic growth and managerial decision-making. The final vision of the study is that organisations will be able to go beyond transactional engagement to establish meaningful and emotionally motivated brand relationships that will increase their long-term competitive advantage.</w:t>
      </w:r>
    </w:p>
    <w:p w14:paraId="0776F219">
      <w:pPr>
        <w:pStyle w:val="3"/>
      </w:pPr>
      <w:bookmarkStart w:id="11" w:name="_Toc231245213"/>
      <w:r>
        <w:t>1.3 Research Aim, Objectives and Questions</w:t>
      </w:r>
      <w:bookmarkEnd w:id="11"/>
    </w:p>
    <w:p w14:paraId="7F892604">
      <w:pPr>
        <w:rPr>
          <w:b/>
        </w:rPr>
      </w:pPr>
      <w:bookmarkStart w:id="12" w:name="_Toc223645862"/>
      <w:r>
        <w:rPr>
          <w:b/>
        </w:rPr>
        <w:t>Research Aim</w:t>
      </w:r>
      <w:bookmarkEnd w:id="12"/>
    </w:p>
    <w:p w14:paraId="4B84615C">
      <w:r>
        <w:t>To examine how experiential marketing influences emotional brand attachment in Starbucks.</w:t>
      </w:r>
    </w:p>
    <w:p w14:paraId="509118D6">
      <w:pPr>
        <w:rPr>
          <w:b/>
        </w:rPr>
      </w:pPr>
      <w:bookmarkStart w:id="13" w:name="_Toc223645863"/>
      <w:r>
        <w:rPr>
          <w:b/>
        </w:rPr>
        <w:t>Research Objectives</w:t>
      </w:r>
      <w:bookmarkEnd w:id="13"/>
    </w:p>
    <w:p w14:paraId="69729ABD">
      <w:pPr>
        <w:numPr>
          <w:ilvl w:val="0"/>
          <w:numId w:val="1"/>
        </w:numPr>
      </w:pPr>
      <w:r>
        <w:t>To examine how experiential marketing strategies are implemented in Starbucks.</w:t>
      </w:r>
    </w:p>
    <w:p w14:paraId="6CA72C0F">
      <w:pPr>
        <w:numPr>
          <w:ilvl w:val="0"/>
          <w:numId w:val="1"/>
        </w:numPr>
      </w:pPr>
      <w:r>
        <w:t>To analyse how experiential marketing influences emotional brand attachment among customers.</w:t>
      </w:r>
    </w:p>
    <w:p w14:paraId="3FD8DDA9">
      <w:pPr>
        <w:rPr>
          <w:b/>
        </w:rPr>
      </w:pPr>
      <w:bookmarkStart w:id="14" w:name="_Toc223645864"/>
      <w:r>
        <w:rPr>
          <w:b/>
        </w:rPr>
        <w:t>Research Questions</w:t>
      </w:r>
      <w:bookmarkEnd w:id="14"/>
    </w:p>
    <w:p w14:paraId="7936BF33">
      <w:pPr>
        <w:pStyle w:val="45"/>
        <w:numPr>
          <w:ilvl w:val="0"/>
          <w:numId w:val="2"/>
        </w:numPr>
      </w:pPr>
      <w:r>
        <w:t>How does experiential marketing influence emotional brand attachment in Starbucks?</w:t>
      </w:r>
    </w:p>
    <w:p w14:paraId="25AABE3E">
      <w:pPr>
        <w:pStyle w:val="3"/>
      </w:pPr>
      <w:bookmarkStart w:id="15" w:name="_Toc231245214"/>
      <w:r>
        <w:t>1.4 Dissertation Structure</w:t>
      </w:r>
      <w:bookmarkEnd w:id="15"/>
    </w:p>
    <w:p w14:paraId="376F4A43">
      <w:pPr>
        <w:pStyle w:val="13"/>
        <w:keepNext/>
        <w:jc w:val="center"/>
      </w:pPr>
      <w:bookmarkStart w:id="16" w:name="_Toc229400685"/>
      <w:r>
        <w:t xml:space="preserve">Table </w:t>
      </w:r>
      <w:r>
        <w:fldChar w:fldCharType="begin"/>
      </w:r>
      <w:r>
        <w:instrText xml:space="preserve"> SEQ Table \* ARABIC </w:instrText>
      </w:r>
      <w:r>
        <w:fldChar w:fldCharType="separate"/>
      </w:r>
      <w:r>
        <w:t>1</w:t>
      </w:r>
      <w:r>
        <w:fldChar w:fldCharType="end"/>
      </w:r>
      <w:r>
        <w:t xml:space="preserve"> Dissertation Structure</w:t>
      </w:r>
      <w:bookmarkEnd w:id="16"/>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750"/>
        <w:gridCol w:w="6826"/>
      </w:tblGrid>
      <w:tr w14:paraId="20579601">
        <w:tc>
          <w:tcPr>
            <w:tcW w:w="0" w:type="auto"/>
          </w:tcPr>
          <w:p w14:paraId="2251257F">
            <w:pPr>
              <w:rPr>
                <w:b w:val="0"/>
                <w:bCs w:val="0"/>
              </w:rPr>
            </w:pPr>
            <w:r>
              <w:rPr>
                <w:b/>
                <w:bCs/>
              </w:rPr>
              <w:t>Chapter</w:t>
            </w:r>
          </w:p>
        </w:tc>
        <w:tc>
          <w:tcPr>
            <w:tcW w:w="0" w:type="auto"/>
          </w:tcPr>
          <w:p w14:paraId="1E182BDE">
            <w:pPr>
              <w:rPr>
                <w:b w:val="0"/>
                <w:bCs w:val="0"/>
              </w:rPr>
            </w:pPr>
            <w:r>
              <w:rPr>
                <w:b/>
                <w:bCs/>
              </w:rPr>
              <w:t>Description</w:t>
            </w:r>
          </w:p>
        </w:tc>
      </w:tr>
      <w:tr w14:paraId="43DB7C2F">
        <w:tc>
          <w:tcPr>
            <w:tcW w:w="0" w:type="auto"/>
            <w:shd w:val="clear" w:color="auto" w:fill="F1F1F1" w:themeFill="background1" w:themeFillShade="F2"/>
          </w:tcPr>
          <w:p w14:paraId="5B225A3C">
            <w:pPr>
              <w:rPr>
                <w:b/>
                <w:bCs/>
              </w:rPr>
            </w:pPr>
            <w:r>
              <w:rPr>
                <w:b/>
                <w:bCs/>
              </w:rPr>
              <w:t>Chapter 1: Introduction</w:t>
            </w:r>
          </w:p>
        </w:tc>
        <w:tc>
          <w:tcPr>
            <w:tcW w:w="0" w:type="auto"/>
            <w:shd w:val="clear" w:color="auto" w:fill="F1F1F1" w:themeFill="background1" w:themeFillShade="F2"/>
          </w:tcPr>
          <w:p w14:paraId="4FECA0A3">
            <w:r>
              <w:t>This chapter presents the background of the research and the industry environment. It describes the rationale of the research, the research gap, and the research aim, objectives and questions. It provides the academic and practical significance of the research.</w:t>
            </w:r>
          </w:p>
        </w:tc>
      </w:tr>
      <w:tr w14:paraId="4C93880E">
        <w:tc>
          <w:tcPr>
            <w:tcW w:w="0" w:type="auto"/>
          </w:tcPr>
          <w:p w14:paraId="5637F149">
            <w:pPr>
              <w:rPr>
                <w:b/>
                <w:bCs/>
              </w:rPr>
            </w:pPr>
            <w:r>
              <w:rPr>
                <w:b/>
                <w:bCs/>
              </w:rPr>
              <w:t>Chapter 2: Literature Review</w:t>
            </w:r>
          </w:p>
        </w:tc>
        <w:tc>
          <w:tcPr>
            <w:tcW w:w="0" w:type="auto"/>
          </w:tcPr>
          <w:p w14:paraId="3B307209">
            <w:r>
              <w:t>This chapter is a critical review of the literature on experiential marketing, customer experience management, emotional branding and the brand attachment theory. It formulates the theoretical basis and conceptual framework of the study.</w:t>
            </w:r>
          </w:p>
        </w:tc>
      </w:tr>
      <w:tr w14:paraId="571D242B">
        <w:tc>
          <w:tcPr>
            <w:tcW w:w="0" w:type="auto"/>
            <w:shd w:val="clear" w:color="auto" w:fill="F1F1F1" w:themeFill="background1" w:themeFillShade="F2"/>
          </w:tcPr>
          <w:p w14:paraId="52D7512F">
            <w:pPr>
              <w:rPr>
                <w:b/>
                <w:bCs/>
              </w:rPr>
            </w:pPr>
            <w:r>
              <w:rPr>
                <w:b/>
                <w:bCs/>
              </w:rPr>
              <w:t>Chapter 3: Methodology</w:t>
            </w:r>
          </w:p>
        </w:tc>
        <w:tc>
          <w:tcPr>
            <w:tcW w:w="0" w:type="auto"/>
            <w:shd w:val="clear" w:color="auto" w:fill="F1F1F1" w:themeFill="background1" w:themeFillShade="F2"/>
          </w:tcPr>
          <w:p w14:paraId="29525895">
            <w:r>
              <w:t>The chapter describes the interpretivist philosophy, inductive approach and qualitative single-case design. It describes secondary data gathering, the use of purposive sampling, thematic analysis and ethics.</w:t>
            </w:r>
          </w:p>
        </w:tc>
      </w:tr>
      <w:tr w14:paraId="6BA93493">
        <w:tc>
          <w:tcPr>
            <w:tcW w:w="0" w:type="auto"/>
          </w:tcPr>
          <w:p w14:paraId="14016FDF">
            <w:pPr>
              <w:rPr>
                <w:b/>
                <w:bCs/>
              </w:rPr>
            </w:pPr>
            <w:r>
              <w:rPr>
                <w:b/>
                <w:bCs/>
              </w:rPr>
              <w:t>Chapter 4: Findings and Analysis</w:t>
            </w:r>
          </w:p>
        </w:tc>
        <w:tc>
          <w:tcPr>
            <w:tcW w:w="0" w:type="auto"/>
          </w:tcPr>
          <w:p w14:paraId="162D8738">
            <w:r>
              <w:t>The chapter offers a thematic analysis of the experiential marketing strategies of Starbucks. It establishes the primary aspects of experience and analyses the impact of emotion on brand attachment.</w:t>
            </w:r>
          </w:p>
        </w:tc>
      </w:tr>
      <w:tr w14:paraId="2C6E19A1">
        <w:tc>
          <w:tcPr>
            <w:tcW w:w="0" w:type="auto"/>
            <w:shd w:val="clear" w:color="auto" w:fill="F1F1F1" w:themeFill="background1" w:themeFillShade="F2"/>
          </w:tcPr>
          <w:p w14:paraId="5552E54F">
            <w:pPr>
              <w:rPr>
                <w:b/>
                <w:bCs/>
              </w:rPr>
            </w:pPr>
            <w:r>
              <w:rPr>
                <w:b/>
                <w:bCs/>
              </w:rPr>
              <w:t xml:space="preserve">Chapter 5: Discussion </w:t>
            </w:r>
          </w:p>
        </w:tc>
        <w:tc>
          <w:tcPr>
            <w:tcW w:w="0" w:type="auto"/>
            <w:shd w:val="clear" w:color="auto" w:fill="F1F1F1" w:themeFill="background1" w:themeFillShade="F2"/>
          </w:tcPr>
          <w:p w14:paraId="6833F5EB">
            <w:r>
              <w:t>This chapter explains findings against existing literature, answers the research questions, and outlines the theoretical and practical implications.</w:t>
            </w:r>
          </w:p>
        </w:tc>
      </w:tr>
      <w:tr w14:paraId="78649DAF">
        <w:tc>
          <w:tcPr>
            <w:tcW w:w="0" w:type="auto"/>
          </w:tcPr>
          <w:p w14:paraId="6BF0B2C2">
            <w:pPr>
              <w:rPr>
                <w:b/>
                <w:bCs/>
              </w:rPr>
            </w:pPr>
            <w:r>
              <w:rPr>
                <w:b/>
                <w:bCs/>
              </w:rPr>
              <w:t>Chapter 6: Conclusion and Recommendations</w:t>
            </w:r>
          </w:p>
        </w:tc>
        <w:tc>
          <w:tcPr>
            <w:tcW w:w="0" w:type="auto"/>
          </w:tcPr>
          <w:p w14:paraId="0C06B544">
            <w:r>
              <w:t>In this chapter, the study findings are summarised, and the research question is addressed. It includes theoretical and practical implications, managerial implications, and future research opportunities.</w:t>
            </w:r>
          </w:p>
        </w:tc>
      </w:tr>
    </w:tbl>
    <w:p w14:paraId="27D57959"/>
    <w:p w14:paraId="1665A631">
      <w:pPr>
        <w:spacing w:after="160" w:line="259" w:lineRule="auto"/>
        <w:jc w:val="left"/>
      </w:pPr>
      <w:r>
        <w:br w:type="page"/>
      </w:r>
    </w:p>
    <w:p w14:paraId="631022DE">
      <w:pPr>
        <w:pStyle w:val="2"/>
      </w:pPr>
      <w:bookmarkStart w:id="17" w:name="_Toc231245215"/>
      <w:r>
        <w:t>Chapter 2: Literature Review</w:t>
      </w:r>
      <w:bookmarkEnd w:id="17"/>
    </w:p>
    <w:p w14:paraId="7D167902">
      <w:pPr>
        <w:pStyle w:val="3"/>
      </w:pPr>
      <w:bookmarkStart w:id="18" w:name="_Toc231245216"/>
      <w:r>
        <w:t>2.1 Introduction</w:t>
      </w:r>
      <w:bookmarkEnd w:id="18"/>
    </w:p>
    <w:p w14:paraId="622D442D">
      <w:r>
        <w:t>The chapter critically examines current academic and industry literature in order to develop the theoretical framework of the role of experiential marketing in the development of emotional brand attachment. It seeks to integrate major ideas, to compare opposing points of view, and to pinpoint gaps as pertinent to the research problem posed in Chapter 1. Although previous research has already covered the concept of experiential marketing and customer experience extensively, little research has been conducted on how these aspects translate into emotional brand attachment, especially in service-oriented situations.</w:t>
      </w:r>
    </w:p>
    <w:p w14:paraId="7D9D5553">
      <w:r>
        <w:t>The chapter concentrates on four main areas: experiential marketing, customer experience, emotional brand attachment and how it is implemented in the context of Starbucks. Experiential marketing is discussed as a marketing strategy which influences the perception of customers with senses and emotions (Schmitt, 2011). The literature on customer experience emphasises the role of coordinated interactions through touchpoints (Deng, Chen and Zhao, 2023) and the role of emotional brand attachment studies with a focus on more psychological ties than satisfaction and loyalty (Bosmans et al., 2020). Nevertheless, the streams are commonly researched separately, which restricts the knowledge of their synergistic effect.</w:t>
      </w:r>
    </w:p>
    <w:p w14:paraId="17DF4F56">
      <w:r>
        <w:t>This review is limited to service and hospitality markets, where experience is the most important factor in value generation and does not cover purely product-based branding situations. The chapter is organised into thematic sections, which are followed by theoretical integration, conceptual framework development and identification of research gaps which drive this study.</w:t>
      </w:r>
    </w:p>
    <w:p w14:paraId="6CF34538">
      <w:pPr>
        <w:pStyle w:val="3"/>
      </w:pPr>
      <w:bookmarkStart w:id="19" w:name="_Toc231245217"/>
      <w:r>
        <w:t>2.2 Thematic Overview of the Literature</w:t>
      </w:r>
      <w:bookmarkEnd w:id="19"/>
    </w:p>
    <w:p w14:paraId="4BB37146">
      <w:pPr>
        <w:pStyle w:val="4"/>
      </w:pPr>
      <w:bookmarkStart w:id="20" w:name="_Toc231245218"/>
      <w:r>
        <w:t>2.2.1 Experiential Marketing and Experience Economy</w:t>
      </w:r>
      <w:bookmarkEnd w:id="20"/>
    </w:p>
    <w:p w14:paraId="3E0D750E">
      <w:r>
        <w:t>Experiential marketing is a strategy that has been developed as the marketplace has become very competitive and saturated, with product-based differentiation not being enough. According to Schmitt (2011), experiential marketing is a process whereby brands establish sensory, emotional, cognitive, behavioural and relational experiences, which involve more than just the functional value to consumers. On the same note, Onyeke, Anukwe and Iloka (2024) underscore the fact that experiential marketing incorporates various aspects of consumer interaction, such as emotional and social engagement. These views are aligned with Brakus, Schmitt and Zarantonello (2009), who conceptualise brand experience as a multidimensional construct, which entails sensory, affective, intellectual, and behavioural reactions. These frameworks combined imply that experiences are at the centre of influencing consumer perceptions and behaviours.</w:t>
      </w:r>
    </w:p>
    <w:p w14:paraId="25505FC5">
      <w:r>
        <w:t>This change is directly connected to the notion of the experience economy. Pine and Gilmore (2014) maintain that companies are more competitive based on the way they stage memorable experiences as opposed to offering products or services. Khanna (2017) shares this argument and indicates that experiential strategies help companies to develop differentiation and improve customer interactions in highly competitive markets. Although both of the perspectives believe in the strategic role of experience, there is a difference in the emphasis. Pine and Gilmore (2014) emphasise macro-level economic change, and Khanna (2017) emphasises a competitive position of the firm. This distinction is important as it reveals that experiential marketing functions both as a macroeconomic phenomenon and as a marketing strategy, which needs to be examined in greater detail at the organisational level.</w:t>
      </w:r>
    </w:p>
    <w:p w14:paraId="1776DF90">
      <w:r>
        <w:t>In spite of the high theoretical development, the literature has some significant limitations. Although Schmitt (2010) has offered a detailed framework of how the experience affects consumer reactions, a lot of empirical studies have concentrated on the results of the experience, like satisfaction and loyalty, instead of on the more emotional attachments. Equally, Chawla, Chawla and Jain (2024) indicate that brand experience affects loyalty, but they fail to elaborate on how such experiences can be converted into emotional brand attachment. This generates a conceptual distance, with the shift of experience into attachment being assumed, not studied as such.</w:t>
      </w:r>
    </w:p>
    <w:p w14:paraId="466B465E">
      <w:r>
        <w:t>Moreover, there is a conceptual gap in existing literature as to conceptualising experiential marketing constructs. According to Onyeke, Anukwe and Iloka (2024), the definition of experiential marketing is broadly used in studies and thus, measurement and use of experiential marketing are not consistent. Schmitt (2011), by contrast, suggests a more systematic approach, putting forward structured experience modules. This discrepancy matters since it reduces the generalizability of results and reduces the integration of theories. Thus, despite the accepted importance of experiential marketing as a major force behind consumer interaction, the contribution of this concept to the formation of emotional attachment has not been fully explored and theorised, especially in the service setting.</w:t>
      </w:r>
    </w:p>
    <w:p w14:paraId="1C7760B0">
      <w:pPr>
        <w:pStyle w:val="4"/>
      </w:pPr>
      <w:bookmarkStart w:id="21" w:name="_Toc231245219"/>
      <w:r>
        <w:t>2.2.2 Customer Experience and Brand Engagement in Omnichannel Contexts</w:t>
      </w:r>
      <w:bookmarkEnd w:id="21"/>
    </w:p>
    <w:p w14:paraId="2AC4FFEE">
      <w:r>
        <w:t>Customer experience is the process by which experiential marketing is provided and experienced in various touchpoints. The conceptualisation of customer experience by Lemon and Verhoef (2016) is based on the idea that it is a cumulative process that can occur at pre-purchase, purchase, and post-purchase phases. Roy et al. (2025) confirm this view, stating that constant communication between customers and brands in digitally enabled settings determines customer experience. Both articles concur that customer experience is multi-phase and dynamic, but Lemon and Verhoef (2016) dwell on the structure of a journey, whereas Roy et al. (2025) dwell on technological integration. This difference underscores how experience management is becoming more and more complex in contemporary markets.</w:t>
      </w:r>
    </w:p>
    <w:p w14:paraId="629B0595">
      <w:r>
        <w:t>Physical environment or servicescape is an important factor in determining customer experience. Asghar Ali et al. (2021) show that customer emotions and behaviour intentions depend on environmental factors like lighting, design, and ambience. And, correspondingly, Schreuder et al. (2016) describe that multisensory stimuli invoke emotional reactions, which supports the idea that environmental signals have a significant impact on perception. Although both studies concur that sensory stimuli are important, Asghar Ali et al. (2021) concentrate on behavioural outcomes, and Schreuder et al. (2016) are more concerned with emotional processes. This distinction is major since it demonstrates that customer experience studies tend to focus more on observable behaviour rather than inner emotional reaction.</w:t>
      </w:r>
    </w:p>
    <w:p w14:paraId="703200D7">
      <w:r>
        <w:t>Omnichannel integration now forms the focus of customer experience, besides the physical environments. According to Rahman et al. (2025), the ease of integration between online and offline channels improves the level of engagement and satisfaction. Verhoff and Wong (2024) also point out that cross-channel consistency enhances brand recognition and loyalty. Nevertheless, although both studies uphold the advantages of integration, their measures of success are mostly quantitative, with more emphasis on engagement measurements instead of their emotional depth. This limitation of the methodology limits the comprehension of the role of omnichannel experiences in the development of emotional attachment.</w:t>
      </w:r>
    </w:p>
    <w:p w14:paraId="49571E88">
      <w:r>
        <w:t>Another important customer experience outcome is brand engagement. According to Hollebeek, Glynn and Brodie (2014), engagement is a multidimensional construct that entails cognitive, emotional, and behavioural engagement. This agrees with Roy et al. (2025), who opine that engagement plays an important role in creating long-term relationships. Yet, not every research reveals a direct correlation between engagement and the more profound emotional consequences. According to Rahman et al. (2025), engagement increases satisfaction and interaction but fails to corroborate its contribution to the establishment of emotional attachment. This implies that interaction is not necessarily enough to create a good psychological attachment.</w:t>
      </w:r>
    </w:p>
    <w:p w14:paraId="2E3B2CEF">
      <w:r>
        <w:t>One of the major shortcomings in this literature is that it assumes that deeper relationships will occur as a result of positive experiences and engagement. Numerous studies are based on quantitative survey research, which only reflects the perceptions and behaviours and provides only an approximate emotional interpretation. Consequently, very little is known about how customers perceive experiences on a more psychological level. This is an especially critical gap in this research, as it demonstrates the necessity to go beyond the engagement metrics and investigate the role of experiential marketing in emotional brand attachment in a more detailed and context-dependent way.</w:t>
      </w:r>
    </w:p>
    <w:p w14:paraId="2F37AB63">
      <w:pPr>
        <w:pStyle w:val="4"/>
      </w:pPr>
      <w:bookmarkStart w:id="22" w:name="_Toc231245220"/>
      <w:r>
        <w:t>2.2.3 Emotional Brand Attachment and Emotional Branding</w:t>
      </w:r>
      <w:bookmarkEnd w:id="22"/>
    </w:p>
    <w:p w14:paraId="05B6B149">
      <w:r>
        <w:t>Emotional brand attachment is a strong psychological relationship between consumers and a brand that goes beyond transactional relationships. Bosmans et al. (2020) theorise attachment as an acquired emotional bond that is formed after repeated positive experiences, whereas Boateng et al. (2020) associate attachment with long-lasting loyalty and strength of relations. The two schools of thought concur that attachment is a higher-order relationship, yet Bosmans et al. (2020) consider psychological processes, and Boateng et al. (2020) pay attention to behavioural consequences. This difference is vital, as it accentuates the fact that attachment is not merely concerning observable loyalty but also internalised emotional conditions.</w:t>
      </w:r>
    </w:p>
    <w:p w14:paraId="4CBBF976">
      <w:r>
        <w:t>One of the most discussed issues in the literature is the difference between attachment, satisfaction and loyalty. Khamitov, Thomson and Johnson (2015) contend that loyalty may be devoid of emotional attachment, especially in cases where switching costs or convenience may be the motivating factor. Likewise, Damaschi, Aboueldahab and D’Addario (2025) opine that loyalty can be a habitual behaviour as opposed to emotional commitment. Conversely, Saeedi (2025) stresses that routine consumption can be changed into meaningful relations through emotional branding strategies, which foster appeal to consumer identity. These opposing arguments show that satisfaction and loyalty are not adequate predictors of emotional attachment. This is relevant to the current study as it makes the assumption that positive experiences necessarily result in high emotional attachments.</w:t>
      </w:r>
    </w:p>
    <w:p w14:paraId="625E09B1">
      <w:r>
        <w:t>Identity and emotional meaning play a key role in the interpretation of attachment. According to Sayin and Gurhan-Canli (2024), a stronger attachment is developed when there is a fit between the brand and the self-concept, and Chebab (2025) defines emotional attachment as feelings of connection, affection, and passion. The two studies endorse the role of identity-based bonding, but their focus is different. Sayin and Gurhan-Canli (2024) concentrate on the symbolic congruence, and Chebab (2025) emphasises emotional intensity. This implies that attachment is a cognitive and affective phenomenon that needs to be investigated further on how the two dimensions interact.</w:t>
      </w:r>
    </w:p>
    <w:p w14:paraId="4CA6C5BC">
      <w:r>
        <w:t>In spite of the theoretical developments, there are major limitations. Difficulty in measurement is one of the major problems. Emotional attachment is subjective, and most of the studies use self-reported data, which might not be reflective of real emotional attachment. Moreover, attachment and loyalty have been confounded throughout, with a particular emphasis on the latter suggested by Clement and Kayode (2025), which yield to conceptual overlaps and inconsistencies. Moreover, the majority of studies assume a general consumer attitude, but there is a lack of attention to particular sectors, e.g., hospitality. This contextualisation is most vital, since the emotional attachment might not occur in the same way in the experiential service setting. Thus, a more context-based and qualitative method is needed to comprehend the development of emotional attachment to brands in an environment like Starbucks.</w:t>
      </w:r>
    </w:p>
    <w:p w14:paraId="34FC8F7F">
      <w:pPr>
        <w:pStyle w:val="4"/>
      </w:pPr>
      <w:bookmarkStart w:id="23" w:name="_Toc231245221"/>
      <w:r>
        <w:t>2.2.4 Linking Experiential Marketing to Emotional Brand Attachment (Mechanisms and Context: Starbucks &amp; Coffee Industry)</w:t>
      </w:r>
      <w:bookmarkEnd w:id="23"/>
    </w:p>
    <w:p w14:paraId="5819B894">
      <w:r>
        <w:t>Experiential marketing and emotional brand attachment have more often been conceptualised as a process in which experiences create emotions, which eventually evolve into attachment. Nayeem, Murshed and Dwivedi (2019) posit that consumer attitude and behavioural intentions are determined by the brand experiences, which implies that experiences form the basis of building relationships. On the same note, Moliner-Tena et al. (2023) emphasise that memorable experiences produce enduring emotional impressions, which affirms the importance of memory in the development of attachment. Although the two studies concur on the significance of experience, Nayeem et al. (2019) concentrate on attitudinal outcomes, and McKinsey (2023) concentrates on emotional memory. This distinction implies that the process of attachment formation is multifaceted in both mental and emotional aspects.</w:t>
      </w:r>
    </w:p>
    <w:p w14:paraId="6DCADD81">
      <w:r>
        <w:t>A number of processes can be used to explain how experiential marketing leads to emotional attachment. One of the most important ones is the sensory stimulation since physical surroundings have an effect on perception and emotion. Kohijoki and Koistinen (2018) believe that consumer impressions are formed by environmental cues, whereas Hong, Yu and Wang (2020) focus on the importance of service interaction in value creation. Collectively, these findings point to the fact that environmental, as well as interpersonal, factors are critical in the formation of experiences. Moreover, the importance of storytelling in terms of emotional involvement is also important. As shown by Satyanarayana and Archana (2024), storytelling leads to increased emotional appeal through the development of meaningful narratives, whereas Zhu (2024) discusses the role of digital storytelling in intensifying brand relationships, as in the case of Starbucks. These results suggest that emotional resonance is reached by physical and symbolic experiences.</w:t>
      </w:r>
    </w:p>
    <w:p w14:paraId="1AA0929B">
      <w:r>
        <w:t>Another mechanism is identity building. According to Samper, Giovannucci and Marques Vieira (2023), origin stories and ethical sourcing are some of the intangible elements that add to the symbolic value in the coffee industry. This is consistent with Beal (2024), who describes third-place environments as where a sense of belonging and community are created. Starbucks (2024) puts this concept into practice by creating a store that serves as a social environment, which builds on emotional bonds. Nonetheless, although these studies have demonstrated the role of identity and community, they are mostly descriptive and lack the depth of theory, which restricts their ability to explain.</w:t>
      </w:r>
    </w:p>
    <w:p w14:paraId="1D24F7C9">
      <w:r>
        <w:t>The mediator role also makes the connection between experiential marketing and attachment more difficult. Manyanga, Makanyeza and Muranda (2022) hold that customer experience affects customer satisfaction and loyalty and that it has an indirect path to attachment. Nonetheless, this view is in contrast to other research works like Nayeem et al. (2019), suggesting a closer correlation between experience and behavioural results. This lack of consistency is noteworthy as it suggests that attachment is not necessarily an automatic outcome of experience but is facilitated by other variables like satisfaction, engagement and trust.</w:t>
      </w:r>
    </w:p>
    <w:p w14:paraId="2E42ABB1">
      <w:r>
        <w:t>One of the significant weaknesses in this field is the absence of qualitative understanding. A majority of the researches are quantitative based and addresses the measurable results of satisfaction and engagement, but they do not touch on emotional undertones. Also, not much physical and digital integration exists. Whereas Zhu (2024) emphasises the role of digital engagement and Rahman et al. (2025) focus on the process of the omnichannel integration, the relationship between these dimensions is underresearched. Moreover, a lot of Starbucks literature is descriptive in terms of strategies, but does not critically look at the implications of such strategies on emotional attachment.</w:t>
      </w:r>
    </w:p>
    <w:p w14:paraId="4EC17EB1">
      <w:r>
        <w:t>The literature in general shows that experiential marketing can potentially impact emotional brand attachment, although the correlation is unclear and debated. The discrepancy in results on direct and indirect effects, along with the shortcomings of the methods, suggests the necessity of a more comprehensive and situation-specific analysis. This paper fills in these gaps by discussing the role of experiential marketing initiatives in Starbucks in driving emotional brand attachment using a qualitative case-based study.</w:t>
      </w:r>
    </w:p>
    <w:p w14:paraId="70261A86">
      <w:pPr>
        <w:pStyle w:val="3"/>
      </w:pPr>
      <w:bookmarkStart w:id="24" w:name="_Toc231245222"/>
      <w:r>
        <w:t>2.3 Theoretical Foundation and Contribution</w:t>
      </w:r>
      <w:bookmarkEnd w:id="24"/>
    </w:p>
    <w:p w14:paraId="00D478CD">
      <w:r>
        <w:t>The proposed research is rooted in Experiential Marketing Theory, as formulated by Schmitt (2010), which offers a holistic approach to the interaction of consumers with brands through experience. Schmitt (2010) introduces five experiential modules: sense, feel, think, act, and relate, and all of them explain how perceptions of the consumer are influenced by the stimuli of the senses, emotional reactions, cognitive involvement, behavioural involvement and social bonds. Likewise, Brakus, Schmitt and Zarantonello (2009) posit that brand experiences are multidimensional responses, which affect attitudes and behaviours. These views imply that experiences cannot be considered purely functional and that they entail intricate psychological processes that impact consumer perceptions and associations with brands.</w:t>
      </w:r>
    </w:p>
    <w:p w14:paraId="722AF629">
      <w:r>
        <w:t>Nonetheless, although the experiential marketing theory is used to describe the process of how experiences are created and delivered, there is a lack of full explanation on how the experiences can be converted into long-term emotional relationships. Emotional Branding Theory is an improvement of this weakness, as it focuses on the aspect of emotional connection and identity in the consumer-brand relationship. Saeedi (2025) emphasises that emotional branding strategies are more powerful in building connections by attracting consumer emotions and values. Moreover, Brand Attachment Theory further breaks down the development of positive interactions into a strong emotional connection. Asyhari and Dermawan (2024) state that attachment is developed based on the emotional associations that are acquired during learning, and Ben-Ze’ev, A. (2015) associates attachment with long-term loyalty and commitment. Collectively, these theories give a multi-layered insight into how experiential contacts can result in emotional attachment.</w:t>
      </w:r>
    </w:p>
    <w:p w14:paraId="75326ABE">
      <w:r>
        <w:t>Experiential Marketing Theory is also a suitable approach to use in this study, as it is specifically relevant to the topic of the study, since the evaluation of the impact of experiential strategies on emotional brand attachment is the target. This framework reflects the emotional and psychological aspects of consumer experience as opposed to traditional service quality or loyalty models, which are more concerned with functional performance or repeat behaviour. This is significant since satisfaction and behavioural loyalty alone cannot be used to explain the attachment fully.</w:t>
      </w:r>
    </w:p>
    <w:p w14:paraId="2A35FD53">
      <w:r>
        <w:t>The research also adds to theory by filling a gap in the literature: experiential marketing and emotional brand attachment are hardly integrated. Although these constructs are usually studied individually in the literature, this study connects them in the same paradigm. Moreover, the research makes the theories applicable to a real-life service setting by applying them to the case of Starbucks. Qualitative analysis will also lead to a better understanding of the processes of emotion, which is a limitation of previous quantitative studies.</w:t>
      </w:r>
    </w:p>
    <w:p w14:paraId="74442E31">
      <w:pPr>
        <w:pStyle w:val="3"/>
      </w:pPr>
      <w:bookmarkStart w:id="25" w:name="_Toc231245223"/>
      <w:r>
        <w:t>2.4 Conceptual Framework</w:t>
      </w:r>
      <w:bookmarkEnd w:id="25"/>
    </w:p>
    <w:p w14:paraId="76AD1438">
      <w:pPr>
        <w:keepNext/>
        <w:jc w:val="center"/>
      </w:pPr>
      <w:r>
        <w:drawing>
          <wp:inline distT="0" distB="0" distL="0" distR="0">
            <wp:extent cx="5943600" cy="3420110"/>
            <wp:effectExtent l="0" t="0" r="0" b="8890"/>
            <wp:docPr id="103709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9909" name="Picture 1"/>
                    <pic:cNvPicPr>
                      <a:picLocks noChangeAspect="1"/>
                    </pic:cNvPicPr>
                  </pic:nvPicPr>
                  <pic:blipFill>
                    <a:blip r:embed="rId8"/>
                    <a:stretch>
                      <a:fillRect/>
                    </a:stretch>
                  </pic:blipFill>
                  <pic:spPr>
                    <a:xfrm>
                      <a:off x="0" y="0"/>
                      <a:ext cx="5943600" cy="3420110"/>
                    </a:xfrm>
                    <a:prstGeom prst="rect">
                      <a:avLst/>
                    </a:prstGeom>
                  </pic:spPr>
                </pic:pic>
              </a:graphicData>
            </a:graphic>
          </wp:inline>
        </w:drawing>
      </w:r>
    </w:p>
    <w:p w14:paraId="68EDA373">
      <w:pPr>
        <w:pStyle w:val="13"/>
        <w:jc w:val="center"/>
      </w:pPr>
      <w:bookmarkStart w:id="26" w:name="_Toc231245310"/>
      <w:r>
        <w:t xml:space="preserve">Figure </w:t>
      </w:r>
      <w:r>
        <w:fldChar w:fldCharType="begin"/>
      </w:r>
      <w:r>
        <w:instrText xml:space="preserve"> SEQ Figure \* ARABIC </w:instrText>
      </w:r>
      <w:r>
        <w:fldChar w:fldCharType="separate"/>
      </w:r>
      <w:r>
        <w:t>1</w:t>
      </w:r>
      <w:r>
        <w:fldChar w:fldCharType="end"/>
      </w:r>
      <w:r>
        <w:t xml:space="preserve"> Conceptual Framework</w:t>
      </w:r>
      <w:bookmarkEnd w:id="26"/>
    </w:p>
    <w:p w14:paraId="7FA45D66">
      <w:pPr>
        <w:jc w:val="center"/>
        <w:rPr>
          <w:b/>
          <w:bCs/>
          <w:sz w:val="20"/>
          <w:szCs w:val="20"/>
        </w:rPr>
      </w:pPr>
      <w:r>
        <w:rPr>
          <w:b/>
          <w:bCs/>
          <w:sz w:val="20"/>
          <w:szCs w:val="20"/>
        </w:rPr>
        <w:t>Source: (Self-Made)</w:t>
      </w:r>
    </w:p>
    <w:p w14:paraId="0D0614CF">
      <w:r>
        <w:t>This study's conceptual framework aims to showcase the use of experiential marketing strategies to elicit emotional brand attachment in the Starbucks setting. It combines or generalises the main themes in the literature about experiential marketing, customer experience and attachment theories, to offer a systematic methodology of the connection between the marketing processes and the psychological results. The framework stresses the idea that experiences are not limited to the descriptive interactions and explains how the careful brand experiences can create greater emotional attachments with clients.</w:t>
      </w:r>
    </w:p>
    <w:p w14:paraId="3D590B36">
      <w:r>
        <w:t>The framework has two main elements: independent variables and the dependent variable. The independent variables include the main components of experiential marketing, such as store setting, service experience, narrative, and online experience. According to Schmitt (2010), consumer perceptions are influenced by sensory and emotional stimuli, whereas Raskar (2025) focuses on the effects of the physical environment to evoke emotional reactions. It has been demonstrated that storytelling helps to build emotional bonds (Sathyanarayana and Archana, 2024), and digital engagement leads to interaction with the brand and co-creation (Zhu, 2024). All these experiential inputs come together and make the customer experience, which is core in developing emotional brand attachment.</w:t>
      </w:r>
    </w:p>
    <w:p w14:paraId="1C0FF16F">
      <w:r>
        <w:t>Emotional brand attachment is the dependent variable, which will be the final result of the framework. It is the emotional connection a consumer develops with the brand as a result of recurring and significant experiences (Bosmans et al., 2020). Brand identity also enhances this relationship as it builds recognition, familiarity, and alignment with personal values (Sayin and Gurhan-Canli, 2024). The model presupposes that experiential marketing does not necessarily lead to the formation of attachment, but rather that multi-sensory and interactive experiences should be repeated to make the formation of strong emotional attachments more probable.</w:t>
      </w:r>
    </w:p>
    <w:p w14:paraId="169EB504">
      <w:r>
        <w:t>Experiential marketing factors have a direct impact on emotional brand attachment in this sequential structure because of their influence on customer perceptions and responses. The framework also simplifies the mediating constructs, including satisfaction, engagement, or trust; therefore, it can be used to single out the direct pathway between brand experiences and attachment and provides a simplified but theoretically supported model. This framework informs the empirical analysis in Chapter 4 by informing thematic coding and presenting results in a way based on experiential activities and emotional outcomes. It guarantees that the analysis is theoretically grounded, yet it is also possible to identify some emergent trends in the experiential branding of Starbucks.</w:t>
      </w:r>
    </w:p>
    <w:p w14:paraId="61930CF4">
      <w:pPr>
        <w:pStyle w:val="3"/>
      </w:pPr>
      <w:bookmarkStart w:id="27" w:name="_Toc231245224"/>
      <w:r>
        <w:t>2.5 Summary Table of Key Literature</w:t>
      </w:r>
      <w:bookmarkEnd w:id="27"/>
    </w:p>
    <w:p w14:paraId="741406EC">
      <w:pPr>
        <w:pStyle w:val="13"/>
        <w:keepNext/>
        <w:jc w:val="center"/>
      </w:pPr>
      <w:bookmarkStart w:id="28" w:name="_Toc229400686"/>
      <w:r>
        <w:t xml:space="preserve">Table </w:t>
      </w:r>
      <w:r>
        <w:fldChar w:fldCharType="begin"/>
      </w:r>
      <w:r>
        <w:instrText xml:space="preserve"> SEQ Table \* ARABIC </w:instrText>
      </w:r>
      <w:r>
        <w:fldChar w:fldCharType="separate"/>
      </w:r>
      <w:r>
        <w:t>2</w:t>
      </w:r>
      <w:r>
        <w:fldChar w:fldCharType="end"/>
      </w:r>
      <w:r>
        <w:t xml:space="preserve"> Summary Table of Key Literature</w:t>
      </w:r>
      <w:bookmarkEnd w:id="28"/>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113"/>
        <w:gridCol w:w="1921"/>
        <w:gridCol w:w="2085"/>
        <w:gridCol w:w="1456"/>
        <w:gridCol w:w="2001"/>
      </w:tblGrid>
      <w:tr w14:paraId="415F6C5F">
        <w:tc>
          <w:tcPr>
            <w:tcW w:w="0" w:type="auto"/>
          </w:tcPr>
          <w:p w14:paraId="6164D6D0">
            <w:pPr>
              <w:rPr>
                <w:b/>
                <w:bCs/>
              </w:rPr>
            </w:pPr>
            <w:r>
              <w:rPr>
                <w:b/>
                <w:bCs/>
              </w:rPr>
              <w:t>Author(s)</w:t>
            </w:r>
          </w:p>
        </w:tc>
        <w:tc>
          <w:tcPr>
            <w:tcW w:w="0" w:type="auto"/>
          </w:tcPr>
          <w:p w14:paraId="7491D229">
            <w:pPr>
              <w:rPr>
                <w:b/>
                <w:bCs/>
              </w:rPr>
            </w:pPr>
            <w:r>
              <w:rPr>
                <w:b/>
                <w:bCs/>
              </w:rPr>
              <w:t>Theory / Framework</w:t>
            </w:r>
          </w:p>
        </w:tc>
        <w:tc>
          <w:tcPr>
            <w:tcW w:w="0" w:type="auto"/>
          </w:tcPr>
          <w:p w14:paraId="19385E9E">
            <w:pPr>
              <w:rPr>
                <w:b/>
                <w:bCs/>
              </w:rPr>
            </w:pPr>
            <w:r>
              <w:rPr>
                <w:b/>
                <w:bCs/>
              </w:rPr>
              <w:t>Key Findings</w:t>
            </w:r>
          </w:p>
        </w:tc>
        <w:tc>
          <w:tcPr>
            <w:tcW w:w="0" w:type="auto"/>
          </w:tcPr>
          <w:p w14:paraId="22928048">
            <w:pPr>
              <w:rPr>
                <w:b/>
                <w:bCs/>
              </w:rPr>
            </w:pPr>
            <w:r>
              <w:rPr>
                <w:b/>
                <w:bCs/>
              </w:rPr>
              <w:t>Method</w:t>
            </w:r>
          </w:p>
        </w:tc>
        <w:tc>
          <w:tcPr>
            <w:tcW w:w="0" w:type="auto"/>
          </w:tcPr>
          <w:p w14:paraId="69501C6D">
            <w:pPr>
              <w:rPr>
                <w:b/>
                <w:bCs/>
              </w:rPr>
            </w:pPr>
            <w:r>
              <w:rPr>
                <w:b/>
                <w:bCs/>
              </w:rPr>
              <w:t>Gap Identified</w:t>
            </w:r>
          </w:p>
        </w:tc>
      </w:tr>
      <w:tr w14:paraId="71EF9916">
        <w:tc>
          <w:tcPr>
            <w:tcW w:w="0" w:type="auto"/>
            <w:shd w:val="clear" w:color="auto" w:fill="F1F1F1" w:themeFill="background1" w:themeFillShade="F2"/>
          </w:tcPr>
          <w:p w14:paraId="04CD4C23">
            <w:pPr>
              <w:rPr>
                <w:b/>
                <w:bCs/>
              </w:rPr>
            </w:pPr>
            <w:r>
              <w:rPr>
                <w:b/>
                <w:bCs/>
              </w:rPr>
              <w:t>Schmitt (2010)</w:t>
            </w:r>
          </w:p>
        </w:tc>
        <w:tc>
          <w:tcPr>
            <w:tcW w:w="0" w:type="auto"/>
            <w:shd w:val="clear" w:color="auto" w:fill="F1F1F1" w:themeFill="background1" w:themeFillShade="F2"/>
          </w:tcPr>
          <w:p w14:paraId="52EE831A">
            <w:r>
              <w:t>Experiential Marketing Theory</w:t>
            </w:r>
          </w:p>
        </w:tc>
        <w:tc>
          <w:tcPr>
            <w:tcW w:w="0" w:type="auto"/>
            <w:shd w:val="clear" w:color="auto" w:fill="F1F1F1" w:themeFill="background1" w:themeFillShade="F2"/>
          </w:tcPr>
          <w:p w14:paraId="2328529D">
            <w:r>
              <w:t>Introduced five experience modules shaping consumer perceptions</w:t>
            </w:r>
          </w:p>
        </w:tc>
        <w:tc>
          <w:tcPr>
            <w:tcW w:w="0" w:type="auto"/>
            <w:shd w:val="clear" w:color="auto" w:fill="F1F1F1" w:themeFill="background1" w:themeFillShade="F2"/>
          </w:tcPr>
          <w:p w14:paraId="5CF62687">
            <w:r>
              <w:t>Conceptual</w:t>
            </w:r>
          </w:p>
        </w:tc>
        <w:tc>
          <w:tcPr>
            <w:tcW w:w="0" w:type="auto"/>
            <w:shd w:val="clear" w:color="auto" w:fill="F1F1F1" w:themeFill="background1" w:themeFillShade="F2"/>
          </w:tcPr>
          <w:p w14:paraId="6A30EC8C">
            <w:r>
              <w:t>Limited explanation of emotional attachment outcomes</w:t>
            </w:r>
          </w:p>
        </w:tc>
      </w:tr>
      <w:tr w14:paraId="291E59C4">
        <w:tc>
          <w:tcPr>
            <w:tcW w:w="0" w:type="auto"/>
          </w:tcPr>
          <w:p w14:paraId="0FD0E638">
            <w:pPr>
              <w:rPr>
                <w:b/>
                <w:bCs/>
              </w:rPr>
            </w:pPr>
            <w:r>
              <w:rPr>
                <w:b/>
                <w:bCs/>
              </w:rPr>
              <w:t>Brakus et al. (2009)</w:t>
            </w:r>
          </w:p>
        </w:tc>
        <w:tc>
          <w:tcPr>
            <w:tcW w:w="0" w:type="auto"/>
          </w:tcPr>
          <w:p w14:paraId="5C1CA452">
            <w:r>
              <w:t>Brand Experience Model</w:t>
            </w:r>
          </w:p>
        </w:tc>
        <w:tc>
          <w:tcPr>
            <w:tcW w:w="0" w:type="auto"/>
          </w:tcPr>
          <w:p w14:paraId="51D8BD8C">
            <w:r>
              <w:t>Identified sensory, affective, cognitive, and behavioural dimensions</w:t>
            </w:r>
          </w:p>
        </w:tc>
        <w:tc>
          <w:tcPr>
            <w:tcW w:w="0" w:type="auto"/>
          </w:tcPr>
          <w:p w14:paraId="02EC82F3">
            <w:r>
              <w:t>Quantitative</w:t>
            </w:r>
          </w:p>
        </w:tc>
        <w:tc>
          <w:tcPr>
            <w:tcW w:w="0" w:type="auto"/>
          </w:tcPr>
          <w:p w14:paraId="466844A5">
            <w:r>
              <w:t>Focus on loyalty, not emotional attachment</w:t>
            </w:r>
          </w:p>
        </w:tc>
      </w:tr>
      <w:tr w14:paraId="2B18EC20">
        <w:tc>
          <w:tcPr>
            <w:tcW w:w="0" w:type="auto"/>
            <w:shd w:val="clear" w:color="auto" w:fill="F1F1F1" w:themeFill="background1" w:themeFillShade="F2"/>
          </w:tcPr>
          <w:p w14:paraId="0C668D4C">
            <w:pPr>
              <w:rPr>
                <w:b/>
                <w:bCs/>
              </w:rPr>
            </w:pPr>
            <w:r>
              <w:rPr>
                <w:b/>
                <w:bCs/>
              </w:rPr>
              <w:t>Pine &amp; Gilmore (2014)</w:t>
            </w:r>
          </w:p>
        </w:tc>
        <w:tc>
          <w:tcPr>
            <w:tcW w:w="0" w:type="auto"/>
            <w:shd w:val="clear" w:color="auto" w:fill="F1F1F1" w:themeFill="background1" w:themeFillShade="F2"/>
          </w:tcPr>
          <w:p w14:paraId="55474EF6">
            <w:r>
              <w:t>Experience Economy</w:t>
            </w:r>
          </w:p>
        </w:tc>
        <w:tc>
          <w:tcPr>
            <w:tcW w:w="0" w:type="auto"/>
            <w:shd w:val="clear" w:color="auto" w:fill="F1F1F1" w:themeFill="background1" w:themeFillShade="F2"/>
          </w:tcPr>
          <w:p w14:paraId="2BAD0F9B">
            <w:r>
              <w:t>Firms compete through staged experiences rather than products</w:t>
            </w:r>
          </w:p>
        </w:tc>
        <w:tc>
          <w:tcPr>
            <w:tcW w:w="0" w:type="auto"/>
            <w:shd w:val="clear" w:color="auto" w:fill="F1F1F1" w:themeFill="background1" w:themeFillShade="F2"/>
          </w:tcPr>
          <w:p w14:paraId="293C77CA">
            <w:r>
              <w:t>Conceptual</w:t>
            </w:r>
          </w:p>
        </w:tc>
        <w:tc>
          <w:tcPr>
            <w:tcW w:w="0" w:type="auto"/>
            <w:shd w:val="clear" w:color="auto" w:fill="F1F1F1" w:themeFill="background1" w:themeFillShade="F2"/>
          </w:tcPr>
          <w:p w14:paraId="0FCC48FE">
            <w:r>
              <w:t>Lacks firm-level empirical validation</w:t>
            </w:r>
          </w:p>
        </w:tc>
      </w:tr>
      <w:tr w14:paraId="098E6F2D">
        <w:tc>
          <w:tcPr>
            <w:tcW w:w="0" w:type="auto"/>
          </w:tcPr>
          <w:p w14:paraId="762755C6">
            <w:pPr>
              <w:rPr>
                <w:b/>
                <w:bCs/>
              </w:rPr>
            </w:pPr>
            <w:r>
              <w:rPr>
                <w:b/>
                <w:bCs/>
              </w:rPr>
              <w:t>Onyeke et al. (2024)</w:t>
            </w:r>
          </w:p>
        </w:tc>
        <w:tc>
          <w:tcPr>
            <w:tcW w:w="0" w:type="auto"/>
          </w:tcPr>
          <w:p w14:paraId="5E127813">
            <w:r>
              <w:t>Experiential Marketing Review</w:t>
            </w:r>
          </w:p>
        </w:tc>
        <w:tc>
          <w:tcPr>
            <w:tcW w:w="0" w:type="auto"/>
          </w:tcPr>
          <w:p w14:paraId="05956785">
            <w:r>
              <w:t>Highlights multi-dimensional experiential interactions</w:t>
            </w:r>
          </w:p>
        </w:tc>
        <w:tc>
          <w:tcPr>
            <w:tcW w:w="0" w:type="auto"/>
          </w:tcPr>
          <w:p w14:paraId="4FB0FB09">
            <w:r>
              <w:t>Literature review</w:t>
            </w:r>
          </w:p>
        </w:tc>
        <w:tc>
          <w:tcPr>
            <w:tcW w:w="0" w:type="auto"/>
          </w:tcPr>
          <w:p w14:paraId="539B5811">
            <w:r>
              <w:t>Conceptual inconsistency across studies</w:t>
            </w:r>
          </w:p>
        </w:tc>
      </w:tr>
      <w:tr w14:paraId="68C15A01">
        <w:tc>
          <w:tcPr>
            <w:tcW w:w="0" w:type="auto"/>
            <w:shd w:val="clear" w:color="auto" w:fill="F1F1F1" w:themeFill="background1" w:themeFillShade="F2"/>
          </w:tcPr>
          <w:p w14:paraId="384BD383">
            <w:pPr>
              <w:rPr>
                <w:b/>
                <w:bCs/>
              </w:rPr>
            </w:pPr>
            <w:r>
              <w:rPr>
                <w:b/>
                <w:bCs/>
              </w:rPr>
              <w:t>Lemon &amp; Verhoef (2016)</w:t>
            </w:r>
          </w:p>
        </w:tc>
        <w:tc>
          <w:tcPr>
            <w:tcW w:w="0" w:type="auto"/>
            <w:shd w:val="clear" w:color="auto" w:fill="F1F1F1" w:themeFill="background1" w:themeFillShade="F2"/>
          </w:tcPr>
          <w:p w14:paraId="4FFE0AFA">
            <w:r>
              <w:t>Customer Journey Theory</w:t>
            </w:r>
          </w:p>
        </w:tc>
        <w:tc>
          <w:tcPr>
            <w:tcW w:w="0" w:type="auto"/>
            <w:shd w:val="clear" w:color="auto" w:fill="F1F1F1" w:themeFill="background1" w:themeFillShade="F2"/>
          </w:tcPr>
          <w:p w14:paraId="5FF7F01C">
            <w:r>
              <w:t>Experience occurs across pre, during, and post stages</w:t>
            </w:r>
          </w:p>
        </w:tc>
        <w:tc>
          <w:tcPr>
            <w:tcW w:w="0" w:type="auto"/>
            <w:shd w:val="clear" w:color="auto" w:fill="F1F1F1" w:themeFill="background1" w:themeFillShade="F2"/>
          </w:tcPr>
          <w:p w14:paraId="45C35377">
            <w:r>
              <w:t>Conceptual</w:t>
            </w:r>
          </w:p>
        </w:tc>
        <w:tc>
          <w:tcPr>
            <w:tcW w:w="0" w:type="auto"/>
            <w:shd w:val="clear" w:color="auto" w:fill="F1F1F1" w:themeFill="background1" w:themeFillShade="F2"/>
          </w:tcPr>
          <w:p w14:paraId="7165C848">
            <w:r>
              <w:t>Limited emotional depth analysis</w:t>
            </w:r>
          </w:p>
        </w:tc>
      </w:tr>
      <w:tr w14:paraId="1CE286D9">
        <w:tc>
          <w:tcPr>
            <w:tcW w:w="0" w:type="auto"/>
          </w:tcPr>
          <w:p w14:paraId="5CA6CF46">
            <w:pPr>
              <w:rPr>
                <w:b/>
                <w:bCs/>
              </w:rPr>
            </w:pPr>
            <w:r>
              <w:rPr>
                <w:b/>
                <w:bCs/>
              </w:rPr>
              <w:t>Roy et al. (2025)</w:t>
            </w:r>
          </w:p>
        </w:tc>
        <w:tc>
          <w:tcPr>
            <w:tcW w:w="0" w:type="auto"/>
          </w:tcPr>
          <w:p w14:paraId="066A9463">
            <w:r>
              <w:t>Relationship Marketing (AI-enabled)</w:t>
            </w:r>
          </w:p>
        </w:tc>
        <w:tc>
          <w:tcPr>
            <w:tcW w:w="0" w:type="auto"/>
          </w:tcPr>
          <w:p w14:paraId="41CB5948">
            <w:r>
              <w:t>Digital interactions shape customer relationships</w:t>
            </w:r>
          </w:p>
        </w:tc>
        <w:tc>
          <w:tcPr>
            <w:tcW w:w="0" w:type="auto"/>
          </w:tcPr>
          <w:p w14:paraId="312CE54A">
            <w:r>
              <w:t>Empirical</w:t>
            </w:r>
          </w:p>
        </w:tc>
        <w:tc>
          <w:tcPr>
            <w:tcW w:w="0" w:type="auto"/>
          </w:tcPr>
          <w:p w14:paraId="22652253">
            <w:r>
              <w:t>Focus on engagement, not attachment</w:t>
            </w:r>
          </w:p>
        </w:tc>
      </w:tr>
      <w:tr w14:paraId="37A16FF8">
        <w:tc>
          <w:tcPr>
            <w:tcW w:w="0" w:type="auto"/>
            <w:shd w:val="clear" w:color="auto" w:fill="F1F1F1" w:themeFill="background1" w:themeFillShade="F2"/>
          </w:tcPr>
          <w:p w14:paraId="395BEB41">
            <w:pPr>
              <w:rPr>
                <w:b/>
                <w:bCs/>
              </w:rPr>
            </w:pPr>
            <w:r>
              <w:rPr>
                <w:b/>
                <w:bCs/>
              </w:rPr>
              <w:t>Asghar Ali et al. (2021)</w:t>
            </w:r>
          </w:p>
        </w:tc>
        <w:tc>
          <w:tcPr>
            <w:tcW w:w="0" w:type="auto"/>
            <w:shd w:val="clear" w:color="auto" w:fill="F1F1F1" w:themeFill="background1" w:themeFillShade="F2"/>
          </w:tcPr>
          <w:p w14:paraId="165CEDD7">
            <w:r>
              <w:t>Servicescape Theory</w:t>
            </w:r>
          </w:p>
        </w:tc>
        <w:tc>
          <w:tcPr>
            <w:tcW w:w="0" w:type="auto"/>
            <w:shd w:val="clear" w:color="auto" w:fill="F1F1F1" w:themeFill="background1" w:themeFillShade="F2"/>
          </w:tcPr>
          <w:p w14:paraId="061D00B0">
            <w:r>
              <w:t>Physical environment influences behaviour and emotions</w:t>
            </w:r>
          </w:p>
        </w:tc>
        <w:tc>
          <w:tcPr>
            <w:tcW w:w="0" w:type="auto"/>
            <w:shd w:val="clear" w:color="auto" w:fill="F1F1F1" w:themeFill="background1" w:themeFillShade="F2"/>
          </w:tcPr>
          <w:p w14:paraId="21B02087">
            <w:r>
              <w:t>Quantitative</w:t>
            </w:r>
          </w:p>
        </w:tc>
        <w:tc>
          <w:tcPr>
            <w:tcW w:w="0" w:type="auto"/>
            <w:shd w:val="clear" w:color="auto" w:fill="F1F1F1" w:themeFill="background1" w:themeFillShade="F2"/>
          </w:tcPr>
          <w:p w14:paraId="7CDCA48B">
            <w:r>
              <w:t>Emphasis on behaviour over psychological attachment</w:t>
            </w:r>
          </w:p>
        </w:tc>
      </w:tr>
      <w:tr w14:paraId="6B8380B5">
        <w:tc>
          <w:tcPr>
            <w:tcW w:w="0" w:type="auto"/>
          </w:tcPr>
          <w:p w14:paraId="47514028">
            <w:pPr>
              <w:rPr>
                <w:b/>
                <w:bCs/>
              </w:rPr>
            </w:pPr>
            <w:r>
              <w:rPr>
                <w:b/>
                <w:bCs/>
              </w:rPr>
              <w:t>Hollebeek et al. (2014)</w:t>
            </w:r>
          </w:p>
        </w:tc>
        <w:tc>
          <w:tcPr>
            <w:tcW w:w="0" w:type="auto"/>
          </w:tcPr>
          <w:p w14:paraId="131707D0">
            <w:r>
              <w:t>Brand Engagement Theory</w:t>
            </w:r>
          </w:p>
        </w:tc>
        <w:tc>
          <w:tcPr>
            <w:tcW w:w="0" w:type="auto"/>
          </w:tcPr>
          <w:p w14:paraId="759382C3">
            <w:r>
              <w:t>Engagement includes cognitive, emotional, and behavioural dimensions</w:t>
            </w:r>
          </w:p>
        </w:tc>
        <w:tc>
          <w:tcPr>
            <w:tcW w:w="0" w:type="auto"/>
          </w:tcPr>
          <w:p w14:paraId="370C68A1">
            <w:r>
              <w:t>Quantitative</w:t>
            </w:r>
          </w:p>
        </w:tc>
        <w:tc>
          <w:tcPr>
            <w:tcW w:w="0" w:type="auto"/>
          </w:tcPr>
          <w:p w14:paraId="7216B0A4">
            <w:r>
              <w:t>Engagement not equal to emotional bonding</w:t>
            </w:r>
          </w:p>
        </w:tc>
      </w:tr>
      <w:tr w14:paraId="3EC014A1">
        <w:tc>
          <w:tcPr>
            <w:tcW w:w="0" w:type="auto"/>
            <w:shd w:val="clear" w:color="auto" w:fill="F1F1F1" w:themeFill="background1" w:themeFillShade="F2"/>
          </w:tcPr>
          <w:p w14:paraId="2EED86C8">
            <w:pPr>
              <w:rPr>
                <w:b/>
                <w:bCs/>
              </w:rPr>
            </w:pPr>
            <w:r>
              <w:rPr>
                <w:b/>
                <w:bCs/>
              </w:rPr>
              <w:t>Bosmans et al. (2020)</w:t>
            </w:r>
          </w:p>
        </w:tc>
        <w:tc>
          <w:tcPr>
            <w:tcW w:w="0" w:type="auto"/>
            <w:shd w:val="clear" w:color="auto" w:fill="F1F1F1" w:themeFill="background1" w:themeFillShade="F2"/>
          </w:tcPr>
          <w:p w14:paraId="69587734">
            <w:r>
              <w:t>Attachment Theory</w:t>
            </w:r>
          </w:p>
        </w:tc>
        <w:tc>
          <w:tcPr>
            <w:tcW w:w="0" w:type="auto"/>
            <w:shd w:val="clear" w:color="auto" w:fill="F1F1F1" w:themeFill="background1" w:themeFillShade="F2"/>
          </w:tcPr>
          <w:p w14:paraId="01E1E9D9">
            <w:r>
              <w:t>Attachment formed through repeated emotional learning</w:t>
            </w:r>
          </w:p>
        </w:tc>
        <w:tc>
          <w:tcPr>
            <w:tcW w:w="0" w:type="auto"/>
            <w:shd w:val="clear" w:color="auto" w:fill="F1F1F1" w:themeFill="background1" w:themeFillShade="F2"/>
          </w:tcPr>
          <w:p w14:paraId="52D4E925">
            <w:r>
              <w:t>Conceptual</w:t>
            </w:r>
          </w:p>
        </w:tc>
        <w:tc>
          <w:tcPr>
            <w:tcW w:w="0" w:type="auto"/>
            <w:shd w:val="clear" w:color="auto" w:fill="F1F1F1" w:themeFill="background1" w:themeFillShade="F2"/>
          </w:tcPr>
          <w:p w14:paraId="4D011CF0">
            <w:r>
              <w:t>Difficult to measure empirically</w:t>
            </w:r>
          </w:p>
        </w:tc>
      </w:tr>
      <w:tr w14:paraId="339D2858">
        <w:tc>
          <w:tcPr>
            <w:tcW w:w="0" w:type="auto"/>
          </w:tcPr>
          <w:p w14:paraId="69E43E7A">
            <w:pPr>
              <w:rPr>
                <w:b/>
                <w:bCs/>
              </w:rPr>
            </w:pPr>
            <w:r>
              <w:rPr>
                <w:b/>
                <w:bCs/>
              </w:rPr>
              <w:t>Boateng et al. (2020)</w:t>
            </w:r>
          </w:p>
        </w:tc>
        <w:tc>
          <w:tcPr>
            <w:tcW w:w="0" w:type="auto"/>
          </w:tcPr>
          <w:p w14:paraId="743DADED">
            <w:r>
              <w:t>Brand Attachment Perspective</w:t>
            </w:r>
          </w:p>
        </w:tc>
        <w:tc>
          <w:tcPr>
            <w:tcW w:w="0" w:type="auto"/>
          </w:tcPr>
          <w:p w14:paraId="7D46549B">
            <w:r>
              <w:t>Attachment strengthens loyalty and relationships</w:t>
            </w:r>
          </w:p>
        </w:tc>
        <w:tc>
          <w:tcPr>
            <w:tcW w:w="0" w:type="auto"/>
          </w:tcPr>
          <w:p w14:paraId="0E28B3B9">
            <w:r>
              <w:t>Quantitative</w:t>
            </w:r>
          </w:p>
        </w:tc>
        <w:tc>
          <w:tcPr>
            <w:tcW w:w="0" w:type="auto"/>
          </w:tcPr>
          <w:p w14:paraId="4A838BF6">
            <w:r>
              <w:t>Focus on outcomes, not the formation process</w:t>
            </w:r>
          </w:p>
        </w:tc>
      </w:tr>
      <w:tr w14:paraId="65C84696">
        <w:tc>
          <w:tcPr>
            <w:tcW w:w="0" w:type="auto"/>
            <w:shd w:val="clear" w:color="auto" w:fill="F1F1F1" w:themeFill="background1" w:themeFillShade="F2"/>
          </w:tcPr>
          <w:p w14:paraId="2F2198DA">
            <w:pPr>
              <w:rPr>
                <w:b/>
                <w:bCs/>
              </w:rPr>
            </w:pPr>
            <w:r>
              <w:rPr>
                <w:b/>
                <w:bCs/>
              </w:rPr>
              <w:t>Khamitov et al. (2015)</w:t>
            </w:r>
          </w:p>
        </w:tc>
        <w:tc>
          <w:tcPr>
            <w:tcW w:w="0" w:type="auto"/>
            <w:shd w:val="clear" w:color="auto" w:fill="F1F1F1" w:themeFill="background1" w:themeFillShade="F2"/>
          </w:tcPr>
          <w:p w14:paraId="36F1B7B7">
            <w:r>
              <w:t>Consumer-Brand Relationship</w:t>
            </w:r>
          </w:p>
        </w:tc>
        <w:tc>
          <w:tcPr>
            <w:tcW w:w="0" w:type="auto"/>
            <w:shd w:val="clear" w:color="auto" w:fill="F1F1F1" w:themeFill="background1" w:themeFillShade="F2"/>
          </w:tcPr>
          <w:p w14:paraId="7221BD1F">
            <w:r>
              <w:t>Loyalty can exist without emotional attachment</w:t>
            </w:r>
          </w:p>
        </w:tc>
        <w:tc>
          <w:tcPr>
            <w:tcW w:w="0" w:type="auto"/>
            <w:shd w:val="clear" w:color="auto" w:fill="F1F1F1" w:themeFill="background1" w:themeFillShade="F2"/>
          </w:tcPr>
          <w:p w14:paraId="13613FB5">
            <w:r>
              <w:t>Conceptual</w:t>
            </w:r>
          </w:p>
        </w:tc>
        <w:tc>
          <w:tcPr>
            <w:tcW w:w="0" w:type="auto"/>
            <w:shd w:val="clear" w:color="auto" w:fill="F1F1F1" w:themeFill="background1" w:themeFillShade="F2"/>
          </w:tcPr>
          <w:p w14:paraId="14D5B688">
            <w:r>
              <w:t>Limited contextual application</w:t>
            </w:r>
          </w:p>
        </w:tc>
      </w:tr>
      <w:tr w14:paraId="3F7308F0">
        <w:tc>
          <w:tcPr>
            <w:tcW w:w="0" w:type="auto"/>
          </w:tcPr>
          <w:p w14:paraId="4F48D7C3">
            <w:pPr>
              <w:rPr>
                <w:b/>
                <w:bCs/>
              </w:rPr>
            </w:pPr>
            <w:r>
              <w:rPr>
                <w:b/>
                <w:bCs/>
              </w:rPr>
              <w:t>Damaschi et al. (2025)</w:t>
            </w:r>
          </w:p>
        </w:tc>
        <w:tc>
          <w:tcPr>
            <w:tcW w:w="0" w:type="auto"/>
          </w:tcPr>
          <w:p w14:paraId="388A2390">
            <w:r>
              <w:t>Loyalty Decomposition</w:t>
            </w:r>
          </w:p>
        </w:tc>
        <w:tc>
          <w:tcPr>
            <w:tcW w:w="0" w:type="auto"/>
          </w:tcPr>
          <w:p w14:paraId="26832F58">
            <w:r>
              <w:t>Loyalty is driven by routine, not always an emotional connection</w:t>
            </w:r>
          </w:p>
        </w:tc>
        <w:tc>
          <w:tcPr>
            <w:tcW w:w="0" w:type="auto"/>
          </w:tcPr>
          <w:p w14:paraId="11BC0941">
            <w:r>
              <w:t>Empirical</w:t>
            </w:r>
          </w:p>
        </w:tc>
        <w:tc>
          <w:tcPr>
            <w:tcW w:w="0" w:type="auto"/>
          </w:tcPr>
          <w:p w14:paraId="75BBC49F">
            <w:r>
              <w:t>Weak distinction between loyalty and attachment</w:t>
            </w:r>
          </w:p>
        </w:tc>
      </w:tr>
      <w:tr w14:paraId="7A2EAB43">
        <w:tc>
          <w:tcPr>
            <w:tcW w:w="0" w:type="auto"/>
            <w:shd w:val="clear" w:color="auto" w:fill="F1F1F1" w:themeFill="background1" w:themeFillShade="F2"/>
          </w:tcPr>
          <w:p w14:paraId="3B2ABEB9">
            <w:pPr>
              <w:rPr>
                <w:b/>
                <w:bCs/>
              </w:rPr>
            </w:pPr>
            <w:r>
              <w:rPr>
                <w:b/>
                <w:bCs/>
              </w:rPr>
              <w:t>Saeedi (2025)</w:t>
            </w:r>
          </w:p>
        </w:tc>
        <w:tc>
          <w:tcPr>
            <w:tcW w:w="0" w:type="auto"/>
            <w:shd w:val="clear" w:color="auto" w:fill="F1F1F1" w:themeFill="background1" w:themeFillShade="F2"/>
          </w:tcPr>
          <w:p w14:paraId="71E38962">
            <w:r>
              <w:t>Emotional Branding Theory</w:t>
            </w:r>
          </w:p>
        </w:tc>
        <w:tc>
          <w:tcPr>
            <w:tcW w:w="0" w:type="auto"/>
            <w:shd w:val="clear" w:color="auto" w:fill="F1F1F1" w:themeFill="background1" w:themeFillShade="F2"/>
          </w:tcPr>
          <w:p w14:paraId="411A6E10">
            <w:r>
              <w:t>Emotional appeals strengthen brand-consumer relationships</w:t>
            </w:r>
          </w:p>
        </w:tc>
        <w:tc>
          <w:tcPr>
            <w:tcW w:w="0" w:type="auto"/>
            <w:shd w:val="clear" w:color="auto" w:fill="F1F1F1" w:themeFill="background1" w:themeFillShade="F2"/>
          </w:tcPr>
          <w:p w14:paraId="2DFD2039">
            <w:r>
              <w:t>Conceptual</w:t>
            </w:r>
          </w:p>
        </w:tc>
        <w:tc>
          <w:tcPr>
            <w:tcW w:w="0" w:type="auto"/>
            <w:shd w:val="clear" w:color="auto" w:fill="F1F1F1" w:themeFill="background1" w:themeFillShade="F2"/>
          </w:tcPr>
          <w:p w14:paraId="62C9FE53">
            <w:r>
              <w:t>Limited empirical validation</w:t>
            </w:r>
          </w:p>
        </w:tc>
      </w:tr>
      <w:tr w14:paraId="3862AF37">
        <w:tc>
          <w:tcPr>
            <w:tcW w:w="0" w:type="auto"/>
          </w:tcPr>
          <w:p w14:paraId="6B6D25DE">
            <w:pPr>
              <w:rPr>
                <w:b/>
                <w:bCs/>
              </w:rPr>
            </w:pPr>
            <w:r>
              <w:rPr>
                <w:b/>
                <w:bCs/>
              </w:rPr>
              <w:t>Sayin &amp; Gürhan-Canlı (2024)</w:t>
            </w:r>
          </w:p>
        </w:tc>
        <w:tc>
          <w:tcPr>
            <w:tcW w:w="0" w:type="auto"/>
          </w:tcPr>
          <w:p w14:paraId="5552B1A7">
            <w:r>
              <w:t>Self-Brand Connection</w:t>
            </w:r>
          </w:p>
        </w:tc>
        <w:tc>
          <w:tcPr>
            <w:tcW w:w="0" w:type="auto"/>
          </w:tcPr>
          <w:p w14:paraId="6076452F">
            <w:r>
              <w:t>Identity alignment drives stronger attachment</w:t>
            </w:r>
          </w:p>
        </w:tc>
        <w:tc>
          <w:tcPr>
            <w:tcW w:w="0" w:type="auto"/>
          </w:tcPr>
          <w:p w14:paraId="3448FD08">
            <w:r>
              <w:t>Empirical</w:t>
            </w:r>
          </w:p>
        </w:tc>
        <w:tc>
          <w:tcPr>
            <w:tcW w:w="0" w:type="auto"/>
          </w:tcPr>
          <w:p w14:paraId="6F1FF764">
            <w:r>
              <w:t>Focus on symbolic fit, not experience process</w:t>
            </w:r>
          </w:p>
        </w:tc>
      </w:tr>
      <w:tr w14:paraId="3E3E2375">
        <w:tc>
          <w:tcPr>
            <w:tcW w:w="0" w:type="auto"/>
            <w:shd w:val="clear" w:color="auto" w:fill="F1F1F1" w:themeFill="background1" w:themeFillShade="F2"/>
          </w:tcPr>
          <w:p w14:paraId="3CE89C6F">
            <w:pPr>
              <w:rPr>
                <w:b/>
                <w:bCs/>
              </w:rPr>
            </w:pPr>
            <w:r>
              <w:rPr>
                <w:b/>
                <w:bCs/>
              </w:rPr>
              <w:t>Nayeem et al. (2019)</w:t>
            </w:r>
          </w:p>
        </w:tc>
        <w:tc>
          <w:tcPr>
            <w:tcW w:w="0" w:type="auto"/>
            <w:shd w:val="clear" w:color="auto" w:fill="F1F1F1" w:themeFill="background1" w:themeFillShade="F2"/>
          </w:tcPr>
          <w:p w14:paraId="42C624CB">
            <w:r>
              <w:t>Brand Experience Model</w:t>
            </w:r>
          </w:p>
        </w:tc>
        <w:tc>
          <w:tcPr>
            <w:tcW w:w="0" w:type="auto"/>
            <w:shd w:val="clear" w:color="auto" w:fill="F1F1F1" w:themeFill="background1" w:themeFillShade="F2"/>
          </w:tcPr>
          <w:p w14:paraId="467E4AC0">
            <w:r>
              <w:t>Experiences influence attitudes and behaviour</w:t>
            </w:r>
          </w:p>
        </w:tc>
        <w:tc>
          <w:tcPr>
            <w:tcW w:w="0" w:type="auto"/>
            <w:shd w:val="clear" w:color="auto" w:fill="F1F1F1" w:themeFill="background1" w:themeFillShade="F2"/>
          </w:tcPr>
          <w:p w14:paraId="76067AC4">
            <w:r>
              <w:t>Quantitative</w:t>
            </w:r>
          </w:p>
        </w:tc>
        <w:tc>
          <w:tcPr>
            <w:tcW w:w="0" w:type="auto"/>
            <w:shd w:val="clear" w:color="auto" w:fill="F1F1F1" w:themeFill="background1" w:themeFillShade="F2"/>
          </w:tcPr>
          <w:p w14:paraId="71A0BB4B">
            <w:r>
              <w:t>Weak link to long-term attachment</w:t>
            </w:r>
          </w:p>
        </w:tc>
      </w:tr>
      <w:tr w14:paraId="1D06A055">
        <w:tc>
          <w:tcPr>
            <w:tcW w:w="0" w:type="auto"/>
          </w:tcPr>
          <w:p w14:paraId="70E3190A">
            <w:pPr>
              <w:rPr>
                <w:b/>
                <w:bCs/>
              </w:rPr>
            </w:pPr>
            <w:r>
              <w:rPr>
                <w:b/>
                <w:bCs/>
              </w:rPr>
              <w:t>Moliner-Tena et al. (2023)</w:t>
            </w:r>
          </w:p>
        </w:tc>
        <w:tc>
          <w:tcPr>
            <w:tcW w:w="0" w:type="auto"/>
          </w:tcPr>
          <w:p w14:paraId="53449728">
            <w:r>
              <w:t>Memory-Based Experience Theory</w:t>
            </w:r>
          </w:p>
        </w:tc>
        <w:tc>
          <w:tcPr>
            <w:tcW w:w="0" w:type="auto"/>
          </w:tcPr>
          <w:p w14:paraId="0967C38F">
            <w:r>
              <w:t>Memorable experiences enhance emotional recall</w:t>
            </w:r>
          </w:p>
        </w:tc>
        <w:tc>
          <w:tcPr>
            <w:tcW w:w="0" w:type="auto"/>
          </w:tcPr>
          <w:p w14:paraId="6CC5F93F">
            <w:r>
              <w:t>Quantitative</w:t>
            </w:r>
          </w:p>
        </w:tc>
        <w:tc>
          <w:tcPr>
            <w:tcW w:w="0" w:type="auto"/>
          </w:tcPr>
          <w:p w14:paraId="01F7DDDA">
            <w:r>
              <w:t>Does not directly measure attachment</w:t>
            </w:r>
          </w:p>
        </w:tc>
      </w:tr>
      <w:tr w14:paraId="6B01DF2F">
        <w:tc>
          <w:tcPr>
            <w:tcW w:w="0" w:type="auto"/>
            <w:shd w:val="clear" w:color="auto" w:fill="F1F1F1" w:themeFill="background1" w:themeFillShade="F2"/>
          </w:tcPr>
          <w:p w14:paraId="22418FD6">
            <w:pPr>
              <w:rPr>
                <w:b/>
                <w:bCs/>
              </w:rPr>
            </w:pPr>
            <w:r>
              <w:rPr>
                <w:b/>
                <w:bCs/>
              </w:rPr>
              <w:t>Manyanga et al. (2022)</w:t>
            </w:r>
          </w:p>
        </w:tc>
        <w:tc>
          <w:tcPr>
            <w:tcW w:w="0" w:type="auto"/>
            <w:shd w:val="clear" w:color="auto" w:fill="F1F1F1" w:themeFill="background1" w:themeFillShade="F2"/>
          </w:tcPr>
          <w:p w14:paraId="4837BCA3">
            <w:r>
              <w:t>Customer Experience Model</w:t>
            </w:r>
          </w:p>
        </w:tc>
        <w:tc>
          <w:tcPr>
            <w:tcW w:w="0" w:type="auto"/>
            <w:shd w:val="clear" w:color="auto" w:fill="F1F1F1" w:themeFill="background1" w:themeFillShade="F2"/>
          </w:tcPr>
          <w:p w14:paraId="1D4CA663">
            <w:r>
              <w:t>Experience impacts satisfaction and loyalty</w:t>
            </w:r>
          </w:p>
        </w:tc>
        <w:tc>
          <w:tcPr>
            <w:tcW w:w="0" w:type="auto"/>
            <w:shd w:val="clear" w:color="auto" w:fill="F1F1F1" w:themeFill="background1" w:themeFillShade="F2"/>
          </w:tcPr>
          <w:p w14:paraId="2097F065">
            <w:r>
              <w:t>Quantitative</w:t>
            </w:r>
          </w:p>
        </w:tc>
        <w:tc>
          <w:tcPr>
            <w:tcW w:w="0" w:type="auto"/>
            <w:shd w:val="clear" w:color="auto" w:fill="F1F1F1" w:themeFill="background1" w:themeFillShade="F2"/>
          </w:tcPr>
          <w:p w14:paraId="7FEE10A7">
            <w:r>
              <w:t>Indirect link to emotional attachment</w:t>
            </w:r>
          </w:p>
        </w:tc>
      </w:tr>
      <w:tr w14:paraId="68DDE259">
        <w:tc>
          <w:tcPr>
            <w:tcW w:w="0" w:type="auto"/>
          </w:tcPr>
          <w:p w14:paraId="41DC0C7A">
            <w:pPr>
              <w:rPr>
                <w:b/>
                <w:bCs/>
              </w:rPr>
            </w:pPr>
            <w:r>
              <w:rPr>
                <w:b/>
                <w:bCs/>
              </w:rPr>
              <w:t>Hong et al. (2020)</w:t>
            </w:r>
          </w:p>
        </w:tc>
        <w:tc>
          <w:tcPr>
            <w:tcW w:w="0" w:type="auto"/>
          </w:tcPr>
          <w:p w14:paraId="31D78EA5">
            <w:r>
              <w:t>Service-Dominant Logic</w:t>
            </w:r>
          </w:p>
        </w:tc>
        <w:tc>
          <w:tcPr>
            <w:tcW w:w="0" w:type="auto"/>
          </w:tcPr>
          <w:p w14:paraId="3588201E">
            <w:r>
              <w:t>Value co-created through service interaction</w:t>
            </w:r>
          </w:p>
        </w:tc>
        <w:tc>
          <w:tcPr>
            <w:tcW w:w="0" w:type="auto"/>
          </w:tcPr>
          <w:p w14:paraId="4244E003">
            <w:r>
              <w:t>Empirical</w:t>
            </w:r>
          </w:p>
        </w:tc>
        <w:tc>
          <w:tcPr>
            <w:tcW w:w="0" w:type="auto"/>
          </w:tcPr>
          <w:p w14:paraId="6752A702">
            <w:r>
              <w:t>Limited focus on emotional outcomes</w:t>
            </w:r>
          </w:p>
        </w:tc>
      </w:tr>
      <w:tr w14:paraId="423F7201">
        <w:tc>
          <w:tcPr>
            <w:tcW w:w="0" w:type="auto"/>
            <w:shd w:val="clear" w:color="auto" w:fill="F1F1F1" w:themeFill="background1" w:themeFillShade="F2"/>
          </w:tcPr>
          <w:p w14:paraId="23415C61">
            <w:pPr>
              <w:rPr>
                <w:b/>
                <w:bCs/>
              </w:rPr>
            </w:pPr>
            <w:r>
              <w:rPr>
                <w:b/>
                <w:bCs/>
              </w:rPr>
              <w:t>Samper et al. (2023)</w:t>
            </w:r>
          </w:p>
        </w:tc>
        <w:tc>
          <w:tcPr>
            <w:tcW w:w="0" w:type="auto"/>
            <w:shd w:val="clear" w:color="auto" w:fill="F1F1F1" w:themeFill="background1" w:themeFillShade="F2"/>
          </w:tcPr>
          <w:p w14:paraId="1D81CC3C">
            <w:r>
              <w:t>Coffee Value Chain (Intangibles)</w:t>
            </w:r>
          </w:p>
        </w:tc>
        <w:tc>
          <w:tcPr>
            <w:tcW w:w="0" w:type="auto"/>
            <w:shd w:val="clear" w:color="auto" w:fill="F1F1F1" w:themeFill="background1" w:themeFillShade="F2"/>
          </w:tcPr>
          <w:p w14:paraId="1784C8DB">
            <w:r>
              <w:t>Symbolic and intangible value drives perception</w:t>
            </w:r>
          </w:p>
        </w:tc>
        <w:tc>
          <w:tcPr>
            <w:tcW w:w="0" w:type="auto"/>
            <w:shd w:val="clear" w:color="auto" w:fill="F1F1F1" w:themeFill="background1" w:themeFillShade="F2"/>
          </w:tcPr>
          <w:p w14:paraId="5C1A2FBB">
            <w:r>
              <w:t>Conceptual</w:t>
            </w:r>
          </w:p>
        </w:tc>
        <w:tc>
          <w:tcPr>
            <w:tcW w:w="0" w:type="auto"/>
            <w:shd w:val="clear" w:color="auto" w:fill="F1F1F1" w:themeFill="background1" w:themeFillShade="F2"/>
          </w:tcPr>
          <w:p w14:paraId="73A5FF48">
            <w:r>
              <w:t>Limited focus on emotional attachment</w:t>
            </w:r>
          </w:p>
        </w:tc>
      </w:tr>
      <w:tr w14:paraId="651842B6">
        <w:tc>
          <w:tcPr>
            <w:tcW w:w="0" w:type="auto"/>
          </w:tcPr>
          <w:p w14:paraId="17056C27">
            <w:pPr>
              <w:rPr>
                <w:b/>
                <w:bCs/>
              </w:rPr>
            </w:pPr>
            <w:r>
              <w:rPr>
                <w:b/>
                <w:bCs/>
              </w:rPr>
              <w:t>Sathyanarayana &amp; Archana (2024)</w:t>
            </w:r>
          </w:p>
        </w:tc>
        <w:tc>
          <w:tcPr>
            <w:tcW w:w="0" w:type="auto"/>
          </w:tcPr>
          <w:p w14:paraId="4612DB33">
            <w:r>
              <w:t>Storytelling Theory</w:t>
            </w:r>
          </w:p>
        </w:tc>
        <w:tc>
          <w:tcPr>
            <w:tcW w:w="0" w:type="auto"/>
          </w:tcPr>
          <w:p w14:paraId="5C7014DC">
            <w:r>
              <w:t>Storytelling enhances emotional engagement</w:t>
            </w:r>
          </w:p>
        </w:tc>
        <w:tc>
          <w:tcPr>
            <w:tcW w:w="0" w:type="auto"/>
          </w:tcPr>
          <w:p w14:paraId="52DD13E3">
            <w:r>
              <w:t>Conceptual</w:t>
            </w:r>
          </w:p>
        </w:tc>
        <w:tc>
          <w:tcPr>
            <w:tcW w:w="0" w:type="auto"/>
          </w:tcPr>
          <w:p w14:paraId="0650CEC0">
            <w:r>
              <w:t>Lacks behavioural validation</w:t>
            </w:r>
          </w:p>
        </w:tc>
      </w:tr>
      <w:tr w14:paraId="57099569">
        <w:tc>
          <w:tcPr>
            <w:tcW w:w="0" w:type="auto"/>
            <w:shd w:val="clear" w:color="auto" w:fill="F1F1F1" w:themeFill="background1" w:themeFillShade="F2"/>
          </w:tcPr>
          <w:p w14:paraId="6EC42B56">
            <w:pPr>
              <w:rPr>
                <w:b/>
                <w:bCs/>
              </w:rPr>
            </w:pPr>
            <w:r>
              <w:rPr>
                <w:b/>
                <w:bCs/>
              </w:rPr>
              <w:t>Zhu (2024)</w:t>
            </w:r>
          </w:p>
        </w:tc>
        <w:tc>
          <w:tcPr>
            <w:tcW w:w="0" w:type="auto"/>
            <w:shd w:val="clear" w:color="auto" w:fill="F1F1F1" w:themeFill="background1" w:themeFillShade="F2"/>
          </w:tcPr>
          <w:p w14:paraId="76BF7FAB">
            <w:r>
              <w:t>Digital Marketing (Starbucks Case)</w:t>
            </w:r>
          </w:p>
        </w:tc>
        <w:tc>
          <w:tcPr>
            <w:tcW w:w="0" w:type="auto"/>
            <w:shd w:val="clear" w:color="auto" w:fill="F1F1F1" w:themeFill="background1" w:themeFillShade="F2"/>
          </w:tcPr>
          <w:p w14:paraId="2B91C606">
            <w:r>
              <w:t>Digital engagement strengthens brand interaction</w:t>
            </w:r>
          </w:p>
        </w:tc>
        <w:tc>
          <w:tcPr>
            <w:tcW w:w="0" w:type="auto"/>
            <w:shd w:val="clear" w:color="auto" w:fill="F1F1F1" w:themeFill="background1" w:themeFillShade="F2"/>
          </w:tcPr>
          <w:p w14:paraId="1266943F">
            <w:r>
              <w:t>Case study</w:t>
            </w:r>
          </w:p>
        </w:tc>
        <w:tc>
          <w:tcPr>
            <w:tcW w:w="0" w:type="auto"/>
            <w:shd w:val="clear" w:color="auto" w:fill="F1F1F1" w:themeFill="background1" w:themeFillShade="F2"/>
          </w:tcPr>
          <w:p w14:paraId="0451F3FB">
            <w:r>
              <w:t>Descriptive, lacks theoretical depth</w:t>
            </w:r>
          </w:p>
        </w:tc>
      </w:tr>
      <w:tr w14:paraId="015AA31F">
        <w:tc>
          <w:tcPr>
            <w:tcW w:w="0" w:type="auto"/>
          </w:tcPr>
          <w:p w14:paraId="25B5C3F3">
            <w:pPr>
              <w:rPr>
                <w:b/>
                <w:bCs/>
              </w:rPr>
            </w:pPr>
            <w:r>
              <w:rPr>
                <w:b/>
                <w:bCs/>
              </w:rPr>
              <w:t>Beal (2024)</w:t>
            </w:r>
          </w:p>
        </w:tc>
        <w:tc>
          <w:tcPr>
            <w:tcW w:w="0" w:type="auto"/>
          </w:tcPr>
          <w:p w14:paraId="492AFCD8">
            <w:r>
              <w:t>Third Place Theory</w:t>
            </w:r>
          </w:p>
        </w:tc>
        <w:tc>
          <w:tcPr>
            <w:tcW w:w="0" w:type="auto"/>
          </w:tcPr>
          <w:p w14:paraId="1132D3D2">
            <w:r>
              <w:t>Social spaces foster belonging and connection</w:t>
            </w:r>
          </w:p>
        </w:tc>
        <w:tc>
          <w:tcPr>
            <w:tcW w:w="0" w:type="auto"/>
          </w:tcPr>
          <w:p w14:paraId="65F4E199">
            <w:r>
              <w:t>Conceptual</w:t>
            </w:r>
          </w:p>
        </w:tc>
        <w:tc>
          <w:tcPr>
            <w:tcW w:w="0" w:type="auto"/>
          </w:tcPr>
          <w:p w14:paraId="7E7FA144">
            <w:r>
              <w:t>Limited empirical testing</w:t>
            </w:r>
          </w:p>
        </w:tc>
      </w:tr>
      <w:tr w14:paraId="7B8037B3">
        <w:tc>
          <w:tcPr>
            <w:tcW w:w="0" w:type="auto"/>
            <w:shd w:val="clear" w:color="auto" w:fill="F1F1F1" w:themeFill="background1" w:themeFillShade="F2"/>
          </w:tcPr>
          <w:p w14:paraId="0D3081A8">
            <w:pPr>
              <w:rPr>
                <w:b/>
                <w:bCs/>
              </w:rPr>
            </w:pPr>
            <w:r>
              <w:rPr>
                <w:b/>
                <w:bCs/>
              </w:rPr>
              <w:t>Kohijoki &amp; Koistinen (2018)</w:t>
            </w:r>
          </w:p>
        </w:tc>
        <w:tc>
          <w:tcPr>
            <w:tcW w:w="0" w:type="auto"/>
            <w:shd w:val="clear" w:color="auto" w:fill="F1F1F1" w:themeFill="background1" w:themeFillShade="F2"/>
          </w:tcPr>
          <w:p w14:paraId="18EAAFA6">
            <w:r>
              <w:t>Retail Environment Theory</w:t>
            </w:r>
          </w:p>
        </w:tc>
        <w:tc>
          <w:tcPr>
            <w:tcW w:w="0" w:type="auto"/>
            <w:shd w:val="clear" w:color="auto" w:fill="F1F1F1" w:themeFill="background1" w:themeFillShade="F2"/>
          </w:tcPr>
          <w:p w14:paraId="7E613952">
            <w:r>
              <w:t>Physical environment shapes perception and behaviour</w:t>
            </w:r>
          </w:p>
        </w:tc>
        <w:tc>
          <w:tcPr>
            <w:tcW w:w="0" w:type="auto"/>
            <w:shd w:val="clear" w:color="auto" w:fill="F1F1F1" w:themeFill="background1" w:themeFillShade="F2"/>
          </w:tcPr>
          <w:p w14:paraId="72E10851">
            <w:r>
              <w:t>Literature review</w:t>
            </w:r>
          </w:p>
        </w:tc>
        <w:tc>
          <w:tcPr>
            <w:tcW w:w="0" w:type="auto"/>
            <w:shd w:val="clear" w:color="auto" w:fill="F1F1F1" w:themeFill="background1" w:themeFillShade="F2"/>
          </w:tcPr>
          <w:p w14:paraId="3E0907E2">
            <w:r>
              <w:t>Weak emotional attachment linkage</w:t>
            </w:r>
          </w:p>
        </w:tc>
      </w:tr>
    </w:tbl>
    <w:p w14:paraId="00E5BCA0">
      <w:pPr>
        <w:pStyle w:val="3"/>
      </w:pPr>
      <w:bookmarkStart w:id="29" w:name="_Toc231245225"/>
      <w:r>
        <w:t>2.6 Conclusion</w:t>
      </w:r>
      <w:bookmarkEnd w:id="29"/>
    </w:p>
    <w:p w14:paraId="27805DA0">
      <w:r>
        <w:t>The chapter has critically examined four major themes, namely: experiential marketing, customer experience, emotional brand attachment, and how these have been applied in the Starbucks context. The literature discloses significant controversies, especially whether experiences form an immediate source of emotional attachment or do so indirectly by acting through intermediaries like satisfaction and engagement. Although experiential marketing is generally embraced as a powerful factor, its mechanism in establishing strong emotional connections is still vague. Also, a lot of the research is based on quantitative methods and does not have a rich context. There is also limited research specifically focused on Starbucks. Thus, Chapter 3 methodology is a qualitative case study that will be employed to fill the gaps in this study.</w:t>
      </w:r>
      <w:r>
        <w:br w:type="page"/>
      </w:r>
    </w:p>
    <w:p w14:paraId="779438C2">
      <w:pPr>
        <w:pStyle w:val="2"/>
      </w:pPr>
      <w:bookmarkStart w:id="30" w:name="_Toc231245226"/>
      <w:r>
        <w:t>Chapter 3: Research Methodology</w:t>
      </w:r>
      <w:bookmarkEnd w:id="30"/>
    </w:p>
    <w:p w14:paraId="0C5251CE">
      <w:pPr>
        <w:pStyle w:val="3"/>
      </w:pPr>
      <w:bookmarkStart w:id="31" w:name="_Toc231245227"/>
      <w:r>
        <w:t>3.1 Introduction</w:t>
      </w:r>
      <w:bookmarkEnd w:id="31"/>
    </w:p>
    <w:p w14:paraId="4D1911E5">
      <w:r>
        <w:t>This chapter has identified and explained the research methodology used in the context of the research aim and questions of this study, which have been based on the study of the experiential marketing role in the creation of emotional brand attachment in Starbucks. The research has embraced an interpretivist philosophy in the exploration of subjective customer experiences and an abductive philosophy that has incorporated the combination of theoretical understanding with emerging data trends. A qualitative single-case study approach has been utilised, with Starbucks as a rich source of information. The study has been based on secondary data sources to provide depth and feasibility. The chapter has been organised in such a way that it deals with research philosophy, approach, design, data collection, analysis, rigour, ethical considerations, and limitations.</w:t>
      </w:r>
    </w:p>
    <w:p w14:paraId="55D051A9">
      <w:pPr>
        <w:pStyle w:val="3"/>
      </w:pPr>
      <w:bookmarkStart w:id="32" w:name="_Toc231245228"/>
      <w:r>
        <w:t>3.2 Research Philosophy, Approach, and Design</w:t>
      </w:r>
      <w:bookmarkEnd w:id="32"/>
    </w:p>
    <w:p w14:paraId="663C0960">
      <w:pPr>
        <w:keepNext/>
        <w:jc w:val="center"/>
      </w:pPr>
      <w:r>
        <w:drawing>
          <wp:inline distT="0" distB="0" distL="0" distR="0">
            <wp:extent cx="5035550" cy="3593465"/>
            <wp:effectExtent l="0" t="0" r="0" b="6985"/>
            <wp:docPr id="404901784" name="Picture 2"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901784" name="Picture 2" descr="The Research Onion Explained: Layers, Methodology, and Application -  getitdone experience | Academic Writing Solu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036661" cy="3594540"/>
                    </a:xfrm>
                    <a:prstGeom prst="rect">
                      <a:avLst/>
                    </a:prstGeom>
                    <a:noFill/>
                    <a:ln>
                      <a:noFill/>
                    </a:ln>
                  </pic:spPr>
                </pic:pic>
              </a:graphicData>
            </a:graphic>
          </wp:inline>
        </w:drawing>
      </w:r>
    </w:p>
    <w:p w14:paraId="33D9A792">
      <w:pPr>
        <w:pStyle w:val="13"/>
        <w:jc w:val="center"/>
      </w:pPr>
      <w:bookmarkStart w:id="33" w:name="_Toc231245311"/>
      <w:r>
        <w:t xml:space="preserve">Figure </w:t>
      </w:r>
      <w:r>
        <w:fldChar w:fldCharType="begin"/>
      </w:r>
      <w:r>
        <w:instrText xml:space="preserve"> SEQ Figure \* ARABIC </w:instrText>
      </w:r>
      <w:r>
        <w:fldChar w:fldCharType="separate"/>
      </w:r>
      <w:r>
        <w:t>2</w:t>
      </w:r>
      <w:r>
        <w:fldChar w:fldCharType="end"/>
      </w:r>
      <w:r>
        <w:t xml:space="preserve"> Research Onion Model</w:t>
      </w:r>
      <w:bookmarkEnd w:id="33"/>
    </w:p>
    <w:p w14:paraId="7AAFFC94">
      <w:pPr>
        <w:jc w:val="center"/>
        <w:rPr>
          <w:b/>
          <w:bCs/>
          <w:sz w:val="20"/>
          <w:szCs w:val="20"/>
        </w:rPr>
      </w:pPr>
      <w:r>
        <w:rPr>
          <w:b/>
          <w:bCs/>
          <w:sz w:val="20"/>
          <w:szCs w:val="20"/>
        </w:rPr>
        <w:t>Source: (Saunders, Lewis and Thornhill, 2007)</w:t>
      </w:r>
    </w:p>
    <w:p w14:paraId="3FFE6A73">
      <w:pPr>
        <w:pStyle w:val="4"/>
      </w:pPr>
      <w:bookmarkStart w:id="34" w:name="_Toc231245229"/>
      <w:r>
        <w:t>3.2.1 Research Philosophy</w:t>
      </w:r>
      <w:bookmarkEnd w:id="34"/>
    </w:p>
    <w:p w14:paraId="1E469286">
      <w:r>
        <w:t>An interpretivist research philosophy has been embraced in this study because it seeks to know how people experience and interpret experiential marketing. Ontologically, reality has been considered as a socially constructed reality in the sense that customer perceptions and emotional attachment are moulded through personal encounters and experiences (Catterall, 2000). Knowledge has epistemologically been regarded as subjective and meaning-based, which can only be interpreted and not measured.</w:t>
      </w:r>
    </w:p>
    <w:p w14:paraId="146FE2DE">
      <w:r>
        <w:t>Interpretivism has suited since the research has aimed at investigating the impact of experiential factors in Starbucks on emotional brand attachment. Such phenomena cannot be measured objectively by themselves, since they are subject to feelings, perceptions, and meanings of individuals (Saunders, Lewis and Thornhill, 2007). Thus, an interpretive methodology has allowed us to learn more about customer experiences in a realistic setting.</w:t>
      </w:r>
    </w:p>
    <w:p w14:paraId="235F1D5E">
      <w:pPr>
        <w:pStyle w:val="4"/>
      </w:pPr>
      <w:bookmarkStart w:id="35" w:name="_Toc231245230"/>
      <w:r>
        <w:t>3.2.2 Research Approach</w:t>
      </w:r>
      <w:bookmarkEnd w:id="35"/>
    </w:p>
    <w:p w14:paraId="12F653E7">
      <w:r>
        <w:t>This study has followed an abductive research approach, which has combined both deductive and inductive reasoning. First, the study has relied on the theories and conceptual framework that have been established in Chapter 2. These are the theoretical bases that have informed the course of the study.</w:t>
      </w:r>
    </w:p>
    <w:p w14:paraId="0EFD739A">
      <w:r>
        <w:t>Concurrently, secondary data analysis has inductively yielded new trends and information (Adams, Khan and Raeside, 2014). The research has been cyclic in theory and data, with the interpretation being refined over the course of the research. This method has proved to be appropriate since it has helped formulate theories as well as refine them. It has also fitted very well with experiential marketing research, where context-dependent and often complex insights are needed.</w:t>
      </w:r>
    </w:p>
    <w:p w14:paraId="2C4894A4">
      <w:pPr>
        <w:pStyle w:val="4"/>
      </w:pPr>
      <w:bookmarkStart w:id="36" w:name="_Toc231245231"/>
      <w:r>
        <w:t>3.2.3 Research Strategy</w:t>
      </w:r>
      <w:bookmarkEnd w:id="36"/>
    </w:p>
    <w:p w14:paraId="777B2C2B">
      <w:r>
        <w:t>This research has adopted a qualitative case study approach. A case study has been defined as an in-depth investigation of a phenomenon within its real-life context (Bell, Harley and Bryman, 2022).</w:t>
      </w:r>
    </w:p>
    <w:p w14:paraId="4B5A7098">
      <w:r>
        <w:t>This has been the right strategy since it has allowed the study to examine the role and reasons why experiential marketing is important in emotional brand attachment. The choice of Starbucks as the case is based on its powerful focus on customer experiences, which presents a timely and information-abundant background.</w:t>
      </w:r>
    </w:p>
    <w:p w14:paraId="679E6489">
      <w:pPr>
        <w:pStyle w:val="3"/>
      </w:pPr>
      <w:bookmarkStart w:id="37" w:name="_Toc231245232"/>
      <w:r>
        <w:t>3.3 Justification for Case Study Methodology</w:t>
      </w:r>
      <w:bookmarkEnd w:id="37"/>
    </w:p>
    <w:p w14:paraId="4283DC7F">
      <w:r>
        <w:t>The case study approach is chosen because it is highly suitable to address the research questions, which are based on how and what elements of experiential marketing can result in emotional brand attachment (Hair et al., 2007). Such questions require in-depth exploration rather than surface-level measurement. A case study approach thus has facilitated an in-depth analysis of intricate relationships in a real-life situation.</w:t>
      </w:r>
    </w:p>
    <w:p w14:paraId="57AED039">
      <w:r>
        <w:t>The capacity to offer contextual richness has been one of the strengths of this methodology. It has enabled the study to examine the practices of experiential marketing as it is practised in the natural Starbucks environment and not in an artificial environment. This has created valuable real-life information on customer experience with brand experiences (Mitchell and Rich, 2020). Furthermore, the case study method has also contributed to theory construction and testing, especially on the mechanisms involved between experiential marketing and emotional attachment.</w:t>
      </w:r>
    </w:p>
    <w:p w14:paraId="6876FD9C">
      <w:r>
        <w:t>This method has been particularly appropriate in researching experiential marketing and emotional branding because they are both very contextual and experience-based concepts. Moreover, the secondary case study has also been used appropriately since it has made available a lot of existing data that is credible. Sources such as academic literature, company reports, and industry publications have offered detailed insights (Sekaran and Bougie, 2016). Triangulation has also been made possible by the use of multiple sources, making findings more credible. Lastly, this method has been viable and feasible in the context of these studies.</w:t>
      </w:r>
    </w:p>
    <w:p w14:paraId="37EC40E2">
      <w:pPr>
        <w:pStyle w:val="3"/>
      </w:pPr>
      <w:bookmarkStart w:id="38" w:name="_Toc231245233"/>
      <w:r>
        <w:t>3.4 Case Selection and Sampling Strategy</w:t>
      </w:r>
      <w:bookmarkEnd w:id="38"/>
    </w:p>
    <w:p w14:paraId="7D81F790">
      <w:pPr>
        <w:pStyle w:val="4"/>
      </w:pPr>
      <w:bookmarkStart w:id="39" w:name="_Toc231245234"/>
      <w:r>
        <w:t>3.4.1 Sampling Logic</w:t>
      </w:r>
      <w:bookmarkEnd w:id="39"/>
    </w:p>
    <w:p w14:paraId="7E034ADE">
      <w:r>
        <w:t>In this study, purposive (theoretical) sampling has been utilised, which has been associated with selecting those cases that are most appropriate to the research objectives. This method has not sought statistical generalisation as opposed to probability sampling. Rather, it has emphasised analytical generalisation, in which results are added to the development of theory (Walliman, 2021).</w:t>
      </w:r>
    </w:p>
    <w:p w14:paraId="5F5C14B7">
      <w:r>
        <w:t>The case has been selected on the basis of its potential to offer valuable information on experiential marketing and emotional attachment to the brand. This strategy has been in line with Stewart and Kamins (1993), who have highlighted the need to choose information-abundant cases in theory building. Thus, the sampling plan has given relevance and depth a higher priority than representativeness.</w:t>
      </w:r>
    </w:p>
    <w:p w14:paraId="6A93AA3D">
      <w:pPr>
        <w:pStyle w:val="4"/>
      </w:pPr>
      <w:bookmarkStart w:id="40" w:name="_Toc231245235"/>
      <w:r>
        <w:t>3.4.2 Case Selection Criteria</w:t>
      </w:r>
      <w:bookmarkEnd w:id="40"/>
    </w:p>
    <w:p w14:paraId="3DF6C65E">
      <w:r>
        <w:t>A number of criteria have been used to select the case. Relevance has been a critical consideration to start with. Starbucks has been generally identified as a pioneer in experiential marketing, and hence it is very appropriate in this study. Second, there has been a consideration of information richness because the case has had to include enough detail to be analysed in detail (Johnston, 2014). Starbucks has been widely recorded in the field of academia and industries, which has reinforced this necessity.</w:t>
      </w:r>
    </w:p>
    <w:p w14:paraId="3F24E6AE">
      <w:r>
        <w:t>Third, the availability of data has been critical. The research has been based on publicly available secondary data: company reports, scholarly articles and business media. Fourth, the credibility of sources has been ensured by selecting reliable and verifiable data, such as peer-reviewed journals and reputable industry reports (Sun and Lipsitz, 2018). Lastly, recency has been taken into account, focusing on the information in the past 5-10 years to make it relevant to the present market situation and practice.</w:t>
      </w:r>
    </w:p>
    <w:p w14:paraId="05B27596">
      <w:pPr>
        <w:pStyle w:val="4"/>
      </w:pPr>
      <w:bookmarkStart w:id="41" w:name="_Toc231245236"/>
      <w:r>
        <w:t>3.4.3 Case Profile</w:t>
      </w:r>
      <w:bookmarkEnd w:id="41"/>
    </w:p>
    <w:p w14:paraId="00A42476">
      <w:r>
        <w:t>In this paper, Starbucks has been chosen as the main case study in the coffeehouse industry across the globe because of its high focus on experiential marketing and customer experience. The third-place concept that is largely known in Starbucks aims at establishing emotional and social relationships with customers. The case relies on several secondary sources of data, such as company reports, scholarly articles and business media, to give a thorough insight into its strategies (Catterall, 2000). Four other coffeehouse brands have been added to further deepen the analysis with a comparison. Costa Coffee, Dunkin, Tim Hortons and Caffé Nero have been chosen due to their international appeal and varied experiential approaches. Those firms give a handy framework with which one can assess how Starbucks can differentiate itself by using emotional branding and experiential design.</w:t>
      </w:r>
    </w:p>
    <w:p w14:paraId="6C6286E8">
      <w:pPr>
        <w:pStyle w:val="13"/>
        <w:keepNext/>
        <w:jc w:val="center"/>
      </w:pPr>
      <w:bookmarkStart w:id="42" w:name="_Toc229400687"/>
      <w:r>
        <w:t xml:space="preserve">Table </w:t>
      </w:r>
      <w:r>
        <w:fldChar w:fldCharType="begin"/>
      </w:r>
      <w:r>
        <w:instrText xml:space="preserve"> SEQ Table \* ARABIC </w:instrText>
      </w:r>
      <w:r>
        <w:fldChar w:fldCharType="separate"/>
      </w:r>
      <w:r>
        <w:t>3</w:t>
      </w:r>
      <w:r>
        <w:fldChar w:fldCharType="end"/>
      </w:r>
      <w:r>
        <w:t xml:space="preserve"> Case Profile</w:t>
      </w:r>
      <w:bookmarkEnd w:id="42"/>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543"/>
        <w:gridCol w:w="1429"/>
        <w:gridCol w:w="1363"/>
        <w:gridCol w:w="2496"/>
        <w:gridCol w:w="2563"/>
      </w:tblGrid>
      <w:tr w14:paraId="002954D4">
        <w:tc>
          <w:tcPr>
            <w:tcW w:w="0" w:type="auto"/>
          </w:tcPr>
          <w:p w14:paraId="22B168C7">
            <w:pPr>
              <w:rPr>
                <w:b/>
                <w:bCs/>
              </w:rPr>
            </w:pPr>
            <w:r>
              <w:rPr>
                <w:b/>
                <w:bCs/>
              </w:rPr>
              <w:t>Case</w:t>
            </w:r>
          </w:p>
        </w:tc>
        <w:tc>
          <w:tcPr>
            <w:tcW w:w="0" w:type="auto"/>
          </w:tcPr>
          <w:p w14:paraId="0B0D51E5">
            <w:pPr>
              <w:rPr>
                <w:b/>
                <w:bCs/>
              </w:rPr>
            </w:pPr>
            <w:r>
              <w:rPr>
                <w:b/>
                <w:bCs/>
              </w:rPr>
              <w:t>Industry</w:t>
            </w:r>
          </w:p>
        </w:tc>
        <w:tc>
          <w:tcPr>
            <w:tcW w:w="0" w:type="auto"/>
          </w:tcPr>
          <w:p w14:paraId="190B6921">
            <w:pPr>
              <w:rPr>
                <w:b/>
                <w:bCs/>
              </w:rPr>
            </w:pPr>
            <w:r>
              <w:rPr>
                <w:b/>
                <w:bCs/>
              </w:rPr>
              <w:t>Geography</w:t>
            </w:r>
          </w:p>
        </w:tc>
        <w:tc>
          <w:tcPr>
            <w:tcW w:w="0" w:type="auto"/>
          </w:tcPr>
          <w:p w14:paraId="65CCCD89">
            <w:pPr>
              <w:rPr>
                <w:b/>
                <w:bCs/>
              </w:rPr>
            </w:pPr>
            <w:r>
              <w:rPr>
                <w:b/>
                <w:bCs/>
              </w:rPr>
              <w:t>Focus</w:t>
            </w:r>
          </w:p>
        </w:tc>
        <w:tc>
          <w:tcPr>
            <w:tcW w:w="0" w:type="auto"/>
          </w:tcPr>
          <w:p w14:paraId="7CF5E399">
            <w:pPr>
              <w:rPr>
                <w:b/>
                <w:bCs/>
              </w:rPr>
            </w:pPr>
            <w:r>
              <w:rPr>
                <w:b/>
                <w:bCs/>
              </w:rPr>
              <w:t>Data Sources</w:t>
            </w:r>
          </w:p>
        </w:tc>
      </w:tr>
      <w:tr w14:paraId="7BF2FBB7">
        <w:tc>
          <w:tcPr>
            <w:tcW w:w="0" w:type="auto"/>
            <w:shd w:val="clear" w:color="auto" w:fill="F1F1F1" w:themeFill="background1" w:themeFillShade="F2"/>
          </w:tcPr>
          <w:p w14:paraId="4CA80063">
            <w:pPr>
              <w:rPr>
                <w:b/>
                <w:bCs/>
              </w:rPr>
            </w:pPr>
            <w:r>
              <w:rPr>
                <w:b/>
                <w:bCs/>
              </w:rPr>
              <w:t>Starbucks</w:t>
            </w:r>
          </w:p>
        </w:tc>
        <w:tc>
          <w:tcPr>
            <w:tcW w:w="0" w:type="auto"/>
            <w:shd w:val="clear" w:color="auto" w:fill="F1F1F1" w:themeFill="background1" w:themeFillShade="F2"/>
          </w:tcPr>
          <w:p w14:paraId="6423B8B8">
            <w:r>
              <w:t>Coffeehouse</w:t>
            </w:r>
          </w:p>
        </w:tc>
        <w:tc>
          <w:tcPr>
            <w:tcW w:w="0" w:type="auto"/>
            <w:shd w:val="clear" w:color="auto" w:fill="F1F1F1" w:themeFill="background1" w:themeFillShade="F2"/>
          </w:tcPr>
          <w:p w14:paraId="49726281">
            <w:r>
              <w:t>Global</w:t>
            </w:r>
          </w:p>
        </w:tc>
        <w:tc>
          <w:tcPr>
            <w:tcW w:w="0" w:type="auto"/>
            <w:shd w:val="clear" w:color="auto" w:fill="F1F1F1" w:themeFill="background1" w:themeFillShade="F2"/>
          </w:tcPr>
          <w:p w14:paraId="4439CBC6">
            <w:r>
              <w:t>Experiential Marketing</w:t>
            </w:r>
          </w:p>
        </w:tc>
        <w:tc>
          <w:tcPr>
            <w:tcW w:w="0" w:type="auto"/>
            <w:shd w:val="clear" w:color="auto" w:fill="F1F1F1" w:themeFill="background1" w:themeFillShade="F2"/>
          </w:tcPr>
          <w:p w14:paraId="784B4DC2">
            <w:r>
              <w:t>Reports, journals, media</w:t>
            </w:r>
          </w:p>
        </w:tc>
      </w:tr>
      <w:tr w14:paraId="0528DC4E">
        <w:tc>
          <w:tcPr>
            <w:tcW w:w="0" w:type="auto"/>
          </w:tcPr>
          <w:p w14:paraId="33AF9F95">
            <w:pPr>
              <w:rPr>
                <w:b/>
                <w:bCs/>
              </w:rPr>
            </w:pPr>
            <w:r>
              <w:rPr>
                <w:b/>
                <w:bCs/>
              </w:rPr>
              <w:t>Costa Coffee</w:t>
            </w:r>
          </w:p>
        </w:tc>
        <w:tc>
          <w:tcPr>
            <w:tcW w:w="0" w:type="auto"/>
          </w:tcPr>
          <w:p w14:paraId="7389D398">
            <w:r>
              <w:t>Coffeehouse</w:t>
            </w:r>
          </w:p>
        </w:tc>
        <w:tc>
          <w:tcPr>
            <w:tcW w:w="0" w:type="auto"/>
          </w:tcPr>
          <w:p w14:paraId="09875E77">
            <w:r>
              <w:t>Global</w:t>
            </w:r>
          </w:p>
        </w:tc>
        <w:tc>
          <w:tcPr>
            <w:tcW w:w="0" w:type="auto"/>
          </w:tcPr>
          <w:p w14:paraId="293FB29B">
            <w:r>
              <w:t>Convenience &amp; Quality</w:t>
            </w:r>
          </w:p>
        </w:tc>
        <w:tc>
          <w:tcPr>
            <w:tcW w:w="0" w:type="auto"/>
          </w:tcPr>
          <w:p w14:paraId="0BB3A0B4">
            <w:r>
              <w:t>Reports, journals, media</w:t>
            </w:r>
          </w:p>
        </w:tc>
      </w:tr>
      <w:tr w14:paraId="11D8DDAE">
        <w:tc>
          <w:tcPr>
            <w:tcW w:w="0" w:type="auto"/>
            <w:shd w:val="clear" w:color="auto" w:fill="F1F1F1" w:themeFill="background1" w:themeFillShade="F2"/>
          </w:tcPr>
          <w:p w14:paraId="0B9857AF">
            <w:pPr>
              <w:rPr>
                <w:b/>
                <w:bCs/>
              </w:rPr>
            </w:pPr>
            <w:r>
              <w:rPr>
                <w:b/>
                <w:bCs/>
              </w:rPr>
              <w:t>Dunkin’</w:t>
            </w:r>
          </w:p>
        </w:tc>
        <w:tc>
          <w:tcPr>
            <w:tcW w:w="0" w:type="auto"/>
            <w:shd w:val="clear" w:color="auto" w:fill="F1F1F1" w:themeFill="background1" w:themeFillShade="F2"/>
          </w:tcPr>
          <w:p w14:paraId="6E6882A7">
            <w:r>
              <w:t>Coffeehouse</w:t>
            </w:r>
          </w:p>
        </w:tc>
        <w:tc>
          <w:tcPr>
            <w:tcW w:w="0" w:type="auto"/>
            <w:shd w:val="clear" w:color="auto" w:fill="F1F1F1" w:themeFill="background1" w:themeFillShade="F2"/>
          </w:tcPr>
          <w:p w14:paraId="3A6935B5">
            <w:r>
              <w:t>Global</w:t>
            </w:r>
          </w:p>
        </w:tc>
        <w:tc>
          <w:tcPr>
            <w:tcW w:w="0" w:type="auto"/>
            <w:shd w:val="clear" w:color="auto" w:fill="F1F1F1" w:themeFill="background1" w:themeFillShade="F2"/>
          </w:tcPr>
          <w:p w14:paraId="713E301A">
            <w:r>
              <w:t>Speed &amp; Affordability</w:t>
            </w:r>
          </w:p>
        </w:tc>
        <w:tc>
          <w:tcPr>
            <w:tcW w:w="0" w:type="auto"/>
            <w:shd w:val="clear" w:color="auto" w:fill="F1F1F1" w:themeFill="background1" w:themeFillShade="F2"/>
          </w:tcPr>
          <w:p w14:paraId="79C83CFE">
            <w:r>
              <w:t>Reports, journals, media</w:t>
            </w:r>
          </w:p>
        </w:tc>
      </w:tr>
      <w:tr w14:paraId="5A37F589">
        <w:tc>
          <w:tcPr>
            <w:tcW w:w="0" w:type="auto"/>
          </w:tcPr>
          <w:p w14:paraId="47BD03FF">
            <w:pPr>
              <w:rPr>
                <w:b/>
                <w:bCs/>
              </w:rPr>
            </w:pPr>
            <w:r>
              <w:rPr>
                <w:b/>
                <w:bCs/>
              </w:rPr>
              <w:t>Tim Hortons</w:t>
            </w:r>
          </w:p>
        </w:tc>
        <w:tc>
          <w:tcPr>
            <w:tcW w:w="0" w:type="auto"/>
          </w:tcPr>
          <w:p w14:paraId="394F38C9">
            <w:r>
              <w:t>Coffeehouse</w:t>
            </w:r>
          </w:p>
        </w:tc>
        <w:tc>
          <w:tcPr>
            <w:tcW w:w="0" w:type="auto"/>
          </w:tcPr>
          <w:p w14:paraId="2F42471F">
            <w:r>
              <w:t>Global</w:t>
            </w:r>
          </w:p>
        </w:tc>
        <w:tc>
          <w:tcPr>
            <w:tcW w:w="0" w:type="auto"/>
          </w:tcPr>
          <w:p w14:paraId="1CAF2A69">
            <w:r>
              <w:t>Value &amp; Local Identity</w:t>
            </w:r>
          </w:p>
        </w:tc>
        <w:tc>
          <w:tcPr>
            <w:tcW w:w="0" w:type="auto"/>
          </w:tcPr>
          <w:p w14:paraId="06FAAFD3">
            <w:r>
              <w:t>Reports, journals, media</w:t>
            </w:r>
          </w:p>
        </w:tc>
      </w:tr>
      <w:tr w14:paraId="065E5A0A">
        <w:tc>
          <w:tcPr>
            <w:tcW w:w="0" w:type="auto"/>
            <w:shd w:val="clear" w:color="auto" w:fill="F1F1F1" w:themeFill="background1" w:themeFillShade="F2"/>
          </w:tcPr>
          <w:p w14:paraId="2FD37857">
            <w:pPr>
              <w:rPr>
                <w:b/>
                <w:bCs/>
              </w:rPr>
            </w:pPr>
            <w:r>
              <w:rPr>
                <w:b/>
                <w:bCs/>
              </w:rPr>
              <w:t>Caffè Nero</w:t>
            </w:r>
          </w:p>
        </w:tc>
        <w:tc>
          <w:tcPr>
            <w:tcW w:w="0" w:type="auto"/>
            <w:shd w:val="clear" w:color="auto" w:fill="F1F1F1" w:themeFill="background1" w:themeFillShade="F2"/>
          </w:tcPr>
          <w:p w14:paraId="5EBC66D6">
            <w:r>
              <w:t>Coffeehouse</w:t>
            </w:r>
          </w:p>
        </w:tc>
        <w:tc>
          <w:tcPr>
            <w:tcW w:w="0" w:type="auto"/>
            <w:shd w:val="clear" w:color="auto" w:fill="F1F1F1" w:themeFill="background1" w:themeFillShade="F2"/>
          </w:tcPr>
          <w:p w14:paraId="7CC219A6">
            <w:r>
              <w:t>Global</w:t>
            </w:r>
          </w:p>
        </w:tc>
        <w:tc>
          <w:tcPr>
            <w:tcW w:w="0" w:type="auto"/>
            <w:shd w:val="clear" w:color="auto" w:fill="F1F1F1" w:themeFill="background1" w:themeFillShade="F2"/>
          </w:tcPr>
          <w:p w14:paraId="3D5EE373">
            <w:r>
              <w:t>Premium Atmosphere</w:t>
            </w:r>
          </w:p>
        </w:tc>
        <w:tc>
          <w:tcPr>
            <w:tcW w:w="0" w:type="auto"/>
            <w:shd w:val="clear" w:color="auto" w:fill="F1F1F1" w:themeFill="background1" w:themeFillShade="F2"/>
          </w:tcPr>
          <w:p w14:paraId="7C488D36">
            <w:r>
              <w:t>Reports, journals, media</w:t>
            </w:r>
          </w:p>
        </w:tc>
      </w:tr>
    </w:tbl>
    <w:p w14:paraId="2A559CD6">
      <w:r>
        <w:t>Such a comparative approach reinforces the contextual study of the experiential marketing strategy of Starbucks.</w:t>
      </w:r>
    </w:p>
    <w:p w14:paraId="1CDDA5C0">
      <w:pPr>
        <w:pStyle w:val="4"/>
      </w:pPr>
      <w:bookmarkStart w:id="43" w:name="_Toc231245237"/>
      <w:r>
        <w:t>3.4.4 Justification of Case Choice</w:t>
      </w:r>
      <w:bookmarkEnd w:id="43"/>
    </w:p>
    <w:p w14:paraId="7E2C76A9">
      <w:r>
        <w:t>One case study has been deemed adequate in this study because the objective has been to gain depth but not breadth. Starbucks has been a very informative and exemplary case and has provided a lot of information on experiential marketing practices. Its brand presence and strong brand positioning have rendered it particularly applicable in studying emotional brand attachment (Saunders, Lewis and Thornhill, 2007). Thus, the drawing of one case has made it possible to conduct a comprehensive and logical research of the phenomenon.</w:t>
      </w:r>
    </w:p>
    <w:p w14:paraId="0AD12F47">
      <w:pPr>
        <w:pStyle w:val="3"/>
      </w:pPr>
      <w:bookmarkStart w:id="44" w:name="_Toc231245238"/>
      <w:r>
        <w:t>3.5 Data Sources and Data Collection</w:t>
      </w:r>
      <w:bookmarkEnd w:id="44"/>
    </w:p>
    <w:p w14:paraId="160F7044">
      <w:pPr>
        <w:pStyle w:val="4"/>
      </w:pPr>
      <w:bookmarkStart w:id="45" w:name="_Toc231245239"/>
      <w:r>
        <w:t>3.5.1 Types of Secondary Data Sources</w:t>
      </w:r>
      <w:bookmarkEnd w:id="45"/>
    </w:p>
    <w:p w14:paraId="6952A064">
      <w:r>
        <w:t>This paper has used several types of secondary data to make it deep and credible. The primary source of theoretical and empirical insights has been taken to be scholarly journal articles. Their primary advantage has been their stringent peer-review process, which has brought about reliability. Nonetheless, they might not have had recent industry development or context.</w:t>
      </w:r>
    </w:p>
    <w:p w14:paraId="21E0054E">
      <w:r>
        <w:t>Official and longitudinal data regarding strategy and performance have been available in company reports, especially the annual reports of Starbucks (Adams, Khan and Raeside, 2014). These sources have been authoritative and extensive, although they possibly gave a rosy organisational outlook. Statista and Mintel have provided useful market trends and benchmarking data available in industry reports. They have been good at giving structured insights, but might not have been as case-specific.</w:t>
      </w:r>
    </w:p>
    <w:p w14:paraId="2A38472C">
      <w:r>
        <w:t>The independent views on the strategies and performance of Starbucks have been made by business media outlets, like Financial Times and Bloomberg (Bell, Harley and Bryman, 2022). These sources have increased objectivity but might have differed in depth and analysis. Furthermore, the websites of the company and the press releases have given first-hand information on the branding and experiential strategies of Starbucks. Although helpful, these sources could have been biased towards promotion. In general, the utilisation of different types of data has facilitated triangulation, enhancing the strength of the study.</w:t>
      </w:r>
    </w:p>
    <w:p w14:paraId="4C0F218D">
      <w:pPr>
        <w:pStyle w:val="4"/>
      </w:pPr>
      <w:bookmarkStart w:id="46" w:name="_Toc231245240"/>
      <w:r>
        <w:t>3.5.2 Data Collection Process</w:t>
      </w:r>
      <w:bookmarkEnd w:id="46"/>
    </w:p>
    <w:p w14:paraId="7B86EB65">
      <w:r>
        <w:t>Academic databases like Google Scholar, industry platforms and official company sources have been used to systematically identify data. Relevance to the research aim has been applied in the selection process together with credibility and recency (Hair et al., 2007). Sources that are less than 5-10 years old have been given first preference to maintain relevance.</w:t>
      </w:r>
    </w:p>
    <w:p w14:paraId="02018558">
      <w:r>
        <w:t>The gathered information has been sorted into categories that are in line with the conceptual framework, such as elements of experiential marketing and emotional attachment to the brand. Preliminary coding is ready to help the analysis process (Mitchell and Rich, 2020). Data collection has been carried out within a specific period of time, which has provided consistency as well as transparency in the research process.</w:t>
      </w:r>
    </w:p>
    <w:p w14:paraId="0F6539FE">
      <w:pPr>
        <w:pStyle w:val="3"/>
      </w:pPr>
      <w:bookmarkStart w:id="47" w:name="_Toc231245241"/>
      <w:r>
        <w:t>3.6 Data Analysis Approach</w:t>
      </w:r>
      <w:bookmarkEnd w:id="47"/>
    </w:p>
    <w:p w14:paraId="396E8185">
      <w:pPr>
        <w:pStyle w:val="4"/>
      </w:pPr>
      <w:bookmarkStart w:id="48" w:name="_Toc231245242"/>
      <w:r>
        <w:t>3.6.1 Analysis Framework</w:t>
      </w:r>
      <w:bookmarkEnd w:id="48"/>
    </w:p>
    <w:p w14:paraId="1BF1040E">
      <w:pPr>
        <w:keepNext/>
        <w:jc w:val="center"/>
      </w:pPr>
      <w:r>
        <w:drawing>
          <wp:inline distT="0" distB="0" distL="0" distR="0">
            <wp:extent cx="3562350" cy="5553710"/>
            <wp:effectExtent l="0" t="0" r="0" b="8890"/>
            <wp:docPr id="1095539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39798" name="Picture 1"/>
                    <pic:cNvPicPr>
                      <a:picLocks noChangeAspect="1"/>
                    </pic:cNvPicPr>
                  </pic:nvPicPr>
                  <pic:blipFill>
                    <a:blip r:embed="rId10"/>
                    <a:stretch>
                      <a:fillRect/>
                    </a:stretch>
                  </pic:blipFill>
                  <pic:spPr>
                    <a:xfrm>
                      <a:off x="0" y="0"/>
                      <a:ext cx="3562847" cy="5553850"/>
                    </a:xfrm>
                    <a:prstGeom prst="rect">
                      <a:avLst/>
                    </a:prstGeom>
                  </pic:spPr>
                </pic:pic>
              </a:graphicData>
            </a:graphic>
          </wp:inline>
        </w:drawing>
      </w:r>
    </w:p>
    <w:p w14:paraId="5F6B974B">
      <w:pPr>
        <w:pStyle w:val="13"/>
        <w:jc w:val="center"/>
      </w:pPr>
      <w:bookmarkStart w:id="49" w:name="_Toc231245312"/>
      <w:r>
        <w:t xml:space="preserve">Figure </w:t>
      </w:r>
      <w:r>
        <w:fldChar w:fldCharType="begin"/>
      </w:r>
      <w:r>
        <w:instrText xml:space="preserve"> SEQ Figure \* ARABIC </w:instrText>
      </w:r>
      <w:r>
        <w:fldChar w:fldCharType="separate"/>
      </w:r>
      <w:r>
        <w:t>3</w:t>
      </w:r>
      <w:r>
        <w:fldChar w:fldCharType="end"/>
      </w:r>
      <w:r>
        <w:t xml:space="preserve"> Analysis Framework</w:t>
      </w:r>
      <w:bookmarkEnd w:id="49"/>
    </w:p>
    <w:p w14:paraId="378C35ED">
      <w:pPr>
        <w:jc w:val="center"/>
        <w:rPr>
          <w:b/>
          <w:bCs/>
          <w:sz w:val="20"/>
          <w:szCs w:val="20"/>
        </w:rPr>
      </w:pPr>
      <w:r>
        <w:rPr>
          <w:b/>
          <w:bCs/>
          <w:sz w:val="20"/>
          <w:szCs w:val="20"/>
        </w:rPr>
        <w:t>Source: (Self-Made)</w:t>
      </w:r>
    </w:p>
    <w:p w14:paraId="3D97F921">
      <w:r>
        <w:t>The conceptual framework created in Chapter 2 has informed the data analysis, with a focus on experiential marketing and emotional brand attachment. Meanwhile, the study has been accessible to new and emerging knowledge in line with an abductive approach. It has focused on the analysis of the most important aspects of experiential marketing, including the store environment and customer interaction, emotional responses, and how they influence brand attachment (Sekaran and Bougie, 2016). This structure has seen to it that the analysis has been both structured and flexible.</w:t>
      </w:r>
    </w:p>
    <w:p w14:paraId="0A3D3B83">
      <w:pPr>
        <w:pStyle w:val="4"/>
      </w:pPr>
      <w:bookmarkStart w:id="50" w:name="_Toc231245243"/>
      <w:r>
        <w:t>3.6.2 Thematic Analysis Process</w:t>
      </w:r>
      <w:bookmarkEnd w:id="50"/>
    </w:p>
    <w:p w14:paraId="6A20BFDE">
      <w:r>
        <w:t>Thematic analysis has been used in the study as proposed by Braun and Clarke. First, the familiarisation of data has been carried out by repeated reading of the gathered sources. Second, preliminary codes have been produced to determine useful patterns in the data (Braun and Clarke, 2019). These codes have been categorised into larger themes that pertain to experiential marketing and emotional attachment. The themes have since been checked and narrowed down to have consistency and relevance. Subsequently, each and every theme has been defined. Lastly, the report has provided findings in a systematic and consistent format, which has correlated them with the aims of the research.</w:t>
      </w:r>
    </w:p>
    <w:p w14:paraId="056D9918">
      <w:pPr>
        <w:pStyle w:val="4"/>
      </w:pPr>
      <w:bookmarkStart w:id="51" w:name="_Toc231245244"/>
      <w:r>
        <w:t>3.6.3 Within-Case Analysis</w:t>
      </w:r>
      <w:bookmarkEnd w:id="51"/>
    </w:p>
    <w:p w14:paraId="5896E158">
      <w:r>
        <w:t>Starbucks has been the subject of within-case analysis. Several sources of data have been analysed to come up with a comprehensive and consistent picture of its experiential marketing practices. It has been a process of synthesising information to create a complete narrative (Sun and Lipsitz, 2018). Triangulation has been used by analysing the information in various sources, which has improved the validity and depth of the results.</w:t>
      </w:r>
    </w:p>
    <w:p w14:paraId="2F4FCC94">
      <w:pPr>
        <w:pStyle w:val="4"/>
      </w:pPr>
      <w:bookmarkStart w:id="52" w:name="_Toc231245245"/>
      <w:r>
        <w:t>3.6.4 Cross-Source Synthesis</w:t>
      </w:r>
      <w:bookmarkEnd w:id="52"/>
    </w:p>
    <w:p w14:paraId="23681AEA">
      <w:r>
        <w:t>Patterns and relationships across various forms of data, such as reports, academic articles, and media sources, have been identified using cross-source synthesis. This method has allowed the research to contrast the views and find common themes. It has been possible to connect the findings to the theoretical framework, and hence the analysis has led to empirical knowledge as well as the development of theories.</w:t>
      </w:r>
    </w:p>
    <w:p w14:paraId="6BDD51FB">
      <w:pPr>
        <w:pStyle w:val="3"/>
      </w:pPr>
      <w:bookmarkStart w:id="53" w:name="_Toc231245246"/>
      <w:r>
        <w:t>3.7 Research Quality and Rigour</w:t>
      </w:r>
      <w:bookmarkEnd w:id="53"/>
    </w:p>
    <w:p w14:paraId="249EF542">
      <w:r>
        <w:t>This research has maintained quality and rigour in research using various important criteria. The multiple data sources, such as academic, industry, and company materials, have been used to strengthen construct validity. Data interpretation has been based on clear definitions obtained from the conceptual framework. Internal validity has been maintained by establishing logical links between data and conclusions. Consistency of interpretation has been facilitated by a systematic process of thematic analysis (Johnston, 2014). Analytical generalisation has been used to deal with external validity instead of statistical generalisation. The results have added to the theory by expanding knowledge in the area of experiential marketing and emotional brand attachment. Transparency and a systematic research process have been used to ensure reliability. The study has been replicable because of the use of clear procedures in data collection and analysis. All these measures have increased the credibility and reliability of the research.</w:t>
      </w:r>
    </w:p>
    <w:p w14:paraId="0133AE30">
      <w:pPr>
        <w:pStyle w:val="3"/>
      </w:pPr>
      <w:bookmarkStart w:id="54" w:name="_Toc231245247"/>
      <w:r>
        <w:t>3.8 Ethical Considerations</w:t>
      </w:r>
      <w:bookmarkEnd w:id="54"/>
    </w:p>
    <w:p w14:paraId="36AE064F">
      <w:r>
        <w:t>This research has used secondary data that are publicly available, and this has minimised ethical risks. Since no primary data has been gathered, no consent from participants has been sought. Nevertheless, the ethics have been upheld by proper citation and reference of all the sources.</w:t>
      </w:r>
    </w:p>
    <w:p w14:paraId="4D34D83F">
      <w:r>
        <w:t>This has been done to prevent bias, misrepresentation, or selective interpretation of data (Stewart and Kamins, 1993). The credibility and verifiability of the sources used have ensured the integrity and accuracy of the information. University ethical guidelines have been adhered to in the research, and there has been responsible and professional conduct in the research.</w:t>
      </w:r>
    </w:p>
    <w:p w14:paraId="7F58BC21">
      <w:pPr>
        <w:pStyle w:val="3"/>
      </w:pPr>
      <w:bookmarkStart w:id="55" w:name="_Toc231245248"/>
      <w:r>
        <w:t>3.9 Chapter Summary</w:t>
      </w:r>
      <w:bookmarkEnd w:id="55"/>
    </w:p>
    <w:p w14:paraId="0A3636A0">
      <w:r>
        <w:t>The chapter has introduced the methodology of the research, which included the interpretivist philosophy, abductive approach, and the qualitative case study strategy. It has described the application of secondary data and thematic analysis. The chapter has ensured methodological rigour and transparency. These premises have undergirded plausible discoveries. Analysis and findings of the study will be presented in the next chapter.</w:t>
      </w:r>
    </w:p>
    <w:p w14:paraId="4E19C1DE">
      <w:pPr>
        <w:spacing w:after="160" w:line="259" w:lineRule="auto"/>
        <w:jc w:val="left"/>
      </w:pPr>
      <w:r>
        <w:br w:type="page"/>
      </w:r>
    </w:p>
    <w:p w14:paraId="195CB824">
      <w:pPr>
        <w:pStyle w:val="2"/>
      </w:pPr>
      <w:bookmarkStart w:id="56" w:name="_Toc231245249"/>
      <w:r>
        <w:t>Chapter 4: Findings</w:t>
      </w:r>
      <w:bookmarkEnd w:id="56"/>
    </w:p>
    <w:p w14:paraId="1510EFF5">
      <w:pPr>
        <w:pStyle w:val="3"/>
      </w:pPr>
      <w:bookmarkStart w:id="57" w:name="_Toc231245250"/>
      <w:r>
        <w:t>4.1 Introduction</w:t>
      </w:r>
      <w:bookmarkEnd w:id="57"/>
    </w:p>
    <w:p w14:paraId="45D24A4B">
      <w:r>
        <w:t>The chapter summarises the results of the research by exploring the impact of experiential marketing on emotional brand attachment in the coffeehouse industry. The research results are presented in the form of five targeted case studies depending on publicly available secondary data, such as company reports, scholarly literature, and industry sources. Starbucks is the main case that has four comparative brands: Costa Coffee, Dunkin, Tim Hortons and Caffé Nero. The choice of these companies was a result of them being in the same competitive environment but with different experiential marketing approaches. This analysis discusses the role that these strategies play in influencing the emotions of customers, their engagement and brand attachment. The chapter reveals differences and trends in experiential practices throughout the industry by juxtaposing various cases. A cross-case analysis is used to define the common themes and differences at the end of the chapter, and a summary is briefly presented at the end of this chapter to relate the results to the next discussion chapter.</w:t>
      </w:r>
    </w:p>
    <w:p w14:paraId="2F78F33E">
      <w:pPr>
        <w:pStyle w:val="3"/>
      </w:pPr>
      <w:bookmarkStart w:id="58" w:name="_Toc231245251"/>
      <w:r>
        <w:t>4.2 Case Study 1: Starbucks</w:t>
      </w:r>
      <w:bookmarkEnd w:id="58"/>
    </w:p>
    <w:p w14:paraId="4E185CC0">
      <w:pPr>
        <w:pStyle w:val="4"/>
      </w:pPr>
      <w:bookmarkStart w:id="59" w:name="_Toc231245252"/>
      <w:r>
        <w:t>4.2.1 Introduction and Background</w:t>
      </w:r>
      <w:bookmarkEnd w:id="59"/>
    </w:p>
    <w:p w14:paraId="17AB19AE">
      <w:r>
        <w:t>Starbucks is a multinational coffeehouse chain that serves in the high-end coffee shop industry and deals in drinks, food, and customised services. It has a good position in the market since it has concentrated on experience-based differentiation, not just the product. The brand has a reputation for having a third-place concept that provides a social and emotional space between work and home. To achieve a uniform experiential approach, Starbucks combines store design, sensory experiences and digital ecosystem (Schmitt, 2011).</w:t>
      </w:r>
    </w:p>
    <w:p w14:paraId="1A04D937">
      <w:pPr>
        <w:pStyle w:val="4"/>
      </w:pPr>
      <w:bookmarkStart w:id="60" w:name="_Toc231245253"/>
      <w:r>
        <w:t>4.2.2 The Challenge or Opportunity</w:t>
      </w:r>
      <w:bookmarkEnd w:id="60"/>
    </w:p>
    <w:p w14:paraId="470DE4E1">
      <w:r>
        <w:t>Starbucks is in a very competitive coffeehouse environment where product quality alone cannot be used as a differentiator. The demands of customers have shifted to the direction of engaging, personalised, and smooth experiences, both physical and digital. The most important issue has been to turn customer interaction into more emotional brand commitment as opposed to transactional loyalty. This is indicative of a wider industry change in which interaction is in itself not sufficient to achieve long-term commitment (Rahman et al., 2025).</w:t>
      </w:r>
    </w:p>
    <w:p w14:paraId="7B1253AB">
      <w:pPr>
        <w:pStyle w:val="4"/>
      </w:pPr>
      <w:bookmarkStart w:id="61" w:name="_Toc231245254"/>
      <w:r>
        <w:t>4.2.3 The Approach and Implementation</w:t>
      </w:r>
      <w:bookmarkEnd w:id="61"/>
    </w:p>
    <w:p w14:paraId="0920AF5A">
      <w:r>
        <w:t>Starbucks has been able to deal with this challenge using a well-rounded experiential marketing strategy. The ambience of the store has been meticulously planned through lighting, music, and layout to produce a relaxing and emotionally appealing atmosphere, which aligns with the servicescape theory (Asghar Ali et al., 2021). These emotional and sensory aspects resonate with experiential marketing dimensions like senses and feel (Schmitt, 2010).</w:t>
      </w:r>
    </w:p>
    <w:p w14:paraId="45F3B649">
      <w:r>
        <w:t>Service interaction is very important, and employees personalise customer experience by making their orders unique and by engaging directly with customers. This helps to build relationship ties and perceived value. Starbucks also employs the use of storytelling, especially about ethical sourcing and brand values, to develop emotional meaning and identity alignment (Sathyanarayana and Archana, 2024).</w:t>
      </w:r>
    </w:p>
    <w:p w14:paraId="31A4D6E7">
      <w:r>
        <w:t>The experience is further enhanced by digital integration. The Starbucks mobile app allows ordering, payment and rewards loyalty and keeps you interacting even after leaving the shop. This is an indicator of omnichannel integration, wherein physical and digital touchpoints come together to improve engagement (Chawla, Chawla and Jain, 2024). The sense of belonging and social connection is also strengthened by community-store programs.</w:t>
      </w:r>
    </w:p>
    <w:p w14:paraId="1BD5213B">
      <w:r>
        <w:t>In sum, Starbucks integrates physical space, service experience, and digital experiences to form an integrated experience. This is in line with the brand experience theory, which states that sensory and emotional reactions determine consumer relationships (Brakus, Schmitt and Zarantonello, 2009).</w:t>
      </w:r>
    </w:p>
    <w:p w14:paraId="5A688895">
      <w:pPr>
        <w:pStyle w:val="4"/>
      </w:pPr>
      <w:bookmarkStart w:id="62" w:name="_Toc231245255"/>
      <w:r>
        <w:t>4.2.4 Outcomes and Results</w:t>
      </w:r>
      <w:bookmarkEnd w:id="62"/>
    </w:p>
    <w:p w14:paraId="774CA626">
      <w:r>
        <w:t>The experiential approach to strategy has resulted in high customer engagement and experiences at Starbucks. Sensory, relational, and digital integration have enhanced emotional appeal and brand meaning. Customers are becoming more and more inclined to relate Starbucks to lifestyle and identity, which helps to build emotional attachment (Bosmans et al., 2020). There is evidence that experience-based strategies enhance loyalty and retention, but attachment is frequently mediated by satisfaction and engagement (Manyanga, Makanyeza and Muranda, 2022).</w:t>
      </w:r>
    </w:p>
    <w:p w14:paraId="528F00D5">
      <w:pPr>
        <w:pStyle w:val="3"/>
      </w:pPr>
      <w:bookmarkStart w:id="63" w:name="_Toc231245256"/>
      <w:r>
        <w:t>4.3 Case Study 2: Costa Coffee</w:t>
      </w:r>
      <w:bookmarkEnd w:id="63"/>
    </w:p>
    <w:p w14:paraId="531FBD20">
      <w:pPr>
        <w:pStyle w:val="4"/>
      </w:pPr>
      <w:bookmarkStart w:id="64" w:name="_Toc231245257"/>
      <w:r>
        <w:t>4.3.1 Introduction and Background</w:t>
      </w:r>
      <w:bookmarkEnd w:id="64"/>
    </w:p>
    <w:p w14:paraId="03A754FD">
      <w:r>
        <w:t>Costa Coffee is a well-known coffeehouse brand that is well-established both in the UK and abroad. It competes in the same market as Starbucks, which provides beverages, food, and cafe services. The convenience, quality of products, and accessibility are the tactics of Costa with a stable branded experience. Its branding focuses on reliability and efficiency instead of immersive experiences (Lemon and Verhoef, 2016).</w:t>
      </w:r>
    </w:p>
    <w:p w14:paraId="457411A7">
      <w:pPr>
        <w:pStyle w:val="4"/>
      </w:pPr>
      <w:bookmarkStart w:id="65" w:name="_Toc231245258"/>
      <w:r>
        <w:t>4.3.2 The Challenge or Opportunity</w:t>
      </w:r>
      <w:bookmarkEnd w:id="65"/>
    </w:p>
    <w:p w14:paraId="10D5FFCC">
      <w:r>
        <w:t>Costa has the challenge of positioning itself in a market that is increasingly being experienced and emotionally value-driven. Customers have increasingly become more demanding in terms of more personalised and interactive interactions as opposed to just functional service. Although Costa has good accessibility and brand recognition, it needs to enhance its experiential positioning to be competitive. The main question is how to grow customer relations and emotions without sacrificing efficiency (Khamitov, Thomson and Johnson, 2015).</w:t>
      </w:r>
    </w:p>
    <w:p w14:paraId="7CC2FD90">
      <w:pPr>
        <w:pStyle w:val="4"/>
      </w:pPr>
      <w:bookmarkStart w:id="66" w:name="_Toc231245259"/>
      <w:r>
        <w:t>4.3.3 The Approach and Implementation</w:t>
      </w:r>
      <w:bookmarkEnd w:id="66"/>
    </w:p>
    <w:p w14:paraId="5F866FF4">
      <w:r>
        <w:t>Costa has embraced a functional experiential strategy that is geared towards regularity and comfort. Its store design offers a cosy yet standardised space, which facilitates the ease of use over the profound emotional involvement. It is consistent with servicescape research, whereby the physical environment can have an impact on behaviour without necessarily generating high emotional reactions (Kohijoki and Koistinen, 2018).</w:t>
      </w:r>
    </w:p>
    <w:p w14:paraId="4381BA2F">
      <w:r>
        <w:t>The company has implemented loyalty programmes and digital ordering systems to enhance customer interaction and accessibility. These programs facilitate integration of the customer journeys at the touchpoints, enhancing engagement and satisfaction (Lemon and Verhoef, 2016). Nevertheless, Costa is not as focused on telling stories and branding based on identity as Starbucks.</w:t>
      </w:r>
    </w:p>
    <w:p w14:paraId="62D06F0B">
      <w:r>
        <w:t>This makes the experiential approach of Costa more functional than symbolic. It is more about convenience and efficiency, which facilitates repeat behaviour but can restrict the emotional connection. This indicates the difference between engagement and emotional attachment as has been emphasised in the literature (Hollebeek, Glynn and Brodie, 2014).</w:t>
      </w:r>
    </w:p>
    <w:p w14:paraId="7140EE42">
      <w:pPr>
        <w:pStyle w:val="4"/>
      </w:pPr>
      <w:bookmarkStart w:id="67" w:name="_Toc231245260"/>
      <w:r>
        <w:t>4.3.4 Outcomes and Results</w:t>
      </w:r>
      <w:bookmarkEnd w:id="67"/>
    </w:p>
    <w:p w14:paraId="63013E14">
      <w:r>
        <w:t>The strategy by Costa has led to high customer satisfaction, accessibility, and service delivery. It is convenience-oriented, which enables brand familiarity and repeat purchase. Nevertheless, the emotional connection does not seem as advanced as in Starbucks, where the experiences are more immersive and identity-driven. It has been researched that such strategies can be effective in maintaining loyalty but might not be able to establish emotional attachment as a whole (Damaschi, Aboueldahab and D’Addario, 2025).</w:t>
      </w:r>
    </w:p>
    <w:p w14:paraId="41B778E1">
      <w:pPr>
        <w:pStyle w:val="3"/>
      </w:pPr>
      <w:bookmarkStart w:id="68" w:name="_Toc231245261"/>
      <w:r>
        <w:t>4.4 Case Study 3: Dunkin’</w:t>
      </w:r>
      <w:bookmarkEnd w:id="68"/>
    </w:p>
    <w:p w14:paraId="36A533FE">
      <w:pPr>
        <w:pStyle w:val="4"/>
      </w:pPr>
      <w:bookmarkStart w:id="69" w:name="_Toc231245262"/>
      <w:r>
        <w:t>4.4.1 Introduction and Background</w:t>
      </w:r>
      <w:bookmarkEnd w:id="69"/>
    </w:p>
    <w:p w14:paraId="7AC87275">
      <w:r>
        <w:t>Dunkin is a multinational chain of coffee and beverages that is located in the fast service sector of the coffeehouse market. The brand is known for its emphasis on speed, affordability, and convenience, offering coffee, baked goods, and ready-to-go products. In contrast to the competitors in the premium cafes, Dunkin is efficient and accessible. It competes in an extremely competitive market where customer experience and engagement are slowly becoming the factors driving differentiation (Khanna, 2017).</w:t>
      </w:r>
    </w:p>
    <w:p w14:paraId="76DBF4E0">
      <w:pPr>
        <w:pStyle w:val="4"/>
      </w:pPr>
      <w:bookmarkStart w:id="70" w:name="_Toc231245263"/>
      <w:r>
        <w:t>4.4.2 The Challenge or Opportunity</w:t>
      </w:r>
      <w:bookmarkEnd w:id="70"/>
    </w:p>
    <w:p w14:paraId="6F4E37AC">
      <w:r>
        <w:t>Dunkin has a challenge of establishing stronger emotional ties without losing its fast service image. Rising competition and changing consumer demands have turned the attention to the experiential value more than the simple functional value. Customers have become more demanding in terms of convenience and brand engagement. The main question is whether Dunkin’ can be improved in terms of emotional involvement without impacting operational efficiency. This is representative of general results that emotional attachment needs beyond routine consumption or convenience (Saeedi, 2025).</w:t>
      </w:r>
    </w:p>
    <w:p w14:paraId="26BABCE5">
      <w:pPr>
        <w:pStyle w:val="4"/>
      </w:pPr>
      <w:bookmarkStart w:id="71" w:name="_Toc231245264"/>
      <w:r>
        <w:t>4.4.3 The Approach and Implementation</w:t>
      </w:r>
      <w:bookmarkEnd w:id="71"/>
    </w:p>
    <w:p w14:paraId="64ED56F6">
      <w:r>
        <w:t>Dunkin has countered this by enhancing its branding and digital interaction efforts and ensuring the efficiency of its operations. The company has streamlined its brand to focus on drinks and has added menu products to appeal to younger audiences. Digital channels are key, such as mobile ordering, loyalty programmes and app-based promotions that make accessibility and interaction more convenient. These plans are consistent with customer journey views, in which experience is multiple touchpoints (Roy et al., 2025).</w:t>
      </w:r>
    </w:p>
    <w:p w14:paraId="002DF6EF">
      <w:r>
        <w:t>Service design focuses on speed and consistency, and store formats are optimised towards fast transactions. Dunkin is less immersive and more functional, as compared to the Starbucks experience. Whereas Starbucks concentrates on sensory and emotional interaction, Dunkin’ concentrates on convenience-based interaction. This is a behavioural emphasis and not a highly emotional experience. Experiential marketing theory confirms that these strategies can affect behaviour but not necessarily engage emotional or relational aspects (Onyeke, Anukwe and Iloka, 2024).</w:t>
      </w:r>
    </w:p>
    <w:p w14:paraId="7E66E0F3">
      <w:r>
        <w:t>The interaction with the customers is facilitated by branding and digital communication instead of storytelling in the store. This makes the experiential model of Dunkin effective but less symbolic as it is based on accessibility and not emotional immersion.</w:t>
      </w:r>
    </w:p>
    <w:p w14:paraId="4BD0B7F9">
      <w:pPr>
        <w:pStyle w:val="4"/>
      </w:pPr>
      <w:bookmarkStart w:id="72" w:name="_Toc231245265"/>
      <w:r>
        <w:t>4.4.4 Outcomes and Results</w:t>
      </w:r>
      <w:bookmarkEnd w:id="72"/>
    </w:p>
    <w:p w14:paraId="212EB0B0">
      <w:r>
        <w:t>The approach of Dunkin has led to high customer coverage and rates of convenience-based interactions. The digital platforms have enhanced communication and enhanced efficiency in services. The brand is able to sustain customer loyalty by providing access and regular usage. Nevertheless, emotional attachment does not seem to be that deep, as experiences are non-immersive and identity-oriented. It has been proposed that these models facilitate behavioural loyalty but might not readily form emotional attachments (Chebab, 2025). All in all, Dunkin displays strong engagement with a poorer relationship between experience and emotional attachment.</w:t>
      </w:r>
    </w:p>
    <w:p w14:paraId="173D12A0">
      <w:pPr>
        <w:pStyle w:val="3"/>
      </w:pPr>
      <w:bookmarkStart w:id="73" w:name="_Toc231245266"/>
      <w:r>
        <w:t>4.5 Case Study 4: Tim Hortons</w:t>
      </w:r>
      <w:bookmarkEnd w:id="73"/>
    </w:p>
    <w:p w14:paraId="1D0050EE">
      <w:pPr>
        <w:pStyle w:val="4"/>
      </w:pPr>
      <w:bookmarkStart w:id="74" w:name="_Toc231245267"/>
      <w:r>
        <w:t>4.5.1 Introduction and Background</w:t>
      </w:r>
      <w:bookmarkEnd w:id="74"/>
    </w:p>
    <w:p w14:paraId="302D74E8">
      <w:r>
        <w:t>Tim Hortons is a large coffeehouse brand that enjoys strong identity and familiarity with customers, especially in its core markets. The brand provides coffee, baked goods, and quick-service foods, which identify it as accessible and value-oriented. It is commonly known to have a community-based image and habitual consumption habits. In the coffeehouse sector, Tim Hortons stands out as part of the familiarity and locality as opposed to high-end experiential design (Samper, Giovannucci and Marques Vieira, 2023).</w:t>
      </w:r>
    </w:p>
    <w:p w14:paraId="5AEAB5D5">
      <w:pPr>
        <w:pStyle w:val="4"/>
      </w:pPr>
      <w:bookmarkStart w:id="75" w:name="_Toc231245268"/>
      <w:r>
        <w:t>4.5.2 The Challenge or Opportunity</w:t>
      </w:r>
      <w:bookmarkEnd w:id="75"/>
    </w:p>
    <w:p w14:paraId="794E8624">
      <w:r>
        <w:t>Tim Hortons has to find a balance between value, locality, and emotional customer attachment within a competitive space. Its loyalty is due to its familiarity, but evolving customer demands demand something more interactive and experiential. The brand needs to be unique and address the rising expectations of a personalised and meaningful experience. This is a conflict between loyalty through routine and emotional bonding, which cannot be satisfied with habitual consumption (Sayin and Gürhan-Canlli, 2024).</w:t>
      </w:r>
    </w:p>
    <w:p w14:paraId="547D0425">
      <w:pPr>
        <w:pStyle w:val="4"/>
      </w:pPr>
      <w:bookmarkStart w:id="76" w:name="_Toc231245269"/>
      <w:r>
        <w:t>4.5.3 The Approach and Implementation</w:t>
      </w:r>
      <w:bookmarkEnd w:id="76"/>
    </w:p>
    <w:p w14:paraId="5B14DD07">
      <w:r>
        <w:t>Tim Hortons has created an experience-based strategy that focuses on familiarity, accessibility, and connection to the community. Its stores are tailored to offer a steady and friendly atmosphere, which favours daily activities as opposed to interactive experiences. It is consistent with the studies, which posit that environmental cues affect perception but do not necessarily produce high levels of emotions (Schreuder et al., 2016).</w:t>
      </w:r>
    </w:p>
    <w:p w14:paraId="4A702A5D">
      <w:r>
        <w:t>The brand takes advantage of the local relevance and national identity to build customer relations. Marketing communication tends to focus on the values of the community, which builds a sense of belonging. The interaction of services is easy and effective, and it encourages repetitive visits and regular interactions. On the contrary, to Tim Hortons, familiarity and habitual interaction have been used more than storytelling and symbolic branding, as in the case of Starbucks.</w:t>
      </w:r>
    </w:p>
    <w:p w14:paraId="4C15FCF0">
      <w:r>
        <w:t>Mobile ordering and loyalty programmes have been implemented to enhance accessibility and customer convenience through digital engagement. But the experiential model is still based on operational and relational familiarity and not emotional immersion. This is an indication of dependency on behavioural patterns as opposed to profound affective involvement, which can be a constraint to the development of an attachment.</w:t>
      </w:r>
    </w:p>
    <w:p w14:paraId="02956426">
      <w:pPr>
        <w:pStyle w:val="4"/>
      </w:pPr>
      <w:bookmarkStart w:id="77" w:name="_Toc231245270"/>
      <w:r>
        <w:t>4.5.4 Outcomes and Results</w:t>
      </w:r>
      <w:bookmarkEnd w:id="77"/>
    </w:p>
    <w:p w14:paraId="382FBAEE">
      <w:r>
        <w:t>Tim Hortons has successfully attained customer loyalty due to familiarity and frequent consumption. Its availability and regular service provision contribute to high use and brand awareness. Relational engagement is aided by the feeling of community and locality. Nonetheless, emotional attachment can be characterised as moderate, with experiences being less immersive and identity-based. It has been shown that loyalty based on routine does not necessarily lead to a good emotional connection (Moliner-Tena et al., 2023). Generally, Tim Hortons is a stable, loyal brand with low experiential influence on the emotional brand attachment.</w:t>
      </w:r>
    </w:p>
    <w:p w14:paraId="1A230DFD">
      <w:pPr>
        <w:pStyle w:val="3"/>
      </w:pPr>
      <w:bookmarkStart w:id="78" w:name="_Toc231245271"/>
      <w:r>
        <w:t>4.6 Case Study 5: Caffè Nero</w:t>
      </w:r>
      <w:bookmarkEnd w:id="78"/>
    </w:p>
    <w:p w14:paraId="4DDC5F01">
      <w:pPr>
        <w:pStyle w:val="4"/>
      </w:pPr>
      <w:bookmarkStart w:id="79" w:name="_Toc231245272"/>
      <w:r>
        <w:t>4.6.1 Introduction and Background</w:t>
      </w:r>
      <w:bookmarkEnd w:id="79"/>
    </w:p>
    <w:p w14:paraId="1A3576C4">
      <w:r>
        <w:t>Caffee Nero is a top-tier coffee house brand that falls under the up-end cafeteria segment. The atmosphere, cafe culture, and in-store experience are the key value propositions of the brand. It stands out by having a European-style atmosphere, comfortable chairs, and a beautiful in-store design. In the competitive market of coffeehouses, Caffee Nero follows the model of ambience, placing more emphasis on the experience of the environment rather than on speed or convenience (Pine and Gilmore, 2014).</w:t>
      </w:r>
    </w:p>
    <w:p w14:paraId="101A0909">
      <w:pPr>
        <w:pStyle w:val="4"/>
      </w:pPr>
      <w:bookmarkStart w:id="80" w:name="_Toc231245273"/>
      <w:r>
        <w:t>4.6.2 The Challenge or Opportunity</w:t>
      </w:r>
      <w:bookmarkEnd w:id="80"/>
    </w:p>
    <w:p w14:paraId="51D94ADA">
      <w:r>
        <w:t>Caffè Nero has the dilemma of making its high-end space translate into solid and sustainable customer loyalty. Although ambience has the potential to evoke short-term emotional reactions, long-term loyalty is achieved only through more complex mechanisms. The growing threat posed by brands such as Starbucks makes it essential to differentiate beyond the aesthetics. The greatest potential is in the ability to transfer the sensory and environmental experience into meaningful emotional relationships, moving beyond the physical store (Schmitt, 2010).</w:t>
      </w:r>
    </w:p>
    <w:p w14:paraId="181969F6">
      <w:pPr>
        <w:pStyle w:val="4"/>
      </w:pPr>
      <w:bookmarkStart w:id="81" w:name="_Toc231245274"/>
      <w:r>
        <w:t>4.6.3 The Approach and Implementation</w:t>
      </w:r>
      <w:bookmarkEnd w:id="81"/>
    </w:p>
    <w:p w14:paraId="2202B0E6">
      <w:r>
        <w:t>Caffes Nero uses store design and environmental indicators to influence customer experience. Its stores incorporate warm lighting, music and interior design to provide a casual and cosy ambience. This is in line with servicescape theory, in which the perception and behaviour are affected by the physical environment (Asghar Ali et al., 2021). This environment is enhanced by the type of service offered by the brand, which promotes longer stays and socialisation, and supports a culture of cafes instead of fast consumption.</w:t>
      </w:r>
    </w:p>
    <w:p w14:paraId="5C4939AD">
      <w:r>
        <w:t>In contrast to Starbucks, Caffé Nero is not so focused on digital integration and storytelling. Rather, it emphasises physical environments by immersing the senses and creating moods. This is more of a traditional experiential strategy, in which emotional reactions are created more by a sense of atmosphere than by omnichannel interaction. These strategies are more focused on affective experience but might be less comprehensive in their relational and cognitive elements of engagement (Brakus, Schmitt and Zarantonello, 2009).</w:t>
      </w:r>
    </w:p>
    <w:p w14:paraId="00367EB0">
      <w:pPr>
        <w:pStyle w:val="4"/>
      </w:pPr>
      <w:bookmarkStart w:id="82" w:name="_Toc231245275"/>
      <w:r>
        <w:t>4.6.4 Outcomes and Results</w:t>
      </w:r>
      <w:bookmarkEnd w:id="82"/>
    </w:p>
    <w:p w14:paraId="45A6DB70">
      <w:r>
        <w:t>The strategy of Caffee Nero has led to good customer perceptions of quality and a high-end experience. Comfort, relaxation, and short-term emotional satisfaction are improved with the help of the offered atmosphere approach. Yet, emotional attachment can be less than at Starbucks, where the interaction is mostly restricted to the physical environment. Although positive experiences are aided by an ambience, a lack of integrated digital and relational strategies can limit deeper attachment development in a longer-term context.</w:t>
      </w:r>
    </w:p>
    <w:p w14:paraId="2D3D25B1">
      <w:pPr>
        <w:pStyle w:val="3"/>
      </w:pPr>
      <w:bookmarkStart w:id="83" w:name="_Toc231245276"/>
      <w:r>
        <w:t>4.7 Summary of Cross-Case Analysis</w:t>
      </w:r>
      <w:bookmarkEnd w:id="83"/>
    </w:p>
    <w:p w14:paraId="10CCC0A5">
      <w:pPr>
        <w:pStyle w:val="4"/>
      </w:pPr>
      <w:bookmarkStart w:id="84" w:name="_Toc231245277"/>
      <w:r>
        <w:t>4.7.1 Common Industry Triggers</w:t>
      </w:r>
      <w:bookmarkEnd w:id="84"/>
    </w:p>
    <w:p w14:paraId="1DDBBC89">
      <w:r>
        <w:t>The cross-case analysis indicates that there are various recurring triggers defining experiential strategies in the coffeehouse industry. The five brands are in a very competitive environment where product quality differentiation is not adequate. The shifting customer demands have raised the requirements of individualised, interactive, and fluent experiences. The need to blend physical and digital touchpoints in order to stay relevant in an omnichannel environment is also increasing.</w:t>
      </w:r>
    </w:p>
    <w:p w14:paraId="572EC9ED">
      <w:pPr>
        <w:pStyle w:val="4"/>
      </w:pPr>
      <w:bookmarkStart w:id="85" w:name="_Toc231245278"/>
      <w:r>
        <w:t>4.7.2 Shared Experiential Marketing Patterns</w:t>
      </w:r>
      <w:bookmarkEnd w:id="85"/>
    </w:p>
    <w:p w14:paraId="11DCA751">
      <w:r>
        <w:t>Patterns of responses are prevalent in the cases. Store design and ambience are used to affect customer perception and behaviour by all brands. Digital platforms and loyalty programmes are being broadly used to increase convenience and engagement. In all the firms, experience-based branding strategies exist that are a combination of sensory signals, service engagement, and accessibility to influence the customer experience.</w:t>
      </w:r>
    </w:p>
    <w:p w14:paraId="149EE302">
      <w:pPr>
        <w:pStyle w:val="4"/>
      </w:pPr>
      <w:bookmarkStart w:id="86" w:name="_Toc231245279"/>
      <w:r>
        <w:t>4.7.3 Strategic Differences Across Brands</w:t>
      </w:r>
      <w:bookmarkEnd w:id="86"/>
    </w:p>
    <w:p w14:paraId="590B9635">
      <w:r>
        <w:t>Nonetheless, there are marked discrepancies in the emphasis of strategy. Starbucks is interested in emotional branding and the third place concept. Costa puts emphasis on operational consistency and convenience. Dunkin underlines the speed and low cost. Tim Hortons utilises the feeling of familiarity and community identity, and Caffé Nero utilises the high-quality atmosphere and caffé culture.</w:t>
      </w:r>
    </w:p>
    <w:p w14:paraId="7C9B150D">
      <w:pPr>
        <w:pStyle w:val="4"/>
      </w:pPr>
      <w:bookmarkStart w:id="87" w:name="_Toc231245280"/>
      <w:r>
        <w:t>4.7.4 Overall Cross-Case Judgement</w:t>
      </w:r>
      <w:bookmarkEnd w:id="87"/>
    </w:p>
    <w:p w14:paraId="2C8E498B">
      <w:r>
        <w:t>A significant connection is formed between performance and execution. Brands that are more articulated and intertwined in terms of experiential strategies are more emotionally engaged. The physical ambience and digital interaction seem crucial in helping to facilitate more profound connections. Starbucks is the most aligned with experiential marketing and emotional brand attachment of the cases.</w:t>
      </w:r>
    </w:p>
    <w:p w14:paraId="69A82E9D">
      <w:pPr>
        <w:pStyle w:val="3"/>
      </w:pPr>
      <w:bookmarkStart w:id="88" w:name="_Toc231245281"/>
      <w:r>
        <w:t>4.8 Chapter Summary</w:t>
      </w:r>
      <w:bookmarkEnd w:id="88"/>
    </w:p>
    <w:p w14:paraId="7411240F">
      <w:r>
        <w:t>This chapter has discussed five case studies on the strategies of experiential marketing within the coffeehouse industry. All brands were characterised by a unique customer experience creation model, including convenience-based and atmosphere-based models. All companies used some elements of the experience; however, the extent and extent of using the strategies differed greatly. The results show that the strength of emotional brand attachment is greater in those cases when experience marketing integrates the elements of ambience, interactivity in services, storytelling, and digital experience in a coherent way. Starbucks had the most holistic and emotionally oriented approach in the cases. These results form the basis of Chapter 5, where the results will be critically discussed concerning the literature reviewed in Chapter 2.</w:t>
      </w:r>
    </w:p>
    <w:p w14:paraId="50A14A49">
      <w:pPr>
        <w:spacing w:after="160" w:line="259" w:lineRule="auto"/>
        <w:jc w:val="left"/>
      </w:pPr>
      <w:r>
        <w:br w:type="page"/>
      </w:r>
    </w:p>
    <w:p w14:paraId="56ABAFA8">
      <w:pPr>
        <w:pStyle w:val="2"/>
      </w:pPr>
      <w:bookmarkStart w:id="89" w:name="_Toc231245282"/>
      <w:r>
        <w:t>Chapter 5: Discussion and Analysis</w:t>
      </w:r>
      <w:bookmarkEnd w:id="89"/>
    </w:p>
    <w:p w14:paraId="137E9168">
      <w:pPr>
        <w:pStyle w:val="3"/>
      </w:pPr>
      <w:bookmarkStart w:id="90" w:name="_Toc231245283"/>
      <w:r>
        <w:t>5.1 Purpose and Positioning</w:t>
      </w:r>
      <w:bookmarkEnd w:id="90"/>
    </w:p>
    <w:p w14:paraId="799D004B">
      <w:r>
        <w:t>This chapter interprets the findings presented in Chapter 4 by analysing them through the theoretical perspectives developed in Chapter 2. Instead of retelling single case stories, the chapter employs a cross-case analysis style to determine trends, correlations and the process mechanisms among the five coffeehouse brands. It is based on the main theoretical frames, such as Experiential Marketing Theory (Schmitt, 2010; 2011), the Brand Experience Model (Brakus, Schmitt and Zarantonello, 2009), Emotional Branding Theory (Saeedi, 2025), and Brand Attachment Theory (Bosmans et al., 2020).</w:t>
      </w:r>
    </w:p>
    <w:p w14:paraId="17214252">
      <w:r>
        <w:t>They are frameworks that can be used to understand the effect of the elements of experiential marketing on the perception of customers, their emotional reactions, and overall relationships with the brand in the long term. The purpose of the chapter is to go beyond descriptive findings by critically assessing the extent to which the empirical evidence can serve as support, extension or challenge to the existing literature.</w:t>
      </w:r>
    </w:p>
    <w:p w14:paraId="71FA0E0A">
      <w:r>
        <w:t>This chapter is thus analytical and not descriptive. It generalises across cases to describe the differences in experiential strategies and their results. The main goal is to investigate the role of experiential marketing in the formation of emotional brand attachment in the coffeehouse industry, and under what conditions this relationship is stronger or weaker.</w:t>
      </w:r>
    </w:p>
    <w:p w14:paraId="20F99610">
      <w:pPr>
        <w:pStyle w:val="3"/>
      </w:pPr>
      <w:bookmarkStart w:id="91" w:name="_Toc231245284"/>
      <w:r>
        <w:t>5.2 Analytical Framework and Logic</w:t>
      </w:r>
      <w:bookmarkEnd w:id="91"/>
    </w:p>
    <w:p w14:paraId="21FEA42E">
      <w:r>
        <w:t>This paper follows the conceptual framework that emerged in Chapter 2, which describes the connection between experiential marketing and emotional brand attachment. Key experiential elements that are independent variables consist of store environment, service interaction, storytelling, and digital engagement. These factors influence the customer perceptions due to sensory, emotional, and cognitive stimuli, which are consistent with experiential marketing theory (Schmitt, 2010).</w:t>
      </w:r>
    </w:p>
    <w:p w14:paraId="40ED2D50">
      <w:r>
        <w:t>Such inputs affect a number of mediating variables such as customer experience, engagement, satisfaction, and trust. According to the previous studies, these factors are also important in determining behavioural and relational outcomes, but they do not necessarily result in emotional attachment (Hollebeek, Glynn and Brodie, 2014). Emotional brand attachment is the final outcome (or dependent variable) that indicates a more profound psychological bond between the consumer and the brand (Boateng et al., 2020).</w:t>
      </w:r>
    </w:p>
    <w:p w14:paraId="65F01D2B">
      <w:r>
        <w:t>The chapter uses a thematic approach to analyse this relationship, which is consistent with the literature review. The discussion is structured in five major themes: experiential marketing and sensory experience, customer experience and integration of the omnichannel, emotional branding and identity connection, engagement versus emotional attachment, and the role of digital experience. This methodology allows for a systematic comparison between theoretical knowledge and empirical results.</w:t>
      </w:r>
    </w:p>
    <w:p w14:paraId="479BE2EC">
      <w:pPr>
        <w:pStyle w:val="3"/>
      </w:pPr>
      <w:bookmarkStart w:id="92" w:name="_Toc231245285"/>
      <w:r>
        <w:t>5.3 Cross-Case Synthesis: Compare and Contrast with Literature</w:t>
      </w:r>
      <w:bookmarkEnd w:id="92"/>
    </w:p>
    <w:p w14:paraId="425D4B94">
      <w:pPr>
        <w:rPr>
          <w:b/>
          <w:bCs/>
        </w:rPr>
      </w:pPr>
      <w:r>
        <w:rPr>
          <w:b/>
          <w:bCs/>
        </w:rPr>
        <w:t>Theme 1: Experiential Marketing and Sensory Experience</w:t>
      </w:r>
    </w:p>
    <w:p w14:paraId="1029506C">
      <w:r>
        <w:t>The literature makes a very strong contribution by placing sensory and experiential factors at the centre of determining consumer perception and behaviour. Experience Marketing Theory emphasises the role of sensory and emotional stimuli in customer reaction using both sense and feel dimensions (Schmitt, 2010; 2011). On the same note, the experience economy school of thought holds that companies fight by creating memorable experiences as opposed to providing products in isolation (Pine and Gilmore, 2014). The Brand Experience Model also supports the fact that affective, behavioural and sensory responses are all factors that influence brand assessment (Brakus, Schmitt and Zarantonello, 2009).</w:t>
      </w:r>
    </w:p>
    <w:p w14:paraId="1BFF090B">
      <w:r>
        <w:t>The theoretical assertions are mostly substantiated by the discoveries made in Chapter 4. The best example of sensory and immersive experience is IBM, where the atmosphere and environment of the store, music, and design are merged to create a unique environment. Caffè Nero, too, depends on the experience, which is created by atmosphere, whereas Costa offers an average amount of sensory experience, as the store design remains constant. Conversely, Dunkin and Tim Hortons are less concerned about sensory immersion and emphasise convenience and habitual consumption.</w:t>
      </w:r>
    </w:p>
    <w:p w14:paraId="220A9B41">
      <w:r>
        <w:t>Nevertheless, the results unveil an essential gap in the literature as well. Although the sensorial experience is evidently a key determinant in perception and satisfaction, it is not always reflected in the emotional connection with a brand. As an illustration, Caffé Nero offers a good sensory environment, but poor attachment performance as compared to Starbucks. This implies that sensory stimulation cannot be used alone in order to form profound psychological connections.</w:t>
      </w:r>
    </w:p>
    <w:p w14:paraId="0BF2BF32">
      <w:r>
        <w:t>Thus, although the results confirm the significance of experiential marketing in influencing customer perception, the results expand the literature showing that sensory experience should be integrated with other relational and emotional factors to create attachment. The most important lesson is that sensory experience serves as a starting point to engagement, but not as a single motivator of emotional brand attachment.</w:t>
      </w:r>
    </w:p>
    <w:p w14:paraId="7A9D8593">
      <w:pPr>
        <w:rPr>
          <w:b/>
          <w:bCs/>
        </w:rPr>
      </w:pPr>
      <w:r>
        <w:rPr>
          <w:b/>
          <w:bCs/>
        </w:rPr>
        <w:t>Theme 2: Customer Experience and Omnichannel Integration</w:t>
      </w:r>
    </w:p>
    <w:p w14:paraId="081A6340">
      <w:r>
        <w:t>The literature on customer experience highlights the significance of whole-person interactions along with several touchpoints. According to Lemon and Verhoff (2016), customer experience is a cumulative journey during pre-purchase, purchase, and post-purchase. Recent literature also emphasises the importance of omnichannel integration and digital and physical interactions in order to increase engagement and satisfaction (Rahman et al., 2025; Chawla, Chawla and Jain, 2024).</w:t>
      </w:r>
    </w:p>
    <w:p w14:paraId="775E31B0">
      <w:r>
        <w:t>These theoretical views are well in line with the empirical findings. Starbucks has been the most integrated with mobile applications, loyalty programmes, and in-store experience, which have been integrated to provide a smooth process. Costa is moderately integrated, where digital tools are used to facilitate convenience, but there is no more in-depth experience. Dunkin’ is interested in functional digital interaction, which mainly increases speed and efficiency. Caffé Nero and Tim Hortons are more restricted in their integration, as they mainly use the physical experiences.</w:t>
      </w:r>
    </w:p>
    <w:p w14:paraId="73A529EA">
      <w:r>
        <w:t>The results affirm that integration of omnichannels enhances customer interaction and convenience. But they also disclose that greater involvement does not always result in emotional attachment. Starbucks, with its combination of digital and physical experiences, has better attachment results. However, Dunkin, though with a high level of digital activity, demonstrates a lower level of emotional attachment.</w:t>
      </w:r>
    </w:p>
    <w:p w14:paraId="2245F550">
      <w:r>
        <w:t>This discrepancy indicates that although omnichannel strategies contribute to customer experience, their success in fostering attachment requires the incorporation of the emotional and symbolic aspects. The important lesson is that the omnichannel integration reinforces the delivery of experience, but cannot be claimed to be emotionally rich unless it is reinforced by a significant brand interaction.</w:t>
      </w:r>
    </w:p>
    <w:p w14:paraId="70E0C8EA">
      <w:pPr>
        <w:rPr>
          <w:b/>
          <w:bCs/>
        </w:rPr>
      </w:pPr>
      <w:r>
        <w:rPr>
          <w:b/>
          <w:bCs/>
        </w:rPr>
        <w:t>Theme 3: Emotional Branding and Identity Connection</w:t>
      </w:r>
    </w:p>
    <w:p w14:paraId="7A88A474">
      <w:r>
        <w:t>The literature on emotional branding focuses on the importance of identity and emotional significance in influencing consumer-brand relationships. According to Emotional Branding Theory, a brand establishes a deep bond between itself and the consumer by affirming to the consumer values and emotions (Saeedi, 2025). Equally, self-brand connection theory emphasises the fact that attachment becomes stronger when consumers feel that the brand identity is aligned with their self-concept (Sayin and Gurhan-Canli, 2024). Attachment theory also adds that such emotional associations repeatedly result in permanent psychological bonds (Bosmans et al., 2020).</w:t>
      </w:r>
    </w:p>
    <w:p w14:paraId="6719E243">
      <w:r>
        <w:t>These views are well supported by the findings. The best example is Starbucks with its idea of third place, which has helped it to make a sense of belonging and identity. This is more than a strategy of functional experience, and it makes the brand a part of the social and emotional lives of customers. Tim Hortons also exhibits aspects of identity-based attachment with community orientation and familiarity.</w:t>
      </w:r>
    </w:p>
    <w:p w14:paraId="670A025F">
      <w:r>
        <w:t>Costa, Dunkin and Caffé Nero, on the contrary, demonstrate less focus on emotional branding. They are more convenience-oriented, efficiency-oriented, or atmosphere-oriented in their strategies and have limited identity-based engagement. Consequently, they do not seem able to produce high levels of emotional attachment.</w:t>
      </w:r>
    </w:p>
    <w:p w14:paraId="0609F525">
      <w:r>
        <w:t>Such results affirm that emotional branding is paramount in changing experiences into attachment. They also contribute to the literature by pointing out that positioning based on identities is one of the major distinguishing factors in the effectiveness of experiential marketing. The lesson here is that emotional branding is not an option, but it is a necessity that builds a strong and enduring relationship between consumers and brands.</w:t>
      </w:r>
    </w:p>
    <w:p w14:paraId="470E3EDE">
      <w:pPr>
        <w:rPr>
          <w:b/>
          <w:bCs/>
        </w:rPr>
      </w:pPr>
      <w:r>
        <w:rPr>
          <w:b/>
          <w:bCs/>
        </w:rPr>
        <w:t>Theme 4: Engagement vs Emotional Attachment</w:t>
      </w:r>
    </w:p>
    <w:p w14:paraId="088EADDB">
      <w:r>
        <w:t>The literature available makes a clear distinction between engagement and emotional attachment. According to Hollebeek, Glynn and Brodie (2014), engagement is a cognitive, emotional, and behavioural interaction with a brand, whereas Khamitov, Thomson and Johnson (2015) believe loyalty is possible without an emotional bond. In a similar manner, Damaschi, Aboueldahab and D’Addario (2025) point out that repetitive behaviour can be a product of habit and not emotional attachment.</w:t>
      </w:r>
    </w:p>
    <w:p w14:paraId="64B070EA">
      <w:r>
        <w:t>These theoretical arguments are strongly supported by the findings. Dunkin’ is a good illustration of strong involvement with less emotional investment. Its convenience-based paradigm promotes frequent communication, but does not have any deeper emotional content. Costa also exhibits repetitive purchase behaviour due to consistency and accessibility as opposed to emotional attachment.</w:t>
      </w:r>
    </w:p>
    <w:p w14:paraId="5FE8B05A">
      <w:r>
        <w:t>Starbucks, on the contrary, manages to integrate both engagement and emotional attachment. Its experience approach combines sensory, relationship and identity-based factors, generating an interaction and emotional richness. Tim Hortons is positioned between the two, where familiarity will lead to loyalty, but not necessarily a strong emotional attachment.</w:t>
      </w:r>
    </w:p>
    <w:p w14:paraId="7CC24362">
      <w:r>
        <w:t>These results support the fact that engagement and attachment are two related constructs that cannot be used interchangeably. The main implication is that engagement is a condition that is necessary but not sufficient for emotional attachment. To have a better relationship, it is necessary that brands are not just interactive but are also emotional in their meaning.</w:t>
      </w:r>
    </w:p>
    <w:p w14:paraId="306D8912">
      <w:pPr>
        <w:pStyle w:val="3"/>
      </w:pPr>
      <w:bookmarkStart w:id="93" w:name="_Toc231245286"/>
      <w:r>
        <w:t>5.4 Integration to Conceptual Model</w:t>
      </w:r>
      <w:bookmarkEnd w:id="93"/>
    </w:p>
    <w:p w14:paraId="75303F05">
      <w:r>
        <w:t>The results are a good indication of a number of relationships that were postulated in the conceptual framework. Across all scenarios, experience marketing always plays a role in customer experience, which proves its importance as a main perception and interaction generator. Engagement is also a result of customer experience, as is reflected through digital platforms and loyalty systems across brands. Nonetheless, the correlation between experience and the emotional brand connection is not homogeneous. It is more powerful in Starbucks, where experiences are immersive, consistent and identity-based, and less in brands that are based on convenience or routine consumption.</w:t>
      </w:r>
    </w:p>
    <w:p w14:paraId="56EE8798">
      <w:r>
        <w:t>The discussion implies significant changes to the model. Experience is mediated by the emotional branding as an essential element that turns experience into attachment. Devoid of emotional meaning or identity congruency, experiences are functional and not relational. Digital interaction is also a moderator, enhancing customer interaction and continuity, yet it does not itself form attachment.</w:t>
      </w:r>
    </w:p>
    <w:p w14:paraId="569FB8B0">
      <w:r>
        <w:t>The results narrow down important propositions. Emotional attachment is not necessarily achieved as a result of experiential marketing. Rather, this process has to be mediated by emotional branding and identity. The integration of omnichannels makes it more engaging and continuous, yet does not ensure attachment on a deeper level without emotional resonance.</w:t>
      </w:r>
    </w:p>
    <w:p w14:paraId="487D1260">
      <w:pPr>
        <w:pStyle w:val="3"/>
      </w:pPr>
      <w:bookmarkStart w:id="94" w:name="_Toc231245287"/>
      <w:r>
        <w:t>5.5 Robustness Considerations</w:t>
      </w:r>
      <w:bookmarkEnd w:id="94"/>
    </w:p>
    <w:p w14:paraId="0136CFEF">
      <w:r>
        <w:t>The research is founded on secondary data and has some drawbacks. There is a possibility of bias in company reports and the business media, especially where positive organisational performance is being presented. Lack of primary data impairs first-hand understanding of customer perceptions and emotional reactions. Also, the coffeehouse industry's focus might limit generalisability to other service industries.</w:t>
      </w:r>
    </w:p>
    <w:p w14:paraId="2ED3BC3F">
      <w:r>
        <w:t>Nevertheless, the research is credible due to the triangulation, where various sources, including academic sources, industry reports, and company data, were used. The analytical validity is enhanced through a cross-case comparison of five brands, as it detects similar patterns and differences. Such actions make the results more reliable regardless of methodological limitations.</w:t>
      </w:r>
    </w:p>
    <w:p w14:paraId="0BE98E1D">
      <w:pPr>
        <w:pStyle w:val="3"/>
      </w:pPr>
      <w:bookmarkStart w:id="95" w:name="_Toc231245288"/>
      <w:r>
        <w:t>5.6 Practical Synthesis (Bridge to Chapter 6)</w:t>
      </w:r>
      <w:bookmarkEnd w:id="95"/>
    </w:p>
    <w:p w14:paraId="19FDA99E">
      <w:r>
        <w:t>The results produce a number of practical implications for organisations aiming at developing emotional brand attachment in the use of experiential marketing. To begin with, experiential strategies should be able to combine sensual, emotional, and digital components to generate significant customer experiences. One-off attempts to design stores or to create technology are inadequate without emotional consistency.</w:t>
      </w:r>
    </w:p>
    <w:p w14:paraId="3360E1A3">
      <w:r>
        <w:t>Second, the concept of emotional branding is the key to long-term loyalty. The closer the brands are to customer identity and values, the higher the chances of them developing a strong attachment. Third, the integration of omnichannel improves interaction, as it makes the touchpoints consistent, though it has to be backed by emotional sense, not by mere convenience.</w:t>
      </w:r>
    </w:p>
    <w:p w14:paraId="26BCF422">
      <w:r>
        <w:t>Fourth, the consistency between physical and digital space enhances brand perception, trust, and builds attachment in the long-term. Lastly, strategies that are speedy and convenient can create repeat behaviour but restrict the opportunities to get emotional.</w:t>
      </w:r>
    </w:p>
    <w:p w14:paraId="39EE8A3D">
      <w:r>
        <w:t>The insights offer managerial suggestions, which will be elaborated in Chapter 6.</w:t>
      </w:r>
    </w:p>
    <w:p w14:paraId="0F3A2C1A">
      <w:pPr>
        <w:pStyle w:val="3"/>
      </w:pPr>
      <w:bookmarkStart w:id="96" w:name="_Toc231245289"/>
      <w:r>
        <w:t>5.7 Chapter Summary</w:t>
      </w:r>
      <w:bookmarkEnd w:id="96"/>
    </w:p>
    <w:p w14:paraId="45BAACD3">
      <w:r>
        <w:t>This chapter has critically analysed the findings in relation to the literature reviewed in Chapter 2. The findings largely confirm the presence of existing theories on experiential marketing, customer experience, and emotional branding, along with adding an extension on the same to emphasise the conditionality of emotional attachment. Through the analysis, it is evident that experiential marketing has the ability to affect customer experience and customer engagement in all instances. Nevertheless, emotional branding and identity alignment can only build emotional brand attachment when supported by experiences. Starbucks can be seen as the most powerful model, with the integration of sensory experience, storytelling, and digitalisation to achieve more emotional bonds. Conversely, brands that are more convenience-oriented demonstrate lower attachment results. In general, the results indicate that experiential marketing is not directly related to emotional attachment but works via mediating and moderating variables. These are the conclusions on which Chapter 6 will be based and present theoretical contributions and managerial implications.</w:t>
      </w:r>
    </w:p>
    <w:p w14:paraId="2D530888">
      <w:pPr>
        <w:spacing w:after="160" w:line="259" w:lineRule="auto"/>
        <w:jc w:val="left"/>
      </w:pPr>
      <w:r>
        <w:br w:type="page"/>
      </w:r>
    </w:p>
    <w:p w14:paraId="66C59462">
      <w:pPr>
        <w:pStyle w:val="2"/>
      </w:pPr>
      <w:bookmarkStart w:id="97" w:name="_Toc231245290"/>
      <w:r>
        <w:t>Chapter 6: Conclusion and Recommendations</w:t>
      </w:r>
      <w:bookmarkEnd w:id="97"/>
    </w:p>
    <w:p w14:paraId="657B1F7F">
      <w:pPr>
        <w:pStyle w:val="3"/>
      </w:pPr>
      <w:bookmarkStart w:id="98" w:name="_Toc231245291"/>
      <w:r>
        <w:t>6.1 Introduction</w:t>
      </w:r>
      <w:bookmarkEnd w:id="98"/>
    </w:p>
    <w:p w14:paraId="3F744006">
      <w:pPr>
        <w:pStyle w:val="4"/>
      </w:pPr>
      <w:bookmarkStart w:id="99" w:name="_Toc231245292"/>
      <w:r>
        <w:t>6.1.1 Purpose of the Chapter</w:t>
      </w:r>
      <w:bookmarkEnd w:id="99"/>
    </w:p>
    <w:p w14:paraId="69C90DCE">
      <w:r>
        <w:t>The dissertation ends with a discussion of the key conclusions regarding experiential marketing's ability to create emotional brand attachment within the coffeehouse industry. It summarises main findings, explains theoretical and management implications, discusses the limitations of the study and suggests directions for further research. The chapter also points out the increasing role of Experience Marketing as a strategic tool to establish a long-term emotional bond in very competitive services.</w:t>
      </w:r>
    </w:p>
    <w:p w14:paraId="612379B1">
      <w:pPr>
        <w:pStyle w:val="4"/>
      </w:pPr>
      <w:bookmarkStart w:id="100" w:name="_Toc231245293"/>
      <w:r>
        <w:t>6.1.2 Research Recap and Analytical Positioning</w:t>
      </w:r>
      <w:bookmarkEnd w:id="100"/>
    </w:p>
    <w:p w14:paraId="29005DAF">
      <w:r>
        <w:t>This study was designed to analyse the effect of experiential marketing on brand attachment emotions of Starbucks. The study was of a secondary qualitative research design with Starbucks as a main case and Costa Coffee, Dunkin', Tim Hortons and Caffè Nero for comparative analysis. In Chapter 5, an analysis of the cross-cases shows how the elements of sensory experience, emotional branding, customer interaction, and digital engagement contribute to the process of attachment formation. Since this chapter gathers together more general analytical findings, it does not restate each finding.</w:t>
      </w:r>
    </w:p>
    <w:p w14:paraId="0E16C903">
      <w:pPr>
        <w:pStyle w:val="4"/>
      </w:pPr>
      <w:bookmarkStart w:id="101" w:name="_Toc231245294"/>
      <w:r>
        <w:t>6.2 Brief Summary of Key Findings</w:t>
      </w:r>
      <w:bookmarkEnd w:id="101"/>
    </w:p>
    <w:p w14:paraId="1B2A21AD">
      <w:r>
        <w:t>The results showed that the use of experiential marketing as a competitive tool is more significant than product differentiation in the coffeehouse segment. Theory of experiential marketing was supported by the sensory environment, storytelling, service interaction and digital engagement that had highly valued effects on customer perceptions and evaluation of the brand. But customer satisfaction and convenience were not strong enough to generate high emotional brand attachment as well, the study reveals. In cases where experiences brought about identity connection, emotional meaning, and psychological belonging, emotional attachment grew stronger (Bosmans et al., 2020).</w:t>
      </w:r>
    </w:p>
    <w:p w14:paraId="3A5ABC6B">
      <w:r>
        <w:t>It could be concluded that Starbucks has the strongest experiential model in the context of the total cases in terms of integrating the elements of physical ambience, personalised interaction, digital ecosystem, third place identity and emotional branding. This resulted in a greater emotional connection than that of Costa Coffee, Dunkin, Tim Hortons or Caffè Nero. Unlike Costa and Dunkin, who were more on the convenience and the motives for efficiency, Tim Hortons were more on crafting community and familiarity, and Caffè Nero on atmosphere and café culture. This lack of emotional attachment was largely because of these chopped-up experiential methods, which resulted in engagement.</w:t>
      </w:r>
    </w:p>
    <w:p w14:paraId="45FB3527">
      <w:r>
        <w:t>Overall, the results revealed that the emotional brand attachment forms when sensory, relational, symbolic, and digital experiences occur simultaneously and regularly at various customer-level touchpoints (Brakus, Schmitt and Zarantonello, 2009).</w:t>
      </w:r>
    </w:p>
    <w:p w14:paraId="65425573">
      <w:pPr>
        <w:pStyle w:val="3"/>
      </w:pPr>
      <w:bookmarkStart w:id="102" w:name="_Toc231245295"/>
      <w:r>
        <w:t>6.3 Theoretical Implications</w:t>
      </w:r>
      <w:bookmarkEnd w:id="102"/>
    </w:p>
    <w:p w14:paraId="3CD5054E">
      <w:pPr>
        <w:pStyle w:val="4"/>
      </w:pPr>
      <w:bookmarkStart w:id="103" w:name="_Toc231245296"/>
      <w:r>
        <w:t>6.3.1 Contribution 1: Extension of Experiential Marketing Theory</w:t>
      </w:r>
      <w:bookmarkEnd w:id="103"/>
    </w:p>
    <w:p w14:paraId="533943B9">
      <w:r>
        <w:t>The results of this study validate Experiential Marketing Theory by demonstrating the effect of sensory and emotional cues on the customer perception in the coffeehouse context. This is in line with Schmitt's conception of experience as sense, feel, think, act and relate (Schmitt, 2010). It also contributes to the development of the Brand Experience Model that defines experience in terms of sensory, affective, intellectual and behavioural reactions to branded stimuli (Brakus, Schmitt and Zarantonello, 2009). The results, however, challenge these theories by demonstrating that emotional brand attachment is not sufficient if based on sensory experiences alone. Caffè Nero created a decent ambience, but their connection with the audience was no match for Starbucks' power. Thus, the kinds of environments that can engender feelings of engagement can do so as well, but it requires symbolic meaning, identity fit and relational continuity. The experiential side of Starbucks was effective not just as several individual “touch points” but as a “spiral of emotions.</w:t>
      </w:r>
    </w:p>
    <w:p w14:paraId="56E7E77F">
      <w:r>
        <w:t>In the next QCT, students will continue their study of engagement versus attachment by clarifying the relationship between the two.</w:t>
      </w:r>
    </w:p>
    <w:p w14:paraId="19A8E46E">
      <w:r>
        <w:t>The study is also valuable because it separates engagement and emotional attachment. The theory of brand engagement includes cognitive, emotional and behavioural involvement (Hollebeek, Glynn and Brodie, 2014). The findings reveal that love is not necessarily romanticism. Their interaction was enabled by both convenience and speed, and by the use of loyalty schemes and digital ordering, and their bond seemed less strong with Costa and Dunkin'. This reinforces loyalty to be possible without causal emotional attachment (Khamitov, Thomson, and Johnson, 2015). Emotional attachment is more complicated, requiring repeated emotional learning and having a level of psychological proximity and identity bond (Bosmans et al., 2020). Thus, this study differentiates satisfaction, engagement, loyalty and emotional attachment from the literature on attachment. They can get the customers to return by offering the repetition of behaviour, but this is not enough; emotional engagement takes place when customers feel they are attached to the brand by a sense of meaning, belonging and personal relevance.</w:t>
      </w:r>
    </w:p>
    <w:p w14:paraId="7F501C02">
      <w:pPr>
        <w:pStyle w:val="4"/>
      </w:pPr>
      <w:bookmarkStart w:id="104" w:name="_Toc231245297"/>
      <w:r>
        <w:t>6.3.3 Contribution 3: Mechanism-Based Understanding of Emotional Attachment Formation</w:t>
      </w:r>
      <w:bookmarkEnd w:id="104"/>
    </w:p>
    <w:p w14:paraId="3F4F86F1">
      <w:r>
        <w:t>Another theoretical area to advance is the mechanisms by which experiential marketing can turn into emotional attachment. It is found that attachment is not the result of exposure to experience. Rather, it emerges through a process of sensory immersion, storytelling, community feeling, service interaction and omnichannel continuity. This aligns with the feeling of the theory of emotional branding that states brands can establish stronger relationships by reference to consumer values and emotions (Saeedi, 2025). This also aligns with the self-brand connection theory, which suggests that loyalty increases when the brand is congruent with the consumers' self-representations (Sayin and Gurhan-Canli, 2024). The product development is manifested as Starbucks' third place, ethical sourcing stories, personalised service, and personalised mobile ecosystem. These contained moments of emotional interpretation, and not only functional use. These findings expand upon the theory of attachment, as they demonstrate the incremental nature of attachment, developing progressively and through the emotionally meaningfulness of interactions (Bosmans et al., 2020). The concept of experienced learning being meaningful in one's personal and social life before its becoming attachment is so important.</w:t>
      </w:r>
    </w:p>
    <w:p w14:paraId="17474E2A">
      <w:pPr>
        <w:pStyle w:val="4"/>
      </w:pPr>
      <w:bookmarkStart w:id="105" w:name="_Toc231245298"/>
      <w:r>
        <w:t>6.3.4 Contribution 4: Refinement of the Conceptual Framework</w:t>
      </w:r>
      <w:bookmarkEnd w:id="105"/>
    </w:p>
    <w:p w14:paraId="24894F0A">
      <w:r>
        <w:t>In Chapter 5, the conceptualisation of experiential marketing in Chapter 2 was further elaborated with the realisation that emotional attachment is by no means a straightforward effect of experiential marketing. Some of the mediators that showed up were customer experience and engagement, satisfaction, and trust. This is in line with the theory of the customer journey, which describes experience as a series of experiences through various touch points (Lemon and Verhoef, 2016). But the results also indicate that these are minimal in the absence of emotional branding and identity connection. While omnichannel integration thrived in the experience delivery, emotional branding proved key in deciding attachment. This builds on research into how digital and physical experience integration can enhance interaction but not emotional connection, with digital engagement only having a positive impact on interaction and not establishing emotional engagement (Rahman et al., 2025). The results consequently indicate that there is a moderating effect between the experiences and attachment, namely the factor of identity connection. The clean format is the easiest to transfer to other industries like hospitality, retail, lifestyle brands and services where the customer comes into contact with the business on multiple occasions. In this overall perspective, the study adds an integrated perspective on experiential marketing in service-like contexts in becoming emotionally meaningful.</w:t>
      </w:r>
    </w:p>
    <w:p w14:paraId="42A9F1F3">
      <w:pPr>
        <w:pStyle w:val="3"/>
      </w:pPr>
      <w:bookmarkStart w:id="106" w:name="_Toc231245299"/>
      <w:r>
        <w:t>6.4 Managerial Implications</w:t>
      </w:r>
      <w:bookmarkEnd w:id="106"/>
    </w:p>
    <w:p w14:paraId="0CB3BD6A">
      <w:r>
        <w:t>As a manager, establishing integrated experiential ecosystems is much more important than shopping aside from the design, service, storytelling and digital engagement. When physical ambience, personalised service, brand stories and mobile engagement all have the same brand meaning, the emotional connection grows stronger, as demonstrated in the Starbucks case. This further suggests that customer experience is episodic over touchpoints (Lemon and Verhoef, 2016). This is why managers must have the store atmosphere, the loyalty app and the employee training and communication – working together on one emotional promise! Some of the metrics that are useful include the number of people interacting with your website, the number of visits to your mobile app, repeat visits and emotional sentiment scores.</w:t>
      </w:r>
    </w:p>
    <w:p w14:paraId="66763F95">
      <w:r>
        <w:t>Emotional branding should be the point of a manager's interest, alongside functional convenience. Convenience proved to be related to repeat purchase, as Costa and Dunkin demonstrated, but it was not necessarily a driver of weeks-long loyalty. This proves that loyalty can occur without emotional ties (Khamitov, Thomson and Johnson, 2015). Coffeehouse brands should appeal to a sense of moral obligation and tie them to community campaigns, lifestyle positioning to build identity-based meaning. There are various KPIs in the list of metrics that brand advocacy, sentiment and emotional engagement on social media should be included.</w:t>
      </w:r>
    </w:p>
    <w:p w14:paraId="61721A2F">
      <w:r>
        <w:t>This should be regarded as a strategic experiential asset when dealing with employees and customers. People living in the trenches are not just providers; they create emotional memories. Individual communication, individual recognition and warmth in service can support the quality of the relationship. This is crucial as attachments do not form from single experiences of satisfaction, but by repeated emotional connections (Bosmans et al., 2020). Investing in service training, employees' communication skills and use of personalisation, measured using satisfaction scores, service ratings, retention and employee engagement, is important for managers.</w:t>
      </w:r>
    </w:p>
    <w:p w14:paraId="71635BDB">
      <w:r>
        <w:t>The emotional should be expanded with digital platforms — it shouldn't simply be improved. Apps, even with a rewards program and AI recommendations, can help with continuity off the store, but not be mechanical. So early digital engagement should be not only convenient, but also relevant to each individual; it should increase community engagement and recognise people's emotions. Indicators should consist of app engagement, loyalty participation, digital conversion and repeat purchasing behaviour.</w:t>
      </w:r>
    </w:p>
    <w:p w14:paraId="0BC7D826">
      <w:r>
        <w:t>Finally, community and belonging strategies must be developed by managers. Strengthening identity alignment and identity attachment will be strengthened through strengthening local events, social spaces and community engagement. The third-place model suggests that SB customers got more attached when they made the brand how they identified themselves and their identity with others socially. Thus, along with the sale, the measurement of emotional loyalty, community engagement and customer advocacy should be performed.</w:t>
      </w:r>
    </w:p>
    <w:p w14:paraId="0CBBD963">
      <w:pPr>
        <w:pStyle w:val="3"/>
      </w:pPr>
      <w:bookmarkStart w:id="107" w:name="_Toc231245300"/>
      <w:r>
        <w:t>6.5 Limitations and Directions for Future Research</w:t>
      </w:r>
      <w:bookmarkEnd w:id="107"/>
    </w:p>
    <w:p w14:paraId="1D8F6B8E">
      <w:r>
        <w:t>There are some limitations in this study. This was based on secondary qualitative data, meaning that product or organisational bias may present itself in some company sources. Emotional attachment, too, is a subject and hard to measure accurately without customer evidence. The study solely looks at coffeehouse brands, which restricts the scope of generalisations outside of the fields of hospitality and experiential retailing. The material for cross-case comparison was not interviews or surveys, but was based on the publicly available material. Thus, it is unclear if causal relationships between experiential marketing and attachment can be fully established in an interpretivist qualitative design.</w:t>
      </w:r>
    </w:p>
    <w:p w14:paraId="221DF018">
      <w:r>
        <w:t>Interviews, surveys or mixed methods could be utilised in future studies to actually capture customer feelings. Tests could be administered in the same subjects over extended periods to investigate the nature of developmental changes in attachment. Additional research across industries would determine if the study results can be applied to other coffee brands. Other subjects for further research may include the aspects of cultural differences, immersive technologies, digital communities, and AI personalisation in emotional branding. The mediating role of engagement, trust, satisfaction and identity alignment could be examined through quantitative modelling.</w:t>
      </w:r>
    </w:p>
    <w:p w14:paraId="71908376">
      <w:pPr>
        <w:pStyle w:val="3"/>
      </w:pPr>
      <w:bookmarkStart w:id="108" w:name="_Toc231245301"/>
      <w:r>
        <w:t>6.6 Closing Statement</w:t>
      </w:r>
      <w:bookmarkEnd w:id="108"/>
    </w:p>
    <w:p w14:paraId="50102F4A">
      <w:r>
        <w:t>Based on this dissertation, it can be concluded that experiential marketing can be used as one of the strategic mechanisms for creating emotional brand attachment. The analysis reveals that attachment can be best promoted when sensory, relational, symbolic and digital experiences are consistently integrated. Starbucks, in particular, provided the most complete model of the experiential, as described by the various brands examined. In sum, experience marketing isn't about just a promotion anymore, but a means to long-term relationship building in today's experience economy.</w:t>
      </w:r>
    </w:p>
    <w:p w14:paraId="5CDA5CAF">
      <w:pPr>
        <w:spacing w:after="160" w:line="259" w:lineRule="auto"/>
        <w:jc w:val="left"/>
      </w:pPr>
      <w:r>
        <w:br w:type="page"/>
      </w:r>
    </w:p>
    <w:p w14:paraId="40228722">
      <w:pPr>
        <w:pStyle w:val="2"/>
      </w:pPr>
      <w:bookmarkStart w:id="109" w:name="_Toc231245302"/>
      <w:r>
        <w:t>References</w:t>
      </w:r>
      <w:bookmarkEnd w:id="109"/>
    </w:p>
    <w:p w14:paraId="1AEE3B54">
      <w:pPr>
        <w:rPr>
          <w:shd w:val="clear" w:color="auto" w:fill="FFFFFF"/>
        </w:rPr>
      </w:pPr>
      <w:r>
        <w:rPr>
          <w:shd w:val="clear" w:color="auto" w:fill="FFFFFF"/>
        </w:rPr>
        <w:t xml:space="preserve">Adams, J., Khan, H.T. and Raeside, R. (2014) </w:t>
      </w:r>
      <w:r>
        <w:rPr>
          <w:i/>
          <w:iCs/>
          <w:shd w:val="clear" w:color="auto" w:fill="FFFFFF"/>
        </w:rPr>
        <w:t>Research methods for business and social science students</w:t>
      </w:r>
      <w:r>
        <w:rPr>
          <w:shd w:val="clear" w:color="auto" w:fill="FFFFFF"/>
        </w:rPr>
        <w:t>. London: Sage.</w:t>
      </w:r>
    </w:p>
    <w:p w14:paraId="4066D16B">
      <w:r>
        <w:rPr>
          <w:lang w:val="en-US"/>
        </w:rPr>
        <w:t xml:space="preserve">Akash Raskar (2025). </w:t>
      </w:r>
      <w:r>
        <w:rPr>
          <w:i/>
          <w:iCs/>
          <w:lang w:val="en-US"/>
        </w:rPr>
        <w:t>Coffee Shop Market Growth Trends and Forecast 2023-2029</w:t>
      </w:r>
      <w:r>
        <w:rPr>
          <w:lang w:val="en-US"/>
        </w:rPr>
        <w:t xml:space="preserve">. [online] Available at: </w:t>
      </w:r>
      <w:r>
        <w:fldChar w:fldCharType="begin"/>
      </w:r>
      <w:r>
        <w:instrText xml:space="preserve"> HYPERLINK "https://www.researchgate.net/publication/389601724_Coffee_Shop_Market_Growth_Trends_and_Forecast_2023-2029" </w:instrText>
      </w:r>
      <w:r>
        <w:fldChar w:fldCharType="separate"/>
      </w:r>
      <w:r>
        <w:rPr>
          <w:rStyle w:val="17"/>
          <w:lang w:val="en-US"/>
        </w:rPr>
        <w:t>https://www.researchgate.net/publication/389601724_Coffee_Shop_Market_Growth_Trends_and_Forecast_2023-2029</w:t>
      </w:r>
      <w:r>
        <w:rPr>
          <w:rStyle w:val="17"/>
          <w:lang w:val="en-US"/>
        </w:rPr>
        <w:fldChar w:fldCharType="end"/>
      </w:r>
      <w:r>
        <w:rPr>
          <w:lang w:val="en-US"/>
        </w:rPr>
        <w:t>.</w:t>
      </w:r>
    </w:p>
    <w:p w14:paraId="437CCFC9">
      <w:pPr>
        <w:rPr>
          <w:lang w:val="en-US"/>
        </w:rPr>
      </w:pPr>
      <w:r>
        <w:rPr>
          <w:lang w:val="en-US"/>
        </w:rPr>
        <w:t xml:space="preserve">Asghar Ali, M., Ting, D.H., Salim, L. and Ahmad-Ur-Rehman, M. (2021). Influence of servicescape on behavioural intentions through mediation and moderation effects: A study on Malaysia’s full-service restaurants. </w:t>
      </w:r>
      <w:r>
        <w:rPr>
          <w:i/>
          <w:iCs/>
          <w:lang w:val="en-US"/>
        </w:rPr>
        <w:t>Cogent Business &amp; Management</w:t>
      </w:r>
      <w:r>
        <w:rPr>
          <w:lang w:val="en-US"/>
        </w:rPr>
        <w:t>, 8(1). doi:</w:t>
      </w:r>
      <w:r>
        <w:fldChar w:fldCharType="begin"/>
      </w:r>
      <w:r>
        <w:instrText xml:space="preserve"> HYPERLINK "https://doi.org/10.1080/23311975.2021.1924923" </w:instrText>
      </w:r>
      <w:r>
        <w:fldChar w:fldCharType="separate"/>
      </w:r>
      <w:r>
        <w:rPr>
          <w:rStyle w:val="17"/>
          <w:lang w:val="en-US"/>
        </w:rPr>
        <w:t>https://doi.org/10.1080/23311975.2021.1924923</w:t>
      </w:r>
      <w:r>
        <w:rPr>
          <w:rStyle w:val="17"/>
          <w:lang w:val="en-US"/>
        </w:rPr>
        <w:fldChar w:fldCharType="end"/>
      </w:r>
      <w:r>
        <w:rPr>
          <w:lang w:val="en-US"/>
        </w:rPr>
        <w:t>.</w:t>
      </w:r>
    </w:p>
    <w:p w14:paraId="263C2AA9">
      <w:pPr>
        <w:rPr>
          <w:lang w:val="en-US"/>
        </w:rPr>
      </w:pPr>
      <w:r>
        <w:rPr>
          <w:lang w:val="en-US"/>
        </w:rPr>
        <w:t xml:space="preserve">Asyhari, M.D. and Dermawan, R. (2024). The Influence of Experiential Marketing and Emotional Marketing on Customer Loyalty at Starbucks Jemursari. </w:t>
      </w:r>
      <w:r>
        <w:rPr>
          <w:i/>
          <w:iCs/>
          <w:lang w:val="en-US"/>
        </w:rPr>
        <w:t>International Journal of Economics (IJEC)</w:t>
      </w:r>
      <w:r>
        <w:rPr>
          <w:lang w:val="en-US"/>
        </w:rPr>
        <w:t>, [online] 3(1), pp.251–259. doi:</w:t>
      </w:r>
      <w:r>
        <w:fldChar w:fldCharType="begin"/>
      </w:r>
      <w:r>
        <w:instrText xml:space="preserve"> HYPERLINK "https://doi.org/10.55299/ijec.v3i1.727" </w:instrText>
      </w:r>
      <w:r>
        <w:fldChar w:fldCharType="separate"/>
      </w:r>
      <w:r>
        <w:rPr>
          <w:rStyle w:val="17"/>
          <w:lang w:val="en-US"/>
        </w:rPr>
        <w:t>https://doi.org/10.55299/ijec.v3i1.727</w:t>
      </w:r>
      <w:r>
        <w:rPr>
          <w:rStyle w:val="17"/>
          <w:lang w:val="en-US"/>
        </w:rPr>
        <w:fldChar w:fldCharType="end"/>
      </w:r>
      <w:r>
        <w:rPr>
          <w:lang w:val="en-US"/>
        </w:rPr>
        <w:t>.</w:t>
      </w:r>
    </w:p>
    <w:p w14:paraId="6D3D6AA9">
      <w:pPr>
        <w:rPr>
          <w:lang w:val="en-US"/>
        </w:rPr>
      </w:pPr>
      <w:r>
        <w:rPr>
          <w:lang w:val="en-US"/>
        </w:rPr>
        <w:t xml:space="preserve">Beal, J. (2024). </w:t>
      </w:r>
      <w:r>
        <w:rPr>
          <w:i/>
          <w:iCs/>
          <w:lang w:val="en-US"/>
        </w:rPr>
        <w:t>What Are Third Places and Why Do They Matter?</w:t>
      </w:r>
      <w:r>
        <w:rPr>
          <w:lang w:val="en-US"/>
        </w:rPr>
        <w:t xml:space="preserve"> [online] Albert Shanker Institute. Available at: </w:t>
      </w:r>
      <w:r>
        <w:fldChar w:fldCharType="begin"/>
      </w:r>
      <w:r>
        <w:instrText xml:space="preserve"> HYPERLINK "https://www.shankerinstitute.org/blog/what-are-third-places-and-why-do-they-matter" </w:instrText>
      </w:r>
      <w:r>
        <w:fldChar w:fldCharType="separate"/>
      </w:r>
      <w:r>
        <w:rPr>
          <w:rStyle w:val="17"/>
          <w:lang w:val="en-US"/>
        </w:rPr>
        <w:t>https://www.shankerinstitute.org/blog/what-are-third-places-and-why-do-they-matter</w:t>
      </w:r>
      <w:r>
        <w:rPr>
          <w:rStyle w:val="17"/>
          <w:lang w:val="en-US"/>
        </w:rPr>
        <w:fldChar w:fldCharType="end"/>
      </w:r>
      <w:r>
        <w:rPr>
          <w:lang w:val="en-US"/>
        </w:rPr>
        <w:t>.</w:t>
      </w:r>
    </w:p>
    <w:p w14:paraId="592CF3BA">
      <w:pPr>
        <w:rPr>
          <w:lang w:val="en-US"/>
        </w:rPr>
      </w:pPr>
      <w:r>
        <w:rPr>
          <w:lang w:val="en-US"/>
        </w:rPr>
        <w:t xml:space="preserve">Ben-Ze’ev, A. (2015). Satisfaction and Commitment in Long-Term Heterosexual Relationships. </w:t>
      </w:r>
      <w:r>
        <w:rPr>
          <w:i/>
          <w:iCs/>
          <w:lang w:val="en-US"/>
        </w:rPr>
        <w:t>Elsevier eBooks</w:t>
      </w:r>
      <w:r>
        <w:rPr>
          <w:lang w:val="en-US"/>
        </w:rPr>
        <w:t>, pp.912–917. doi:</w:t>
      </w:r>
      <w:r>
        <w:fldChar w:fldCharType="begin"/>
      </w:r>
      <w:r>
        <w:instrText xml:space="preserve"> HYPERLINK "https://doi.org/10.1016/b978-0-08-097086-8.35035-8" </w:instrText>
      </w:r>
      <w:r>
        <w:fldChar w:fldCharType="separate"/>
      </w:r>
      <w:r>
        <w:rPr>
          <w:rStyle w:val="17"/>
          <w:lang w:val="en-US"/>
        </w:rPr>
        <w:t>https://doi.org/10.1016/b978-0-08-097086-8.35035-8</w:t>
      </w:r>
      <w:r>
        <w:rPr>
          <w:rStyle w:val="17"/>
          <w:lang w:val="en-US"/>
        </w:rPr>
        <w:fldChar w:fldCharType="end"/>
      </w:r>
      <w:r>
        <w:rPr>
          <w:lang w:val="en-US"/>
        </w:rPr>
        <w:t>.</w:t>
      </w:r>
    </w:p>
    <w:p w14:paraId="2C8F0B47">
      <w:pPr>
        <w:rPr>
          <w:lang w:val="en-US"/>
        </w:rPr>
      </w:pPr>
      <w:r>
        <w:rPr>
          <w:lang w:val="en-US"/>
        </w:rPr>
        <w:t xml:space="preserve">Boateng, H., Kosiba, J.P., Adam, D.R., Ofori, K.S. and Okoe, A.F. (2020). Examining brand loyalty from an attachment theory perspective. </w:t>
      </w:r>
      <w:r>
        <w:rPr>
          <w:i/>
          <w:iCs/>
          <w:lang w:val="en-US"/>
        </w:rPr>
        <w:t>Marketing Intelligence &amp; Planning</w:t>
      </w:r>
      <w:r>
        <w:rPr>
          <w:lang w:val="en-US"/>
        </w:rPr>
        <w:t>, 38(4), pp.479–494. doi:</w:t>
      </w:r>
      <w:r>
        <w:fldChar w:fldCharType="begin"/>
      </w:r>
      <w:r>
        <w:instrText xml:space="preserve"> HYPERLINK "https://doi.org/10.1108/mip-03-2019-0161" </w:instrText>
      </w:r>
      <w:r>
        <w:fldChar w:fldCharType="separate"/>
      </w:r>
      <w:r>
        <w:rPr>
          <w:rStyle w:val="17"/>
          <w:lang w:val="en-US"/>
        </w:rPr>
        <w:t>https://doi.org/10.1108/mip-03-2019-0161</w:t>
      </w:r>
      <w:r>
        <w:rPr>
          <w:rStyle w:val="17"/>
          <w:lang w:val="en-US"/>
        </w:rPr>
        <w:fldChar w:fldCharType="end"/>
      </w:r>
      <w:r>
        <w:rPr>
          <w:lang w:val="en-US"/>
        </w:rPr>
        <w:t>.</w:t>
      </w:r>
    </w:p>
    <w:p w14:paraId="06B05B11">
      <w:pPr>
        <w:rPr>
          <w:lang w:val="en-US"/>
        </w:rPr>
      </w:pPr>
      <w:r>
        <w:rPr>
          <w:lang w:val="en-US"/>
        </w:rPr>
        <w:t xml:space="preserve">Bosmans, G., Bakermans-Kranenburg, M.J., Vervliet, B., Verhees, M.W.F.T. and van IJzendoorn, M.H. (2020). A learning theory of attachment: Unraveling the black box of attachment development. </w:t>
      </w:r>
      <w:r>
        <w:rPr>
          <w:i/>
          <w:iCs/>
          <w:lang w:val="en-US"/>
        </w:rPr>
        <w:t>Neuroscience &amp; Biobehavioral Reviews</w:t>
      </w:r>
      <w:r>
        <w:rPr>
          <w:lang w:val="en-US"/>
        </w:rPr>
        <w:t xml:space="preserve">, [online] 113, pp.287–298. Available at: </w:t>
      </w:r>
      <w:r>
        <w:fldChar w:fldCharType="begin"/>
      </w:r>
      <w:r>
        <w:instrText xml:space="preserve"> HYPERLINK "https://www.sciencedirect.com/science/article/pii/S0149763419310127" </w:instrText>
      </w:r>
      <w:r>
        <w:fldChar w:fldCharType="separate"/>
      </w:r>
      <w:r>
        <w:rPr>
          <w:rStyle w:val="17"/>
          <w:lang w:val="en-US"/>
        </w:rPr>
        <w:t>https://www.sciencedirect.com/science/article/pii/S0149763419310127</w:t>
      </w:r>
      <w:r>
        <w:rPr>
          <w:rStyle w:val="17"/>
          <w:lang w:val="en-US"/>
        </w:rPr>
        <w:fldChar w:fldCharType="end"/>
      </w:r>
      <w:r>
        <w:rPr>
          <w:lang w:val="en-US"/>
        </w:rPr>
        <w:t>.</w:t>
      </w:r>
    </w:p>
    <w:p w14:paraId="0E0EB30E">
      <w:pPr>
        <w:rPr>
          <w:lang w:val="en-US"/>
        </w:rPr>
      </w:pPr>
      <w:r>
        <w:rPr>
          <w:lang w:val="en-US"/>
        </w:rPr>
        <w:t xml:space="preserve">Brakus, J.J., Schmitt, B.H. and Zarantonello, L. (2009). Brand Experience: What Is It? How Is It Measured? Does It Affect Loyalty? </w:t>
      </w:r>
      <w:r>
        <w:rPr>
          <w:i/>
          <w:iCs/>
          <w:lang w:val="en-US"/>
        </w:rPr>
        <w:t>Journal of Marketing</w:t>
      </w:r>
      <w:r>
        <w:rPr>
          <w:lang w:val="en-US"/>
        </w:rPr>
        <w:t>, [online] 73(3), pp.52–68. doi:</w:t>
      </w:r>
      <w:r>
        <w:fldChar w:fldCharType="begin"/>
      </w:r>
      <w:r>
        <w:instrText xml:space="preserve"> HYPERLINK "https://doi.org/10.1509/jmkg.73.3.052" </w:instrText>
      </w:r>
      <w:r>
        <w:fldChar w:fldCharType="separate"/>
      </w:r>
      <w:r>
        <w:rPr>
          <w:rStyle w:val="17"/>
          <w:lang w:val="en-US"/>
        </w:rPr>
        <w:t>https://doi.org/10.1509/jmkg.73.3.052</w:t>
      </w:r>
      <w:r>
        <w:rPr>
          <w:rStyle w:val="17"/>
          <w:lang w:val="en-US"/>
        </w:rPr>
        <w:fldChar w:fldCharType="end"/>
      </w:r>
      <w:r>
        <w:rPr>
          <w:lang w:val="en-US"/>
        </w:rPr>
        <w:t>.</w:t>
      </w:r>
    </w:p>
    <w:p w14:paraId="4F6D38E5">
      <w:pPr>
        <w:rPr>
          <w:lang w:val="en-US"/>
        </w:rPr>
      </w:pPr>
      <w:r>
        <w:rPr>
          <w:lang w:val="en-US"/>
        </w:rPr>
        <w:t xml:space="preserve">Chawla, P., Chawla, M. and Jain, A. (2024). Omni-Channel Strategies Integrating Digital and Physical Experiences. </w:t>
      </w:r>
      <w:r>
        <w:rPr>
          <w:i/>
          <w:iCs/>
          <w:lang w:val="en-US"/>
        </w:rPr>
        <w:t>Advances in logistics, operations, and management science book series</w:t>
      </w:r>
      <w:r>
        <w:rPr>
          <w:lang w:val="en-US"/>
        </w:rPr>
        <w:t>, [online] pp.279–292. doi:</w:t>
      </w:r>
      <w:r>
        <w:fldChar w:fldCharType="begin"/>
      </w:r>
      <w:r>
        <w:instrText xml:space="preserve"> HYPERLINK "https://doi.org/10.4018/979-8-3693-7620-1.ch013" </w:instrText>
      </w:r>
      <w:r>
        <w:fldChar w:fldCharType="separate"/>
      </w:r>
      <w:r>
        <w:rPr>
          <w:rStyle w:val="17"/>
          <w:lang w:val="en-US"/>
        </w:rPr>
        <w:t>https://doi.org/10.4018/979-8-3693-7620-1.ch013</w:t>
      </w:r>
      <w:r>
        <w:rPr>
          <w:rStyle w:val="17"/>
          <w:lang w:val="en-US"/>
        </w:rPr>
        <w:fldChar w:fldCharType="end"/>
      </w:r>
      <w:r>
        <w:rPr>
          <w:lang w:val="en-US"/>
        </w:rPr>
        <w:t>.</w:t>
      </w:r>
    </w:p>
    <w:p w14:paraId="2C2C8EDF">
      <w:pPr>
        <w:rPr>
          <w:lang w:val="en-US"/>
        </w:rPr>
      </w:pPr>
      <w:r>
        <w:rPr>
          <w:lang w:val="en-US"/>
        </w:rPr>
        <w:t xml:space="preserve">Clement, M. and Sheriffdeen Kayode (2025). </w:t>
      </w:r>
      <w:r>
        <w:rPr>
          <w:i/>
          <w:iCs/>
          <w:lang w:val="en-US"/>
        </w:rPr>
        <w:t>The Role of Emotional Satisfaction in Building Long-Term Loyalty Among Luxury Consumers</w:t>
      </w:r>
      <w:r>
        <w:rPr>
          <w:lang w:val="en-US"/>
        </w:rPr>
        <w:t xml:space="preserve">. [online] ResearchGate. Available at: </w:t>
      </w:r>
      <w:r>
        <w:fldChar w:fldCharType="begin"/>
      </w:r>
      <w:r>
        <w:instrText xml:space="preserve"> HYPERLINK "https://www.researchgate.net/publication/400280523_The_Role_of_Emotional_Satisfaction_in_Building_Long-Term_Loyalty_Among_Luxury_Consumers" </w:instrText>
      </w:r>
      <w:r>
        <w:fldChar w:fldCharType="separate"/>
      </w:r>
      <w:r>
        <w:rPr>
          <w:rStyle w:val="17"/>
          <w:lang w:val="en-US"/>
        </w:rPr>
        <w:t>https://www.researchgate.net/publication/400280523_The_Role_of_Emotional_Satisfaction_in_Building_Long-Term_Loyalty_Among_Luxury_Consumers</w:t>
      </w:r>
      <w:r>
        <w:rPr>
          <w:rStyle w:val="17"/>
          <w:lang w:val="en-US"/>
        </w:rPr>
        <w:fldChar w:fldCharType="end"/>
      </w:r>
      <w:r>
        <w:rPr>
          <w:lang w:val="en-US"/>
        </w:rPr>
        <w:t>.</w:t>
      </w:r>
    </w:p>
    <w:p w14:paraId="4471C725">
      <w:pPr>
        <w:rPr>
          <w:lang w:val="en-US"/>
        </w:rPr>
      </w:pPr>
      <w:r>
        <w:rPr>
          <w:lang w:val="en-US"/>
        </w:rPr>
        <w:t xml:space="preserve">Damaschi, G., Aboueldahab, A. and D’Addario, M. (2025). Decomposing Brand Loyalty: An Examination of Loyalty Subcomponents, Product Price Range, Consumer Personality, and Willingness to Pay. </w:t>
      </w:r>
      <w:r>
        <w:rPr>
          <w:i/>
          <w:iCs/>
          <w:lang w:val="en-US"/>
        </w:rPr>
        <w:t>Behavioral Sciences</w:t>
      </w:r>
      <w:r>
        <w:rPr>
          <w:lang w:val="en-US"/>
        </w:rPr>
        <w:t>, 15(2), pp.189–189. doi:</w:t>
      </w:r>
      <w:r>
        <w:fldChar w:fldCharType="begin"/>
      </w:r>
      <w:r>
        <w:instrText xml:space="preserve"> HYPERLINK "https://doi.org/10.3390/bs15020189" </w:instrText>
      </w:r>
      <w:r>
        <w:fldChar w:fldCharType="separate"/>
      </w:r>
      <w:r>
        <w:rPr>
          <w:rStyle w:val="17"/>
          <w:lang w:val="en-US"/>
        </w:rPr>
        <w:t>https://doi.org/10.3390/bs15020189</w:t>
      </w:r>
      <w:r>
        <w:rPr>
          <w:rStyle w:val="17"/>
          <w:lang w:val="en-US"/>
        </w:rPr>
        <w:fldChar w:fldCharType="end"/>
      </w:r>
      <w:r>
        <w:rPr>
          <w:lang w:val="en-US"/>
        </w:rPr>
        <w:t>.</w:t>
      </w:r>
    </w:p>
    <w:p w14:paraId="5BF1B0E1">
      <w:pPr>
        <w:rPr>
          <w:lang w:val="en-US"/>
        </w:rPr>
      </w:pPr>
      <w:r>
        <w:rPr>
          <w:lang w:val="en-US"/>
        </w:rPr>
        <w:t xml:space="preserve">Deng, X., Chen, J. and Zhao, Y. (2023). Mediation effects of positive and negative affect on the relationship between emotional intelligence and life satisfaction in rural school teachers. </w:t>
      </w:r>
      <w:r>
        <w:rPr>
          <w:i/>
          <w:iCs/>
          <w:lang w:val="en-US"/>
        </w:rPr>
        <w:t>Frontiers in Psychology</w:t>
      </w:r>
      <w:r>
        <w:rPr>
          <w:lang w:val="en-US"/>
        </w:rPr>
        <w:t>, 14. doi:</w:t>
      </w:r>
      <w:r>
        <w:fldChar w:fldCharType="begin"/>
      </w:r>
      <w:r>
        <w:instrText xml:space="preserve"> HYPERLINK "https://doi.org/10.3389/fpsyg.2023.1129692" </w:instrText>
      </w:r>
      <w:r>
        <w:fldChar w:fldCharType="separate"/>
      </w:r>
      <w:r>
        <w:rPr>
          <w:rStyle w:val="17"/>
          <w:lang w:val="en-US"/>
        </w:rPr>
        <w:t>https://doi.org/10.3389/fpsyg.2023.1129692</w:t>
      </w:r>
      <w:r>
        <w:rPr>
          <w:rStyle w:val="17"/>
          <w:lang w:val="en-US"/>
        </w:rPr>
        <w:fldChar w:fldCharType="end"/>
      </w:r>
      <w:r>
        <w:rPr>
          <w:lang w:val="en-US"/>
        </w:rPr>
        <w:t>.</w:t>
      </w:r>
    </w:p>
    <w:p w14:paraId="39586EA1">
      <w:pPr>
        <w:rPr>
          <w:lang w:val="en-US"/>
        </w:rPr>
      </w:pPr>
      <w:r>
        <w:rPr>
          <w:lang w:val="en-US"/>
        </w:rPr>
        <w:t xml:space="preserve">Hollebeek, L.D., Glynn, M. and Brodie, R.J. (2014). </w:t>
      </w:r>
      <w:r>
        <w:rPr>
          <w:i/>
          <w:iCs/>
          <w:lang w:val="en-US"/>
        </w:rPr>
        <w:t>Consumer Brand Engagement in Social Media: Conceptualization, Scale Development and Validation</w:t>
      </w:r>
      <w:r>
        <w:rPr>
          <w:lang w:val="en-US"/>
        </w:rPr>
        <w:t xml:space="preserve">. [online] ResearchGate. Available at: </w:t>
      </w:r>
      <w:r>
        <w:fldChar w:fldCharType="begin"/>
      </w:r>
      <w:r>
        <w:instrText xml:space="preserve"> HYPERLINK "https://www.researchgate.net/publication/261954273_Consumer_Brand_Engagement_in_Social_Media_Conceptualization_Scale_Development_and_Validation" </w:instrText>
      </w:r>
      <w:r>
        <w:fldChar w:fldCharType="separate"/>
      </w:r>
      <w:r>
        <w:rPr>
          <w:rStyle w:val="17"/>
          <w:lang w:val="en-US"/>
        </w:rPr>
        <w:t>https://www.researchgate.net/publication/261954273_Consumer_Brand_Engagement_in_Social_Media_Conceptualization_Scale_Development_and_Validation</w:t>
      </w:r>
      <w:r>
        <w:rPr>
          <w:rStyle w:val="17"/>
          <w:lang w:val="en-US"/>
        </w:rPr>
        <w:fldChar w:fldCharType="end"/>
      </w:r>
      <w:r>
        <w:rPr>
          <w:lang w:val="en-US"/>
        </w:rPr>
        <w:t>.</w:t>
      </w:r>
    </w:p>
    <w:p w14:paraId="1098EC6F">
      <w:pPr>
        <w:rPr>
          <w:lang w:val="en-US"/>
        </w:rPr>
      </w:pPr>
      <w:r>
        <w:rPr>
          <w:lang w:val="en-US"/>
        </w:rPr>
        <w:t xml:space="preserve">Hong, L., Yu, H. and Wang, T. (2020). How to Improve Value Creation by Service Interaction: The Role of Customer–Environment Fit and Efficacy. </w:t>
      </w:r>
      <w:r>
        <w:rPr>
          <w:i/>
          <w:iCs/>
          <w:lang w:val="en-US"/>
        </w:rPr>
        <w:t>Frontiers in Psychology</w:t>
      </w:r>
      <w:r>
        <w:rPr>
          <w:lang w:val="en-US"/>
        </w:rPr>
        <w:t>, 11. doi:</w:t>
      </w:r>
      <w:r>
        <w:fldChar w:fldCharType="begin"/>
      </w:r>
      <w:r>
        <w:instrText xml:space="preserve"> HYPERLINK "https://doi.org/10.3389/fpsyg.2020.01231" </w:instrText>
      </w:r>
      <w:r>
        <w:fldChar w:fldCharType="separate"/>
      </w:r>
      <w:r>
        <w:rPr>
          <w:rStyle w:val="17"/>
          <w:lang w:val="en-US"/>
        </w:rPr>
        <w:t>https://doi.org/10.3389/fpsyg.2020.01231</w:t>
      </w:r>
      <w:r>
        <w:rPr>
          <w:rStyle w:val="17"/>
          <w:lang w:val="en-US"/>
        </w:rPr>
        <w:fldChar w:fldCharType="end"/>
      </w:r>
      <w:r>
        <w:rPr>
          <w:lang w:val="en-US"/>
        </w:rPr>
        <w:t>.</w:t>
      </w:r>
    </w:p>
    <w:p w14:paraId="7EA742B2">
      <w:pPr>
        <w:rPr>
          <w:lang w:val="en-US"/>
        </w:rPr>
      </w:pPr>
      <w:r>
        <w:rPr>
          <w:lang w:val="en-US"/>
        </w:rPr>
        <w:t xml:space="preserve">Joseph Pine II, B. and H. Gilmore, J. (2014). A leader’s guide to innovation in the experience economy. </w:t>
      </w:r>
      <w:r>
        <w:rPr>
          <w:i/>
          <w:iCs/>
          <w:lang w:val="en-US"/>
        </w:rPr>
        <w:t>Strategy &amp; Leadership</w:t>
      </w:r>
      <w:r>
        <w:rPr>
          <w:lang w:val="en-US"/>
        </w:rPr>
        <w:t>, 42(1), pp.24–29. doi:</w:t>
      </w:r>
      <w:r>
        <w:fldChar w:fldCharType="begin"/>
      </w:r>
      <w:r>
        <w:instrText xml:space="preserve"> HYPERLINK "https://doi.org/10.1108/sl-09-2013-0073" </w:instrText>
      </w:r>
      <w:r>
        <w:fldChar w:fldCharType="separate"/>
      </w:r>
      <w:r>
        <w:rPr>
          <w:rStyle w:val="17"/>
          <w:lang w:val="en-US"/>
        </w:rPr>
        <w:t>https://doi.org/10.1108/sl-09-2013-0073</w:t>
      </w:r>
      <w:r>
        <w:rPr>
          <w:rStyle w:val="17"/>
          <w:lang w:val="en-US"/>
        </w:rPr>
        <w:fldChar w:fldCharType="end"/>
      </w:r>
      <w:r>
        <w:rPr>
          <w:lang w:val="en-US"/>
        </w:rPr>
        <w:t>.</w:t>
      </w:r>
    </w:p>
    <w:p w14:paraId="71B69016">
      <w:pPr>
        <w:rPr>
          <w:lang w:val="en-US"/>
        </w:rPr>
      </w:pPr>
      <w:r>
        <w:rPr>
          <w:lang w:val="en-US"/>
        </w:rPr>
        <w:t xml:space="preserve">Khanna, P. (2017). Experiential marketing: A breakthrough in customer engagement. </w:t>
      </w:r>
      <w:r>
        <w:rPr>
          <w:i/>
          <w:iCs/>
          <w:lang w:val="en-US"/>
        </w:rPr>
        <w:t>International Journal of Applied Research</w:t>
      </w:r>
      <w:r>
        <w:rPr>
          <w:lang w:val="en-US"/>
        </w:rPr>
        <w:t xml:space="preserve">, [online] 3(4), pp.922–928. Available at: </w:t>
      </w:r>
      <w:r>
        <w:fldChar w:fldCharType="begin"/>
      </w:r>
      <w:r>
        <w:instrText xml:space="preserve"> HYPERLINK "https://www.allresearchjournal.com/archives/2017/vol3issue4/PartL/9-8-33-198.pdf" </w:instrText>
      </w:r>
      <w:r>
        <w:fldChar w:fldCharType="separate"/>
      </w:r>
      <w:r>
        <w:rPr>
          <w:rStyle w:val="17"/>
          <w:lang w:val="en-US"/>
        </w:rPr>
        <w:t>https://www.allresearchjournal.com/archives/2017/vol3issue4/PartL/9-8-33-198.pdf</w:t>
      </w:r>
      <w:r>
        <w:rPr>
          <w:rStyle w:val="17"/>
          <w:lang w:val="en-US"/>
        </w:rPr>
        <w:fldChar w:fldCharType="end"/>
      </w:r>
      <w:r>
        <w:rPr>
          <w:lang w:val="en-US"/>
        </w:rPr>
        <w:t>.</w:t>
      </w:r>
    </w:p>
    <w:p w14:paraId="03C28BB7">
      <w:pPr>
        <w:rPr>
          <w:lang w:val="en-US"/>
        </w:rPr>
      </w:pPr>
      <w:r>
        <w:rPr>
          <w:lang w:val="en-US"/>
        </w:rPr>
        <w:t xml:space="preserve">Kohijoki, A.-M. and Koistinen, K. (2018). The Effect of the Physical Environment on Consumers’ Perceptions: A Review of the Retailing Research on External Shopping Environment. </w:t>
      </w:r>
      <w:r>
        <w:rPr>
          <w:i/>
          <w:iCs/>
          <w:lang w:val="en-US"/>
        </w:rPr>
        <w:t>Architecture and Urban Planning</w:t>
      </w:r>
      <w:r>
        <w:rPr>
          <w:lang w:val="en-US"/>
        </w:rPr>
        <w:t>, [online] 14(1), pp.83–90. doi:</w:t>
      </w:r>
      <w:r>
        <w:fldChar w:fldCharType="begin"/>
      </w:r>
      <w:r>
        <w:instrText xml:space="preserve"> HYPERLINK "https://doi.org/10.2478/aup-2018-0011" </w:instrText>
      </w:r>
      <w:r>
        <w:fldChar w:fldCharType="separate"/>
      </w:r>
      <w:r>
        <w:rPr>
          <w:rStyle w:val="17"/>
          <w:lang w:val="en-US"/>
        </w:rPr>
        <w:t>https://doi.org/10.2478/aup-2018-0011</w:t>
      </w:r>
      <w:r>
        <w:rPr>
          <w:rStyle w:val="17"/>
          <w:lang w:val="en-US"/>
        </w:rPr>
        <w:fldChar w:fldCharType="end"/>
      </w:r>
      <w:r>
        <w:rPr>
          <w:lang w:val="en-US"/>
        </w:rPr>
        <w:t>.</w:t>
      </w:r>
    </w:p>
    <w:p w14:paraId="5976985C">
      <w:pPr>
        <w:rPr>
          <w:lang w:val="en-US"/>
        </w:rPr>
      </w:pPr>
      <w:r>
        <w:rPr>
          <w:lang w:val="en-US"/>
        </w:rPr>
        <w:t xml:space="preserve">Lemon, K.N. and Verhoef, P.C. (2016). Understanding Customer Experience Throughout the Customer Journey. </w:t>
      </w:r>
      <w:r>
        <w:rPr>
          <w:i/>
          <w:iCs/>
          <w:lang w:val="en-US"/>
        </w:rPr>
        <w:t>Journal of Marketing</w:t>
      </w:r>
      <w:r>
        <w:rPr>
          <w:lang w:val="en-US"/>
        </w:rPr>
        <w:t>, [online] 80(6), pp.69–96. doi:</w:t>
      </w:r>
      <w:r>
        <w:fldChar w:fldCharType="begin"/>
      </w:r>
      <w:r>
        <w:instrText xml:space="preserve"> HYPERLINK "https://doi.org/10.1509/jm.15.0420" </w:instrText>
      </w:r>
      <w:r>
        <w:fldChar w:fldCharType="separate"/>
      </w:r>
      <w:r>
        <w:rPr>
          <w:rStyle w:val="17"/>
          <w:lang w:val="en-US"/>
        </w:rPr>
        <w:t>https://doi.org/10.1509/jm.15.0420</w:t>
      </w:r>
      <w:r>
        <w:rPr>
          <w:rStyle w:val="17"/>
          <w:lang w:val="en-US"/>
        </w:rPr>
        <w:fldChar w:fldCharType="end"/>
      </w:r>
      <w:r>
        <w:rPr>
          <w:lang w:val="en-US"/>
        </w:rPr>
        <w:t>.</w:t>
      </w:r>
    </w:p>
    <w:p w14:paraId="20E8D5DC">
      <w:pPr>
        <w:rPr>
          <w:lang w:val="en-US"/>
        </w:rPr>
      </w:pPr>
      <w:r>
        <w:rPr>
          <w:lang w:val="en-US"/>
        </w:rPr>
        <w:t xml:space="preserve">Mansur Khamitov, Thomson, M. and Johnson, A.R. (2015). Interpersonal Influences on Consumer-Brand Relationships: Exploring the Effect of Providing Relationship Reminders on Brand Evaluations. </w:t>
      </w:r>
      <w:r>
        <w:rPr>
          <w:i/>
          <w:iCs/>
          <w:lang w:val="en-US"/>
        </w:rPr>
        <w:t>NA - Advances in Consumer Research</w:t>
      </w:r>
      <w:r>
        <w:rPr>
          <w:lang w:val="en-US"/>
        </w:rPr>
        <w:t xml:space="preserve">. [online] Available at: </w:t>
      </w:r>
      <w:r>
        <w:fldChar w:fldCharType="begin"/>
      </w:r>
      <w:r>
        <w:instrText xml:space="preserve"> HYPERLINK "https://www.researchgate.net/publication/288208359_Interpersonal_Influences_on_Consumer-Brand_Relationships_Exploring_the_Effect_of_Providing_Relationship_Reminders_on_Brand_Evaluations" </w:instrText>
      </w:r>
      <w:r>
        <w:fldChar w:fldCharType="separate"/>
      </w:r>
      <w:r>
        <w:rPr>
          <w:rStyle w:val="17"/>
          <w:lang w:val="en-US"/>
        </w:rPr>
        <w:t>https://www.researchgate.net/publication/288208359_Interpersonal_Influences_on_Consumer-Brand_Relationships_Exploring_the_Effect_of_Providing_Relationship_Reminders_on_Brand_Evaluations</w:t>
      </w:r>
      <w:r>
        <w:rPr>
          <w:rStyle w:val="17"/>
          <w:lang w:val="en-US"/>
        </w:rPr>
        <w:fldChar w:fldCharType="end"/>
      </w:r>
      <w:r>
        <w:rPr>
          <w:lang w:val="en-US"/>
        </w:rPr>
        <w:t>.</w:t>
      </w:r>
    </w:p>
    <w:p w14:paraId="1F612C8B">
      <w:pPr>
        <w:rPr>
          <w:lang w:val="en-US"/>
        </w:rPr>
      </w:pPr>
      <w:r>
        <w:rPr>
          <w:lang w:val="en-US"/>
        </w:rPr>
        <w:t xml:space="preserve">Manyanga, W., Makanyeza, C. and Muranda, Z. (2022). The effect of customer experience, customer satisfaction and word of mouth intention on customer loyalty: The moderating role of consumer demographics. </w:t>
      </w:r>
      <w:r>
        <w:rPr>
          <w:i/>
          <w:iCs/>
          <w:lang w:val="en-US"/>
        </w:rPr>
        <w:t>Cogent Business &amp; Management</w:t>
      </w:r>
      <w:r>
        <w:rPr>
          <w:lang w:val="en-US"/>
        </w:rPr>
        <w:t>, 9(1). doi:</w:t>
      </w:r>
      <w:r>
        <w:fldChar w:fldCharType="begin"/>
      </w:r>
      <w:r>
        <w:instrText xml:space="preserve"> HYPERLINK "https://doi.org/10.1080/23311975.2022.2082015" </w:instrText>
      </w:r>
      <w:r>
        <w:fldChar w:fldCharType="separate"/>
      </w:r>
      <w:r>
        <w:rPr>
          <w:rStyle w:val="17"/>
          <w:lang w:val="en-US"/>
        </w:rPr>
        <w:t>https://doi.org/10.1080/23311975.2022.2082015</w:t>
      </w:r>
      <w:r>
        <w:rPr>
          <w:rStyle w:val="17"/>
          <w:lang w:val="en-US"/>
        </w:rPr>
        <w:fldChar w:fldCharType="end"/>
      </w:r>
      <w:r>
        <w:rPr>
          <w:lang w:val="en-US"/>
        </w:rPr>
        <w:t>.</w:t>
      </w:r>
    </w:p>
    <w:p w14:paraId="29480A0E">
      <w:pPr>
        <w:rPr>
          <w:lang w:val="en-US"/>
        </w:rPr>
      </w:pPr>
      <w:r>
        <w:rPr>
          <w:lang w:val="en-US"/>
        </w:rPr>
        <w:t xml:space="preserve">McKinsey (2023). </w:t>
      </w:r>
      <w:r>
        <w:rPr>
          <w:i/>
          <w:iCs/>
          <w:lang w:val="en-US"/>
        </w:rPr>
        <w:t>Why CX leaders use an experience-led growth strategy</w:t>
      </w:r>
      <w:r>
        <w:rPr>
          <w:lang w:val="en-US"/>
        </w:rPr>
        <w:t xml:space="preserve">. [online] www.mckinsey.com. Available at: </w:t>
      </w:r>
      <w:r>
        <w:fldChar w:fldCharType="begin"/>
      </w:r>
      <w:r>
        <w:instrText xml:space="preserve"> HYPERLINK "https://www.mckinsey.com/featured-insights/themes/why-cx-leaders-use-an-experience-led-growth-strategy" </w:instrText>
      </w:r>
      <w:r>
        <w:fldChar w:fldCharType="separate"/>
      </w:r>
      <w:r>
        <w:rPr>
          <w:rStyle w:val="17"/>
          <w:lang w:val="en-US"/>
        </w:rPr>
        <w:t>https://www.mckinsey.com/featured-insights/themes/why-cx-leaders-use-an-experience-led-growth-strategy</w:t>
      </w:r>
      <w:r>
        <w:rPr>
          <w:rStyle w:val="17"/>
          <w:lang w:val="en-US"/>
        </w:rPr>
        <w:fldChar w:fldCharType="end"/>
      </w:r>
      <w:r>
        <w:rPr>
          <w:lang w:val="en-US"/>
        </w:rPr>
        <w:t>.</w:t>
      </w:r>
    </w:p>
    <w:p w14:paraId="328E4A14">
      <w:pPr>
        <w:rPr>
          <w:lang w:val="en-US"/>
        </w:rPr>
      </w:pPr>
      <w:r>
        <w:rPr>
          <w:lang w:val="en-US"/>
        </w:rPr>
        <w:t xml:space="preserve">Moliner-Tena, M.A., Monferrer-Tirado, D., Estrada-Guillen, M. and Vidal-Meliá, L. (2023). Memorable customer experiences and autobiographical memories: From service experience to word of mouth. </w:t>
      </w:r>
      <w:r>
        <w:rPr>
          <w:i/>
          <w:iCs/>
          <w:lang w:val="en-US"/>
        </w:rPr>
        <w:t>Journal of Retailing and Consumer Services</w:t>
      </w:r>
      <w:r>
        <w:rPr>
          <w:lang w:val="en-US"/>
        </w:rPr>
        <w:t>, [online] 72, p.103290. doi:</w:t>
      </w:r>
      <w:r>
        <w:fldChar w:fldCharType="begin"/>
      </w:r>
      <w:r>
        <w:instrText xml:space="preserve"> HYPERLINK "https://doi.org/10.1016/j.jretconser.2023.103290" </w:instrText>
      </w:r>
      <w:r>
        <w:fldChar w:fldCharType="separate"/>
      </w:r>
      <w:r>
        <w:rPr>
          <w:rStyle w:val="17"/>
          <w:lang w:val="en-US"/>
        </w:rPr>
        <w:t>https://doi.org/10.1016/j.jretconser.2023.103290</w:t>
      </w:r>
      <w:r>
        <w:rPr>
          <w:rStyle w:val="17"/>
          <w:lang w:val="en-US"/>
        </w:rPr>
        <w:fldChar w:fldCharType="end"/>
      </w:r>
      <w:r>
        <w:rPr>
          <w:lang w:val="en-US"/>
        </w:rPr>
        <w:t>.</w:t>
      </w:r>
    </w:p>
    <w:p w14:paraId="17BCC0E0">
      <w:pPr>
        <w:rPr>
          <w:lang w:val="en-US"/>
        </w:rPr>
      </w:pPr>
      <w:r>
        <w:rPr>
          <w:lang w:val="en-US"/>
        </w:rPr>
        <w:t xml:space="preserve">Nayeem, T., Murshed, F. and Dwivedi, A. (2019). Brand experience and brand attitude: examining a credibility-based mechanism. </w:t>
      </w:r>
      <w:r>
        <w:rPr>
          <w:i/>
          <w:iCs/>
          <w:lang w:val="en-US"/>
        </w:rPr>
        <w:t>Marketing Intelligence &amp; Planning</w:t>
      </w:r>
      <w:r>
        <w:rPr>
          <w:lang w:val="en-US"/>
        </w:rPr>
        <w:t>, 37(7), pp.821–836. doi:</w:t>
      </w:r>
      <w:r>
        <w:fldChar w:fldCharType="begin"/>
      </w:r>
      <w:r>
        <w:instrText xml:space="preserve"> HYPERLINK "https://doi.org/10.1108/mip-11-2018-0544" </w:instrText>
      </w:r>
      <w:r>
        <w:fldChar w:fldCharType="separate"/>
      </w:r>
      <w:r>
        <w:rPr>
          <w:rStyle w:val="17"/>
          <w:lang w:val="en-US"/>
        </w:rPr>
        <w:t>https://doi.org/10.1108/mip-11-2018-0544</w:t>
      </w:r>
      <w:r>
        <w:rPr>
          <w:rStyle w:val="17"/>
          <w:lang w:val="en-US"/>
        </w:rPr>
        <w:fldChar w:fldCharType="end"/>
      </w:r>
      <w:r>
        <w:rPr>
          <w:lang w:val="en-US"/>
        </w:rPr>
        <w:t>.</w:t>
      </w:r>
    </w:p>
    <w:p w14:paraId="1A793DA8">
      <w:pPr>
        <w:rPr>
          <w:lang w:val="en-US"/>
        </w:rPr>
      </w:pPr>
      <w:r>
        <w:rPr>
          <w:lang w:val="en-US"/>
        </w:rPr>
        <w:t xml:space="preserve">Okonkwo, I., Mujinga, J., Namkoisse, E. and Francisco, A. (2023). </w:t>
      </w:r>
      <w:r>
        <w:rPr>
          <w:i/>
          <w:iCs/>
          <w:lang w:val="en-US"/>
        </w:rPr>
        <w:t>Localisation and Global Marketing: Adapting Digital Strategies for Diverse Audiences</w:t>
      </w:r>
      <w:r>
        <w:rPr>
          <w:lang w:val="en-US"/>
        </w:rPr>
        <w:t xml:space="preserve">. [online] ResearchGate. Available at: </w:t>
      </w:r>
      <w:r>
        <w:fldChar w:fldCharType="begin"/>
      </w:r>
      <w:r>
        <w:instrText xml:space="preserve"> HYPERLINK "https://www.researchgate.net/publication/376837253_Localization_and_Global_Marketing_Adapting_Digital_Strategies_for_Diverse_Audiences" </w:instrText>
      </w:r>
      <w:r>
        <w:fldChar w:fldCharType="separate"/>
      </w:r>
      <w:r>
        <w:rPr>
          <w:rStyle w:val="17"/>
          <w:lang w:val="en-US"/>
        </w:rPr>
        <w:t>https://www.researchgate.net/publication/376837253_Localization_and_Global_Marketing_Adapting_Digital_Strategies_for_Diverse_Audiences</w:t>
      </w:r>
      <w:r>
        <w:rPr>
          <w:rStyle w:val="17"/>
          <w:lang w:val="en-US"/>
        </w:rPr>
        <w:fldChar w:fldCharType="end"/>
      </w:r>
      <w:r>
        <w:rPr>
          <w:lang w:val="en-US"/>
        </w:rPr>
        <w:t>.</w:t>
      </w:r>
    </w:p>
    <w:p w14:paraId="383F1ABE">
      <w:pPr>
        <w:rPr>
          <w:lang w:val="en-US"/>
        </w:rPr>
      </w:pPr>
      <w:r>
        <w:rPr>
          <w:lang w:val="en-US"/>
        </w:rPr>
        <w:t xml:space="preserve">Oliver, R.L. (1999). Whence Consumer Loyalty? </w:t>
      </w:r>
      <w:r>
        <w:rPr>
          <w:i/>
          <w:iCs/>
          <w:lang w:val="en-US"/>
        </w:rPr>
        <w:t>Journal of Marketing</w:t>
      </w:r>
      <w:r>
        <w:rPr>
          <w:lang w:val="en-US"/>
        </w:rPr>
        <w:t>, 63(4), pp.33–44. doi:</w:t>
      </w:r>
      <w:r>
        <w:fldChar w:fldCharType="begin"/>
      </w:r>
      <w:r>
        <w:instrText xml:space="preserve"> HYPERLINK "https://doi.org/10.1177/00222429990634s105" </w:instrText>
      </w:r>
      <w:r>
        <w:fldChar w:fldCharType="separate"/>
      </w:r>
      <w:r>
        <w:rPr>
          <w:rStyle w:val="17"/>
          <w:lang w:val="en-US"/>
        </w:rPr>
        <w:t>https://doi.org/10.1177/00222429990634s105</w:t>
      </w:r>
      <w:r>
        <w:rPr>
          <w:rStyle w:val="17"/>
          <w:lang w:val="en-US"/>
        </w:rPr>
        <w:fldChar w:fldCharType="end"/>
      </w:r>
      <w:r>
        <w:rPr>
          <w:lang w:val="en-US"/>
        </w:rPr>
        <w:t>.</w:t>
      </w:r>
    </w:p>
    <w:p w14:paraId="67F1B427">
      <w:pPr>
        <w:rPr>
          <w:lang w:val="en-US"/>
        </w:rPr>
      </w:pPr>
      <w:r>
        <w:rPr>
          <w:lang w:val="en-US"/>
        </w:rPr>
        <w:t xml:space="preserve">Onyeke, K.J., Anukwe, G.I. and Iloka, C.B. (2024). The Concept of Experiential Marketing: A Comprehensive Review. </w:t>
      </w:r>
      <w:r>
        <w:rPr>
          <w:i/>
          <w:iCs/>
          <w:lang w:val="en-US"/>
        </w:rPr>
        <w:t>Global Research Journal of Business Management</w:t>
      </w:r>
      <w:r>
        <w:rPr>
          <w:lang w:val="en-US"/>
        </w:rPr>
        <w:t xml:space="preserve">, [online] 4(1), pp.1–11. Available at: </w:t>
      </w:r>
      <w:r>
        <w:fldChar w:fldCharType="begin"/>
      </w:r>
      <w:r>
        <w:instrText xml:space="preserve"> HYPERLINK "https://www.researchgate.net/publication/382824979_The_Concept_of_Experiential_Marketing_A_Comprehensive_Review" </w:instrText>
      </w:r>
      <w:r>
        <w:fldChar w:fldCharType="separate"/>
      </w:r>
      <w:r>
        <w:rPr>
          <w:rStyle w:val="17"/>
          <w:lang w:val="en-US"/>
        </w:rPr>
        <w:t>https://www.researchgate.net/publication/382824979_The_Concept_of_Experiential_Marketing_A_Comprehensive_Review</w:t>
      </w:r>
      <w:r>
        <w:rPr>
          <w:rStyle w:val="17"/>
          <w:lang w:val="en-US"/>
        </w:rPr>
        <w:fldChar w:fldCharType="end"/>
      </w:r>
      <w:r>
        <w:rPr>
          <w:lang w:val="en-US"/>
        </w:rPr>
        <w:t>.</w:t>
      </w:r>
    </w:p>
    <w:p w14:paraId="3E9920CC">
      <w:pPr>
        <w:rPr>
          <w:lang w:val="en-US"/>
        </w:rPr>
      </w:pPr>
      <w:r>
        <w:rPr>
          <w:lang w:val="en-US"/>
        </w:rPr>
        <w:t xml:space="preserve">PWC (2025). </w:t>
      </w:r>
      <w:r>
        <w:rPr>
          <w:i/>
          <w:iCs/>
          <w:lang w:val="en-US"/>
        </w:rPr>
        <w:t>2025 Customer Experience Survey: PwC</w:t>
      </w:r>
      <w:r>
        <w:rPr>
          <w:lang w:val="en-US"/>
        </w:rPr>
        <w:t xml:space="preserve">. [online] PwC. Available at: </w:t>
      </w:r>
      <w:r>
        <w:fldChar w:fldCharType="begin"/>
      </w:r>
      <w:r>
        <w:instrText xml:space="preserve"> HYPERLINK "https://www.pwc.com/us/en/services/consulting/business-transformation/library/2025-customer-experience-survey.html" </w:instrText>
      </w:r>
      <w:r>
        <w:fldChar w:fldCharType="separate"/>
      </w:r>
      <w:r>
        <w:rPr>
          <w:rStyle w:val="17"/>
          <w:lang w:val="en-US"/>
        </w:rPr>
        <w:t>https://www.pwc.com/us/en/services/consulting/business-transformation/library/2025-customer-experience-survey.html</w:t>
      </w:r>
      <w:r>
        <w:rPr>
          <w:rStyle w:val="17"/>
          <w:lang w:val="en-US"/>
        </w:rPr>
        <w:fldChar w:fldCharType="end"/>
      </w:r>
      <w:r>
        <w:rPr>
          <w:lang w:val="en-US"/>
        </w:rPr>
        <w:t>.</w:t>
      </w:r>
    </w:p>
    <w:p w14:paraId="7E5FDEB2">
      <w:pPr>
        <w:rPr>
          <w:lang w:val="en-US"/>
        </w:rPr>
      </w:pPr>
      <w:r>
        <w:rPr>
          <w:lang w:val="en-US"/>
        </w:rPr>
        <w:t xml:space="preserve">Rahman, S.M., Carlson, J., Gudergan, S.P., Wetzels, M. and Grewal, D. (2025). How do omnichannel customer experiences affect customer engagement? Theory and empirical validation. </w:t>
      </w:r>
      <w:r>
        <w:rPr>
          <w:i/>
          <w:iCs/>
          <w:lang w:val="en-US"/>
        </w:rPr>
        <w:t>Journal of Business Research</w:t>
      </w:r>
      <w:r>
        <w:rPr>
          <w:lang w:val="en-US"/>
        </w:rPr>
        <w:t>, [online] 189, p.115196. doi:</w:t>
      </w:r>
      <w:r>
        <w:fldChar w:fldCharType="begin"/>
      </w:r>
      <w:r>
        <w:instrText xml:space="preserve"> HYPERLINK "https://doi.org/10.1016/j.jbusres.2025.115196" </w:instrText>
      </w:r>
      <w:r>
        <w:fldChar w:fldCharType="separate"/>
      </w:r>
      <w:r>
        <w:rPr>
          <w:rStyle w:val="17"/>
          <w:lang w:val="en-US"/>
        </w:rPr>
        <w:t>https://doi.org/10.1016/j.jbusres.2025.115196</w:t>
      </w:r>
      <w:r>
        <w:rPr>
          <w:rStyle w:val="17"/>
          <w:lang w:val="en-US"/>
        </w:rPr>
        <w:fldChar w:fldCharType="end"/>
      </w:r>
      <w:r>
        <w:rPr>
          <w:lang w:val="en-US"/>
        </w:rPr>
        <w:t>.</w:t>
      </w:r>
    </w:p>
    <w:p w14:paraId="3EEF56D7">
      <w:pPr>
        <w:rPr>
          <w:lang w:val="en-US"/>
        </w:rPr>
      </w:pPr>
      <w:r>
        <w:rPr>
          <w:lang w:val="en-US"/>
        </w:rPr>
        <w:t xml:space="preserve">Rifqi Nur Fakhrurozi, Kusuma, I., Putu Adriani Prayustika and Ayu, I. (2025). Exploring the Role of Experiential and Emotional Marketing in Building Customer Satisfaction and Loyalty in a Coffee Shop. </w:t>
      </w:r>
      <w:r>
        <w:rPr>
          <w:i/>
          <w:iCs/>
          <w:lang w:val="en-US"/>
        </w:rPr>
        <w:t>DOAJ (DOAJ: Directory of Open Access Journals)</w:t>
      </w:r>
      <w:r>
        <w:rPr>
          <w:lang w:val="en-US"/>
        </w:rPr>
        <w:t>. doi:</w:t>
      </w:r>
      <w:r>
        <w:fldChar w:fldCharType="begin"/>
      </w:r>
      <w:r>
        <w:instrText xml:space="preserve"> HYPERLINK "https://doi.org/10.21512/bbr.v16i3.13594" </w:instrText>
      </w:r>
      <w:r>
        <w:fldChar w:fldCharType="separate"/>
      </w:r>
      <w:r>
        <w:rPr>
          <w:rStyle w:val="17"/>
          <w:lang w:val="en-US"/>
        </w:rPr>
        <w:t>https://doi.org/10.21512/bbr.v16i3.13594</w:t>
      </w:r>
      <w:r>
        <w:rPr>
          <w:rStyle w:val="17"/>
          <w:lang w:val="en-US"/>
        </w:rPr>
        <w:fldChar w:fldCharType="end"/>
      </w:r>
      <w:r>
        <w:rPr>
          <w:lang w:val="en-US"/>
        </w:rPr>
        <w:t>.</w:t>
      </w:r>
    </w:p>
    <w:p w14:paraId="7EE33976">
      <w:pPr>
        <w:rPr>
          <w:lang w:val="en-US"/>
        </w:rPr>
      </w:pPr>
      <w:r>
        <w:rPr>
          <w:lang w:val="en-US"/>
        </w:rPr>
        <w:t xml:space="preserve">Roy, S.K., Tehrani, A.N., Pandit, A., Apostolidis, C. and Ray, S. (2025). Ai-capable relationship marketing: Shaping the future of customer relationships. </w:t>
      </w:r>
      <w:r>
        <w:rPr>
          <w:i/>
          <w:iCs/>
          <w:lang w:val="en-US"/>
        </w:rPr>
        <w:t>Journal of Business Research</w:t>
      </w:r>
      <w:r>
        <w:rPr>
          <w:lang w:val="en-US"/>
        </w:rPr>
        <w:t>, [online] 192, pp.115309–115309. doi:</w:t>
      </w:r>
      <w:r>
        <w:fldChar w:fldCharType="begin"/>
      </w:r>
      <w:r>
        <w:instrText xml:space="preserve"> HYPERLINK "https://doi.org/10.1016/j.jbusres.2025.115309" </w:instrText>
      </w:r>
      <w:r>
        <w:fldChar w:fldCharType="separate"/>
      </w:r>
      <w:r>
        <w:rPr>
          <w:rStyle w:val="17"/>
          <w:lang w:val="en-US"/>
        </w:rPr>
        <w:t>https://doi.org/10.1016/j.jbusres.2025.115309</w:t>
      </w:r>
      <w:r>
        <w:rPr>
          <w:rStyle w:val="17"/>
          <w:lang w:val="en-US"/>
        </w:rPr>
        <w:fldChar w:fldCharType="end"/>
      </w:r>
      <w:r>
        <w:rPr>
          <w:lang w:val="en-US"/>
        </w:rPr>
        <w:t>.</w:t>
      </w:r>
    </w:p>
    <w:p w14:paraId="6E206F62">
      <w:pPr>
        <w:rPr>
          <w:lang w:val="en-US"/>
        </w:rPr>
      </w:pPr>
      <w:r>
        <w:rPr>
          <w:lang w:val="en-US"/>
        </w:rPr>
        <w:t xml:space="preserve">Saeedi, K. (2025). Emotional Branding: Using Feelings as a Catalyst for Brand Loyalty. </w:t>
      </w:r>
      <w:r>
        <w:rPr>
          <w:i/>
          <w:iCs/>
          <w:lang w:val="en-US"/>
        </w:rPr>
        <w:t>3rd International Conference On Recent Advices in Engineering, Innovation &amp; Technology</w:t>
      </w:r>
      <w:r>
        <w:rPr>
          <w:lang w:val="en-US"/>
        </w:rPr>
        <w:t xml:space="preserve">. [online] Available at: </w:t>
      </w:r>
      <w:r>
        <w:fldChar w:fldCharType="begin"/>
      </w:r>
      <w:r>
        <w:instrText xml:space="preserve"> HYPERLINK "https://www.researchgate.net/publication/390582727_Emotional_Branding_Using_Feelings_as_a_Catalyst_for_Brand_Loyalty" </w:instrText>
      </w:r>
      <w:r>
        <w:fldChar w:fldCharType="separate"/>
      </w:r>
      <w:r>
        <w:rPr>
          <w:rStyle w:val="17"/>
          <w:lang w:val="en-US"/>
        </w:rPr>
        <w:t>https://www.researchgate.net/publication/390582727_Emotional_Branding_Using_Feelings_as_a_Catalyst_for_Brand_Loyalty</w:t>
      </w:r>
      <w:r>
        <w:rPr>
          <w:rStyle w:val="17"/>
          <w:lang w:val="en-US"/>
        </w:rPr>
        <w:fldChar w:fldCharType="end"/>
      </w:r>
      <w:r>
        <w:rPr>
          <w:lang w:val="en-US"/>
        </w:rPr>
        <w:t>.</w:t>
      </w:r>
    </w:p>
    <w:p w14:paraId="6D5DE4D5">
      <w:pPr>
        <w:rPr>
          <w:lang w:val="en-US"/>
        </w:rPr>
      </w:pPr>
      <w:r>
        <w:rPr>
          <w:lang w:val="en-US"/>
        </w:rPr>
        <w:t xml:space="preserve">Samper, L.F., Giovannucci, D. and Marques Vieira, L. (2023). The Powerful Role of Intangibles in the Coffee Value Chain. </w:t>
      </w:r>
      <w:r>
        <w:rPr>
          <w:i/>
          <w:iCs/>
          <w:lang w:val="en-US"/>
        </w:rPr>
        <w:t>SSRN Electronic Journal</w:t>
      </w:r>
      <w:r>
        <w:rPr>
          <w:lang w:val="en-US"/>
        </w:rPr>
        <w:t>. doi:</w:t>
      </w:r>
      <w:r>
        <w:fldChar w:fldCharType="begin"/>
      </w:r>
      <w:r>
        <w:instrText xml:space="preserve"> HYPERLINK "https://doi.org/10.2139/ssrn.4430110" </w:instrText>
      </w:r>
      <w:r>
        <w:fldChar w:fldCharType="separate"/>
      </w:r>
      <w:r>
        <w:rPr>
          <w:rStyle w:val="17"/>
          <w:lang w:val="en-US"/>
        </w:rPr>
        <w:t>https://doi.org/10.2139/ssrn.4430110</w:t>
      </w:r>
      <w:r>
        <w:rPr>
          <w:rStyle w:val="17"/>
          <w:lang w:val="en-US"/>
        </w:rPr>
        <w:fldChar w:fldCharType="end"/>
      </w:r>
      <w:r>
        <w:rPr>
          <w:lang w:val="en-US"/>
        </w:rPr>
        <w:t>.</w:t>
      </w:r>
    </w:p>
    <w:p w14:paraId="46209E50">
      <w:pPr>
        <w:rPr>
          <w:lang w:val="en-US"/>
        </w:rPr>
      </w:pPr>
      <w:r>
        <w:rPr>
          <w:lang w:val="en-US"/>
        </w:rPr>
        <w:t xml:space="preserve">Sathyanarayana, G.V. and Archana, H. (2024). THE ROLE OF BRAND STORYTELLING IN CREATING EMOTIONAL CONNECTIONS. </w:t>
      </w:r>
      <w:r>
        <w:rPr>
          <w:i/>
          <w:iCs/>
          <w:lang w:val="en-US"/>
        </w:rPr>
        <w:t>ShodhKosh Journal of Visual and Performing Arts</w:t>
      </w:r>
      <w:r>
        <w:rPr>
          <w:lang w:val="en-US"/>
        </w:rPr>
        <w:t>, [online] 5(1), pp.4387–4392. doi:</w:t>
      </w:r>
      <w:r>
        <w:fldChar w:fldCharType="begin"/>
      </w:r>
      <w:r>
        <w:instrText xml:space="preserve"> HYPERLINK "https://doi.org/10.29121/shodhkosh.v5.i1.2024.4576" </w:instrText>
      </w:r>
      <w:r>
        <w:fldChar w:fldCharType="separate"/>
      </w:r>
      <w:r>
        <w:rPr>
          <w:rStyle w:val="17"/>
          <w:lang w:val="en-US"/>
        </w:rPr>
        <w:t>https://doi.org/10.29121/shodhkosh.v5.i1.2024.4576</w:t>
      </w:r>
      <w:r>
        <w:rPr>
          <w:rStyle w:val="17"/>
          <w:lang w:val="en-US"/>
        </w:rPr>
        <w:fldChar w:fldCharType="end"/>
      </w:r>
      <w:r>
        <w:rPr>
          <w:lang w:val="en-US"/>
        </w:rPr>
        <w:t>.</w:t>
      </w:r>
    </w:p>
    <w:p w14:paraId="2A0A3248">
      <w:pPr>
        <w:rPr>
          <w:lang w:val="en-US"/>
        </w:rPr>
      </w:pPr>
      <w:r>
        <w:rPr>
          <w:lang w:val="en-US"/>
        </w:rPr>
        <w:t xml:space="preserve">Sayin, E. and Zeynep Gürhan‐Canlı (2024). The influence of self‐brand connection on consumer reactions to symbolic incongruency and perceived betrayal. </w:t>
      </w:r>
      <w:r>
        <w:rPr>
          <w:i/>
          <w:iCs/>
          <w:lang w:val="en-US"/>
        </w:rPr>
        <w:t>International Journal of Consumer Studies</w:t>
      </w:r>
      <w:r>
        <w:rPr>
          <w:lang w:val="en-US"/>
        </w:rPr>
        <w:t>, 48(2). doi:</w:t>
      </w:r>
      <w:r>
        <w:fldChar w:fldCharType="begin"/>
      </w:r>
      <w:r>
        <w:instrText xml:space="preserve"> HYPERLINK "https://doi.org/10.1111/ijcs.13011" </w:instrText>
      </w:r>
      <w:r>
        <w:fldChar w:fldCharType="separate"/>
      </w:r>
      <w:r>
        <w:rPr>
          <w:rStyle w:val="17"/>
          <w:lang w:val="en-US"/>
        </w:rPr>
        <w:t>https://doi.org/10.1111/ijcs.13011</w:t>
      </w:r>
      <w:r>
        <w:rPr>
          <w:rStyle w:val="17"/>
          <w:lang w:val="en-US"/>
        </w:rPr>
        <w:fldChar w:fldCharType="end"/>
      </w:r>
      <w:r>
        <w:rPr>
          <w:lang w:val="en-US"/>
        </w:rPr>
        <w:t>.</w:t>
      </w:r>
    </w:p>
    <w:p w14:paraId="6437B185">
      <w:pPr>
        <w:rPr>
          <w:lang w:val="en-US"/>
        </w:rPr>
      </w:pPr>
      <w:r>
        <w:rPr>
          <w:lang w:val="en-US"/>
        </w:rPr>
        <w:t xml:space="preserve">Schmitt, B. (2010). Experiential Marketing: a New Framework for Design and Communications. </w:t>
      </w:r>
      <w:r>
        <w:rPr>
          <w:i/>
          <w:iCs/>
          <w:lang w:val="en-US"/>
        </w:rPr>
        <w:t>Design Management Journal (Former Series)</w:t>
      </w:r>
      <w:r>
        <w:rPr>
          <w:lang w:val="en-US"/>
        </w:rPr>
        <w:t>, [online] 10(2), pp.10–16. doi:</w:t>
      </w:r>
      <w:r>
        <w:fldChar w:fldCharType="begin"/>
      </w:r>
      <w:r>
        <w:instrText xml:space="preserve"> HYPERLINK "https://doi.org/10.1111/j.1948-7169.1999.tb00247.x" </w:instrText>
      </w:r>
      <w:r>
        <w:fldChar w:fldCharType="separate"/>
      </w:r>
      <w:r>
        <w:rPr>
          <w:rStyle w:val="17"/>
          <w:lang w:val="en-US"/>
        </w:rPr>
        <w:t>https://doi.org/10.1111/j.1948-7169.1999.tb00247.x</w:t>
      </w:r>
      <w:r>
        <w:rPr>
          <w:rStyle w:val="17"/>
          <w:lang w:val="en-US"/>
        </w:rPr>
        <w:fldChar w:fldCharType="end"/>
      </w:r>
      <w:r>
        <w:rPr>
          <w:lang w:val="en-US"/>
        </w:rPr>
        <w:t>.</w:t>
      </w:r>
    </w:p>
    <w:p w14:paraId="34765EA3">
      <w:pPr>
        <w:rPr>
          <w:lang w:val="en-US"/>
        </w:rPr>
      </w:pPr>
      <w:r>
        <w:rPr>
          <w:lang w:val="en-US"/>
        </w:rPr>
        <w:t xml:space="preserve">Schmitt, B. (2011). Experience Marketing: Concepts, Frameworks and Consumer Insights. </w:t>
      </w:r>
      <w:r>
        <w:rPr>
          <w:i/>
          <w:iCs/>
          <w:lang w:val="en-US"/>
        </w:rPr>
        <w:t>Foundations and Trends® in Marketing</w:t>
      </w:r>
      <w:r>
        <w:rPr>
          <w:lang w:val="en-US"/>
        </w:rPr>
        <w:t>, [online] 5(2), pp.55–112. doi:</w:t>
      </w:r>
      <w:r>
        <w:fldChar w:fldCharType="begin"/>
      </w:r>
      <w:r>
        <w:instrText xml:space="preserve"> HYPERLINK "https://doi.org/10.1561/1700000027" </w:instrText>
      </w:r>
      <w:r>
        <w:fldChar w:fldCharType="separate"/>
      </w:r>
      <w:r>
        <w:rPr>
          <w:rStyle w:val="17"/>
          <w:lang w:val="en-US"/>
        </w:rPr>
        <w:t>https://doi.org/10.1561/1700000027</w:t>
      </w:r>
      <w:r>
        <w:rPr>
          <w:rStyle w:val="17"/>
          <w:lang w:val="en-US"/>
        </w:rPr>
        <w:fldChar w:fldCharType="end"/>
      </w:r>
      <w:r>
        <w:rPr>
          <w:lang w:val="en-US"/>
        </w:rPr>
        <w:t>.</w:t>
      </w:r>
    </w:p>
    <w:p w14:paraId="3C196C88">
      <w:pPr>
        <w:rPr>
          <w:lang w:val="en-US"/>
        </w:rPr>
      </w:pPr>
      <w:r>
        <w:rPr>
          <w:lang w:val="en-US"/>
        </w:rPr>
        <w:t xml:space="preserve">Schreuder, E., van Erp, J., Toet, A. and Kallen, V.L. (2016). Emotional Responses to Multisensory Environmental Stimuli. </w:t>
      </w:r>
      <w:r>
        <w:rPr>
          <w:i/>
          <w:iCs/>
          <w:lang w:val="en-US"/>
        </w:rPr>
        <w:t>SAGE Open</w:t>
      </w:r>
      <w:r>
        <w:rPr>
          <w:lang w:val="en-US"/>
        </w:rPr>
        <w:t>, 6(1), p.215824401663059. doi:</w:t>
      </w:r>
      <w:r>
        <w:fldChar w:fldCharType="begin"/>
      </w:r>
      <w:r>
        <w:instrText xml:space="preserve"> HYPERLINK "https://doi.org/10.1177/2158244016630591" </w:instrText>
      </w:r>
      <w:r>
        <w:fldChar w:fldCharType="separate"/>
      </w:r>
      <w:r>
        <w:rPr>
          <w:rStyle w:val="17"/>
          <w:lang w:val="en-US"/>
        </w:rPr>
        <w:t>https://doi.org/10.1177/2158244016630591</w:t>
      </w:r>
      <w:r>
        <w:rPr>
          <w:rStyle w:val="17"/>
          <w:lang w:val="en-US"/>
        </w:rPr>
        <w:fldChar w:fldCharType="end"/>
      </w:r>
      <w:r>
        <w:rPr>
          <w:lang w:val="en-US"/>
        </w:rPr>
        <w:t>.</w:t>
      </w:r>
    </w:p>
    <w:p w14:paraId="366564AA">
      <w:pPr>
        <w:rPr>
          <w:shd w:val="clear" w:color="auto" w:fill="FFFFFF"/>
        </w:rPr>
      </w:pPr>
      <w:r>
        <w:rPr>
          <w:shd w:val="clear" w:color="auto" w:fill="FFFFFF"/>
        </w:rPr>
        <w:t xml:space="preserve">Sekaran, U. and Bougie, R. (2016) </w:t>
      </w:r>
      <w:r>
        <w:rPr>
          <w:i/>
          <w:iCs/>
          <w:shd w:val="clear" w:color="auto" w:fill="FFFFFF"/>
        </w:rPr>
        <w:t>Research methods for business: A skill-building approach</w:t>
      </w:r>
      <w:r>
        <w:rPr>
          <w:shd w:val="clear" w:color="auto" w:fill="FFFFFF"/>
        </w:rPr>
        <w:t>. 7th edn. Chichester: John Wiley &amp; Sons.</w:t>
      </w:r>
    </w:p>
    <w:p w14:paraId="3651159F">
      <w:pPr>
        <w:rPr>
          <w:lang w:val="en-US"/>
        </w:rPr>
      </w:pPr>
      <w:r>
        <w:rPr>
          <w:lang w:val="en-US"/>
        </w:rPr>
        <w:t xml:space="preserve">Starbucks (2024). </w:t>
      </w:r>
      <w:r>
        <w:rPr>
          <w:i/>
          <w:iCs/>
          <w:lang w:val="en-US"/>
        </w:rPr>
        <w:t>Reclaiming third places – our bold vision for Community Stores - Starbucks Stories EMEA</w:t>
      </w:r>
      <w:r>
        <w:rPr>
          <w:lang w:val="en-US"/>
        </w:rPr>
        <w:t xml:space="preserve">. [online] Starbucks Stories EMEA. Available at: </w:t>
      </w:r>
      <w:r>
        <w:fldChar w:fldCharType="begin"/>
      </w:r>
      <w:r>
        <w:instrText xml:space="preserve"> HYPERLINK "https://stories.starbucks.com/emea/stories/2024/reclaiming-third-places-our-bold-vision-for-community-stores/" </w:instrText>
      </w:r>
      <w:r>
        <w:fldChar w:fldCharType="separate"/>
      </w:r>
      <w:r>
        <w:rPr>
          <w:rStyle w:val="17"/>
          <w:lang w:val="en-US"/>
        </w:rPr>
        <w:t>https://stories.starbucks.com/emea/stories/2024/reclaiming-third-places-our-bold-vision-for-community-stores/</w:t>
      </w:r>
      <w:r>
        <w:rPr>
          <w:rStyle w:val="17"/>
          <w:lang w:val="en-US"/>
        </w:rPr>
        <w:fldChar w:fldCharType="end"/>
      </w:r>
      <w:r>
        <w:rPr>
          <w:lang w:val="en-US"/>
        </w:rPr>
        <w:t>.</w:t>
      </w:r>
    </w:p>
    <w:p w14:paraId="2600B904">
      <w:pPr>
        <w:rPr>
          <w:lang w:val="en-US"/>
        </w:rPr>
      </w:pPr>
      <w:r>
        <w:rPr>
          <w:lang w:val="en-US"/>
        </w:rPr>
        <w:t xml:space="preserve">Wong, J. (2024). The Importance Of Consistency In Branding. </w:t>
      </w:r>
      <w:r>
        <w:rPr>
          <w:i/>
          <w:iCs/>
          <w:lang w:val="en-US"/>
        </w:rPr>
        <w:t>Forbes</w:t>
      </w:r>
      <w:r>
        <w:rPr>
          <w:lang w:val="en-US"/>
        </w:rPr>
        <w:t xml:space="preserve">. [online] 30 Dec. Available at: </w:t>
      </w:r>
      <w:r>
        <w:fldChar w:fldCharType="begin"/>
      </w:r>
      <w:r>
        <w:instrText xml:space="preserve"> HYPERLINK "https://www.forbes.com/councils/forbescommunicationscouncil/2024/12/30/the-importance-of-consistency-in-branding/" </w:instrText>
      </w:r>
      <w:r>
        <w:fldChar w:fldCharType="separate"/>
      </w:r>
      <w:r>
        <w:rPr>
          <w:rStyle w:val="17"/>
          <w:lang w:val="en-US"/>
        </w:rPr>
        <w:t>https://www.forbes.com/councils/forbescommunicationscouncil/2024/12/30/the-importance-of-consistency-in-branding/</w:t>
      </w:r>
      <w:r>
        <w:rPr>
          <w:rStyle w:val="17"/>
          <w:lang w:val="en-US"/>
        </w:rPr>
        <w:fldChar w:fldCharType="end"/>
      </w:r>
      <w:r>
        <w:rPr>
          <w:lang w:val="en-US"/>
        </w:rPr>
        <w:t>.</w:t>
      </w:r>
    </w:p>
    <w:p w14:paraId="04C69018">
      <w:pPr>
        <w:rPr>
          <w:lang w:val="en-US"/>
        </w:rPr>
      </w:pPr>
      <w:r>
        <w:rPr>
          <w:lang w:val="en-US"/>
        </w:rPr>
        <w:t xml:space="preserve">Zhu, Y. (2024). Leveraging Social Media Marketing: A Case Study of Starbucks Digital Success. </w:t>
      </w:r>
      <w:r>
        <w:rPr>
          <w:i/>
          <w:iCs/>
          <w:lang w:val="en-US"/>
        </w:rPr>
        <w:t>Advances in Economics Management and Political Sciences</w:t>
      </w:r>
      <w:r>
        <w:rPr>
          <w:lang w:val="en-US"/>
        </w:rPr>
        <w:t>, [online] 102(1), pp.199–204. doi:</w:t>
      </w:r>
      <w:r>
        <w:fldChar w:fldCharType="begin"/>
      </w:r>
      <w:r>
        <w:instrText xml:space="preserve"> HYPERLINK "https://doi.org/10.54254/2754-1169/102/2024ed0108" </w:instrText>
      </w:r>
      <w:r>
        <w:fldChar w:fldCharType="separate"/>
      </w:r>
      <w:r>
        <w:rPr>
          <w:rStyle w:val="17"/>
          <w:lang w:val="en-US"/>
        </w:rPr>
        <w:t>https://doi.org/10.54254/2754-1169/102/2024ed0108</w:t>
      </w:r>
      <w:r>
        <w:rPr>
          <w:rStyle w:val="17"/>
          <w:lang w:val="en-US"/>
        </w:rPr>
        <w:fldChar w:fldCharType="end"/>
      </w:r>
      <w:r>
        <w:rPr>
          <w:lang w:val="en-US"/>
        </w:rPr>
        <w:t>.</w:t>
      </w:r>
    </w:p>
    <w:p w14:paraId="5092A0B1">
      <w:pPr>
        <w:rPr>
          <w:lang w:val="en-US"/>
        </w:rPr>
      </w:pPr>
      <w:r>
        <w:rPr>
          <w:lang w:val="en-US"/>
        </w:rPr>
        <w:t xml:space="preserve">Zohra Nourhane Chebab (2025). </w:t>
      </w:r>
      <w:r>
        <w:rPr>
          <w:i/>
          <w:iCs/>
          <w:lang w:val="en-US"/>
        </w:rPr>
        <w:t>The impact of emotional attachment on brand loyalty</w:t>
      </w:r>
      <w:r>
        <w:rPr>
          <w:lang w:val="en-US"/>
        </w:rPr>
        <w:t xml:space="preserve">. [online] Marketing Science &amp; Inspirations. Available at: </w:t>
      </w:r>
      <w:r>
        <w:fldChar w:fldCharType="begin"/>
      </w:r>
      <w:r>
        <w:instrText xml:space="preserve"> HYPERLINK "https://msijournal.com/impact-of-emotional-attachment-on-brand-loyalty/" </w:instrText>
      </w:r>
      <w:r>
        <w:fldChar w:fldCharType="separate"/>
      </w:r>
      <w:r>
        <w:rPr>
          <w:rStyle w:val="17"/>
          <w:lang w:val="en-US"/>
        </w:rPr>
        <w:t>https://msijournal.com/impact-of-emotional-attachment-on-brand-loyalty/</w:t>
      </w:r>
      <w:r>
        <w:rPr>
          <w:rStyle w:val="17"/>
          <w:lang w:val="en-US"/>
        </w:rPr>
        <w:fldChar w:fldCharType="end"/>
      </w:r>
      <w:r>
        <w:rPr>
          <w:lang w:val="en-US"/>
        </w:rPr>
        <w:t>.</w:t>
      </w:r>
    </w:p>
    <w:p w14:paraId="49CDF864">
      <w:pPr>
        <w:spacing w:after="160" w:line="259" w:lineRule="auto"/>
        <w:jc w:val="left"/>
      </w:pPr>
      <w:r>
        <w:br w:type="page"/>
      </w:r>
    </w:p>
    <w:p w14:paraId="60CDFD04">
      <w:pPr>
        <w:pStyle w:val="2"/>
      </w:pPr>
      <w:bookmarkStart w:id="110" w:name="_Toc231245303"/>
      <w:r>
        <w:t>Appendices</w:t>
      </w:r>
      <w:bookmarkEnd w:id="110"/>
    </w:p>
    <w:p w14:paraId="68214877">
      <w:pPr>
        <w:pStyle w:val="3"/>
      </w:pPr>
      <w:bookmarkStart w:id="111" w:name="_Toc231245304"/>
      <w:r>
        <w:t>Appendix A: Search Strategy Table</w:t>
      </w:r>
      <w:bookmarkEnd w:id="111"/>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446"/>
        <w:gridCol w:w="2706"/>
        <w:gridCol w:w="3383"/>
        <w:gridCol w:w="2041"/>
      </w:tblGrid>
      <w:tr w14:paraId="451F1BE5">
        <w:tc>
          <w:tcPr>
            <w:tcW w:w="0" w:type="auto"/>
          </w:tcPr>
          <w:p w14:paraId="5FE5F63D">
            <w:pPr>
              <w:rPr>
                <w:b/>
                <w:bCs/>
              </w:rPr>
            </w:pPr>
            <w:r>
              <w:rPr>
                <w:b/>
                <w:bCs/>
              </w:rPr>
              <w:t>Database / Source</w:t>
            </w:r>
          </w:p>
        </w:tc>
        <w:tc>
          <w:tcPr>
            <w:tcW w:w="0" w:type="auto"/>
          </w:tcPr>
          <w:p w14:paraId="1424696A">
            <w:pPr>
              <w:rPr>
                <w:b/>
                <w:bCs/>
              </w:rPr>
            </w:pPr>
            <w:r>
              <w:rPr>
                <w:b/>
                <w:bCs/>
              </w:rPr>
              <w:t>Keywords Used</w:t>
            </w:r>
          </w:p>
        </w:tc>
        <w:tc>
          <w:tcPr>
            <w:tcW w:w="0" w:type="auto"/>
          </w:tcPr>
          <w:p w14:paraId="53ECC686">
            <w:pPr>
              <w:rPr>
                <w:b/>
                <w:bCs/>
              </w:rPr>
            </w:pPr>
            <w:r>
              <w:rPr>
                <w:b/>
                <w:bCs/>
              </w:rPr>
              <w:t>Inclusion Criteria</w:t>
            </w:r>
          </w:p>
        </w:tc>
        <w:tc>
          <w:tcPr>
            <w:tcW w:w="0" w:type="auto"/>
          </w:tcPr>
          <w:p w14:paraId="3D88D34E">
            <w:pPr>
              <w:rPr>
                <w:b/>
                <w:bCs/>
              </w:rPr>
            </w:pPr>
            <w:r>
              <w:rPr>
                <w:b/>
                <w:bCs/>
              </w:rPr>
              <w:t>Exclusion Criteria</w:t>
            </w:r>
          </w:p>
        </w:tc>
      </w:tr>
      <w:tr w14:paraId="4B7D4E3C">
        <w:tc>
          <w:tcPr>
            <w:tcW w:w="0" w:type="auto"/>
            <w:shd w:val="clear" w:color="auto" w:fill="F1F1F1" w:themeFill="background1" w:themeFillShade="F2"/>
          </w:tcPr>
          <w:p w14:paraId="557E01BF">
            <w:pPr>
              <w:rPr>
                <w:b/>
                <w:bCs/>
              </w:rPr>
            </w:pPr>
            <w:r>
              <w:rPr>
                <w:b/>
                <w:bCs/>
              </w:rPr>
              <w:t>Google Scholar</w:t>
            </w:r>
          </w:p>
        </w:tc>
        <w:tc>
          <w:tcPr>
            <w:tcW w:w="0" w:type="auto"/>
            <w:shd w:val="clear" w:color="auto" w:fill="F1F1F1" w:themeFill="background1" w:themeFillShade="F2"/>
          </w:tcPr>
          <w:p w14:paraId="5E15E942">
            <w:r>
              <w:t>experiential marketing, Starbucks, emotional brand attachment</w:t>
            </w:r>
          </w:p>
        </w:tc>
        <w:tc>
          <w:tcPr>
            <w:tcW w:w="0" w:type="auto"/>
            <w:shd w:val="clear" w:color="auto" w:fill="F1F1F1" w:themeFill="background1" w:themeFillShade="F2"/>
          </w:tcPr>
          <w:p w14:paraId="09A25FE6">
            <w:r>
              <w:t>2015–2025, peer-reviewed, relevant to coffeehouse/service industry</w:t>
            </w:r>
          </w:p>
        </w:tc>
        <w:tc>
          <w:tcPr>
            <w:tcW w:w="0" w:type="auto"/>
            <w:shd w:val="clear" w:color="auto" w:fill="F1F1F1" w:themeFill="background1" w:themeFillShade="F2"/>
          </w:tcPr>
          <w:p w14:paraId="3545A2A4">
            <w:r>
              <w:t>unrelated sectors, outdated sources</w:t>
            </w:r>
          </w:p>
        </w:tc>
      </w:tr>
      <w:tr w14:paraId="32DD6F8D">
        <w:tc>
          <w:tcPr>
            <w:tcW w:w="0" w:type="auto"/>
          </w:tcPr>
          <w:p w14:paraId="212F39C7">
            <w:pPr>
              <w:rPr>
                <w:b/>
                <w:bCs/>
              </w:rPr>
            </w:pPr>
            <w:r>
              <w:rPr>
                <w:b/>
                <w:bCs/>
              </w:rPr>
              <w:t>Company reports</w:t>
            </w:r>
          </w:p>
        </w:tc>
        <w:tc>
          <w:tcPr>
            <w:tcW w:w="0" w:type="auto"/>
          </w:tcPr>
          <w:p w14:paraId="2BC842F0">
            <w:r>
              <w:t>Starbucks annual report, customer experience</w:t>
            </w:r>
          </w:p>
        </w:tc>
        <w:tc>
          <w:tcPr>
            <w:tcW w:w="0" w:type="auto"/>
          </w:tcPr>
          <w:p w14:paraId="3CBCBB24">
            <w:r>
              <w:t>official company data</w:t>
            </w:r>
          </w:p>
        </w:tc>
        <w:tc>
          <w:tcPr>
            <w:tcW w:w="0" w:type="auto"/>
          </w:tcPr>
          <w:p w14:paraId="2F6438A2">
            <w:r>
              <w:t>promotional-only material</w:t>
            </w:r>
          </w:p>
        </w:tc>
      </w:tr>
      <w:tr w14:paraId="7FDF342B">
        <w:tc>
          <w:tcPr>
            <w:tcW w:w="0" w:type="auto"/>
            <w:shd w:val="clear" w:color="auto" w:fill="F1F1F1" w:themeFill="background1" w:themeFillShade="F2"/>
          </w:tcPr>
          <w:p w14:paraId="740D3FBF">
            <w:pPr>
              <w:rPr>
                <w:b/>
                <w:bCs/>
              </w:rPr>
            </w:pPr>
            <w:r>
              <w:rPr>
                <w:b/>
                <w:bCs/>
              </w:rPr>
              <w:t>Industry sources</w:t>
            </w:r>
          </w:p>
        </w:tc>
        <w:tc>
          <w:tcPr>
            <w:tcW w:w="0" w:type="auto"/>
            <w:shd w:val="clear" w:color="auto" w:fill="F1F1F1" w:themeFill="background1" w:themeFillShade="F2"/>
          </w:tcPr>
          <w:p w14:paraId="3B538630">
            <w:r>
              <w:t>coffeehouse market, customer experience trends</w:t>
            </w:r>
          </w:p>
        </w:tc>
        <w:tc>
          <w:tcPr>
            <w:tcW w:w="0" w:type="auto"/>
            <w:shd w:val="clear" w:color="auto" w:fill="F1F1F1" w:themeFill="background1" w:themeFillShade="F2"/>
          </w:tcPr>
          <w:p w14:paraId="0E4FA666">
            <w:r>
              <w:t>credible industry reports</w:t>
            </w:r>
          </w:p>
        </w:tc>
        <w:tc>
          <w:tcPr>
            <w:tcW w:w="0" w:type="auto"/>
            <w:shd w:val="clear" w:color="auto" w:fill="F1F1F1" w:themeFill="background1" w:themeFillShade="F2"/>
          </w:tcPr>
          <w:p w14:paraId="20AF4B0F">
            <w:r>
              <w:t>weak blogs or unsourced articles</w:t>
            </w:r>
          </w:p>
        </w:tc>
      </w:tr>
    </w:tbl>
    <w:p w14:paraId="03778FB9">
      <w:pPr>
        <w:pStyle w:val="3"/>
      </w:pPr>
      <w:bookmarkStart w:id="112" w:name="_Toc231245305"/>
      <w:r>
        <w:t>Appendix B: Case Selection Criteria</w:t>
      </w:r>
      <w:bookmarkEnd w:id="112"/>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543"/>
        <w:gridCol w:w="4022"/>
        <w:gridCol w:w="3922"/>
      </w:tblGrid>
      <w:tr w14:paraId="4B22DEEC">
        <w:tc>
          <w:tcPr>
            <w:tcW w:w="0" w:type="auto"/>
          </w:tcPr>
          <w:p w14:paraId="1CD14CCE">
            <w:pPr>
              <w:rPr>
                <w:b/>
                <w:bCs/>
              </w:rPr>
            </w:pPr>
            <w:r>
              <w:rPr>
                <w:b/>
                <w:bCs/>
              </w:rPr>
              <w:t>Case Brand</w:t>
            </w:r>
          </w:p>
        </w:tc>
        <w:tc>
          <w:tcPr>
            <w:tcW w:w="0" w:type="auto"/>
          </w:tcPr>
          <w:p w14:paraId="247C2ED7">
            <w:pPr>
              <w:rPr>
                <w:b/>
                <w:bCs/>
              </w:rPr>
            </w:pPr>
            <w:r>
              <w:rPr>
                <w:b/>
                <w:bCs/>
              </w:rPr>
              <w:t>Reason for Selection</w:t>
            </w:r>
          </w:p>
        </w:tc>
        <w:tc>
          <w:tcPr>
            <w:tcW w:w="0" w:type="auto"/>
          </w:tcPr>
          <w:p w14:paraId="4B1DA3D4">
            <w:pPr>
              <w:rPr>
                <w:b/>
                <w:bCs/>
              </w:rPr>
            </w:pPr>
            <w:r>
              <w:rPr>
                <w:b/>
                <w:bCs/>
              </w:rPr>
              <w:t>Experiential Focus</w:t>
            </w:r>
          </w:p>
        </w:tc>
      </w:tr>
      <w:tr w14:paraId="4EB5CF24">
        <w:tc>
          <w:tcPr>
            <w:tcW w:w="0" w:type="auto"/>
            <w:shd w:val="clear" w:color="auto" w:fill="F1F1F1" w:themeFill="background1" w:themeFillShade="F2"/>
          </w:tcPr>
          <w:p w14:paraId="13CED496">
            <w:pPr>
              <w:rPr>
                <w:b/>
                <w:bCs/>
              </w:rPr>
            </w:pPr>
            <w:r>
              <w:rPr>
                <w:b/>
                <w:bCs/>
              </w:rPr>
              <w:t>Starbucks</w:t>
            </w:r>
          </w:p>
        </w:tc>
        <w:tc>
          <w:tcPr>
            <w:tcW w:w="0" w:type="auto"/>
            <w:shd w:val="clear" w:color="auto" w:fill="F1F1F1" w:themeFill="background1" w:themeFillShade="F2"/>
          </w:tcPr>
          <w:p w14:paraId="00BE3199">
            <w:r>
              <w:t>Main case, strong experiential branding</w:t>
            </w:r>
          </w:p>
        </w:tc>
        <w:tc>
          <w:tcPr>
            <w:tcW w:w="0" w:type="auto"/>
            <w:shd w:val="clear" w:color="auto" w:fill="F1F1F1" w:themeFill="background1" w:themeFillShade="F2"/>
          </w:tcPr>
          <w:p w14:paraId="1B81696A">
            <w:r>
              <w:t>Third-place identity, digital ecosystem</w:t>
            </w:r>
          </w:p>
        </w:tc>
      </w:tr>
      <w:tr w14:paraId="66D4F4C3">
        <w:tc>
          <w:tcPr>
            <w:tcW w:w="0" w:type="auto"/>
          </w:tcPr>
          <w:p w14:paraId="2FD86FEF">
            <w:pPr>
              <w:rPr>
                <w:b/>
                <w:bCs/>
              </w:rPr>
            </w:pPr>
            <w:r>
              <w:rPr>
                <w:b/>
                <w:bCs/>
              </w:rPr>
              <w:t>Costa Coffee</w:t>
            </w:r>
          </w:p>
        </w:tc>
        <w:tc>
          <w:tcPr>
            <w:tcW w:w="0" w:type="auto"/>
          </w:tcPr>
          <w:p w14:paraId="1D4AE983">
            <w:r>
              <w:t>Strong UK/global competitor</w:t>
            </w:r>
          </w:p>
        </w:tc>
        <w:tc>
          <w:tcPr>
            <w:tcW w:w="0" w:type="auto"/>
          </w:tcPr>
          <w:p w14:paraId="5DECF738">
            <w:r>
              <w:t>Convenience and quality</w:t>
            </w:r>
          </w:p>
        </w:tc>
      </w:tr>
      <w:tr w14:paraId="62C4044C">
        <w:tc>
          <w:tcPr>
            <w:tcW w:w="0" w:type="auto"/>
            <w:shd w:val="clear" w:color="auto" w:fill="F1F1F1" w:themeFill="background1" w:themeFillShade="F2"/>
          </w:tcPr>
          <w:p w14:paraId="12BEB961">
            <w:pPr>
              <w:rPr>
                <w:b/>
                <w:bCs/>
              </w:rPr>
            </w:pPr>
            <w:r>
              <w:rPr>
                <w:b/>
                <w:bCs/>
              </w:rPr>
              <w:t>Dunkin’</w:t>
            </w:r>
          </w:p>
        </w:tc>
        <w:tc>
          <w:tcPr>
            <w:tcW w:w="0" w:type="auto"/>
            <w:shd w:val="clear" w:color="auto" w:fill="F1F1F1" w:themeFill="background1" w:themeFillShade="F2"/>
          </w:tcPr>
          <w:p w14:paraId="39DA7E3A">
            <w:r>
              <w:t>Fast-service coffee competitor</w:t>
            </w:r>
          </w:p>
        </w:tc>
        <w:tc>
          <w:tcPr>
            <w:tcW w:w="0" w:type="auto"/>
            <w:shd w:val="clear" w:color="auto" w:fill="F1F1F1" w:themeFill="background1" w:themeFillShade="F2"/>
          </w:tcPr>
          <w:p w14:paraId="0E29558F">
            <w:r>
              <w:t>Speed and affordability</w:t>
            </w:r>
          </w:p>
        </w:tc>
      </w:tr>
      <w:tr w14:paraId="01292CEA">
        <w:tc>
          <w:tcPr>
            <w:tcW w:w="0" w:type="auto"/>
          </w:tcPr>
          <w:p w14:paraId="14E5BE0A">
            <w:pPr>
              <w:rPr>
                <w:b/>
                <w:bCs/>
              </w:rPr>
            </w:pPr>
            <w:r>
              <w:rPr>
                <w:b/>
                <w:bCs/>
              </w:rPr>
              <w:t>Tim Hortons</w:t>
            </w:r>
          </w:p>
        </w:tc>
        <w:tc>
          <w:tcPr>
            <w:tcW w:w="0" w:type="auto"/>
          </w:tcPr>
          <w:p w14:paraId="4CB844B9">
            <w:r>
              <w:t>Community-based brand identity</w:t>
            </w:r>
          </w:p>
        </w:tc>
        <w:tc>
          <w:tcPr>
            <w:tcW w:w="0" w:type="auto"/>
          </w:tcPr>
          <w:p w14:paraId="543144CC">
            <w:r>
              <w:t>Value and local identity</w:t>
            </w:r>
          </w:p>
        </w:tc>
      </w:tr>
      <w:tr w14:paraId="5B0CF01B">
        <w:tc>
          <w:tcPr>
            <w:tcW w:w="0" w:type="auto"/>
            <w:shd w:val="clear" w:color="auto" w:fill="F1F1F1" w:themeFill="background1" w:themeFillShade="F2"/>
          </w:tcPr>
          <w:p w14:paraId="23ACC894">
            <w:pPr>
              <w:rPr>
                <w:b/>
                <w:bCs/>
              </w:rPr>
            </w:pPr>
            <w:r>
              <w:rPr>
                <w:b/>
                <w:bCs/>
              </w:rPr>
              <w:t>Caffè Nero</w:t>
            </w:r>
          </w:p>
        </w:tc>
        <w:tc>
          <w:tcPr>
            <w:tcW w:w="0" w:type="auto"/>
            <w:shd w:val="clear" w:color="auto" w:fill="F1F1F1" w:themeFill="background1" w:themeFillShade="F2"/>
          </w:tcPr>
          <w:p w14:paraId="369798C1">
            <w:r>
              <w:t>Premium café atmosphere</w:t>
            </w:r>
          </w:p>
        </w:tc>
        <w:tc>
          <w:tcPr>
            <w:tcW w:w="0" w:type="auto"/>
            <w:shd w:val="clear" w:color="auto" w:fill="F1F1F1" w:themeFill="background1" w:themeFillShade="F2"/>
          </w:tcPr>
          <w:p w14:paraId="70CBF1EC">
            <w:r>
              <w:t>Ambience and café culture</w:t>
            </w:r>
          </w:p>
        </w:tc>
      </w:tr>
    </w:tbl>
    <w:p w14:paraId="5EBFFE40">
      <w:pPr>
        <w:pStyle w:val="3"/>
      </w:pPr>
      <w:bookmarkStart w:id="113" w:name="_Toc231245306"/>
      <w:r>
        <w:t>Appendix C: Thematic Coding Framework</w:t>
      </w:r>
      <w:bookmarkEnd w:id="113"/>
    </w:p>
    <w:p w14:paraId="70B9CB8E">
      <w:r>
        <w:rPr>
          <w:b/>
          <w:bCs/>
        </w:rPr>
        <w:t>Example:</w:t>
      </w:r>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357"/>
        <w:gridCol w:w="4334"/>
        <w:gridCol w:w="2885"/>
      </w:tblGrid>
      <w:tr w14:paraId="5333C7F3">
        <w:tc>
          <w:tcPr>
            <w:tcW w:w="0" w:type="auto"/>
          </w:tcPr>
          <w:p w14:paraId="22C2E96B">
            <w:pPr>
              <w:rPr>
                <w:b/>
                <w:bCs/>
              </w:rPr>
            </w:pPr>
            <w:r>
              <w:rPr>
                <w:b/>
                <w:bCs/>
              </w:rPr>
              <w:t>Theme</w:t>
            </w:r>
          </w:p>
        </w:tc>
        <w:tc>
          <w:tcPr>
            <w:tcW w:w="0" w:type="auto"/>
          </w:tcPr>
          <w:p w14:paraId="2A8177D4">
            <w:pPr>
              <w:rPr>
                <w:b/>
                <w:bCs/>
              </w:rPr>
            </w:pPr>
            <w:r>
              <w:rPr>
                <w:b/>
                <w:bCs/>
              </w:rPr>
              <w:t>Initial Codes</w:t>
            </w:r>
          </w:p>
        </w:tc>
        <w:tc>
          <w:tcPr>
            <w:tcW w:w="0" w:type="auto"/>
          </w:tcPr>
          <w:p w14:paraId="43DEBE35">
            <w:pPr>
              <w:rPr>
                <w:b/>
                <w:bCs/>
              </w:rPr>
            </w:pPr>
            <w:r>
              <w:rPr>
                <w:b/>
                <w:bCs/>
              </w:rPr>
              <w:t>Related Theory</w:t>
            </w:r>
          </w:p>
        </w:tc>
      </w:tr>
      <w:tr w14:paraId="2D1C0847">
        <w:tc>
          <w:tcPr>
            <w:tcW w:w="0" w:type="auto"/>
            <w:shd w:val="clear" w:color="auto" w:fill="F1F1F1" w:themeFill="background1" w:themeFillShade="F2"/>
          </w:tcPr>
          <w:p w14:paraId="048AA72C">
            <w:pPr>
              <w:rPr>
                <w:b/>
                <w:bCs/>
              </w:rPr>
            </w:pPr>
            <w:r>
              <w:rPr>
                <w:b/>
                <w:bCs/>
              </w:rPr>
              <w:t>Sensory Experience</w:t>
            </w:r>
          </w:p>
        </w:tc>
        <w:tc>
          <w:tcPr>
            <w:tcW w:w="0" w:type="auto"/>
            <w:shd w:val="clear" w:color="auto" w:fill="F1F1F1" w:themeFill="background1" w:themeFillShade="F2"/>
          </w:tcPr>
          <w:p w14:paraId="563BFA0E">
            <w:r>
              <w:t>music, lighting, layout, smell, ambience</w:t>
            </w:r>
          </w:p>
        </w:tc>
        <w:tc>
          <w:tcPr>
            <w:tcW w:w="0" w:type="auto"/>
            <w:shd w:val="clear" w:color="auto" w:fill="F1F1F1" w:themeFill="background1" w:themeFillShade="F2"/>
          </w:tcPr>
          <w:p w14:paraId="55F4D855">
            <w:r>
              <w:t>Experiential Marketing Theory</w:t>
            </w:r>
          </w:p>
        </w:tc>
      </w:tr>
      <w:tr w14:paraId="77200154">
        <w:tc>
          <w:tcPr>
            <w:tcW w:w="0" w:type="auto"/>
          </w:tcPr>
          <w:p w14:paraId="277645A4">
            <w:pPr>
              <w:rPr>
                <w:b/>
                <w:bCs/>
              </w:rPr>
            </w:pPr>
            <w:r>
              <w:rPr>
                <w:b/>
                <w:bCs/>
              </w:rPr>
              <w:t>Service Interaction</w:t>
            </w:r>
          </w:p>
        </w:tc>
        <w:tc>
          <w:tcPr>
            <w:tcW w:w="0" w:type="auto"/>
          </w:tcPr>
          <w:p w14:paraId="7F5A60BE">
            <w:r>
              <w:t>personalisation, employee contact, customer care</w:t>
            </w:r>
          </w:p>
        </w:tc>
        <w:tc>
          <w:tcPr>
            <w:tcW w:w="0" w:type="auto"/>
          </w:tcPr>
          <w:p w14:paraId="493E53C1">
            <w:r>
              <w:t>Brand Experience Model</w:t>
            </w:r>
          </w:p>
        </w:tc>
      </w:tr>
      <w:tr w14:paraId="19AC960D">
        <w:tc>
          <w:tcPr>
            <w:tcW w:w="0" w:type="auto"/>
            <w:shd w:val="clear" w:color="auto" w:fill="F1F1F1" w:themeFill="background1" w:themeFillShade="F2"/>
          </w:tcPr>
          <w:p w14:paraId="21DFFB23">
            <w:pPr>
              <w:rPr>
                <w:b/>
                <w:bCs/>
              </w:rPr>
            </w:pPr>
            <w:r>
              <w:rPr>
                <w:b/>
                <w:bCs/>
              </w:rPr>
              <w:t>Storytelling</w:t>
            </w:r>
          </w:p>
        </w:tc>
        <w:tc>
          <w:tcPr>
            <w:tcW w:w="0" w:type="auto"/>
            <w:shd w:val="clear" w:color="auto" w:fill="F1F1F1" w:themeFill="background1" w:themeFillShade="F2"/>
          </w:tcPr>
          <w:p w14:paraId="28B23EDD">
            <w:r>
              <w:t>ethical sourcing, brand values, lifestyle meaning</w:t>
            </w:r>
          </w:p>
        </w:tc>
        <w:tc>
          <w:tcPr>
            <w:tcW w:w="0" w:type="auto"/>
            <w:shd w:val="clear" w:color="auto" w:fill="F1F1F1" w:themeFill="background1" w:themeFillShade="F2"/>
          </w:tcPr>
          <w:p w14:paraId="59227342">
            <w:r>
              <w:t>Emotional Branding</w:t>
            </w:r>
          </w:p>
        </w:tc>
      </w:tr>
      <w:tr w14:paraId="0EBE5333">
        <w:tc>
          <w:tcPr>
            <w:tcW w:w="0" w:type="auto"/>
          </w:tcPr>
          <w:p w14:paraId="0D0539DB">
            <w:pPr>
              <w:rPr>
                <w:b/>
                <w:bCs/>
              </w:rPr>
            </w:pPr>
            <w:r>
              <w:rPr>
                <w:b/>
                <w:bCs/>
              </w:rPr>
              <w:t>Digital Engagement</w:t>
            </w:r>
          </w:p>
        </w:tc>
        <w:tc>
          <w:tcPr>
            <w:tcW w:w="0" w:type="auto"/>
          </w:tcPr>
          <w:p w14:paraId="1C8944D4">
            <w:r>
              <w:t>mobile app, rewards, online ordering</w:t>
            </w:r>
          </w:p>
        </w:tc>
        <w:tc>
          <w:tcPr>
            <w:tcW w:w="0" w:type="auto"/>
          </w:tcPr>
          <w:p w14:paraId="59222A51">
            <w:r>
              <w:t>Omnichannel Engagement</w:t>
            </w:r>
          </w:p>
        </w:tc>
      </w:tr>
      <w:tr w14:paraId="02BA1985">
        <w:tc>
          <w:tcPr>
            <w:tcW w:w="0" w:type="auto"/>
            <w:shd w:val="clear" w:color="auto" w:fill="F1F1F1" w:themeFill="background1" w:themeFillShade="F2"/>
          </w:tcPr>
          <w:p w14:paraId="368A82FA">
            <w:pPr>
              <w:rPr>
                <w:b/>
                <w:bCs/>
              </w:rPr>
            </w:pPr>
            <w:r>
              <w:rPr>
                <w:b/>
                <w:bCs/>
              </w:rPr>
              <w:t>Emotional Attachment</w:t>
            </w:r>
          </w:p>
        </w:tc>
        <w:tc>
          <w:tcPr>
            <w:tcW w:w="0" w:type="auto"/>
            <w:shd w:val="clear" w:color="auto" w:fill="F1F1F1" w:themeFill="background1" w:themeFillShade="F2"/>
          </w:tcPr>
          <w:p w14:paraId="7ACF742D">
            <w:r>
              <w:t>belonging, identity connection, trust</w:t>
            </w:r>
          </w:p>
        </w:tc>
        <w:tc>
          <w:tcPr>
            <w:tcW w:w="0" w:type="auto"/>
            <w:shd w:val="clear" w:color="auto" w:fill="F1F1F1" w:themeFill="background1" w:themeFillShade="F2"/>
          </w:tcPr>
          <w:p w14:paraId="03A8EDDE">
            <w:r>
              <w:t>Brand Attachment Theory</w:t>
            </w:r>
          </w:p>
        </w:tc>
      </w:tr>
    </w:tbl>
    <w:p w14:paraId="7A1C6912">
      <w:pPr>
        <w:pStyle w:val="3"/>
      </w:pPr>
      <w:bookmarkStart w:id="114" w:name="_Toc231245307"/>
      <w:r>
        <w:t>Appendix D: Cross-Case Comparison Table</w:t>
      </w:r>
      <w:bookmarkEnd w:id="114"/>
    </w:p>
    <w:tbl>
      <w:tblPr>
        <w:tblStyle w:val="5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396"/>
        <w:gridCol w:w="3347"/>
        <w:gridCol w:w="2449"/>
        <w:gridCol w:w="2384"/>
      </w:tblGrid>
      <w:tr w14:paraId="13C7CBAF">
        <w:tc>
          <w:tcPr>
            <w:tcW w:w="0" w:type="auto"/>
          </w:tcPr>
          <w:p w14:paraId="2EF7E11C">
            <w:pPr>
              <w:rPr>
                <w:b/>
                <w:bCs/>
              </w:rPr>
            </w:pPr>
            <w:r>
              <w:rPr>
                <w:b/>
                <w:bCs/>
              </w:rPr>
              <w:t>Brand</w:t>
            </w:r>
          </w:p>
        </w:tc>
        <w:tc>
          <w:tcPr>
            <w:tcW w:w="0" w:type="auto"/>
          </w:tcPr>
          <w:p w14:paraId="7683B587">
            <w:pPr>
              <w:rPr>
                <w:b/>
                <w:bCs/>
              </w:rPr>
            </w:pPr>
            <w:r>
              <w:rPr>
                <w:b/>
                <w:bCs/>
              </w:rPr>
              <w:t>Main Experiential Strategy</w:t>
            </w:r>
          </w:p>
        </w:tc>
        <w:tc>
          <w:tcPr>
            <w:tcW w:w="0" w:type="auto"/>
          </w:tcPr>
          <w:p w14:paraId="35D7EB63">
            <w:pPr>
              <w:rPr>
                <w:b/>
                <w:bCs/>
              </w:rPr>
            </w:pPr>
            <w:r>
              <w:rPr>
                <w:b/>
                <w:bCs/>
              </w:rPr>
              <w:t>Emotional Attachment Strength</w:t>
            </w:r>
          </w:p>
        </w:tc>
        <w:tc>
          <w:tcPr>
            <w:tcW w:w="0" w:type="auto"/>
          </w:tcPr>
          <w:p w14:paraId="376E0BCF">
            <w:pPr>
              <w:rPr>
                <w:b/>
                <w:bCs/>
              </w:rPr>
            </w:pPr>
            <w:r>
              <w:rPr>
                <w:b/>
                <w:bCs/>
              </w:rPr>
              <w:t>Key Limitation</w:t>
            </w:r>
          </w:p>
        </w:tc>
      </w:tr>
      <w:tr w14:paraId="1F61D430">
        <w:tc>
          <w:tcPr>
            <w:tcW w:w="0" w:type="auto"/>
            <w:shd w:val="clear" w:color="auto" w:fill="F1F1F1" w:themeFill="background1" w:themeFillShade="F2"/>
          </w:tcPr>
          <w:p w14:paraId="72DDB6FD">
            <w:pPr>
              <w:rPr>
                <w:b/>
                <w:bCs/>
              </w:rPr>
            </w:pPr>
            <w:r>
              <w:rPr>
                <w:b/>
                <w:bCs/>
              </w:rPr>
              <w:t>Starbucks</w:t>
            </w:r>
          </w:p>
        </w:tc>
        <w:tc>
          <w:tcPr>
            <w:tcW w:w="0" w:type="auto"/>
            <w:shd w:val="clear" w:color="auto" w:fill="F1F1F1" w:themeFill="background1" w:themeFillShade="F2"/>
          </w:tcPr>
          <w:p w14:paraId="3EC1ED83">
            <w:r>
              <w:t>Physical, digital, emotional and symbolic experience</w:t>
            </w:r>
          </w:p>
        </w:tc>
        <w:tc>
          <w:tcPr>
            <w:tcW w:w="0" w:type="auto"/>
            <w:shd w:val="clear" w:color="auto" w:fill="F1F1F1" w:themeFill="background1" w:themeFillShade="F2"/>
          </w:tcPr>
          <w:p w14:paraId="30C1A01E">
            <w:r>
              <w:t>High</w:t>
            </w:r>
          </w:p>
        </w:tc>
        <w:tc>
          <w:tcPr>
            <w:tcW w:w="0" w:type="auto"/>
            <w:shd w:val="clear" w:color="auto" w:fill="F1F1F1" w:themeFill="background1" w:themeFillShade="F2"/>
          </w:tcPr>
          <w:p w14:paraId="0F287D76">
            <w:r>
              <w:t>Needs consistency across markets</w:t>
            </w:r>
          </w:p>
        </w:tc>
      </w:tr>
      <w:tr w14:paraId="29326C2D">
        <w:tc>
          <w:tcPr>
            <w:tcW w:w="0" w:type="auto"/>
          </w:tcPr>
          <w:p w14:paraId="0715F162">
            <w:pPr>
              <w:rPr>
                <w:b/>
                <w:bCs/>
              </w:rPr>
            </w:pPr>
            <w:r>
              <w:rPr>
                <w:b/>
                <w:bCs/>
              </w:rPr>
              <w:t>Costa Coffee</w:t>
            </w:r>
          </w:p>
        </w:tc>
        <w:tc>
          <w:tcPr>
            <w:tcW w:w="0" w:type="auto"/>
          </w:tcPr>
          <w:p w14:paraId="6FD9FC10">
            <w:r>
              <w:t>Convenience and reliable service</w:t>
            </w:r>
          </w:p>
        </w:tc>
        <w:tc>
          <w:tcPr>
            <w:tcW w:w="0" w:type="auto"/>
          </w:tcPr>
          <w:p w14:paraId="18A7EC40">
            <w:r>
              <w:t>Moderate</w:t>
            </w:r>
          </w:p>
        </w:tc>
        <w:tc>
          <w:tcPr>
            <w:tcW w:w="0" w:type="auto"/>
          </w:tcPr>
          <w:p w14:paraId="7D1EFF3B">
            <w:r>
              <w:t>Less emotional storytelling</w:t>
            </w:r>
          </w:p>
        </w:tc>
      </w:tr>
      <w:tr w14:paraId="491D4F93">
        <w:tc>
          <w:tcPr>
            <w:tcW w:w="0" w:type="auto"/>
            <w:shd w:val="clear" w:color="auto" w:fill="F1F1F1" w:themeFill="background1" w:themeFillShade="F2"/>
          </w:tcPr>
          <w:p w14:paraId="0E6CCA00">
            <w:pPr>
              <w:rPr>
                <w:b/>
                <w:bCs/>
              </w:rPr>
            </w:pPr>
            <w:r>
              <w:rPr>
                <w:b/>
                <w:bCs/>
              </w:rPr>
              <w:t>Dunkin’</w:t>
            </w:r>
          </w:p>
        </w:tc>
        <w:tc>
          <w:tcPr>
            <w:tcW w:w="0" w:type="auto"/>
            <w:shd w:val="clear" w:color="auto" w:fill="F1F1F1" w:themeFill="background1" w:themeFillShade="F2"/>
          </w:tcPr>
          <w:p w14:paraId="7E8E18B2">
            <w:r>
              <w:t>Speed and affordability</w:t>
            </w:r>
          </w:p>
        </w:tc>
        <w:tc>
          <w:tcPr>
            <w:tcW w:w="0" w:type="auto"/>
            <w:shd w:val="clear" w:color="auto" w:fill="F1F1F1" w:themeFill="background1" w:themeFillShade="F2"/>
          </w:tcPr>
          <w:p w14:paraId="2C56556F">
            <w:r>
              <w:t>Low to moderate</w:t>
            </w:r>
          </w:p>
        </w:tc>
        <w:tc>
          <w:tcPr>
            <w:tcW w:w="0" w:type="auto"/>
            <w:shd w:val="clear" w:color="auto" w:fill="F1F1F1" w:themeFill="background1" w:themeFillShade="F2"/>
          </w:tcPr>
          <w:p w14:paraId="0718450A">
            <w:r>
              <w:t>Less immersive experience</w:t>
            </w:r>
          </w:p>
        </w:tc>
      </w:tr>
      <w:tr w14:paraId="379E8F9D">
        <w:tc>
          <w:tcPr>
            <w:tcW w:w="0" w:type="auto"/>
          </w:tcPr>
          <w:p w14:paraId="04828410">
            <w:pPr>
              <w:rPr>
                <w:b/>
                <w:bCs/>
              </w:rPr>
            </w:pPr>
            <w:r>
              <w:rPr>
                <w:b/>
                <w:bCs/>
              </w:rPr>
              <w:t>Tim Hortons</w:t>
            </w:r>
          </w:p>
        </w:tc>
        <w:tc>
          <w:tcPr>
            <w:tcW w:w="0" w:type="auto"/>
          </w:tcPr>
          <w:p w14:paraId="1E10FC22">
            <w:r>
              <w:t>Familiarity and community identity</w:t>
            </w:r>
          </w:p>
        </w:tc>
        <w:tc>
          <w:tcPr>
            <w:tcW w:w="0" w:type="auto"/>
          </w:tcPr>
          <w:p w14:paraId="0CA55F2C">
            <w:r>
              <w:t>Moderate</w:t>
            </w:r>
          </w:p>
        </w:tc>
        <w:tc>
          <w:tcPr>
            <w:tcW w:w="0" w:type="auto"/>
          </w:tcPr>
          <w:p w14:paraId="3F40E504">
            <w:r>
              <w:t>More routine-based loyalty</w:t>
            </w:r>
          </w:p>
        </w:tc>
      </w:tr>
      <w:tr w14:paraId="039B0044">
        <w:tc>
          <w:tcPr>
            <w:tcW w:w="0" w:type="auto"/>
            <w:shd w:val="clear" w:color="auto" w:fill="F1F1F1" w:themeFill="background1" w:themeFillShade="F2"/>
          </w:tcPr>
          <w:p w14:paraId="58F8469C">
            <w:pPr>
              <w:rPr>
                <w:b/>
                <w:bCs/>
              </w:rPr>
            </w:pPr>
            <w:r>
              <w:rPr>
                <w:b/>
                <w:bCs/>
              </w:rPr>
              <w:t>Caffè Nero</w:t>
            </w:r>
          </w:p>
        </w:tc>
        <w:tc>
          <w:tcPr>
            <w:tcW w:w="0" w:type="auto"/>
            <w:shd w:val="clear" w:color="auto" w:fill="F1F1F1" w:themeFill="background1" w:themeFillShade="F2"/>
          </w:tcPr>
          <w:p w14:paraId="47B9C0F0">
            <w:r>
              <w:t>Premium ambience</w:t>
            </w:r>
          </w:p>
        </w:tc>
        <w:tc>
          <w:tcPr>
            <w:tcW w:w="0" w:type="auto"/>
            <w:shd w:val="clear" w:color="auto" w:fill="F1F1F1" w:themeFill="background1" w:themeFillShade="F2"/>
          </w:tcPr>
          <w:p w14:paraId="3C2B911A">
            <w:r>
              <w:t>Moderate</w:t>
            </w:r>
          </w:p>
        </w:tc>
        <w:tc>
          <w:tcPr>
            <w:tcW w:w="0" w:type="auto"/>
            <w:shd w:val="clear" w:color="auto" w:fill="F1F1F1" w:themeFill="background1" w:themeFillShade="F2"/>
          </w:tcPr>
          <w:p w14:paraId="6E6A6B15">
            <w:r>
              <w:t>Less digital integration</w:t>
            </w:r>
          </w:p>
        </w:tc>
      </w:tr>
    </w:tbl>
    <w:p w14:paraId="26EFEAE6"/>
    <w:p w14:paraId="1A125DE8">
      <w:pPr>
        <w:spacing w:after="160" w:line="259" w:lineRule="auto"/>
        <w:jc w:val="left"/>
      </w:pPr>
      <w:r>
        <w:br w:type="page"/>
      </w:r>
    </w:p>
    <w:p w14:paraId="79E7157B">
      <w:pPr>
        <w:pStyle w:val="3"/>
      </w:pPr>
      <w:bookmarkStart w:id="115" w:name="_Toc231245308"/>
      <w:r>
        <w:t>Appendix E: Ethical Form</w:t>
      </w:r>
      <w:bookmarkEnd w:id="115"/>
    </w:p>
    <w:p w14:paraId="1CBEF8B8">
      <w:pPr>
        <w:pStyle w:val="54"/>
        <w:tabs>
          <w:tab w:val="left" w:pos="5103"/>
        </w:tabs>
        <w:jc w:val="center"/>
        <w:rPr>
          <w:rFonts w:ascii="Arial" w:hAnsi="Arial" w:eastAsia="Arial" w:cs="Arial"/>
          <w:b/>
          <w:bCs/>
          <w:sz w:val="24"/>
          <w:szCs w:val="24"/>
        </w:rPr>
      </w:pPr>
    </w:p>
    <w:p w14:paraId="65587432">
      <w:pPr>
        <w:pStyle w:val="54"/>
        <w:tabs>
          <w:tab w:val="left" w:pos="5103"/>
        </w:tabs>
        <w:jc w:val="center"/>
        <w:rPr>
          <w:rFonts w:ascii="Arial" w:hAnsi="Arial" w:eastAsia="Arial" w:cs="Arial"/>
          <w:b/>
          <w:bCs/>
          <w:sz w:val="24"/>
          <w:szCs w:val="24"/>
        </w:rPr>
      </w:pPr>
      <w:r>
        <w:rPr>
          <w:rFonts w:ascii="Arial" w:hAnsi="Arial"/>
          <w:b/>
          <w:bCs/>
          <w:sz w:val="24"/>
          <w:szCs w:val="24"/>
          <w:lang w:val="de-DE"/>
        </w:rPr>
        <w:t>APPLICATION FOR ETHICAL APPROVAL</w:t>
      </w:r>
    </w:p>
    <w:p w14:paraId="0D6E9BB3">
      <w:pPr>
        <w:pStyle w:val="54"/>
        <w:tabs>
          <w:tab w:val="left" w:pos="5103"/>
        </w:tabs>
        <w:ind w:right="282"/>
        <w:jc w:val="center"/>
        <w:rPr>
          <w:rFonts w:ascii="Arial" w:hAnsi="Arial" w:eastAsia="Arial" w:cs="Arial"/>
          <w:b/>
          <w:bCs/>
        </w:rPr>
      </w:pPr>
    </w:p>
    <w:p w14:paraId="6757ED54">
      <w:pPr>
        <w:pStyle w:val="54"/>
        <w:tabs>
          <w:tab w:val="left" w:pos="5103"/>
        </w:tabs>
        <w:ind w:right="282"/>
        <w:jc w:val="both"/>
        <w:rPr>
          <w:rFonts w:ascii="Arial" w:hAnsi="Arial" w:eastAsia="Arial" w:cs="Arial"/>
          <w:b/>
          <w:bCs/>
          <w:sz w:val="22"/>
          <w:szCs w:val="22"/>
        </w:rPr>
      </w:pPr>
      <w:r>
        <w:rPr>
          <w:rFonts w:ascii="Arial" w:hAnsi="Arial"/>
          <w:b/>
          <w:bCs/>
          <w:sz w:val="22"/>
          <w:szCs w:val="22"/>
          <w:lang w:val="en-US"/>
        </w:rPr>
        <w:t xml:space="preserve">In order for research to result in benefit and minimise risk of harm, it must be conducted ethically. </w:t>
      </w:r>
    </w:p>
    <w:p w14:paraId="33389E69">
      <w:pPr>
        <w:pStyle w:val="54"/>
        <w:tabs>
          <w:tab w:val="left" w:pos="5103"/>
        </w:tabs>
        <w:ind w:right="282"/>
        <w:jc w:val="center"/>
        <w:rPr>
          <w:rFonts w:ascii="Arial" w:hAnsi="Arial" w:eastAsia="Arial" w:cs="Arial"/>
          <w:b/>
          <w:bCs/>
          <w:sz w:val="16"/>
          <w:szCs w:val="16"/>
        </w:rPr>
      </w:pPr>
    </w:p>
    <w:p w14:paraId="1E21F564">
      <w:pPr>
        <w:pStyle w:val="54"/>
        <w:tabs>
          <w:tab w:val="left" w:pos="5103"/>
        </w:tabs>
        <w:ind w:right="282"/>
        <w:jc w:val="both"/>
        <w:rPr>
          <w:rFonts w:ascii="Arial" w:hAnsi="Arial" w:eastAsia="Arial" w:cs="Arial"/>
          <w:sz w:val="22"/>
          <w:szCs w:val="22"/>
        </w:rPr>
      </w:pPr>
      <w:r>
        <w:rPr>
          <w:rFonts w:ascii="Arial" w:hAnsi="Arial"/>
          <w:sz w:val="22"/>
          <w:szCs w:val="22"/>
          <w:lang w:val="en-US"/>
        </w:rPr>
        <w:t xml:space="preserve">The University follows the OECD Frascati manual definition of </w:t>
      </w:r>
      <w:r>
        <w:rPr>
          <w:rFonts w:ascii="Arial" w:hAnsi="Arial"/>
          <w:b/>
          <w:bCs/>
          <w:sz w:val="22"/>
          <w:szCs w:val="22"/>
          <w:lang w:val="en-US"/>
        </w:rPr>
        <w:t>research activity</w:t>
      </w:r>
      <w:r>
        <w:rPr>
          <w:rFonts w:ascii="Arial" w:hAnsi="Arial"/>
          <w:sz w:val="22"/>
          <w:szCs w:val="22"/>
        </w:rPr>
        <w:t xml:space="preserve">: </w:t>
      </w:r>
      <w:r>
        <w:rPr>
          <w:rFonts w:ascii="Arial" w:hAnsi="Arial"/>
          <w:sz w:val="22"/>
          <w:szCs w:val="22"/>
          <w:lang w:val="en-US"/>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CFCF9A">
      <w:pPr>
        <w:pStyle w:val="54"/>
        <w:tabs>
          <w:tab w:val="left" w:pos="5103"/>
        </w:tabs>
        <w:ind w:right="282"/>
        <w:jc w:val="both"/>
        <w:rPr>
          <w:rFonts w:ascii="Arial" w:hAnsi="Arial" w:eastAsia="Arial" w:cs="Arial"/>
          <w:sz w:val="22"/>
          <w:szCs w:val="22"/>
        </w:rPr>
      </w:pPr>
    </w:p>
    <w:p w14:paraId="1A5C0B5C">
      <w:pPr>
        <w:pStyle w:val="54"/>
        <w:tabs>
          <w:tab w:val="left" w:pos="5103"/>
        </w:tabs>
        <w:ind w:right="282"/>
        <w:jc w:val="both"/>
        <w:rPr>
          <w:rFonts w:ascii="Arial" w:hAnsi="Arial" w:eastAsia="Arial" w:cs="Arial"/>
          <w:sz w:val="22"/>
          <w:szCs w:val="22"/>
        </w:rPr>
      </w:pPr>
      <w:r>
        <w:rPr>
          <w:rFonts w:ascii="Arial" w:hAnsi="Arial"/>
          <w:sz w:val="22"/>
          <w:szCs w:val="22"/>
          <w:lang w:val="en-US"/>
        </w:rPr>
        <w:t>The individual undertaking the research activity is known as the “</w:t>
      </w:r>
      <w:r>
        <w:rPr>
          <w:rFonts w:ascii="Arial" w:hAnsi="Arial"/>
          <w:sz w:val="22"/>
          <w:szCs w:val="22"/>
        </w:rPr>
        <w:t>principal researcher</w:t>
      </w:r>
      <w:r>
        <w:rPr>
          <w:rFonts w:ascii="Arial" w:hAnsi="Arial"/>
          <w:sz w:val="22"/>
          <w:szCs w:val="22"/>
          <w:lang w:val="en-US"/>
        </w:rPr>
        <w:t>”</w:t>
      </w:r>
      <w:r>
        <w:rPr>
          <w:rFonts w:ascii="Arial" w:hAnsi="Arial"/>
          <w:sz w:val="22"/>
          <w:szCs w:val="22"/>
        </w:rPr>
        <w:t>.</w:t>
      </w:r>
    </w:p>
    <w:p w14:paraId="582C75AD">
      <w:pPr>
        <w:pStyle w:val="54"/>
        <w:tabs>
          <w:tab w:val="left" w:pos="5103"/>
        </w:tabs>
        <w:ind w:right="282"/>
        <w:jc w:val="both"/>
        <w:rPr>
          <w:rFonts w:ascii="Arial" w:hAnsi="Arial" w:eastAsia="Arial" w:cs="Arial"/>
          <w:sz w:val="22"/>
          <w:szCs w:val="22"/>
        </w:rPr>
      </w:pPr>
    </w:p>
    <w:p w14:paraId="3CAB62F6">
      <w:pPr>
        <w:pStyle w:val="54"/>
        <w:jc w:val="both"/>
        <w:rPr>
          <w:rFonts w:ascii="Arial" w:hAnsi="Arial" w:eastAsia="Arial" w:cs="Arial"/>
          <w:sz w:val="22"/>
          <w:szCs w:val="22"/>
        </w:rPr>
      </w:pPr>
      <w:r>
        <w:rPr>
          <w:rFonts w:ascii="Arial" w:hAnsi="Arial"/>
          <w:b/>
          <w:bCs/>
          <w:sz w:val="22"/>
          <w:szCs w:val="22"/>
          <w:lang w:val="en-US"/>
        </w:rPr>
        <w:t>This form</w:t>
      </w:r>
      <w:r>
        <w:rPr>
          <w:rFonts w:ascii="Arial" w:hAnsi="Arial"/>
          <w:sz w:val="22"/>
          <w:szCs w:val="22"/>
        </w:rPr>
        <w:t xml:space="preserve"> </w:t>
      </w:r>
      <w:r>
        <w:rPr>
          <w:rFonts w:ascii="Arial" w:hAnsi="Arial"/>
          <w:b/>
          <w:bCs/>
          <w:sz w:val="22"/>
          <w:szCs w:val="22"/>
          <w:lang w:val="en-US"/>
        </w:rPr>
        <w:t>must be completed and approved prior to undertaking any research activity.</w:t>
      </w:r>
      <w:r>
        <w:rPr>
          <w:rFonts w:ascii="Arial" w:hAnsi="Arial"/>
          <w:sz w:val="22"/>
          <w:szCs w:val="22"/>
        </w:rPr>
        <w:t xml:space="preserve"> </w:t>
      </w:r>
    </w:p>
    <w:p w14:paraId="16004D8A">
      <w:pPr>
        <w:pStyle w:val="54"/>
        <w:jc w:val="both"/>
        <w:rPr>
          <w:rFonts w:ascii="Arial" w:hAnsi="Arial" w:eastAsia="Arial" w:cs="Arial"/>
          <w:sz w:val="22"/>
          <w:szCs w:val="22"/>
        </w:rPr>
      </w:pPr>
    </w:p>
    <w:p w14:paraId="24AB5644">
      <w:pPr>
        <w:pStyle w:val="54"/>
        <w:spacing w:after="240"/>
        <w:jc w:val="both"/>
        <w:rPr>
          <w:rFonts w:ascii="Arial" w:hAnsi="Arial" w:eastAsia="Arial" w:cs="Arial"/>
          <w:b/>
          <w:bCs/>
          <w:sz w:val="22"/>
          <w:szCs w:val="22"/>
        </w:rPr>
      </w:pPr>
      <w:r>
        <w:rPr>
          <w:rFonts w:ascii="Arial" w:hAnsi="Arial"/>
          <w:b/>
          <w:bCs/>
          <w:sz w:val="22"/>
          <w:szCs w:val="22"/>
          <w:lang w:val="en-US"/>
        </w:rPr>
        <w:t>SECTION A: About You (Principal Researcher)</w:t>
      </w:r>
    </w:p>
    <w:tbl>
      <w:tblPr>
        <w:tblStyle w:val="12"/>
        <w:tblW w:w="10447"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59"/>
        <w:gridCol w:w="3252"/>
        <w:gridCol w:w="6636"/>
      </w:tblGrid>
      <w:tr w14:paraId="42BD40A8">
        <w:trPr>
          <w:trHeight w:val="279" w:hRule="atLeast"/>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5C192BD8">
            <w:pPr>
              <w:pStyle w:val="54"/>
            </w:pPr>
            <w:r>
              <w:rPr>
                <w:rFonts w:ascii="Arial" w:hAnsi="Arial"/>
                <w:sz w:val="22"/>
                <w:szCs w:val="22"/>
                <w:lang w:val="en-US"/>
              </w:rPr>
              <w:t>1</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4CB3DFB3">
            <w:pPr>
              <w:pStyle w:val="54"/>
            </w:pPr>
            <w:r>
              <w:rPr>
                <w:rFonts w:ascii="Arial" w:hAnsi="Arial"/>
                <w:sz w:val="22"/>
                <w:szCs w:val="22"/>
                <w:lang w:val="en-US"/>
              </w:rPr>
              <w:t>Full Name:</w:t>
            </w:r>
          </w:p>
        </w:tc>
        <w:tc>
          <w:tcPr>
            <w:tcW w:w="6635" w:type="dxa"/>
            <w:tcBorders>
              <w:top w:val="single" w:color="000000" w:sz="6" w:space="0"/>
              <w:left w:val="single" w:color="000000" w:sz="6" w:space="0"/>
              <w:bottom w:val="single" w:color="000000" w:sz="6" w:space="0"/>
              <w:right w:val="single" w:color="000000" w:sz="6" w:space="0"/>
            </w:tcBorders>
            <w:shd w:val="clear" w:color="auto" w:fill="CED7E7"/>
            <w:tcMar>
              <w:top w:w="80" w:type="dxa"/>
              <w:left w:w="80" w:type="dxa"/>
              <w:bottom w:w="80" w:type="dxa"/>
              <w:right w:w="80" w:type="dxa"/>
            </w:tcMar>
            <w:vAlign w:val="center"/>
          </w:tcPr>
          <w:p w14:paraId="2B99B4E3">
            <w:pPr>
              <w:rPr>
                <w:rFonts w:hint="default"/>
                <w:lang w:val="en-US"/>
              </w:rPr>
            </w:pPr>
            <w:r>
              <w:rPr>
                <w:rFonts w:hint="default"/>
                <w:lang w:val="en-US"/>
              </w:rPr>
              <w:t>Papeya Akter</w:t>
            </w:r>
          </w:p>
        </w:tc>
      </w:tr>
      <w:tr w14:paraId="71753034">
        <w:trPr>
          <w:trHeight w:val="488" w:hRule="atLeast"/>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71663EDA">
            <w:pPr>
              <w:pStyle w:val="54"/>
            </w:pPr>
            <w:r>
              <w:rPr>
                <w:rFonts w:ascii="Arial" w:hAnsi="Arial"/>
                <w:sz w:val="22"/>
                <w:szCs w:val="22"/>
                <w:lang w:val="en-US"/>
              </w:rPr>
              <w:t>2</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7A861885">
            <w:pPr>
              <w:pStyle w:val="54"/>
            </w:pPr>
            <w:r>
              <w:rPr>
                <w:rFonts w:ascii="Arial" w:hAnsi="Arial"/>
                <w:sz w:val="22"/>
                <w:szCs w:val="22"/>
                <w:lang w:val="en-US"/>
              </w:rPr>
              <w:t>Student Number:</w:t>
            </w:r>
          </w:p>
        </w:tc>
        <w:tc>
          <w:tcPr>
            <w:tcW w:w="6635" w:type="dxa"/>
            <w:tcBorders>
              <w:top w:val="single" w:color="000000" w:sz="6" w:space="0"/>
              <w:left w:val="single" w:color="000000" w:sz="6" w:space="0"/>
              <w:bottom w:val="single" w:color="000000" w:sz="6" w:space="0"/>
              <w:right w:val="single" w:color="000000" w:sz="6" w:space="0"/>
            </w:tcBorders>
            <w:shd w:val="clear" w:color="auto" w:fill="CED7E7"/>
            <w:tcMar>
              <w:top w:w="80" w:type="dxa"/>
              <w:left w:w="80" w:type="dxa"/>
              <w:bottom w:w="80" w:type="dxa"/>
              <w:right w:w="80" w:type="dxa"/>
            </w:tcMar>
            <w:vAlign w:val="center"/>
          </w:tcPr>
          <w:p w14:paraId="056792BE">
            <w:pPr>
              <w:pStyle w:val="54"/>
              <w:rPr>
                <w:rFonts w:hint="default"/>
                <w:lang w:val="en-US"/>
              </w:rPr>
            </w:pPr>
            <w:r>
              <w:rPr>
                <w:rFonts w:hint="default"/>
                <w:lang w:val="en-US"/>
              </w:rPr>
              <w:t>2427999</w:t>
            </w:r>
          </w:p>
        </w:tc>
      </w:tr>
      <w:tr w14:paraId="29B97623">
        <w:trPr>
          <w:trHeight w:val="353" w:hRule="atLeast"/>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37C72909">
            <w:pPr>
              <w:pStyle w:val="54"/>
            </w:pPr>
            <w:r>
              <w:rPr>
                <w:rFonts w:ascii="Arial" w:hAnsi="Arial"/>
                <w:sz w:val="22"/>
                <w:szCs w:val="22"/>
                <w:lang w:val="en-US"/>
              </w:rPr>
              <w:t>3</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6E7E18B5">
            <w:pPr>
              <w:pStyle w:val="54"/>
            </w:pPr>
            <w:r>
              <w:rPr>
                <w:rFonts w:ascii="Arial" w:hAnsi="Arial"/>
                <w:sz w:val="22"/>
                <w:szCs w:val="22"/>
                <w:lang w:val="en-US"/>
              </w:rPr>
              <w:t>Email address:</w:t>
            </w:r>
          </w:p>
        </w:tc>
        <w:tc>
          <w:tcPr>
            <w:tcW w:w="6635" w:type="dxa"/>
            <w:tcBorders>
              <w:top w:val="single" w:color="000000" w:sz="6" w:space="0"/>
              <w:left w:val="single" w:color="000000" w:sz="6" w:space="0"/>
              <w:bottom w:val="single" w:color="000000" w:sz="6" w:space="0"/>
              <w:right w:val="single" w:color="000000" w:sz="6" w:space="0"/>
            </w:tcBorders>
            <w:shd w:val="clear" w:color="auto" w:fill="CED7E7"/>
            <w:tcMar>
              <w:top w:w="80" w:type="dxa"/>
              <w:left w:w="80" w:type="dxa"/>
              <w:bottom w:w="80" w:type="dxa"/>
              <w:right w:w="80" w:type="dxa"/>
            </w:tcMar>
            <w:vAlign w:val="center"/>
          </w:tcPr>
          <w:p w14:paraId="7686BACE">
            <w:pPr>
              <w:rPr>
                <w:rFonts w:hint="default"/>
                <w:lang w:val="en-US"/>
              </w:rPr>
            </w:pPr>
            <w:r>
              <w:rPr>
                <w:rFonts w:hint="default"/>
                <w:lang w:val="en-US"/>
              </w:rPr>
              <w:t>2427999@student.uwtsd.ac.uk</w:t>
            </w:r>
          </w:p>
        </w:tc>
      </w:tr>
      <w:tr w14:paraId="297A2328">
        <w:trPr>
          <w:trHeight w:val="389" w:hRule="atLeast"/>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4AF5D596">
            <w:pPr>
              <w:pStyle w:val="54"/>
            </w:pPr>
            <w:r>
              <w:rPr>
                <w:rFonts w:ascii="Arial" w:hAnsi="Arial"/>
                <w:sz w:val="22"/>
                <w:szCs w:val="22"/>
                <w:lang w:val="en-US"/>
              </w:rPr>
              <w:t>4</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540FB029">
            <w:pPr>
              <w:pStyle w:val="54"/>
            </w:pPr>
            <w:r>
              <w:rPr>
                <w:rFonts w:ascii="Arial" w:hAnsi="Arial"/>
                <w:sz w:val="22"/>
                <w:szCs w:val="22"/>
                <w:lang w:val="en-US"/>
              </w:rPr>
              <w:t>Programme of Study:</w:t>
            </w:r>
          </w:p>
        </w:tc>
        <w:tc>
          <w:tcPr>
            <w:tcW w:w="6635" w:type="dxa"/>
            <w:tcBorders>
              <w:top w:val="single" w:color="000000" w:sz="6" w:space="0"/>
              <w:left w:val="single" w:color="000000" w:sz="6" w:space="0"/>
              <w:bottom w:val="single" w:color="000000" w:sz="6" w:space="0"/>
              <w:right w:val="single" w:color="000000" w:sz="6" w:space="0"/>
            </w:tcBorders>
            <w:shd w:val="clear" w:color="auto" w:fill="CED7E7"/>
            <w:tcMar>
              <w:top w:w="80" w:type="dxa"/>
              <w:left w:w="80" w:type="dxa"/>
              <w:bottom w:w="80" w:type="dxa"/>
              <w:right w:w="80" w:type="dxa"/>
            </w:tcMar>
            <w:vAlign w:val="center"/>
          </w:tcPr>
          <w:p w14:paraId="78E5F879">
            <w:pPr>
              <w:rPr>
                <w:rFonts w:hint="default"/>
                <w:lang w:val="en-US"/>
              </w:rPr>
            </w:pPr>
            <w:r>
              <w:rPr>
                <w:rFonts w:hint="default"/>
                <w:lang w:val="en-US"/>
              </w:rPr>
              <w:t>MBA International Business</w:t>
            </w:r>
          </w:p>
        </w:tc>
      </w:tr>
      <w:tr w14:paraId="694202E3">
        <w:trPr>
          <w:trHeight w:val="397" w:hRule="atLeast"/>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4DA39045">
            <w:pPr>
              <w:pStyle w:val="54"/>
            </w:pPr>
            <w:r>
              <w:rPr>
                <w:rFonts w:ascii="Arial" w:hAnsi="Arial"/>
                <w:sz w:val="22"/>
                <w:szCs w:val="22"/>
                <w:lang w:val="en-US"/>
              </w:rPr>
              <w:t>5</w:t>
            </w:r>
          </w:p>
        </w:tc>
        <w:tc>
          <w:tcPr>
            <w:tcW w:w="3252"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14:paraId="16E27FA2">
            <w:pPr>
              <w:pStyle w:val="54"/>
            </w:pPr>
            <w:r>
              <w:rPr>
                <w:rFonts w:ascii="Arial" w:hAnsi="Arial"/>
                <w:sz w:val="22"/>
                <w:szCs w:val="22"/>
                <w:lang w:val="en-US"/>
              </w:rPr>
              <w:t>Supervisor:</w:t>
            </w:r>
          </w:p>
        </w:tc>
        <w:tc>
          <w:tcPr>
            <w:tcW w:w="6635" w:type="dxa"/>
            <w:tcBorders>
              <w:top w:val="single" w:color="000000" w:sz="6" w:space="0"/>
              <w:left w:val="single" w:color="000000" w:sz="6" w:space="0"/>
              <w:bottom w:val="single" w:color="000000" w:sz="6" w:space="0"/>
              <w:right w:val="single" w:color="000000" w:sz="6" w:space="0"/>
            </w:tcBorders>
            <w:shd w:val="clear" w:color="auto" w:fill="CED7E7"/>
            <w:tcMar>
              <w:top w:w="80" w:type="dxa"/>
              <w:left w:w="80" w:type="dxa"/>
              <w:bottom w:w="80" w:type="dxa"/>
              <w:right w:w="80" w:type="dxa"/>
            </w:tcMar>
            <w:vAlign w:val="center"/>
          </w:tcPr>
          <w:p w14:paraId="0A473828">
            <w:pPr>
              <w:rPr>
                <w:rFonts w:hint="default"/>
                <w:lang w:val="en-US"/>
              </w:rPr>
            </w:pPr>
            <w:r>
              <w:rPr>
                <w:rFonts w:hint="default"/>
                <w:lang w:val="en-US"/>
              </w:rPr>
              <w:t>Amir Homayounfard</w:t>
            </w:r>
          </w:p>
        </w:tc>
      </w:tr>
    </w:tbl>
    <w:p w14:paraId="2475ACB0">
      <w:pPr>
        <w:pStyle w:val="54"/>
        <w:widowControl w:val="0"/>
        <w:spacing w:after="240"/>
        <w:jc w:val="both"/>
        <w:rPr>
          <w:rFonts w:ascii="Arial" w:hAnsi="Arial" w:eastAsia="Arial" w:cs="Arial"/>
          <w:b/>
          <w:bCs/>
          <w:sz w:val="22"/>
          <w:szCs w:val="22"/>
        </w:rPr>
      </w:pPr>
    </w:p>
    <w:p w14:paraId="516E96D5">
      <w:pPr>
        <w:pStyle w:val="54"/>
        <w:spacing w:after="240"/>
        <w:jc w:val="both"/>
        <w:rPr>
          <w:rFonts w:ascii="Arial" w:hAnsi="Arial" w:eastAsia="Arial" w:cs="Arial"/>
          <w:b/>
          <w:bCs/>
          <w:sz w:val="22"/>
          <w:szCs w:val="22"/>
        </w:rPr>
      </w:pPr>
    </w:p>
    <w:p w14:paraId="1A9D3A61">
      <w:pPr>
        <w:pStyle w:val="54"/>
        <w:spacing w:after="240"/>
        <w:jc w:val="both"/>
        <w:rPr>
          <w:rFonts w:ascii="Arial" w:hAnsi="Arial" w:eastAsia="Arial" w:cs="Arial"/>
          <w:b/>
          <w:bCs/>
          <w:sz w:val="22"/>
          <w:szCs w:val="22"/>
        </w:rPr>
      </w:pPr>
      <w:r>
        <w:rPr>
          <w:rFonts w:ascii="Arial" w:hAnsi="Arial"/>
          <w:b/>
          <w:bCs/>
          <w:sz w:val="22"/>
          <w:szCs w:val="22"/>
          <w:lang w:val="en-US"/>
        </w:rPr>
        <w:t>SECTION B:  Internal and External Ethical Guidance Materials</w:t>
      </w:r>
    </w:p>
    <w:tbl>
      <w:tblPr>
        <w:tblStyle w:val="12"/>
        <w:tblW w:w="1048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8784"/>
        <w:gridCol w:w="1134"/>
      </w:tblGrid>
      <w:tr w14:paraId="39BE53C5">
        <w:trPr>
          <w:trHeight w:val="120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1CD55C47"/>
        </w:tc>
        <w:tc>
          <w:tcPr>
            <w:tcW w:w="9918"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041DCBF">
            <w:pPr>
              <w:pStyle w:val="54"/>
            </w:pPr>
            <w:r>
              <w:rPr>
                <w:rFonts w:ascii="Arial" w:hAnsi="Arial"/>
                <w:sz w:val="22"/>
                <w:szCs w:val="22"/>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0B5B4414">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55A071E0">
            <w:pPr>
              <w:pStyle w:val="54"/>
            </w:pPr>
            <w:r>
              <w:rPr>
                <w:rFonts w:ascii="Arial" w:hAnsi="Arial"/>
                <w:sz w:val="22"/>
                <w:szCs w:val="22"/>
                <w:lang w:val="en-US"/>
              </w:rPr>
              <w:t>1</w:t>
            </w:r>
          </w:p>
        </w:tc>
        <w:tc>
          <w:tcPr>
            <w:tcW w:w="8784"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73D78E4">
            <w:pPr>
              <w:pStyle w:val="54"/>
            </w:pPr>
            <w:r>
              <w:rPr>
                <w:rStyle w:val="55"/>
                <w:rFonts w:ascii="Arial" w:hAnsi="Arial"/>
                <w:b/>
                <w:bCs/>
                <w:color w:val="000000"/>
                <w:sz w:val="22"/>
                <w:szCs w:val="22"/>
                <w:u w:val="none" w:color="000000"/>
              </w:rPr>
              <w:t>UWTSD Research Ethics &amp; Integrity Code of Practice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C53867D">
            <w:pPr>
              <w:pStyle w:val="54"/>
              <w:jc w:val="center"/>
            </w:pPr>
            <w:r>
              <w:rPr>
                <w:rFonts w:ascii="MS Gothic" w:hAnsi="MS Gothic" w:eastAsia="MS Gothic" w:cs="MS Gothic"/>
                <w:b/>
                <w:bCs/>
                <w:sz w:val="22"/>
                <w:szCs w:val="22"/>
                <w:lang w:val="en-US"/>
              </w:rPr>
              <w:t>☑</w:t>
            </w:r>
          </w:p>
        </w:tc>
      </w:tr>
      <w:tr w14:paraId="6ECE3701">
        <w:trPr>
          <w:trHeight w:val="257"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474F5E80">
            <w:pPr>
              <w:pStyle w:val="54"/>
            </w:pPr>
            <w:r>
              <w:rPr>
                <w:rFonts w:ascii="Arial" w:hAnsi="Arial"/>
                <w:sz w:val="22"/>
                <w:szCs w:val="22"/>
                <w:lang w:val="en-US"/>
              </w:rPr>
              <w:t>2</w:t>
            </w:r>
          </w:p>
        </w:tc>
        <w:tc>
          <w:tcPr>
            <w:tcW w:w="8784"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4AE926EC">
            <w:pPr>
              <w:pStyle w:val="54"/>
            </w:pPr>
            <w:r>
              <w:rPr>
                <w:rFonts w:ascii="Arial" w:hAnsi="Arial"/>
                <w:b/>
                <w:bCs/>
                <w:sz w:val="22"/>
                <w:szCs w:val="22"/>
                <w:lang w:val="en-US"/>
              </w:rPr>
              <w:t>UWTSD Research Data Management Policy</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D86FE14">
            <w:pPr>
              <w:pStyle w:val="54"/>
              <w:jc w:val="center"/>
            </w:pPr>
            <w:r>
              <w:rPr>
                <w:rFonts w:ascii="MS Gothic" w:hAnsi="MS Gothic" w:eastAsia="MS Gothic" w:cs="MS Gothic"/>
                <w:b/>
                <w:bCs/>
                <w:sz w:val="22"/>
                <w:szCs w:val="22"/>
                <w:lang w:val="en-US"/>
              </w:rPr>
              <w:t>☑</w:t>
            </w:r>
          </w:p>
        </w:tc>
      </w:tr>
      <w:tr w14:paraId="354DD99E">
        <w:trPr>
          <w:trHeight w:val="249"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7821175F">
            <w:pPr>
              <w:pStyle w:val="54"/>
            </w:pPr>
            <w:r>
              <w:rPr>
                <w:rFonts w:ascii="Arial" w:hAnsi="Arial"/>
                <w:sz w:val="22"/>
                <w:szCs w:val="22"/>
                <w:lang w:val="en-US"/>
              </w:rPr>
              <w:t>3</w:t>
            </w:r>
          </w:p>
        </w:tc>
        <w:tc>
          <w:tcPr>
            <w:tcW w:w="8784"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88A9B03">
            <w:pPr>
              <w:rPr>
                <w:b/>
                <w:bCs/>
              </w:rPr>
            </w:pP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8699389">
            <w:pPr>
              <w:pStyle w:val="54"/>
              <w:jc w:val="center"/>
            </w:pPr>
            <w:r>
              <w:rPr>
                <w:rFonts w:ascii="MS Gothic" w:hAnsi="MS Gothic" w:eastAsia="MS Gothic" w:cs="MS Gothic"/>
                <w:b/>
                <w:bCs/>
                <w:sz w:val="22"/>
                <w:szCs w:val="22"/>
                <w:lang w:val="en-US"/>
              </w:rPr>
              <w:t>☐</w:t>
            </w:r>
          </w:p>
        </w:tc>
      </w:tr>
      <w:tr w14:paraId="52AAD2D2">
        <w:trPr>
          <w:trHeight w:val="249"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6A25CFE">
            <w:pPr>
              <w:pStyle w:val="54"/>
            </w:pPr>
            <w:r>
              <w:rPr>
                <w:rFonts w:ascii="Arial" w:hAnsi="Arial"/>
                <w:sz w:val="22"/>
                <w:szCs w:val="22"/>
                <w:lang w:val="en-US"/>
              </w:rPr>
              <w:t>4</w:t>
            </w:r>
          </w:p>
        </w:tc>
        <w:tc>
          <w:tcPr>
            <w:tcW w:w="8784"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1DD6208B"/>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AAB24AD">
            <w:pPr>
              <w:pStyle w:val="54"/>
              <w:jc w:val="center"/>
            </w:pPr>
            <w:r>
              <w:rPr>
                <w:rFonts w:ascii="MS Gothic" w:hAnsi="MS Gothic" w:eastAsia="MS Gothic" w:cs="MS Gothic"/>
                <w:b/>
                <w:bCs/>
                <w:sz w:val="22"/>
                <w:szCs w:val="22"/>
                <w:lang w:val="en-US"/>
              </w:rPr>
              <w:t>☐</w:t>
            </w:r>
          </w:p>
        </w:tc>
      </w:tr>
    </w:tbl>
    <w:p w14:paraId="7E66912F">
      <w:pPr>
        <w:pStyle w:val="54"/>
        <w:widowControl w:val="0"/>
        <w:spacing w:after="240"/>
        <w:jc w:val="both"/>
        <w:rPr>
          <w:rFonts w:ascii="Arial" w:hAnsi="Arial" w:eastAsia="Arial" w:cs="Arial"/>
          <w:b/>
          <w:bCs/>
          <w:sz w:val="22"/>
          <w:szCs w:val="22"/>
        </w:rPr>
      </w:pPr>
    </w:p>
    <w:p w14:paraId="3FDCC28B">
      <w:pPr>
        <w:pStyle w:val="54"/>
        <w:spacing w:after="240"/>
        <w:jc w:val="both"/>
        <w:rPr>
          <w:rFonts w:ascii="Arial" w:hAnsi="Arial" w:eastAsia="Arial" w:cs="Arial"/>
          <w:b/>
          <w:bCs/>
          <w:sz w:val="22"/>
          <w:szCs w:val="22"/>
        </w:rPr>
      </w:pPr>
    </w:p>
    <w:p w14:paraId="13201BC0">
      <w:pPr>
        <w:pStyle w:val="54"/>
        <w:spacing w:after="240"/>
        <w:jc w:val="both"/>
        <w:rPr>
          <w:rFonts w:ascii="Arial" w:hAnsi="Arial" w:eastAsia="Arial" w:cs="Arial"/>
          <w:b/>
          <w:bCs/>
          <w:sz w:val="22"/>
          <w:szCs w:val="22"/>
        </w:rPr>
      </w:pPr>
      <w:r>
        <w:rPr>
          <w:rFonts w:ascii="Arial" w:hAnsi="Arial"/>
          <w:b/>
          <w:bCs/>
          <w:sz w:val="22"/>
          <w:szCs w:val="22"/>
          <w:lang w:val="en-US"/>
        </w:rPr>
        <w:t>SECTION C: Details of Research Activity</w:t>
      </w:r>
    </w:p>
    <w:tbl>
      <w:tblPr>
        <w:tblStyle w:val="12"/>
        <w:tblW w:w="1049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498"/>
        <w:gridCol w:w="1616"/>
        <w:gridCol w:w="3279"/>
        <w:gridCol w:w="1700"/>
        <w:gridCol w:w="3403"/>
      </w:tblGrid>
      <w:tr w14:paraId="1A0280EC">
        <w:trPr>
          <w:trHeight w:val="304" w:hRule="atLeast"/>
        </w:trPr>
        <w:tc>
          <w:tcPr>
            <w:tcW w:w="49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1D552A4">
            <w:pPr>
              <w:pStyle w:val="54"/>
            </w:pPr>
            <w:r>
              <w:rPr>
                <w:rFonts w:ascii="Arial" w:hAnsi="Arial"/>
                <w:sz w:val="22"/>
                <w:szCs w:val="22"/>
                <w:lang w:val="en-US"/>
              </w:rPr>
              <w:t>1</w:t>
            </w:r>
          </w:p>
        </w:tc>
        <w:tc>
          <w:tcPr>
            <w:tcW w:w="161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FD038C3">
            <w:pPr>
              <w:pStyle w:val="54"/>
            </w:pPr>
            <w:r>
              <w:rPr>
                <w:rFonts w:ascii="Arial" w:hAnsi="Arial"/>
                <w:sz w:val="22"/>
                <w:szCs w:val="22"/>
                <w:lang w:val="en-US"/>
              </w:rPr>
              <w:t>Indicative title:</w:t>
            </w:r>
          </w:p>
        </w:tc>
        <w:tc>
          <w:tcPr>
            <w:tcW w:w="8382"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721E9336">
            <w:r>
              <w:t>The Role of Experiential Marketing in Building Emotional Brand Attachment: A Starbucks Case Study</w:t>
            </w:r>
          </w:p>
        </w:tc>
      </w:tr>
      <w:tr w14:paraId="3D7FB222">
        <w:trPr>
          <w:trHeight w:val="483" w:hRule="atLeast"/>
        </w:trPr>
        <w:tc>
          <w:tcPr>
            <w:tcW w:w="49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D188C6A">
            <w:pPr>
              <w:pStyle w:val="54"/>
            </w:pPr>
            <w:r>
              <w:rPr>
                <w:rFonts w:ascii="Arial" w:hAnsi="Arial"/>
                <w:sz w:val="22"/>
                <w:szCs w:val="22"/>
                <w:lang w:val="en-US"/>
              </w:rPr>
              <w:t>2</w:t>
            </w:r>
          </w:p>
        </w:tc>
        <w:tc>
          <w:tcPr>
            <w:tcW w:w="161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1CF9E90">
            <w:pPr>
              <w:pStyle w:val="54"/>
            </w:pPr>
            <w:r>
              <w:rPr>
                <w:rFonts w:ascii="Arial" w:hAnsi="Arial"/>
                <w:sz w:val="22"/>
                <w:szCs w:val="22"/>
                <w:lang w:val="en-US"/>
              </w:rPr>
              <w:t>Proposed start date:</w:t>
            </w:r>
          </w:p>
        </w:tc>
        <w:tc>
          <w:tcPr>
            <w:tcW w:w="3279"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7502F56B">
            <w:bookmarkStart w:id="117" w:name="_GoBack"/>
            <w:bookmarkEnd w:id="117"/>
          </w:p>
        </w:tc>
        <w:tc>
          <w:tcPr>
            <w:tcW w:w="17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D8DF46C">
            <w:pPr>
              <w:pStyle w:val="54"/>
            </w:pPr>
            <w:r>
              <w:rPr>
                <w:rFonts w:ascii="Arial" w:hAnsi="Arial"/>
                <w:sz w:val="22"/>
                <w:szCs w:val="22"/>
                <w:lang w:val="en-US"/>
              </w:rPr>
              <w:t>Proposed end date:</w:t>
            </w:r>
          </w:p>
        </w:tc>
        <w:tc>
          <w:tcPr>
            <w:tcW w:w="3403"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19E6921A"/>
        </w:tc>
      </w:tr>
      <w:tr w14:paraId="36FB635F">
        <w:trPr>
          <w:trHeight w:val="2768" w:hRule="atLeast"/>
        </w:trPr>
        <w:tc>
          <w:tcPr>
            <w:tcW w:w="498" w:type="dxa"/>
            <w:tcBorders>
              <w:top w:val="single" w:color="000000" w:sz="4"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14:paraId="66E18F27"/>
        </w:tc>
        <w:tc>
          <w:tcPr>
            <w:tcW w:w="9998" w:type="dxa"/>
            <w:gridSpan w:val="4"/>
            <w:tcBorders>
              <w:top w:val="single" w:color="000000" w:sz="4"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14:paraId="763DABF9">
            <w:pPr>
              <w:pStyle w:val="54"/>
              <w:spacing w:before="120" w:after="120"/>
              <w:rPr>
                <w:rFonts w:ascii="Arial" w:hAnsi="Arial" w:eastAsia="Arial" w:cs="Arial"/>
                <w:b/>
                <w:bCs/>
                <w:sz w:val="22"/>
                <w:szCs w:val="22"/>
              </w:rPr>
            </w:pPr>
            <w:r>
              <w:rPr>
                <w:rFonts w:ascii="Arial" w:hAnsi="Arial"/>
                <w:b/>
                <w:bCs/>
                <w:sz w:val="22"/>
                <w:szCs w:val="22"/>
                <w:lang w:val="en-US"/>
              </w:rPr>
              <w:t>Introduction to the Research</w:t>
            </w:r>
          </w:p>
        </w:tc>
      </w:tr>
      <w:tr w14:paraId="73026952">
        <w:trPr>
          <w:trHeight w:val="1114" w:hRule="atLeast"/>
        </w:trPr>
        <w:tc>
          <w:tcPr>
            <w:tcW w:w="498" w:type="dxa"/>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65200D59">
            <w:pPr>
              <w:pStyle w:val="54"/>
            </w:pPr>
            <w:r>
              <w:rPr>
                <w:rFonts w:ascii="Arial" w:hAnsi="Arial"/>
                <w:sz w:val="22"/>
                <w:szCs w:val="22"/>
                <w:lang w:val="en-US"/>
              </w:rPr>
              <w:t>3</w:t>
            </w:r>
          </w:p>
        </w:tc>
        <w:tc>
          <w:tcPr>
            <w:tcW w:w="9998" w:type="dxa"/>
            <w:gridSpan w:val="4"/>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19AD075F">
            <w:pPr>
              <w:pStyle w:val="54"/>
              <w:rPr>
                <w:rFonts w:ascii="Arial" w:hAnsi="Arial" w:eastAsia="Arial" w:cs="Arial"/>
                <w:b/>
                <w:bCs/>
                <w:sz w:val="22"/>
                <w:szCs w:val="22"/>
              </w:rPr>
            </w:pPr>
            <w:r>
              <w:rPr>
                <w:rFonts w:ascii="Arial" w:hAnsi="Arial"/>
                <w:b/>
                <w:bCs/>
                <w:sz w:val="22"/>
                <w:szCs w:val="22"/>
                <w:lang w:val="en-US"/>
              </w:rPr>
              <w:t>Purpose of Research Activity</w:t>
            </w:r>
          </w:p>
          <w:p w14:paraId="1E007A8A">
            <w:pPr>
              <w:pStyle w:val="54"/>
              <w:rPr>
                <w:rFonts w:ascii="Arial" w:hAnsi="Arial" w:eastAsia="Arial" w:cs="Arial"/>
                <w:lang w:val="en-US"/>
              </w:rPr>
            </w:pPr>
            <w:r>
              <w:rPr>
                <w:rFonts w:ascii="Arial" w:hAnsi="Arial" w:eastAsia="Arial" w:cs="Arial"/>
                <w:lang w:val="en-US"/>
              </w:rPr>
              <w:t>This study examines the role of experiential marketing in creating emotional attachment to a brand, which is the Starbucks case study. A common trend in contemporary services is the importance of experiences as a commodity by consumers. Customers can form their opinion about a brand based on store ambience, employee merchant contact, narrative, and online communication. Starbucks is commonly known to have developed a unique customer experience, which makes the company an appropriate study to explore this problem. Available literature demonstrates that experiential marketing has effects on customer perceptions, involvement and loyalty. Fewer studies however have explicitly investigated how these experiences lead to the development of emotional attachment in service based retailing places like coffeehouse brands. The paper fills that gap as it unites the literature on the topics of experiential marketing, customer experience, and emotional branding into a single investigation. The study will contribute to the body of knowledge by demonstrating how various experiential factors can be effectively combined to create stronger emotional customers-brand relationships. This is critical since emotive attachment has the potential of boosting loyalty, recurring purchase and word of mouth. The work also has a practical implication on the service business which is trying to enhance the relationship with the customers by enriching their experiences in brand contact in terms of being more meaningful and authentic.</w:t>
            </w:r>
          </w:p>
          <w:p w14:paraId="1369CE5C">
            <w:pPr>
              <w:pStyle w:val="54"/>
              <w:rPr>
                <w:rFonts w:ascii="Arial" w:hAnsi="Arial" w:eastAsia="Arial" w:cs="Arial"/>
                <w:lang w:val="en-US"/>
              </w:rPr>
            </w:pPr>
          </w:p>
          <w:p w14:paraId="5D1E6B2C">
            <w:pPr>
              <w:pStyle w:val="54"/>
            </w:pPr>
            <w:r>
              <w:rPr>
                <w:rFonts w:ascii="Arial" w:hAnsi="Arial"/>
                <w:color w:val="808080"/>
                <w:sz w:val="18"/>
                <w:szCs w:val="18"/>
                <w:u w:color="808080"/>
                <w:lang w:val="en-US"/>
              </w:rPr>
              <w:t>(this box should expand as you type)</w:t>
            </w:r>
          </w:p>
        </w:tc>
      </w:tr>
      <w:tr w14:paraId="2879A6BB">
        <w:trPr>
          <w:trHeight w:val="1134" w:hRule="atLeast"/>
        </w:trPr>
        <w:tc>
          <w:tcPr>
            <w:tcW w:w="498" w:type="dxa"/>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3E8F7609">
            <w:pPr>
              <w:pStyle w:val="54"/>
            </w:pPr>
            <w:r>
              <w:rPr>
                <w:rFonts w:ascii="Arial" w:hAnsi="Arial"/>
                <w:sz w:val="22"/>
                <w:szCs w:val="22"/>
                <w:lang w:val="en-US"/>
              </w:rPr>
              <w:t>4</w:t>
            </w:r>
          </w:p>
        </w:tc>
        <w:tc>
          <w:tcPr>
            <w:tcW w:w="9998" w:type="dxa"/>
            <w:gridSpan w:val="4"/>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20B00BDE">
            <w:pPr>
              <w:pStyle w:val="54"/>
              <w:rPr>
                <w:rFonts w:ascii="Arial" w:hAnsi="Arial" w:eastAsia="Arial" w:cs="Arial"/>
                <w:b/>
                <w:bCs/>
                <w:sz w:val="22"/>
                <w:szCs w:val="22"/>
              </w:rPr>
            </w:pPr>
            <w:r>
              <w:rPr>
                <w:rFonts w:ascii="Arial" w:hAnsi="Arial"/>
                <w:b/>
                <w:bCs/>
                <w:sz w:val="22"/>
                <w:szCs w:val="22"/>
                <w:lang w:val="en-US"/>
              </w:rPr>
              <w:t>Research Question</w:t>
            </w:r>
          </w:p>
          <w:p w14:paraId="1CC3F9E6">
            <w:pPr>
              <w:pStyle w:val="54"/>
              <w:rPr>
                <w:rFonts w:ascii="Arial" w:hAnsi="Arial" w:eastAsia="Arial" w:cs="Arial"/>
                <w:lang w:val="en-US"/>
              </w:rPr>
            </w:pPr>
          </w:p>
          <w:p w14:paraId="2556B384">
            <w:pPr>
              <w:pStyle w:val="54"/>
              <w:numPr>
                <w:ilvl w:val="0"/>
                <w:numId w:val="3"/>
              </w:numPr>
              <w:rPr>
                <w:rFonts w:ascii="Arial" w:hAnsi="Arial" w:eastAsia="Arial" w:cs="Arial"/>
                <w:sz w:val="22"/>
                <w:szCs w:val="22"/>
              </w:rPr>
            </w:pPr>
            <w:r>
              <w:rPr>
                <w:rFonts w:ascii="Arial" w:hAnsi="Arial" w:eastAsia="Arial" w:cs="Arial"/>
                <w:sz w:val="22"/>
                <w:szCs w:val="22"/>
              </w:rPr>
              <w:t>How does experiential marketing contribute to emotional brand attachment in Starbucks?</w:t>
            </w:r>
          </w:p>
          <w:p w14:paraId="0A3182F5">
            <w:pPr>
              <w:pStyle w:val="54"/>
            </w:pPr>
          </w:p>
        </w:tc>
      </w:tr>
      <w:tr w14:paraId="2D5F25D0">
        <w:trPr>
          <w:trHeight w:val="1134" w:hRule="atLeast"/>
        </w:trPr>
        <w:tc>
          <w:tcPr>
            <w:tcW w:w="498" w:type="dxa"/>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5DFE1079">
            <w:pPr>
              <w:pStyle w:val="54"/>
            </w:pPr>
            <w:r>
              <w:rPr>
                <w:rFonts w:ascii="Arial" w:hAnsi="Arial"/>
                <w:sz w:val="22"/>
                <w:szCs w:val="22"/>
                <w:lang w:val="en-US"/>
              </w:rPr>
              <w:t>5</w:t>
            </w:r>
          </w:p>
        </w:tc>
        <w:tc>
          <w:tcPr>
            <w:tcW w:w="9998" w:type="dxa"/>
            <w:gridSpan w:val="4"/>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76CAE92A">
            <w:pPr>
              <w:pStyle w:val="54"/>
              <w:rPr>
                <w:rFonts w:ascii="Arial" w:hAnsi="Arial" w:eastAsia="Arial" w:cs="Arial"/>
                <w:b/>
                <w:bCs/>
                <w:sz w:val="22"/>
                <w:szCs w:val="22"/>
              </w:rPr>
            </w:pPr>
            <w:r>
              <w:rPr>
                <w:rFonts w:ascii="Arial" w:hAnsi="Arial"/>
                <w:b/>
                <w:bCs/>
                <w:sz w:val="22"/>
                <w:szCs w:val="22"/>
                <w:lang w:val="en-US"/>
              </w:rPr>
              <w:t>Aims of Research Activity</w:t>
            </w:r>
          </w:p>
          <w:p w14:paraId="615FF015">
            <w:pPr>
              <w:pStyle w:val="54"/>
              <w:rPr>
                <w:rFonts w:ascii="Arial" w:hAnsi="Arial" w:eastAsia="Arial" w:cs="Arial"/>
                <w:sz w:val="22"/>
                <w:szCs w:val="22"/>
                <w:lang w:val="en-US"/>
              </w:rPr>
            </w:pPr>
            <w:r>
              <w:rPr>
                <w:rFonts w:ascii="Arial" w:hAnsi="Arial" w:eastAsia="Arial" w:cs="Arial"/>
                <w:sz w:val="22"/>
                <w:szCs w:val="22"/>
                <w:lang w:val="en-US"/>
              </w:rPr>
              <w:t>To examine how experiential marketing strategies contribute to building emotional brand attachment using Starbucks as a case study through secondary research.</w:t>
            </w:r>
          </w:p>
          <w:p w14:paraId="388A5156">
            <w:pPr>
              <w:pStyle w:val="54"/>
            </w:pPr>
            <w:r>
              <w:rPr>
                <w:rFonts w:ascii="Arial" w:hAnsi="Arial"/>
                <w:color w:val="808080"/>
                <w:sz w:val="18"/>
                <w:szCs w:val="18"/>
                <w:u w:color="808080"/>
                <w:lang w:val="en-US"/>
              </w:rPr>
              <w:t>(this box should expand as you type)</w:t>
            </w:r>
          </w:p>
        </w:tc>
      </w:tr>
      <w:tr w14:paraId="03DC22CA">
        <w:trPr>
          <w:trHeight w:val="1154" w:hRule="atLeast"/>
        </w:trPr>
        <w:tc>
          <w:tcPr>
            <w:tcW w:w="498" w:type="dxa"/>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363A60AC">
            <w:pPr>
              <w:pStyle w:val="54"/>
            </w:pPr>
            <w:r>
              <w:rPr>
                <w:rFonts w:ascii="Arial" w:hAnsi="Arial"/>
                <w:sz w:val="22"/>
                <w:szCs w:val="22"/>
                <w:lang w:val="en-US"/>
              </w:rPr>
              <w:t>6</w:t>
            </w:r>
          </w:p>
        </w:tc>
        <w:tc>
          <w:tcPr>
            <w:tcW w:w="9998" w:type="dxa"/>
            <w:gridSpan w:val="4"/>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789B8497">
            <w:pPr>
              <w:pStyle w:val="54"/>
              <w:rPr>
                <w:rFonts w:ascii="Arial" w:hAnsi="Arial" w:eastAsia="Arial" w:cs="Arial"/>
                <w:b/>
                <w:bCs/>
                <w:sz w:val="22"/>
                <w:szCs w:val="22"/>
              </w:rPr>
            </w:pPr>
            <w:r>
              <w:rPr>
                <w:rFonts w:ascii="Arial" w:hAnsi="Arial"/>
                <w:b/>
                <w:bCs/>
                <w:sz w:val="22"/>
                <w:szCs w:val="22"/>
                <w:lang w:val="en-US"/>
              </w:rPr>
              <w:t>Objectives of Research Activity</w:t>
            </w:r>
          </w:p>
          <w:p w14:paraId="013A9A75">
            <w:pPr>
              <w:pStyle w:val="54"/>
              <w:rPr>
                <w:rFonts w:ascii="Arial" w:hAnsi="Arial" w:eastAsia="Arial" w:cs="Arial"/>
                <w:lang w:val="en-US"/>
              </w:rPr>
            </w:pPr>
          </w:p>
          <w:p w14:paraId="404428E3">
            <w:pPr>
              <w:pStyle w:val="54"/>
              <w:numPr>
                <w:ilvl w:val="0"/>
                <w:numId w:val="1"/>
              </w:numPr>
              <w:rPr>
                <w:rFonts w:ascii="Arial" w:hAnsi="Arial" w:eastAsia="Arial" w:cs="Arial"/>
                <w:sz w:val="22"/>
                <w:szCs w:val="22"/>
              </w:rPr>
            </w:pPr>
            <w:r>
              <w:rPr>
                <w:rFonts w:ascii="Arial" w:hAnsi="Arial" w:eastAsia="Arial" w:cs="Arial"/>
                <w:sz w:val="22"/>
                <w:szCs w:val="22"/>
              </w:rPr>
              <w:t>To explore the concept and importance of experiential marketing in modern branding.</w:t>
            </w:r>
          </w:p>
          <w:p w14:paraId="11E150A7">
            <w:pPr>
              <w:pStyle w:val="54"/>
              <w:numPr>
                <w:ilvl w:val="0"/>
                <w:numId w:val="1"/>
              </w:numPr>
              <w:rPr>
                <w:rFonts w:ascii="Arial" w:hAnsi="Arial" w:eastAsia="Arial" w:cs="Arial"/>
                <w:sz w:val="22"/>
                <w:szCs w:val="22"/>
              </w:rPr>
            </w:pPr>
            <w:r>
              <w:rPr>
                <w:rFonts w:ascii="Arial" w:hAnsi="Arial" w:eastAsia="Arial" w:cs="Arial"/>
                <w:sz w:val="22"/>
                <w:szCs w:val="22"/>
              </w:rPr>
              <w:t>To examine how experiential marketing strategies are implemented in Starbucks.</w:t>
            </w:r>
          </w:p>
          <w:p w14:paraId="0BDFE0DA">
            <w:pPr>
              <w:pStyle w:val="54"/>
              <w:numPr>
                <w:ilvl w:val="0"/>
                <w:numId w:val="1"/>
              </w:numPr>
              <w:rPr>
                <w:rFonts w:ascii="Arial" w:hAnsi="Arial" w:eastAsia="Arial" w:cs="Arial"/>
                <w:sz w:val="22"/>
                <w:szCs w:val="22"/>
              </w:rPr>
            </w:pPr>
            <w:r>
              <w:rPr>
                <w:rFonts w:ascii="Arial" w:hAnsi="Arial" w:eastAsia="Arial" w:cs="Arial"/>
                <w:sz w:val="22"/>
                <w:szCs w:val="22"/>
              </w:rPr>
              <w:t>To analyse how experiential marketing influences emotional brand attachment among customers.</w:t>
            </w:r>
          </w:p>
          <w:p w14:paraId="26C1B7EE">
            <w:pPr>
              <w:pStyle w:val="54"/>
              <w:numPr>
                <w:ilvl w:val="0"/>
                <w:numId w:val="1"/>
              </w:numPr>
              <w:rPr>
                <w:rFonts w:ascii="Arial" w:hAnsi="Arial" w:eastAsia="Arial" w:cs="Arial"/>
                <w:sz w:val="22"/>
                <w:szCs w:val="22"/>
                <w:lang w:val="en-US"/>
              </w:rPr>
            </w:pPr>
            <w:r>
              <w:rPr>
                <w:rFonts w:ascii="Arial" w:hAnsi="Arial" w:eastAsia="Arial" w:cs="Arial"/>
                <w:sz w:val="22"/>
                <w:szCs w:val="22"/>
                <w:lang w:val="en-US"/>
              </w:rPr>
              <w:t>To evaluate existing literature on experiential marketing and emotional branding.</w:t>
            </w:r>
          </w:p>
          <w:p w14:paraId="70B9E9CB">
            <w:pPr>
              <w:pStyle w:val="54"/>
              <w:rPr>
                <w:rFonts w:ascii="Arial" w:hAnsi="Arial" w:eastAsia="Arial" w:cs="Arial"/>
                <w:sz w:val="22"/>
                <w:szCs w:val="22"/>
                <w:lang w:val="en-US"/>
              </w:rPr>
            </w:pPr>
          </w:p>
          <w:p w14:paraId="274B03C3">
            <w:pPr>
              <w:pStyle w:val="54"/>
            </w:pPr>
            <w:r>
              <w:rPr>
                <w:rFonts w:ascii="Arial" w:hAnsi="Arial"/>
                <w:color w:val="808080"/>
                <w:sz w:val="18"/>
                <w:szCs w:val="18"/>
                <w:u w:color="808080"/>
                <w:lang w:val="en-US"/>
              </w:rPr>
              <w:t>(this box should expand as you type)</w:t>
            </w:r>
          </w:p>
        </w:tc>
      </w:tr>
      <w:tr w14:paraId="3D072958">
        <w:trPr>
          <w:trHeight w:val="1573" w:hRule="atLeast"/>
        </w:trPr>
        <w:tc>
          <w:tcPr>
            <w:tcW w:w="498"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14:paraId="2F2F55C8"/>
        </w:tc>
        <w:tc>
          <w:tcPr>
            <w:tcW w:w="9998" w:type="dxa"/>
            <w:gridSpan w:val="4"/>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14:paraId="45FAAE8D">
            <w:pPr>
              <w:pStyle w:val="54"/>
              <w:spacing w:before="120" w:after="120"/>
              <w:rPr>
                <w:rFonts w:ascii="Arial" w:hAnsi="Arial" w:eastAsia="Arial" w:cs="Arial"/>
                <w:b/>
                <w:bCs/>
                <w:sz w:val="22"/>
                <w:szCs w:val="22"/>
              </w:rPr>
            </w:pPr>
            <w:r>
              <w:rPr>
                <w:rFonts w:ascii="Arial" w:hAnsi="Arial"/>
                <w:b/>
                <w:bCs/>
                <w:sz w:val="22"/>
                <w:szCs w:val="22"/>
                <w:lang w:val="en-US"/>
              </w:rPr>
              <w:t>Proposed data collection methods</w:t>
            </w:r>
          </w:p>
        </w:tc>
      </w:tr>
      <w:tr w14:paraId="6055B6A1">
        <w:trPr>
          <w:trHeight w:val="1414" w:hRule="atLeast"/>
        </w:trPr>
        <w:tc>
          <w:tcPr>
            <w:tcW w:w="498" w:type="dxa"/>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56C9F1CE">
            <w:pPr>
              <w:pStyle w:val="54"/>
            </w:pPr>
            <w:r>
              <w:rPr>
                <w:rFonts w:ascii="Arial" w:hAnsi="Arial"/>
                <w:sz w:val="22"/>
                <w:szCs w:val="22"/>
                <w:lang w:val="en-US"/>
              </w:rPr>
              <w:t>7</w:t>
            </w:r>
          </w:p>
        </w:tc>
        <w:tc>
          <w:tcPr>
            <w:tcW w:w="9998" w:type="dxa"/>
            <w:gridSpan w:val="4"/>
            <w:tcBorders>
              <w:top w:val="single" w:color="000000" w:sz="8" w:space="0"/>
              <w:left w:val="single" w:color="000000" w:sz="8" w:space="0"/>
              <w:bottom w:val="single" w:color="000000" w:sz="8" w:space="0"/>
              <w:right w:val="single" w:color="000000" w:sz="8" w:space="0"/>
            </w:tcBorders>
            <w:shd w:val="clear" w:color="auto" w:fill="CED7E7"/>
            <w:tcMar>
              <w:top w:w="80" w:type="dxa"/>
              <w:left w:w="80" w:type="dxa"/>
              <w:bottom w:w="80" w:type="dxa"/>
              <w:right w:w="80" w:type="dxa"/>
            </w:tcMar>
            <w:vAlign w:val="center"/>
          </w:tcPr>
          <w:p w14:paraId="1C4E47B3">
            <w:pPr>
              <w:pStyle w:val="54"/>
              <w:rPr>
                <w:rFonts w:ascii="Arial" w:hAnsi="Arial"/>
                <w:color w:val="808080"/>
                <w:sz w:val="18"/>
                <w:szCs w:val="18"/>
                <w:u w:color="808080"/>
                <w:lang w:val="en-US"/>
              </w:rPr>
            </w:pPr>
            <w:r>
              <w:rPr>
                <w:rFonts w:ascii="Arial" w:hAnsi="Arial"/>
                <w:color w:val="808080"/>
                <w:sz w:val="18"/>
                <w:szCs w:val="18"/>
                <w:u w:color="808080"/>
                <w:lang w:val="en-US"/>
              </w:rPr>
              <w:t>The qualitative data utilized in this study will be secondary only. No primary data will be gathered. Questionnaires, interview, focus group, observation, diaries and recordings will not be used in the research. Alternatively, current published and publicly available sources that are pertinent to the topic of the research will be used to collect the data.</w:t>
            </w:r>
          </w:p>
          <w:p w14:paraId="02216C08">
            <w:pPr>
              <w:pStyle w:val="54"/>
              <w:rPr>
                <w:rFonts w:ascii="Arial" w:hAnsi="Arial"/>
                <w:color w:val="808080"/>
                <w:sz w:val="18"/>
                <w:szCs w:val="18"/>
                <w:u w:color="808080"/>
                <w:lang w:val="en-US"/>
              </w:rPr>
            </w:pPr>
          </w:p>
          <w:p w14:paraId="573A25C1">
            <w:pPr>
              <w:pStyle w:val="54"/>
              <w:rPr>
                <w:rFonts w:ascii="Arial" w:hAnsi="Arial"/>
                <w:color w:val="808080"/>
                <w:sz w:val="18"/>
                <w:szCs w:val="18"/>
                <w:u w:color="808080"/>
                <w:lang w:val="en-US"/>
              </w:rPr>
            </w:pPr>
            <w:r>
              <w:rPr>
                <w:rFonts w:ascii="Arial" w:hAnsi="Arial"/>
                <w:color w:val="808080"/>
                <w:sz w:val="18"/>
                <w:szCs w:val="18"/>
                <w:u w:color="808080"/>
                <w:lang w:val="en-US"/>
              </w:rPr>
              <w:t>The primary sources will be peer-reviewed journal articles, academic books, industry reports, market research publications, and corporate documents of Starbucks including annual reports, sustainability reports, and official documents on its websites. The publicly available resources on trustworthy businesses and marketing materials could also be checked in those cases when they relate to the topic directly.</w:t>
            </w:r>
          </w:p>
          <w:p w14:paraId="6CC73574">
            <w:pPr>
              <w:pStyle w:val="54"/>
              <w:rPr>
                <w:rFonts w:ascii="Arial" w:hAnsi="Arial"/>
                <w:color w:val="808080"/>
                <w:sz w:val="18"/>
                <w:szCs w:val="18"/>
                <w:u w:color="808080"/>
                <w:lang w:val="en-US"/>
              </w:rPr>
            </w:pPr>
          </w:p>
          <w:p w14:paraId="315A99E7">
            <w:pPr>
              <w:pStyle w:val="54"/>
              <w:rPr>
                <w:rFonts w:ascii="Arial" w:hAnsi="Arial"/>
                <w:color w:val="808080"/>
                <w:sz w:val="18"/>
                <w:szCs w:val="18"/>
                <w:u w:color="808080"/>
                <w:lang w:val="en-US"/>
              </w:rPr>
            </w:pPr>
            <w:r>
              <w:rPr>
                <w:rFonts w:ascii="Arial" w:hAnsi="Arial"/>
                <w:color w:val="808080"/>
                <w:sz w:val="18"/>
                <w:szCs w:val="18"/>
                <w:u w:color="808080"/>
                <w:lang w:val="en-US"/>
              </w:rPr>
              <w:t>The research will be carried out with the use of scholarly databases and library search engines (Google Scholar and the University library databases). The main keywords that will be used are: phrases like; experiential marketing, emotional brand attachment, customer experience, brand engagement, emotional branding, Starbucks marketing strategy, Starbucks marketing strategy combination etc. Purposive sampling will be applied when choosing the sources. It is an aspect that indicates that the researcher will select materials that are directly pertinent to the purpose of the research, are credible in their source, and also are rigorous enough in content.</w:t>
            </w:r>
          </w:p>
          <w:p w14:paraId="7BCF0902">
            <w:pPr>
              <w:pStyle w:val="54"/>
              <w:rPr>
                <w:rFonts w:ascii="Arial" w:hAnsi="Arial"/>
                <w:color w:val="808080"/>
                <w:sz w:val="18"/>
                <w:szCs w:val="18"/>
                <w:u w:color="808080"/>
                <w:lang w:val="en-US"/>
              </w:rPr>
            </w:pPr>
          </w:p>
          <w:p w14:paraId="5099869D">
            <w:pPr>
              <w:pStyle w:val="54"/>
              <w:rPr>
                <w:rFonts w:ascii="Arial" w:hAnsi="Arial"/>
                <w:color w:val="808080"/>
                <w:sz w:val="18"/>
                <w:szCs w:val="18"/>
                <w:u w:color="808080"/>
                <w:lang w:val="en-US"/>
              </w:rPr>
            </w:pPr>
            <w:r>
              <w:rPr>
                <w:rFonts w:ascii="Arial" w:hAnsi="Arial"/>
                <w:color w:val="808080"/>
                <w:sz w:val="18"/>
                <w:szCs w:val="18"/>
                <w:u w:color="808080"/>
                <w:lang w:val="en-US"/>
              </w:rPr>
              <w:t>The materials that will be collected will be organised and reviewed in a systematic way. The selected sources will be used to take notes and these notes will constitute the dataset of the analysis. The analysis motif to be used will be thematic analysis. A close reading of relevant texts will be done, the major ideas will be coded, and similar trends will be further divided into themes. Such themes will however be determined as a way of establishing the role of experiential marketing factors in emotional brand attachment.</w:t>
            </w:r>
          </w:p>
          <w:p w14:paraId="2CCE1CAA">
            <w:pPr>
              <w:pStyle w:val="54"/>
              <w:rPr>
                <w:rFonts w:ascii="Arial" w:hAnsi="Arial"/>
                <w:color w:val="808080"/>
                <w:sz w:val="18"/>
                <w:szCs w:val="18"/>
                <w:u w:color="808080"/>
                <w:lang w:val="en-US"/>
              </w:rPr>
            </w:pPr>
          </w:p>
          <w:p w14:paraId="7A2E613F">
            <w:pPr>
              <w:pStyle w:val="54"/>
            </w:pPr>
            <w:r>
              <w:rPr>
                <w:rFonts w:ascii="Arial" w:hAnsi="Arial"/>
                <w:color w:val="808080"/>
                <w:sz w:val="18"/>
                <w:szCs w:val="18"/>
                <w:u w:color="808080"/>
                <w:lang w:val="en-US"/>
              </w:rPr>
              <w:t>Since the research is fully conducted on the basis of documentary and published works, no personal interaction with research participants and no gathering of personal or other sensitive personal information of the participants will be conducted.</w:t>
            </w:r>
          </w:p>
        </w:tc>
      </w:tr>
    </w:tbl>
    <w:p w14:paraId="534C2B5C">
      <w:pPr>
        <w:pStyle w:val="54"/>
        <w:widowControl w:val="0"/>
        <w:spacing w:after="240"/>
        <w:jc w:val="both"/>
        <w:rPr>
          <w:rFonts w:ascii="Arial" w:hAnsi="Arial" w:eastAsia="Arial" w:cs="Arial"/>
          <w:b/>
          <w:bCs/>
          <w:sz w:val="22"/>
          <w:szCs w:val="22"/>
        </w:rPr>
      </w:pPr>
    </w:p>
    <w:p w14:paraId="2C283F57">
      <w:pPr>
        <w:pStyle w:val="54"/>
      </w:pPr>
    </w:p>
    <w:p w14:paraId="1F12BB0F">
      <w:pPr>
        <w:pStyle w:val="54"/>
        <w:spacing w:after="240"/>
        <w:rPr>
          <w:rFonts w:ascii="Arial" w:hAnsi="Arial" w:eastAsia="Arial" w:cs="Arial"/>
          <w:b/>
          <w:bCs/>
          <w:sz w:val="22"/>
          <w:szCs w:val="22"/>
        </w:rPr>
      </w:pPr>
      <w:r>
        <w:rPr>
          <w:rFonts w:ascii="Arial" w:hAnsi="Arial"/>
          <w:b/>
          <w:bCs/>
          <w:sz w:val="22"/>
          <w:szCs w:val="22"/>
          <w:lang w:val="en-US"/>
        </w:rPr>
        <w:t>SECTION D: Scope of Research Activity</w:t>
      </w:r>
    </w:p>
    <w:tbl>
      <w:tblPr>
        <w:tblStyle w:val="12"/>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8227"/>
        <w:gridCol w:w="846"/>
        <w:gridCol w:w="816"/>
      </w:tblGrid>
      <w:tr w14:paraId="423DAAC4">
        <w:trPr>
          <w:trHeight w:val="398"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C9EE8BF"/>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753A700">
            <w:pPr>
              <w:pStyle w:val="54"/>
            </w:pPr>
            <w:r>
              <w:rPr>
                <w:rFonts w:ascii="Arial" w:hAnsi="Arial"/>
                <w:b/>
                <w:bCs/>
                <w:sz w:val="22"/>
                <w:szCs w:val="22"/>
                <w:lang w:val="en-US"/>
              </w:rPr>
              <w:t>Will the research activity include:</w:t>
            </w:r>
          </w:p>
        </w:tc>
        <w:tc>
          <w:tcPr>
            <w:tcW w:w="84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F3A8D02">
            <w:pPr>
              <w:pStyle w:val="54"/>
              <w:jc w:val="center"/>
            </w:pPr>
            <w:r>
              <w:rPr>
                <w:rFonts w:ascii="Arial" w:hAnsi="Arial"/>
                <w:b/>
                <w:bCs/>
                <w:sz w:val="22"/>
                <w:szCs w:val="22"/>
                <w:lang w:val="en-US"/>
              </w:rPr>
              <w:t>YES</w:t>
            </w:r>
          </w:p>
        </w:tc>
        <w:tc>
          <w:tcPr>
            <w:tcW w:w="81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4404FAE">
            <w:pPr>
              <w:pStyle w:val="54"/>
              <w:jc w:val="center"/>
            </w:pPr>
            <w:r>
              <w:rPr>
                <w:rFonts w:ascii="Arial" w:hAnsi="Arial"/>
                <w:b/>
                <w:bCs/>
                <w:sz w:val="22"/>
                <w:szCs w:val="22"/>
                <w:lang w:val="en-US"/>
              </w:rPr>
              <w:t>NO</w:t>
            </w:r>
          </w:p>
        </w:tc>
      </w:tr>
      <w:tr w14:paraId="78E80CA8">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2CCF1E6">
            <w:pPr>
              <w:pStyle w:val="54"/>
            </w:pPr>
            <w:r>
              <w:rPr>
                <w:rFonts w:ascii="Arial" w:hAnsi="Arial"/>
                <w:sz w:val="22"/>
                <w:szCs w:val="22"/>
                <w:lang w:val="en-US"/>
              </w:rPr>
              <w:t>1</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B68F673">
            <w:pPr>
              <w:pStyle w:val="54"/>
            </w:pPr>
            <w:r>
              <w:rPr>
                <w:rFonts w:ascii="Arial" w:hAnsi="Arial"/>
                <w:sz w:val="22"/>
                <w:szCs w:val="22"/>
                <w:lang w:val="en-US"/>
              </w:rPr>
              <w:t>Use of a questionnaire or similar research instrument?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4C350DA">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4018213">
            <w:pPr>
              <w:pStyle w:val="54"/>
              <w:jc w:val="center"/>
            </w:pPr>
            <w:r>
              <w:rPr>
                <w:rFonts w:ascii="MS Gothic" w:hAnsi="MS Gothic" w:eastAsia="MS Gothic" w:cs="MS Gothic"/>
                <w:b/>
                <w:bCs/>
                <w:sz w:val="22"/>
                <w:szCs w:val="22"/>
                <w:lang w:val="en-US"/>
              </w:rPr>
              <w:t>☑</w:t>
            </w:r>
          </w:p>
        </w:tc>
      </w:tr>
      <w:tr w14:paraId="37709083">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93A8FAD">
            <w:pPr>
              <w:pStyle w:val="54"/>
            </w:pPr>
            <w:r>
              <w:rPr>
                <w:rFonts w:ascii="Arial" w:hAnsi="Arial"/>
                <w:sz w:val="22"/>
                <w:szCs w:val="22"/>
                <w:lang w:val="en-US"/>
              </w:rPr>
              <w:t>2</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6A6C96C">
            <w:pPr>
              <w:pStyle w:val="54"/>
            </w:pPr>
            <w:r>
              <w:rPr>
                <w:rFonts w:ascii="Arial" w:hAnsi="Arial"/>
                <w:sz w:val="22"/>
                <w:szCs w:val="22"/>
                <w:lang w:val="en-US"/>
              </w:rPr>
              <w:t>Use of interviews?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78A0B86">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5E904F8">
            <w:pPr>
              <w:pStyle w:val="54"/>
              <w:jc w:val="center"/>
            </w:pPr>
            <w:r>
              <w:rPr>
                <w:rFonts w:ascii="MS Gothic" w:hAnsi="MS Gothic" w:eastAsia="MS Gothic" w:cs="MS Gothic"/>
                <w:b/>
                <w:bCs/>
                <w:sz w:val="22"/>
                <w:szCs w:val="22"/>
                <w:lang w:val="en-US"/>
              </w:rPr>
              <w:t>☑</w:t>
            </w:r>
          </w:p>
        </w:tc>
      </w:tr>
      <w:tr w14:paraId="2D4CA479">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464B313">
            <w:pPr>
              <w:pStyle w:val="54"/>
            </w:pPr>
            <w:r>
              <w:rPr>
                <w:rFonts w:ascii="Arial" w:hAnsi="Arial"/>
                <w:sz w:val="22"/>
                <w:szCs w:val="22"/>
                <w:lang w:val="en-US"/>
              </w:rPr>
              <w:t>3</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636D6AA">
            <w:pPr>
              <w:pStyle w:val="54"/>
            </w:pPr>
            <w:r>
              <w:rPr>
                <w:rFonts w:ascii="Arial" w:hAnsi="Arial"/>
                <w:sz w:val="22"/>
                <w:szCs w:val="22"/>
                <w:lang w:val="en-US"/>
              </w:rPr>
              <w:t>Use of focus groups?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0D60DDB">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EDE32B7">
            <w:pPr>
              <w:pStyle w:val="54"/>
              <w:jc w:val="center"/>
            </w:pPr>
            <w:r>
              <w:rPr>
                <w:rFonts w:ascii="MS Gothic" w:hAnsi="MS Gothic" w:eastAsia="MS Gothic" w:cs="MS Gothic"/>
                <w:b/>
                <w:bCs/>
                <w:sz w:val="22"/>
                <w:szCs w:val="22"/>
                <w:lang w:val="en-US"/>
              </w:rPr>
              <w:t>☑</w:t>
            </w:r>
          </w:p>
        </w:tc>
      </w:tr>
      <w:tr w14:paraId="528BBAF3">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04E7186">
            <w:pPr>
              <w:pStyle w:val="54"/>
            </w:pPr>
            <w:r>
              <w:rPr>
                <w:rFonts w:ascii="Arial" w:hAnsi="Arial"/>
                <w:sz w:val="22"/>
                <w:szCs w:val="22"/>
                <w:lang w:val="en-US"/>
              </w:rPr>
              <w:t>4</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C660B08">
            <w:pPr>
              <w:pStyle w:val="54"/>
            </w:pPr>
            <w:r>
              <w:rPr>
                <w:rFonts w:ascii="Arial" w:hAnsi="Arial"/>
                <w:sz w:val="22"/>
                <w:szCs w:val="22"/>
                <w:lang w:val="en-US"/>
              </w:rPr>
              <w:t xml:space="preserve">Use of participant diaries? </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1C1F45E">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8C89868">
            <w:pPr>
              <w:pStyle w:val="54"/>
              <w:jc w:val="center"/>
            </w:pPr>
            <w:r>
              <w:rPr>
                <w:rFonts w:ascii="MS Gothic" w:hAnsi="MS Gothic" w:eastAsia="MS Gothic" w:cs="MS Gothic"/>
                <w:b/>
                <w:bCs/>
                <w:sz w:val="22"/>
                <w:szCs w:val="22"/>
                <w:lang w:val="en-US"/>
              </w:rPr>
              <w:t>☑</w:t>
            </w:r>
          </w:p>
        </w:tc>
      </w:tr>
      <w:tr w14:paraId="1BE05525">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58FEF11">
            <w:pPr>
              <w:pStyle w:val="54"/>
            </w:pPr>
            <w:r>
              <w:rPr>
                <w:rFonts w:ascii="Arial" w:hAnsi="Arial"/>
                <w:sz w:val="22"/>
                <w:szCs w:val="22"/>
                <w:lang w:val="en-US"/>
              </w:rPr>
              <w:t>5</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DD34382">
            <w:pPr>
              <w:pStyle w:val="54"/>
            </w:pPr>
            <w:r>
              <w:rPr>
                <w:rFonts w:ascii="Arial" w:hAnsi="Arial"/>
                <w:sz w:val="22"/>
                <w:szCs w:val="22"/>
                <w:lang w:val="en-US"/>
              </w:rPr>
              <w:t>Use of video or audio recording?</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CD18E04">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E422DB6">
            <w:pPr>
              <w:pStyle w:val="54"/>
              <w:jc w:val="center"/>
            </w:pPr>
            <w:r>
              <w:rPr>
                <w:rFonts w:ascii="MS Gothic" w:hAnsi="MS Gothic" w:eastAsia="MS Gothic" w:cs="MS Gothic"/>
                <w:b/>
                <w:bCs/>
                <w:sz w:val="22"/>
                <w:szCs w:val="22"/>
                <w:lang w:val="en-US"/>
              </w:rPr>
              <w:t>☑</w:t>
            </w:r>
          </w:p>
        </w:tc>
      </w:tr>
      <w:tr w14:paraId="4194EE8B">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82F1E7F">
            <w:pPr>
              <w:pStyle w:val="54"/>
            </w:pPr>
            <w:r>
              <w:rPr>
                <w:rFonts w:ascii="Arial" w:hAnsi="Arial"/>
                <w:sz w:val="22"/>
                <w:szCs w:val="22"/>
                <w:lang w:val="en-US"/>
              </w:rPr>
              <w:t>6</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2B1AE81">
            <w:pPr>
              <w:pStyle w:val="54"/>
            </w:pPr>
            <w:r>
              <w:rPr>
                <w:rFonts w:ascii="Arial" w:hAnsi="Arial"/>
                <w:sz w:val="22"/>
                <w:szCs w:val="22"/>
                <w:lang w:val="en-US"/>
              </w:rPr>
              <w:t>Use of computer-generated log files?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5803F77">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40F7F56">
            <w:pPr>
              <w:pStyle w:val="54"/>
              <w:jc w:val="center"/>
            </w:pPr>
            <w:r>
              <w:rPr>
                <w:rFonts w:ascii="MS Gothic" w:hAnsi="MS Gothic" w:eastAsia="MS Gothic" w:cs="MS Gothic"/>
                <w:b/>
                <w:bCs/>
                <w:sz w:val="22"/>
                <w:szCs w:val="22"/>
                <w:lang w:val="en-US"/>
              </w:rPr>
              <w:t>☑</w:t>
            </w:r>
          </w:p>
        </w:tc>
      </w:tr>
      <w:tr w14:paraId="21202543">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9901E58">
            <w:pPr>
              <w:pStyle w:val="54"/>
            </w:pPr>
            <w:r>
              <w:rPr>
                <w:rFonts w:ascii="Arial" w:hAnsi="Arial"/>
                <w:sz w:val="22"/>
                <w:szCs w:val="22"/>
                <w:lang w:val="en-US"/>
              </w:rPr>
              <w:t>7</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8E8D342">
            <w:pPr>
              <w:pStyle w:val="54"/>
            </w:pPr>
            <w:r>
              <w:rPr>
                <w:rFonts w:ascii="Arial" w:hAnsi="Arial"/>
                <w:sz w:val="22"/>
                <w:szCs w:val="22"/>
                <w:lang w:val="en-US"/>
              </w:rPr>
              <w:t>Participant observation with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6FD7B26">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56A1123">
            <w:pPr>
              <w:pStyle w:val="54"/>
              <w:jc w:val="center"/>
            </w:pPr>
            <w:r>
              <w:rPr>
                <w:rFonts w:ascii="MS Gothic" w:hAnsi="MS Gothic" w:eastAsia="MS Gothic" w:cs="MS Gothic"/>
                <w:b/>
                <w:bCs/>
                <w:sz w:val="22"/>
                <w:szCs w:val="22"/>
                <w:lang w:val="en-US"/>
              </w:rPr>
              <w:t>☑</w:t>
            </w:r>
          </w:p>
        </w:tc>
      </w:tr>
      <w:tr w14:paraId="2BA9FCCB">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94241FF">
            <w:pPr>
              <w:pStyle w:val="54"/>
            </w:pPr>
            <w:r>
              <w:rPr>
                <w:rFonts w:ascii="Arial" w:hAnsi="Arial"/>
                <w:sz w:val="22"/>
                <w:szCs w:val="22"/>
                <w:lang w:val="en-US"/>
              </w:rPr>
              <w:t>8</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DEAB87E">
            <w:pPr>
              <w:pStyle w:val="54"/>
            </w:pPr>
            <w:r>
              <w:rPr>
                <w:rFonts w:ascii="Arial" w:hAnsi="Arial"/>
                <w:sz w:val="22"/>
                <w:szCs w:val="22"/>
                <w:lang w:val="en-US"/>
              </w:rPr>
              <w:t>Participant observation without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0B47FFC">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79EA197">
            <w:pPr>
              <w:pStyle w:val="54"/>
              <w:jc w:val="center"/>
            </w:pPr>
            <w:r>
              <w:rPr>
                <w:rFonts w:ascii="MS Gothic" w:hAnsi="MS Gothic" w:eastAsia="MS Gothic" w:cs="MS Gothic"/>
                <w:b/>
                <w:bCs/>
                <w:sz w:val="22"/>
                <w:szCs w:val="22"/>
                <w:lang w:val="en-US"/>
              </w:rPr>
              <w:t>☑</w:t>
            </w:r>
          </w:p>
        </w:tc>
      </w:tr>
      <w:tr w14:paraId="63C2C26E">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353B08B">
            <w:pPr>
              <w:pStyle w:val="54"/>
            </w:pPr>
            <w:r>
              <w:rPr>
                <w:rFonts w:ascii="Arial" w:hAnsi="Arial"/>
                <w:sz w:val="22"/>
                <w:szCs w:val="22"/>
                <w:lang w:val="en-US"/>
              </w:rPr>
              <w:t>9</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CA89233">
            <w:pPr>
              <w:pStyle w:val="54"/>
            </w:pPr>
            <w:r>
              <w:rPr>
                <w:rFonts w:ascii="Arial" w:hAnsi="Arial"/>
                <w:sz w:val="22"/>
                <w:szCs w:val="22"/>
                <w:lang w:val="en-US"/>
              </w:rPr>
              <w:t>Access to personal or confidential information without the participants’ specific consent?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9FD6FDD">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AB95A1C">
            <w:pPr>
              <w:pStyle w:val="54"/>
              <w:jc w:val="center"/>
            </w:pPr>
            <w:r>
              <w:rPr>
                <w:rFonts w:ascii="MS Gothic" w:hAnsi="MS Gothic" w:eastAsia="MS Gothic" w:cs="MS Gothic"/>
                <w:b/>
                <w:bCs/>
                <w:sz w:val="22"/>
                <w:szCs w:val="22"/>
                <w:lang w:val="en-US"/>
              </w:rPr>
              <w:t>☑</w:t>
            </w:r>
          </w:p>
        </w:tc>
      </w:tr>
      <w:tr w14:paraId="54CB7D69">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1A9E322">
            <w:pPr>
              <w:pStyle w:val="54"/>
            </w:pPr>
            <w:r>
              <w:rPr>
                <w:rFonts w:ascii="Arial" w:hAnsi="Arial"/>
                <w:sz w:val="22"/>
                <w:szCs w:val="22"/>
                <w:lang w:val="en-US"/>
              </w:rPr>
              <w:t>10</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D7B5BC8">
            <w:pPr>
              <w:pStyle w:val="54"/>
            </w:pPr>
            <w:r>
              <w:rPr>
                <w:rFonts w:ascii="Arial" w:hAnsi="Arial"/>
                <w:sz w:val="22"/>
                <w:szCs w:val="22"/>
                <w:lang w:val="en-US"/>
              </w:rPr>
              <w:t>Administration of any questions, test stimuli, presentation that may be experienced as physically, mentally or emotionally harmful / offensive?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07CC59F">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DB646EA">
            <w:pPr>
              <w:pStyle w:val="54"/>
              <w:jc w:val="center"/>
            </w:pPr>
            <w:r>
              <w:rPr>
                <w:rFonts w:ascii="MS Gothic" w:hAnsi="MS Gothic" w:eastAsia="MS Gothic" w:cs="MS Gothic"/>
                <w:b/>
                <w:bCs/>
                <w:sz w:val="22"/>
                <w:szCs w:val="22"/>
                <w:lang w:val="en-US"/>
              </w:rPr>
              <w:t>☑</w:t>
            </w:r>
          </w:p>
        </w:tc>
      </w:tr>
      <w:tr w14:paraId="38EAF39D">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D970F78">
            <w:pPr>
              <w:pStyle w:val="54"/>
            </w:pPr>
            <w:r>
              <w:rPr>
                <w:rFonts w:ascii="Arial" w:hAnsi="Arial"/>
                <w:sz w:val="22"/>
                <w:szCs w:val="22"/>
                <w:lang w:val="en-US"/>
              </w:rPr>
              <w:t>11</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7393EC4">
            <w:pPr>
              <w:pStyle w:val="54"/>
            </w:pPr>
            <w:r>
              <w:rPr>
                <w:rFonts w:ascii="Arial" w:hAnsi="Arial"/>
                <w:sz w:val="22"/>
                <w:szCs w:val="22"/>
                <w:lang w:val="en-US"/>
              </w:rPr>
              <w:t>Performance of any acts which may cause embarrassment or affect self-esteem?</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A29CCAD">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09E0322">
            <w:pPr>
              <w:pStyle w:val="54"/>
              <w:jc w:val="center"/>
            </w:pPr>
            <w:r>
              <w:rPr>
                <w:rFonts w:ascii="MS Gothic" w:hAnsi="MS Gothic" w:eastAsia="MS Gothic" w:cs="MS Gothic"/>
                <w:b/>
                <w:bCs/>
                <w:sz w:val="22"/>
                <w:szCs w:val="22"/>
                <w:lang w:val="en-US"/>
              </w:rPr>
              <w:t>☑</w:t>
            </w:r>
          </w:p>
        </w:tc>
      </w:tr>
      <w:tr w14:paraId="66F62E50">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89093B8">
            <w:pPr>
              <w:pStyle w:val="54"/>
            </w:pPr>
            <w:r>
              <w:rPr>
                <w:rFonts w:ascii="Arial" w:hAnsi="Arial"/>
                <w:sz w:val="22"/>
                <w:szCs w:val="22"/>
                <w:lang w:val="en-US"/>
              </w:rPr>
              <w:t>12</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D7FD0D6">
            <w:pPr>
              <w:pStyle w:val="54"/>
            </w:pPr>
            <w:r>
              <w:rPr>
                <w:rFonts w:ascii="Arial" w:hAnsi="Arial"/>
                <w:sz w:val="22"/>
                <w:szCs w:val="22"/>
                <w:lang w:val="en-US"/>
              </w:rPr>
              <w:t>Investigation of participants involved in illegal activities?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B7B7729">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A973C6F">
            <w:pPr>
              <w:pStyle w:val="54"/>
              <w:jc w:val="center"/>
            </w:pPr>
            <w:r>
              <w:rPr>
                <w:rFonts w:ascii="MS Gothic" w:hAnsi="MS Gothic" w:eastAsia="MS Gothic" w:cs="MS Gothic"/>
                <w:b/>
                <w:bCs/>
                <w:sz w:val="22"/>
                <w:szCs w:val="22"/>
                <w:lang w:val="en-US"/>
              </w:rPr>
              <w:t>☑</w:t>
            </w:r>
          </w:p>
        </w:tc>
      </w:tr>
      <w:tr w14:paraId="3117712B">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D5B918D">
            <w:pPr>
              <w:pStyle w:val="54"/>
            </w:pPr>
            <w:r>
              <w:rPr>
                <w:rFonts w:ascii="Arial" w:hAnsi="Arial"/>
                <w:sz w:val="22"/>
                <w:szCs w:val="22"/>
                <w:lang w:val="en-US"/>
              </w:rPr>
              <w:t>13</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CEB8393">
            <w:pPr>
              <w:pStyle w:val="54"/>
            </w:pPr>
            <w:r>
              <w:rPr>
                <w:rFonts w:ascii="Arial" w:hAnsi="Arial"/>
                <w:sz w:val="22"/>
                <w:szCs w:val="22"/>
                <w:lang w:val="en-US"/>
              </w:rPr>
              <w:t>Use of procedures that involve deception?</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2235E77">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1EBE0AE">
            <w:pPr>
              <w:pStyle w:val="54"/>
              <w:jc w:val="center"/>
            </w:pPr>
            <w:r>
              <w:rPr>
                <w:rFonts w:ascii="MS Gothic" w:hAnsi="MS Gothic" w:eastAsia="MS Gothic" w:cs="MS Gothic"/>
                <w:b/>
                <w:bCs/>
                <w:sz w:val="22"/>
                <w:szCs w:val="22"/>
                <w:lang w:val="en-US"/>
              </w:rPr>
              <w:t>☑</w:t>
            </w:r>
          </w:p>
        </w:tc>
      </w:tr>
      <w:tr w14:paraId="572D18B4">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B5D3F0F">
            <w:pPr>
              <w:pStyle w:val="54"/>
            </w:pPr>
            <w:r>
              <w:rPr>
                <w:rFonts w:ascii="Arial" w:hAnsi="Arial"/>
                <w:sz w:val="22"/>
                <w:szCs w:val="22"/>
                <w:lang w:val="en-US"/>
              </w:rPr>
              <w:t>14</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3490461">
            <w:pPr>
              <w:pStyle w:val="54"/>
            </w:pPr>
            <w:r>
              <w:rPr>
                <w:rFonts w:ascii="Arial" w:hAnsi="Arial"/>
                <w:sz w:val="22"/>
                <w:szCs w:val="22"/>
                <w:lang w:val="en-US"/>
              </w:rPr>
              <w:t>Administration of any substance, agent or placebo?</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339E6A9">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F52D11C">
            <w:pPr>
              <w:pStyle w:val="54"/>
              <w:jc w:val="center"/>
            </w:pPr>
            <w:r>
              <w:rPr>
                <w:rFonts w:ascii="MS Gothic" w:hAnsi="MS Gothic" w:eastAsia="MS Gothic" w:cs="MS Gothic"/>
                <w:b/>
                <w:bCs/>
                <w:sz w:val="22"/>
                <w:szCs w:val="22"/>
                <w:lang w:val="en-US"/>
              </w:rPr>
              <w:t>☑</w:t>
            </w:r>
          </w:p>
        </w:tc>
      </w:tr>
      <w:tr w14:paraId="26ADC0BA">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819A334">
            <w:pPr>
              <w:pStyle w:val="54"/>
            </w:pPr>
            <w:r>
              <w:rPr>
                <w:rFonts w:ascii="Arial" w:hAnsi="Arial"/>
                <w:sz w:val="22"/>
                <w:szCs w:val="22"/>
                <w:lang w:val="en-US"/>
              </w:rPr>
              <w:t>15</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A96FEBA">
            <w:pPr>
              <w:pStyle w:val="54"/>
            </w:pPr>
            <w:r>
              <w:rPr>
                <w:rFonts w:ascii="Arial" w:hAnsi="Arial"/>
                <w:sz w:val="22"/>
                <w:szCs w:val="22"/>
                <w:lang w:val="en-US"/>
              </w:rPr>
              <w:t>Working with live vertebrate animals?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DB6CA5C">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87E0C61">
            <w:pPr>
              <w:pStyle w:val="54"/>
              <w:jc w:val="center"/>
            </w:pPr>
            <w:r>
              <w:rPr>
                <w:rFonts w:ascii="MS Gothic" w:hAnsi="MS Gothic" w:eastAsia="MS Gothic" w:cs="MS Gothic"/>
                <w:b/>
                <w:bCs/>
                <w:sz w:val="22"/>
                <w:szCs w:val="22"/>
                <w:lang w:val="en-US"/>
              </w:rPr>
              <w:t>☑</w:t>
            </w:r>
          </w:p>
        </w:tc>
      </w:tr>
      <w:tr w14:paraId="5F30B45A">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2C77117">
            <w:pPr>
              <w:pStyle w:val="54"/>
            </w:pPr>
            <w:r>
              <w:rPr>
                <w:rFonts w:ascii="Arial" w:hAnsi="Arial"/>
                <w:sz w:val="22"/>
                <w:szCs w:val="22"/>
                <w:lang w:val="en-US"/>
              </w:rPr>
              <w:t>16</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84A712B">
            <w:pPr>
              <w:pStyle w:val="54"/>
            </w:pPr>
            <w:r>
              <w:rPr>
                <w:rFonts w:ascii="Arial" w:hAnsi="Arial"/>
                <w:sz w:val="22"/>
                <w:szCs w:val="22"/>
                <w:lang w:val="en-US"/>
              </w:rPr>
              <w:t>Procedures that may have a negative impact on the environment?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AE47B88">
            <w:pPr>
              <w:pStyle w:val="54"/>
              <w:jc w:val="center"/>
            </w:pPr>
            <w:r>
              <w:rPr>
                <w:rFonts w:ascii="MS Gothic" w:hAnsi="MS Gothic" w:eastAsia="MS Gothic" w:cs="MS Gothic"/>
                <w:b/>
                <w:bCs/>
                <w:sz w:val="22"/>
                <w:szCs w:val="22"/>
                <w:lang w:val="en-US"/>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A63BC03">
            <w:pPr>
              <w:pStyle w:val="54"/>
              <w:jc w:val="center"/>
            </w:pPr>
            <w:r>
              <w:rPr>
                <w:rFonts w:ascii="MS Gothic" w:hAnsi="MS Gothic" w:eastAsia="MS Gothic" w:cs="MS Gothic"/>
                <w:b/>
                <w:bCs/>
                <w:sz w:val="22"/>
                <w:szCs w:val="22"/>
                <w:lang w:val="en-US"/>
              </w:rPr>
              <w:t>☑</w:t>
            </w:r>
          </w:p>
        </w:tc>
      </w:tr>
      <w:tr w14:paraId="1640D079">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A83C4DF">
            <w:pPr>
              <w:pStyle w:val="54"/>
            </w:pPr>
            <w:r>
              <w:rPr>
                <w:rFonts w:ascii="Arial" w:hAnsi="Arial"/>
                <w:sz w:val="22"/>
                <w:szCs w:val="22"/>
                <w:lang w:val="en-US"/>
              </w:rPr>
              <w:t>17</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C249998">
            <w:pPr>
              <w:pStyle w:val="54"/>
            </w:pPr>
            <w:r>
              <w:rPr>
                <w:rFonts w:ascii="Arial" w:hAnsi="Arial"/>
                <w:sz w:val="22"/>
                <w:szCs w:val="22"/>
                <w:lang w:val="en-US"/>
              </w:rPr>
              <w:t>Other primary data collection methods. Please indicate the type of data collection method(s) below.</w:t>
            </w:r>
          </w:p>
        </w:tc>
        <w:tc>
          <w:tcPr>
            <w:tcW w:w="846"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3253C5B">
            <w:pPr>
              <w:pStyle w:val="54"/>
              <w:jc w:val="center"/>
            </w:pPr>
            <w:r>
              <w:rPr>
                <w:rFonts w:ascii="MS Gothic" w:hAnsi="MS Gothic" w:eastAsia="MS Gothic" w:cs="MS Gothic"/>
                <w:b/>
                <w:bCs/>
                <w:sz w:val="22"/>
                <w:szCs w:val="22"/>
                <w:lang w:val="en-US"/>
              </w:rPr>
              <w:t>☐</w:t>
            </w:r>
          </w:p>
        </w:tc>
        <w:tc>
          <w:tcPr>
            <w:tcW w:w="816"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6892442">
            <w:pPr>
              <w:pStyle w:val="54"/>
              <w:jc w:val="center"/>
            </w:pPr>
            <w:r>
              <w:rPr>
                <w:rFonts w:ascii="MS Gothic" w:hAnsi="MS Gothic" w:eastAsia="MS Gothic" w:cs="MS Gothic"/>
                <w:b/>
                <w:bCs/>
                <w:sz w:val="22"/>
                <w:szCs w:val="22"/>
                <w:lang w:val="en-US"/>
              </w:rPr>
              <w:t>☑</w:t>
            </w:r>
          </w:p>
        </w:tc>
      </w:tr>
      <w:tr w14:paraId="2407131B">
        <w:trPr>
          <w:trHeight w:val="112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4F8A69EE"/>
        </w:tc>
        <w:tc>
          <w:tcPr>
            <w:tcW w:w="8227"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C0E9D3D">
            <w:pPr>
              <w:pStyle w:val="54"/>
              <w:rPr>
                <w:rFonts w:ascii="Arial" w:hAnsi="Arial" w:eastAsia="Arial" w:cs="Arial"/>
                <w:sz w:val="22"/>
                <w:szCs w:val="22"/>
              </w:rPr>
            </w:pPr>
            <w:r>
              <w:rPr>
                <w:rFonts w:ascii="Arial" w:hAnsi="Arial"/>
                <w:sz w:val="22"/>
                <w:szCs w:val="22"/>
                <w:lang w:val="en-US"/>
              </w:rPr>
              <w:t>Details of any other primary data collection method:</w:t>
            </w:r>
          </w:p>
          <w:p w14:paraId="27B2F578">
            <w:pPr>
              <w:pStyle w:val="54"/>
              <w:rPr>
                <w:rFonts w:ascii="Arial" w:hAnsi="Arial" w:eastAsia="Arial" w:cs="Arial"/>
                <w:lang w:val="en-US"/>
              </w:rPr>
            </w:pPr>
          </w:p>
          <w:p w14:paraId="177FBAF0">
            <w:pPr>
              <w:pStyle w:val="54"/>
              <w:rPr>
                <w:rFonts w:ascii="Arial" w:hAnsi="Arial" w:eastAsia="Arial" w:cs="Arial"/>
                <w:lang w:val="en-US"/>
              </w:rPr>
            </w:pPr>
          </w:p>
          <w:p w14:paraId="1A334176">
            <w:pPr>
              <w:pStyle w:val="54"/>
              <w:rPr>
                <w:rFonts w:ascii="Arial" w:hAnsi="Arial" w:eastAsia="Arial" w:cs="Arial"/>
                <w:sz w:val="22"/>
                <w:szCs w:val="22"/>
                <w:lang w:val="en-US"/>
              </w:rPr>
            </w:pPr>
            <w:r>
              <w:rPr>
                <w:rFonts w:ascii="Arial" w:hAnsi="Arial" w:eastAsia="Arial" w:cs="Arial"/>
                <w:sz w:val="22"/>
                <w:szCs w:val="22"/>
                <w:lang w:val="en-US"/>
              </w:rPr>
              <w:t>Not applicable. This study uses secondary documentary sources only and does not involve any primary data collection.</w:t>
            </w:r>
          </w:p>
          <w:p w14:paraId="3B630F27">
            <w:pPr>
              <w:pStyle w:val="54"/>
            </w:pPr>
            <w:r>
              <w:rPr>
                <w:rFonts w:ascii="Arial" w:hAnsi="Arial"/>
                <w:sz w:val="18"/>
                <w:szCs w:val="18"/>
                <w:lang w:val="en-US"/>
              </w:rPr>
              <w:t>(this box should expand as you type)</w:t>
            </w:r>
          </w:p>
        </w:tc>
        <w:tc>
          <w:tcPr>
            <w:tcW w:w="846" w:type="dxa"/>
            <w:vMerge w:val="continue"/>
            <w:tcBorders>
              <w:top w:val="single" w:color="000000" w:sz="4" w:space="0"/>
              <w:left w:val="single" w:color="000000" w:sz="4" w:space="0"/>
              <w:bottom w:val="single" w:color="000000" w:sz="4" w:space="0"/>
              <w:right w:val="single" w:color="000000" w:sz="4" w:space="0"/>
            </w:tcBorders>
            <w:shd w:val="clear" w:color="auto" w:fill="BFBFBF"/>
          </w:tcPr>
          <w:p w14:paraId="6249295A"/>
        </w:tc>
        <w:tc>
          <w:tcPr>
            <w:tcW w:w="816" w:type="dxa"/>
            <w:vMerge w:val="continue"/>
            <w:tcBorders>
              <w:top w:val="single" w:color="000000" w:sz="4" w:space="0"/>
              <w:left w:val="single" w:color="000000" w:sz="4" w:space="0"/>
              <w:bottom w:val="single" w:color="000000" w:sz="4" w:space="0"/>
              <w:right w:val="single" w:color="000000" w:sz="4" w:space="0"/>
            </w:tcBorders>
            <w:shd w:val="clear" w:color="auto" w:fill="BFBFBF"/>
          </w:tcPr>
          <w:p w14:paraId="2BC447E6"/>
        </w:tc>
      </w:tr>
    </w:tbl>
    <w:p w14:paraId="3E74B066">
      <w:pPr>
        <w:pStyle w:val="54"/>
        <w:widowControl w:val="0"/>
        <w:spacing w:after="240"/>
        <w:rPr>
          <w:rFonts w:ascii="Arial" w:hAnsi="Arial" w:eastAsia="Arial" w:cs="Arial"/>
          <w:b/>
          <w:bCs/>
          <w:sz w:val="22"/>
          <w:szCs w:val="22"/>
        </w:rPr>
      </w:pPr>
    </w:p>
    <w:p w14:paraId="1DA01EBC">
      <w:pPr>
        <w:pStyle w:val="54"/>
        <w:jc w:val="both"/>
        <w:rPr>
          <w:rFonts w:ascii="Arial" w:hAnsi="Arial" w:eastAsia="Arial" w:cs="Arial"/>
          <w:sz w:val="22"/>
          <w:szCs w:val="22"/>
        </w:rPr>
      </w:pPr>
    </w:p>
    <w:p w14:paraId="22C7D86F">
      <w:pPr>
        <w:pStyle w:val="54"/>
        <w:jc w:val="both"/>
        <w:rPr>
          <w:rFonts w:ascii="Arial" w:hAnsi="Arial" w:eastAsia="Arial" w:cs="Arial"/>
          <w:sz w:val="22"/>
          <w:szCs w:val="22"/>
        </w:rPr>
      </w:pPr>
      <w:r>
        <w:rPr>
          <w:rFonts w:ascii="Arial" w:hAnsi="Arial"/>
          <w:sz w:val="22"/>
          <w:szCs w:val="22"/>
          <w:lang w:val="en-US"/>
        </w:rPr>
        <w:t>If you have ticked NO to every question then the research activity is (ethically) low risk and you may skip section E and continue to section F.</w:t>
      </w:r>
    </w:p>
    <w:p w14:paraId="67C6CE66">
      <w:pPr>
        <w:pStyle w:val="54"/>
        <w:rPr>
          <w:rFonts w:ascii="Arial" w:hAnsi="Arial" w:eastAsia="Arial" w:cs="Arial"/>
          <w:sz w:val="22"/>
          <w:szCs w:val="22"/>
        </w:rPr>
      </w:pPr>
    </w:p>
    <w:p w14:paraId="50E9021C">
      <w:pPr>
        <w:pStyle w:val="54"/>
        <w:rPr>
          <w:rFonts w:ascii="Arial" w:hAnsi="Arial" w:eastAsia="Arial" w:cs="Arial"/>
          <w:sz w:val="22"/>
          <w:szCs w:val="22"/>
        </w:rPr>
      </w:pPr>
      <w:r>
        <w:rPr>
          <w:rFonts w:ascii="Arial" w:hAnsi="Arial"/>
          <w:sz w:val="22"/>
          <w:szCs w:val="22"/>
          <w:lang w:val="en-US"/>
        </w:rPr>
        <w:t xml:space="preserve">If YES to any question, then no research activity should be undertaken until full ethical approval has been obtained. </w:t>
      </w:r>
    </w:p>
    <w:p w14:paraId="1602CAF6">
      <w:pPr>
        <w:pStyle w:val="54"/>
        <w:rPr>
          <w:rFonts w:ascii="Arial" w:hAnsi="Arial" w:eastAsia="Arial" w:cs="Arial"/>
          <w:sz w:val="22"/>
          <w:szCs w:val="22"/>
        </w:rPr>
      </w:pPr>
    </w:p>
    <w:p w14:paraId="0430EA3B">
      <w:pPr>
        <w:pStyle w:val="54"/>
        <w:spacing w:after="240"/>
        <w:jc w:val="both"/>
        <w:rPr>
          <w:rFonts w:ascii="Arial" w:hAnsi="Arial" w:eastAsia="Arial" w:cs="Arial"/>
          <w:b/>
          <w:bCs/>
          <w:sz w:val="22"/>
          <w:szCs w:val="22"/>
        </w:rPr>
      </w:pPr>
      <w:r>
        <w:rPr>
          <w:rFonts w:ascii="Arial" w:hAnsi="Arial"/>
          <w:b/>
          <w:bCs/>
          <w:sz w:val="22"/>
          <w:szCs w:val="22"/>
          <w:lang w:val="en-US"/>
        </w:rPr>
        <w:t>SECTION E: Intended Participants</w:t>
      </w:r>
    </w:p>
    <w:tbl>
      <w:tblPr>
        <w:tblStyle w:val="12"/>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8217"/>
        <w:gridCol w:w="850"/>
        <w:gridCol w:w="822"/>
      </w:tblGrid>
      <w:tr w14:paraId="18DA12F8">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3968903"/>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21131F0B">
            <w:pPr>
              <w:pStyle w:val="54"/>
              <w:jc w:val="both"/>
            </w:pPr>
            <w:r>
              <w:rPr>
                <w:rFonts w:ascii="Arial" w:hAnsi="Arial"/>
                <w:b/>
                <w:bCs/>
                <w:sz w:val="22"/>
                <w:szCs w:val="22"/>
                <w:lang w:val="en-US"/>
              </w:rPr>
              <w:t>Who are the intended participants: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759AB27F">
            <w:pPr>
              <w:pStyle w:val="54"/>
              <w:jc w:val="center"/>
              <w:rPr>
                <w:rFonts w:ascii="Arial" w:hAnsi="Arial" w:eastAsia="Arial" w:cs="Arial"/>
                <w:b/>
                <w:bCs/>
                <w:sz w:val="22"/>
                <w:szCs w:val="22"/>
                <w:lang w:val="en-US"/>
              </w:rPr>
            </w:pPr>
          </w:p>
          <w:p w14:paraId="4ABEB99B">
            <w:pPr>
              <w:pStyle w:val="54"/>
              <w:jc w:val="center"/>
            </w:pPr>
            <w:r>
              <w:rPr>
                <w:rFonts w:ascii="Arial" w:hAnsi="Arial"/>
                <w:b/>
                <w:bCs/>
                <w:sz w:val="22"/>
                <w:szCs w:val="22"/>
                <w:lang w:val="en-US"/>
              </w:rPr>
              <w:t>YES</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11E358BC">
            <w:pPr>
              <w:pStyle w:val="54"/>
              <w:jc w:val="center"/>
              <w:rPr>
                <w:rFonts w:ascii="Arial" w:hAnsi="Arial" w:eastAsia="Arial" w:cs="Arial"/>
                <w:b/>
                <w:bCs/>
                <w:sz w:val="22"/>
                <w:szCs w:val="22"/>
                <w:lang w:val="en-US"/>
              </w:rPr>
            </w:pPr>
          </w:p>
          <w:p w14:paraId="59CFED93">
            <w:pPr>
              <w:pStyle w:val="54"/>
              <w:jc w:val="center"/>
            </w:pPr>
            <w:r>
              <w:rPr>
                <w:rFonts w:ascii="Arial" w:hAnsi="Arial"/>
                <w:b/>
                <w:bCs/>
                <w:sz w:val="22"/>
                <w:szCs w:val="22"/>
                <w:lang w:val="en-US"/>
              </w:rPr>
              <w:t>NO</w:t>
            </w:r>
          </w:p>
        </w:tc>
      </w:tr>
      <w:tr w14:paraId="1C9C33BF">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1168386">
            <w:pPr>
              <w:pStyle w:val="54"/>
              <w:jc w:val="center"/>
            </w:pPr>
            <w:r>
              <w:rPr>
                <w:rFonts w:ascii="Arial" w:hAnsi="Arial"/>
                <w:sz w:val="22"/>
                <w:szCs w:val="22"/>
                <w:lang w:val="en-US"/>
              </w:rPr>
              <w:t>1</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7C04D79">
            <w:pPr>
              <w:pStyle w:val="54"/>
            </w:pPr>
            <w:r>
              <w:rPr>
                <w:rFonts w:ascii="Arial" w:hAnsi="Arial"/>
                <w:sz w:val="22"/>
                <w:szCs w:val="22"/>
                <w:lang w:val="en-US"/>
              </w:rPr>
              <w:t>Students or staff at the University?</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768F1BB">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00E388C">
            <w:pPr>
              <w:pStyle w:val="54"/>
              <w:jc w:val="center"/>
            </w:pPr>
            <w:r>
              <w:rPr>
                <w:rFonts w:ascii="MS Gothic" w:hAnsi="MS Gothic" w:eastAsia="MS Gothic" w:cs="MS Gothic"/>
                <w:b/>
                <w:bCs/>
                <w:sz w:val="22"/>
                <w:szCs w:val="22"/>
                <w:lang w:val="en-US"/>
              </w:rPr>
              <w:t>☐</w:t>
            </w:r>
          </w:p>
        </w:tc>
      </w:tr>
      <w:tr w14:paraId="75011BAA">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F79D48B">
            <w:pPr>
              <w:pStyle w:val="54"/>
              <w:jc w:val="center"/>
            </w:pPr>
            <w:r>
              <w:rPr>
                <w:rFonts w:ascii="Arial" w:hAnsi="Arial"/>
                <w:sz w:val="22"/>
                <w:szCs w:val="22"/>
                <w:lang w:val="en-US"/>
              </w:rPr>
              <w:t>2</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FDBAE23">
            <w:pPr>
              <w:pStyle w:val="54"/>
            </w:pPr>
            <w:r>
              <w:rPr>
                <w:rFonts w:ascii="Arial" w:hAnsi="Arial"/>
                <w:sz w:val="22"/>
                <w:szCs w:val="22"/>
                <w:lang w:val="en-US"/>
              </w:rPr>
              <w:t>Adults (over the age of 18 and competent to give consent)?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9B46628">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8BFE6AB">
            <w:pPr>
              <w:pStyle w:val="54"/>
              <w:jc w:val="center"/>
            </w:pPr>
            <w:r>
              <w:rPr>
                <w:rFonts w:ascii="MS Gothic" w:hAnsi="MS Gothic" w:eastAsia="MS Gothic" w:cs="MS Gothic"/>
                <w:b/>
                <w:bCs/>
                <w:sz w:val="22"/>
                <w:szCs w:val="22"/>
                <w:lang w:val="en-US"/>
              </w:rPr>
              <w:t>☐</w:t>
            </w:r>
          </w:p>
        </w:tc>
      </w:tr>
      <w:tr w14:paraId="41FF76D3">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68F382D">
            <w:pPr>
              <w:pStyle w:val="54"/>
              <w:jc w:val="center"/>
            </w:pPr>
            <w:r>
              <w:rPr>
                <w:rFonts w:ascii="Arial" w:hAnsi="Arial"/>
                <w:sz w:val="22"/>
                <w:szCs w:val="22"/>
                <w:lang w:val="en-US"/>
              </w:rPr>
              <w:t>3</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F6AF414">
            <w:pPr>
              <w:pStyle w:val="54"/>
            </w:pPr>
            <w:r>
              <w:rPr>
                <w:rFonts w:ascii="Arial" w:hAnsi="Arial"/>
                <w:sz w:val="22"/>
                <w:szCs w:val="22"/>
                <w:lang w:val="en-US"/>
              </w:rPr>
              <w:t>Vulnerable adults?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522AC62">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E3C1506">
            <w:pPr>
              <w:pStyle w:val="54"/>
              <w:jc w:val="center"/>
            </w:pPr>
            <w:r>
              <w:rPr>
                <w:rFonts w:ascii="MS Gothic" w:hAnsi="MS Gothic" w:eastAsia="MS Gothic" w:cs="MS Gothic"/>
                <w:b/>
                <w:bCs/>
                <w:sz w:val="22"/>
                <w:szCs w:val="22"/>
                <w:lang w:val="en-US"/>
              </w:rPr>
              <w:t>☐</w:t>
            </w:r>
          </w:p>
        </w:tc>
      </w:tr>
      <w:tr w14:paraId="0665BC8F">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07E48DC">
            <w:pPr>
              <w:pStyle w:val="54"/>
              <w:jc w:val="center"/>
            </w:pPr>
            <w:r>
              <w:rPr>
                <w:rFonts w:ascii="Arial" w:hAnsi="Arial"/>
                <w:sz w:val="22"/>
                <w:szCs w:val="22"/>
                <w:lang w:val="en-US"/>
              </w:rPr>
              <w:t>4</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7BDC8FD">
            <w:pPr>
              <w:pStyle w:val="54"/>
            </w:pPr>
            <w:r>
              <w:rPr>
                <w:rFonts w:ascii="Arial" w:hAnsi="Arial"/>
                <w:sz w:val="22"/>
                <w:szCs w:val="22"/>
                <w:lang w:val="en-US"/>
              </w:rPr>
              <w:t>Children and Young People under the age of 18? (Consent from Parent, Carer or Guardian will be required)</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6D433B5">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5D062A8">
            <w:pPr>
              <w:pStyle w:val="54"/>
              <w:jc w:val="center"/>
            </w:pPr>
            <w:r>
              <w:rPr>
                <w:rFonts w:ascii="MS Gothic" w:hAnsi="MS Gothic" w:eastAsia="MS Gothic" w:cs="MS Gothic"/>
                <w:b/>
                <w:bCs/>
                <w:sz w:val="22"/>
                <w:szCs w:val="22"/>
                <w:lang w:val="en-US"/>
              </w:rPr>
              <w:t>☐</w:t>
            </w:r>
          </w:p>
        </w:tc>
      </w:tr>
      <w:tr w14:paraId="6511A511">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7FF7CF0">
            <w:pPr>
              <w:pStyle w:val="54"/>
              <w:jc w:val="center"/>
            </w:pPr>
            <w:r>
              <w:rPr>
                <w:rFonts w:ascii="Arial" w:hAnsi="Arial"/>
                <w:sz w:val="22"/>
                <w:szCs w:val="22"/>
                <w:lang w:val="en-US"/>
              </w:rPr>
              <w:t>5</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F68C57F">
            <w:pPr>
              <w:pStyle w:val="54"/>
            </w:pPr>
            <w:r>
              <w:rPr>
                <w:rFonts w:ascii="Arial" w:hAnsi="Arial"/>
                <w:sz w:val="22"/>
                <w:szCs w:val="22"/>
                <w:lang w:val="en-US"/>
              </w:rPr>
              <w:t>Prisoners?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16D8FD3">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33360B5">
            <w:pPr>
              <w:pStyle w:val="54"/>
              <w:jc w:val="center"/>
            </w:pPr>
            <w:r>
              <w:rPr>
                <w:rFonts w:ascii="MS Gothic" w:hAnsi="MS Gothic" w:eastAsia="MS Gothic" w:cs="MS Gothic"/>
                <w:b/>
                <w:bCs/>
                <w:sz w:val="22"/>
                <w:szCs w:val="22"/>
                <w:lang w:val="en-US"/>
              </w:rPr>
              <w:t>☐</w:t>
            </w:r>
          </w:p>
        </w:tc>
      </w:tr>
      <w:tr w14:paraId="2AC36973">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0F6688C">
            <w:pPr>
              <w:pStyle w:val="54"/>
              <w:jc w:val="center"/>
            </w:pPr>
            <w:r>
              <w:rPr>
                <w:rFonts w:ascii="Arial" w:hAnsi="Arial"/>
                <w:sz w:val="22"/>
                <w:szCs w:val="22"/>
                <w:lang w:val="en-US"/>
              </w:rPr>
              <w:t>6</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815BEDE">
            <w:pPr>
              <w:pStyle w:val="54"/>
            </w:pPr>
            <w:r>
              <w:rPr>
                <w:rFonts w:ascii="Arial" w:hAnsi="Arial"/>
                <w:sz w:val="22"/>
                <w:szCs w:val="22"/>
                <w:lang w:val="en-US"/>
              </w:rPr>
              <w:t>Young offenders?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54815CD">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9793A6E">
            <w:pPr>
              <w:pStyle w:val="54"/>
              <w:jc w:val="center"/>
            </w:pPr>
            <w:r>
              <w:rPr>
                <w:rFonts w:ascii="MS Gothic" w:hAnsi="MS Gothic" w:eastAsia="MS Gothic" w:cs="MS Gothic"/>
                <w:b/>
                <w:bCs/>
                <w:sz w:val="22"/>
                <w:szCs w:val="22"/>
                <w:lang w:val="en-US"/>
              </w:rPr>
              <w:t>☐</w:t>
            </w:r>
          </w:p>
        </w:tc>
      </w:tr>
      <w:tr w14:paraId="479D59BB">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5B1324D">
            <w:pPr>
              <w:pStyle w:val="54"/>
              <w:jc w:val="center"/>
            </w:pPr>
            <w:r>
              <w:rPr>
                <w:rFonts w:ascii="Arial" w:hAnsi="Arial"/>
                <w:sz w:val="22"/>
                <w:szCs w:val="22"/>
                <w:lang w:val="en-US"/>
              </w:rPr>
              <w:t>7</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9E37F6E">
            <w:pPr>
              <w:pStyle w:val="54"/>
            </w:pPr>
            <w:r>
              <w:rPr>
                <w:rFonts w:ascii="Arial" w:hAnsi="Arial"/>
                <w:sz w:val="22"/>
                <w:szCs w:val="22"/>
                <w:lang w:val="en-US"/>
              </w:rPr>
              <w:t>Those who could be considered to have a particularly dependent relationship with the investigator or a gatekeeper?</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79C4F11">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2920A2E">
            <w:pPr>
              <w:pStyle w:val="54"/>
              <w:jc w:val="center"/>
            </w:pPr>
            <w:r>
              <w:rPr>
                <w:rFonts w:ascii="MS Gothic" w:hAnsi="MS Gothic" w:eastAsia="MS Gothic" w:cs="MS Gothic"/>
                <w:b/>
                <w:bCs/>
                <w:sz w:val="22"/>
                <w:szCs w:val="22"/>
                <w:lang w:val="en-US"/>
              </w:rPr>
              <w:t>☐</w:t>
            </w:r>
          </w:p>
        </w:tc>
      </w:tr>
      <w:tr w14:paraId="49FEEED6">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A883EA9">
            <w:pPr>
              <w:pStyle w:val="54"/>
              <w:jc w:val="center"/>
            </w:pPr>
            <w:r>
              <w:rPr>
                <w:rFonts w:ascii="Arial" w:hAnsi="Arial"/>
                <w:sz w:val="22"/>
                <w:szCs w:val="22"/>
                <w:lang w:val="en-US"/>
              </w:rPr>
              <w:t>8</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7D8D088">
            <w:pPr>
              <w:pStyle w:val="54"/>
            </w:pPr>
            <w:r>
              <w:rPr>
                <w:rFonts w:ascii="Arial" w:hAnsi="Arial"/>
                <w:sz w:val="22"/>
                <w:szCs w:val="22"/>
                <w:lang w:val="en-US"/>
              </w:rPr>
              <w:t>People engaged in illegal activities?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3C4C40E">
            <w:pPr>
              <w:pStyle w:val="54"/>
              <w:jc w:val="center"/>
            </w:pPr>
            <w:r>
              <w:rPr>
                <w:rFonts w:ascii="MS Gothic" w:hAnsi="MS Gothic" w:eastAsia="MS Gothic" w:cs="MS Gothic"/>
                <w:b/>
                <w:bCs/>
                <w:sz w:val="22"/>
                <w:szCs w:val="22"/>
                <w:lang w:val="en-US"/>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EA20DFA">
            <w:pPr>
              <w:pStyle w:val="54"/>
              <w:jc w:val="center"/>
            </w:pPr>
            <w:r>
              <w:rPr>
                <w:rFonts w:ascii="MS Gothic" w:hAnsi="MS Gothic" w:eastAsia="MS Gothic" w:cs="MS Gothic"/>
                <w:b/>
                <w:bCs/>
                <w:sz w:val="22"/>
                <w:szCs w:val="22"/>
                <w:lang w:val="en-US"/>
              </w:rPr>
              <w:t>☐</w:t>
            </w:r>
          </w:p>
        </w:tc>
      </w:tr>
      <w:tr w14:paraId="646C71F4">
        <w:trPr>
          <w:trHeight w:val="72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41D585D">
            <w:pPr>
              <w:pStyle w:val="54"/>
              <w:jc w:val="center"/>
            </w:pPr>
            <w:r>
              <w:rPr>
                <w:rFonts w:ascii="Arial" w:hAnsi="Arial"/>
                <w:sz w:val="22"/>
                <w:szCs w:val="22"/>
                <w:lang w:val="en-US"/>
              </w:rPr>
              <w:t>9</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4D3D2B6">
            <w:pPr>
              <w:pStyle w:val="54"/>
            </w:pPr>
            <w:r>
              <w:rPr>
                <w:rFonts w:ascii="Arial" w:hAnsi="Arial"/>
                <w:sz w:val="22"/>
                <w:szCs w:val="22"/>
                <w:lang w:val="en-US"/>
              </w:rPr>
              <w:t>Others. Please indicate the participants below, and specifically any group who may be unable to give consent.</w:t>
            </w:r>
          </w:p>
        </w:tc>
        <w:tc>
          <w:tcPr>
            <w:tcW w:w="850"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D474B4F">
            <w:pPr>
              <w:pStyle w:val="54"/>
              <w:jc w:val="center"/>
            </w:pPr>
            <w:r>
              <w:rPr>
                <w:rFonts w:ascii="MS Gothic" w:hAnsi="MS Gothic" w:eastAsia="MS Gothic" w:cs="MS Gothic"/>
                <w:b/>
                <w:bCs/>
                <w:sz w:val="22"/>
                <w:szCs w:val="22"/>
                <w:lang w:val="en-US"/>
              </w:rPr>
              <w:t>☐</w:t>
            </w:r>
          </w:p>
        </w:tc>
        <w:tc>
          <w:tcPr>
            <w:tcW w:w="822"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3210292">
            <w:pPr>
              <w:pStyle w:val="54"/>
              <w:jc w:val="center"/>
            </w:pPr>
            <w:r>
              <w:rPr>
                <w:rFonts w:ascii="MS Gothic" w:hAnsi="MS Gothic" w:eastAsia="MS Gothic" w:cs="MS Gothic"/>
                <w:b/>
                <w:bCs/>
                <w:sz w:val="22"/>
                <w:szCs w:val="22"/>
                <w:lang w:val="en-US"/>
              </w:rPr>
              <w:t>☐</w:t>
            </w:r>
          </w:p>
        </w:tc>
      </w:tr>
      <w:tr w14:paraId="43F01BD0">
        <w:trPr>
          <w:trHeight w:val="90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F5C9275"/>
        </w:tc>
        <w:tc>
          <w:tcPr>
            <w:tcW w:w="8217"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D6B4CCD">
            <w:pPr>
              <w:pStyle w:val="54"/>
              <w:rPr>
                <w:rFonts w:ascii="Arial" w:hAnsi="Arial" w:eastAsia="Arial" w:cs="Arial"/>
                <w:sz w:val="22"/>
                <w:szCs w:val="22"/>
              </w:rPr>
            </w:pPr>
            <w:r>
              <w:rPr>
                <w:rFonts w:ascii="Arial" w:hAnsi="Arial"/>
                <w:sz w:val="22"/>
                <w:szCs w:val="22"/>
                <w:lang w:val="en-US"/>
              </w:rPr>
              <w:t>Details of any other participant groups:</w:t>
            </w:r>
          </w:p>
          <w:p w14:paraId="686E1416">
            <w:pPr>
              <w:pStyle w:val="54"/>
              <w:rPr>
                <w:rFonts w:ascii="Arial" w:hAnsi="Arial" w:eastAsia="Arial" w:cs="Arial"/>
              </w:rPr>
            </w:pPr>
            <w:r>
              <w:rPr>
                <w:rFonts w:ascii="Arial" w:hAnsi="Arial"/>
                <w:color w:val="00B050"/>
                <w:sz w:val="22"/>
                <w:szCs w:val="22"/>
                <w:u w:color="00B050"/>
                <w:lang w:val="en-US"/>
              </w:rPr>
              <w:t>Complete this only if your participants cannot give consent. This includes animals</w:t>
            </w:r>
          </w:p>
          <w:p w14:paraId="620571FF">
            <w:pPr>
              <w:pStyle w:val="54"/>
              <w:rPr>
                <w:rFonts w:ascii="Arial" w:hAnsi="Arial" w:eastAsia="Arial" w:cs="Arial"/>
                <w:lang w:val="en-US"/>
              </w:rPr>
            </w:pPr>
          </w:p>
          <w:p w14:paraId="05F333F5">
            <w:pPr>
              <w:pStyle w:val="54"/>
            </w:pPr>
            <w:r>
              <w:rPr>
                <w:rFonts w:ascii="Arial" w:hAnsi="Arial"/>
                <w:color w:val="808080"/>
                <w:sz w:val="18"/>
                <w:szCs w:val="18"/>
                <w:u w:color="808080"/>
                <w:lang w:val="en-US"/>
              </w:rPr>
              <w:t>(this box should expand as you type)</w:t>
            </w:r>
          </w:p>
        </w:tc>
        <w:tc>
          <w:tcPr>
            <w:tcW w:w="850" w:type="dxa"/>
            <w:vMerge w:val="continue"/>
            <w:tcBorders>
              <w:top w:val="single" w:color="000000" w:sz="4" w:space="0"/>
              <w:left w:val="single" w:color="000000" w:sz="4" w:space="0"/>
              <w:bottom w:val="single" w:color="000000" w:sz="4" w:space="0"/>
              <w:right w:val="single" w:color="000000" w:sz="4" w:space="0"/>
            </w:tcBorders>
            <w:shd w:val="clear" w:color="auto" w:fill="BFBFBF"/>
          </w:tcPr>
          <w:p w14:paraId="5E1CFC31"/>
        </w:tc>
        <w:tc>
          <w:tcPr>
            <w:tcW w:w="822" w:type="dxa"/>
            <w:vMerge w:val="continue"/>
            <w:tcBorders>
              <w:top w:val="single" w:color="000000" w:sz="4" w:space="0"/>
              <w:left w:val="single" w:color="000000" w:sz="4" w:space="0"/>
              <w:bottom w:val="single" w:color="000000" w:sz="4" w:space="0"/>
              <w:right w:val="single" w:color="000000" w:sz="4" w:space="0"/>
            </w:tcBorders>
            <w:shd w:val="clear" w:color="auto" w:fill="BFBFBF"/>
          </w:tcPr>
          <w:p w14:paraId="1903DADD"/>
        </w:tc>
      </w:tr>
    </w:tbl>
    <w:p w14:paraId="6D67D7FF">
      <w:pPr>
        <w:pStyle w:val="54"/>
        <w:widowControl w:val="0"/>
        <w:spacing w:after="240"/>
        <w:jc w:val="both"/>
        <w:rPr>
          <w:rFonts w:ascii="Arial" w:hAnsi="Arial" w:eastAsia="Arial" w:cs="Arial"/>
          <w:b/>
          <w:bCs/>
          <w:sz w:val="22"/>
          <w:szCs w:val="22"/>
        </w:rPr>
      </w:pPr>
    </w:p>
    <w:p w14:paraId="43D63EE2">
      <w:pPr>
        <w:pStyle w:val="54"/>
        <w:rPr>
          <w:rFonts w:ascii="Arial" w:hAnsi="Arial" w:eastAsia="Arial" w:cs="Arial"/>
          <w:sz w:val="24"/>
          <w:szCs w:val="24"/>
        </w:rPr>
      </w:pPr>
    </w:p>
    <w:tbl>
      <w:tblPr>
        <w:tblStyle w:val="12"/>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3256"/>
        <w:gridCol w:w="6633"/>
      </w:tblGrid>
      <w:tr w14:paraId="053E6847">
        <w:trPr>
          <w:trHeight w:val="72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0D3737A6"/>
        </w:tc>
        <w:tc>
          <w:tcPr>
            <w:tcW w:w="9889"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A5EA317">
            <w:pPr>
              <w:pStyle w:val="54"/>
              <w:rPr>
                <w:rFonts w:ascii="Arial" w:hAnsi="Arial" w:eastAsia="Arial" w:cs="Arial"/>
                <w:b/>
                <w:bCs/>
                <w:sz w:val="22"/>
                <w:szCs w:val="22"/>
              </w:rPr>
            </w:pPr>
            <w:r>
              <w:rPr>
                <w:rFonts w:ascii="Arial" w:hAnsi="Arial"/>
                <w:b/>
                <w:bCs/>
                <w:sz w:val="22"/>
                <w:szCs w:val="22"/>
                <w:lang w:val="en-US"/>
              </w:rPr>
              <w:t>Participant numbers and source</w:t>
            </w:r>
          </w:p>
          <w:p w14:paraId="3BA35D48">
            <w:pPr>
              <w:pStyle w:val="54"/>
            </w:pPr>
            <w:r>
              <w:rPr>
                <w:rFonts w:ascii="Arial" w:hAnsi="Arial"/>
                <w:sz w:val="22"/>
                <w:szCs w:val="22"/>
                <w:lang w:val="en-US"/>
              </w:rPr>
              <w:t xml:space="preserve">Provide an estimate of the expected number of participants. How will you identify participants and how will they be recruited? </w:t>
            </w:r>
          </w:p>
        </w:tc>
      </w:tr>
      <w:tr w14:paraId="69592109">
        <w:trPr>
          <w:trHeight w:val="1164"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6332C75">
            <w:pPr>
              <w:pStyle w:val="54"/>
              <w:jc w:val="center"/>
            </w:pPr>
            <w:r>
              <w:rPr>
                <w:rFonts w:ascii="Arial" w:hAnsi="Arial"/>
                <w:sz w:val="22"/>
                <w:szCs w:val="22"/>
                <w:lang w:val="en-US"/>
              </w:rPr>
              <w:t>10</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43D54FA">
            <w:pPr>
              <w:pStyle w:val="54"/>
            </w:pPr>
            <w:r>
              <w:rPr>
                <w:rFonts w:ascii="Arial" w:hAnsi="Arial"/>
                <w:sz w:val="22"/>
                <w:szCs w:val="22"/>
                <w:lang w:val="en-US"/>
              </w:rPr>
              <w:t>How many participants are expected?</w:t>
            </w:r>
          </w:p>
        </w:tc>
        <w:tc>
          <w:tcPr>
            <w:tcW w:w="6633"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FF1D7CF">
            <w:pPr>
              <w:pStyle w:val="54"/>
              <w:rPr>
                <w:rFonts w:ascii="Arial" w:hAnsi="Arial" w:eastAsia="Arial" w:cs="Arial"/>
                <w:color w:val="00B050"/>
                <w:sz w:val="24"/>
                <w:szCs w:val="24"/>
                <w:u w:color="00B050"/>
              </w:rPr>
            </w:pPr>
            <w:r>
              <w:rPr>
                <w:rFonts w:ascii="Arial" w:hAnsi="Arial"/>
                <w:color w:val="00B050"/>
                <w:sz w:val="22"/>
                <w:szCs w:val="22"/>
                <w:u w:color="00B050"/>
                <w:lang w:val="en-US"/>
              </w:rPr>
              <w:t>Ballpark figures are fine but make sure that you explain how you will identify and contact your participants.</w:t>
            </w:r>
          </w:p>
          <w:p w14:paraId="6BF0E3A2">
            <w:pPr>
              <w:pStyle w:val="54"/>
              <w:rPr>
                <w:rFonts w:ascii="Arial" w:hAnsi="Arial" w:eastAsia="Arial" w:cs="Arial"/>
                <w:sz w:val="22"/>
                <w:szCs w:val="22"/>
                <w:lang w:val="en-US"/>
              </w:rPr>
            </w:pPr>
          </w:p>
          <w:p w14:paraId="1359A9FA">
            <w:pPr>
              <w:pStyle w:val="54"/>
              <w:rPr>
                <w:rFonts w:ascii="Arial" w:hAnsi="Arial" w:eastAsia="Arial" w:cs="Arial"/>
                <w:sz w:val="22"/>
                <w:szCs w:val="22"/>
                <w:lang w:val="en-US"/>
              </w:rPr>
            </w:pPr>
          </w:p>
          <w:p w14:paraId="71DA937D">
            <w:pPr>
              <w:pStyle w:val="54"/>
            </w:pPr>
            <w:r>
              <w:rPr>
                <w:rFonts w:ascii="Arial" w:hAnsi="Arial"/>
                <w:i/>
                <w:iCs/>
                <w:color w:val="808080"/>
                <w:sz w:val="18"/>
                <w:szCs w:val="18"/>
                <w:u w:color="808080"/>
                <w:lang w:val="en-US"/>
              </w:rPr>
              <w:t>(this box should expand as you type)</w:t>
            </w:r>
          </w:p>
        </w:tc>
      </w:tr>
      <w:tr w14:paraId="44C14081">
        <w:trPr>
          <w:trHeight w:val="924"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B555593">
            <w:pPr>
              <w:pStyle w:val="54"/>
              <w:jc w:val="center"/>
            </w:pPr>
            <w:r>
              <w:rPr>
                <w:rFonts w:ascii="Arial" w:hAnsi="Arial"/>
                <w:sz w:val="22"/>
                <w:szCs w:val="22"/>
                <w:lang w:val="en-US"/>
              </w:rPr>
              <w:t>11</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3C0B32F">
            <w:pPr>
              <w:pStyle w:val="54"/>
            </w:pPr>
            <w:r>
              <w:rPr>
                <w:rFonts w:ascii="Arial" w:hAnsi="Arial"/>
                <w:sz w:val="22"/>
                <w:szCs w:val="22"/>
                <w:lang w:val="en-US"/>
              </w:rPr>
              <w:t>Who will the participants be?</w:t>
            </w:r>
          </w:p>
        </w:tc>
        <w:tc>
          <w:tcPr>
            <w:tcW w:w="6633"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2A6D032">
            <w:pPr>
              <w:pStyle w:val="54"/>
              <w:rPr>
                <w:rFonts w:ascii="Arial" w:hAnsi="Arial" w:eastAsia="Arial" w:cs="Arial"/>
                <w:sz w:val="22"/>
                <w:szCs w:val="22"/>
                <w:lang w:val="en-US"/>
              </w:rPr>
            </w:pPr>
          </w:p>
          <w:p w14:paraId="548DB187">
            <w:pPr>
              <w:pStyle w:val="54"/>
              <w:rPr>
                <w:rFonts w:ascii="Arial" w:hAnsi="Arial" w:eastAsia="Arial" w:cs="Arial"/>
                <w:sz w:val="22"/>
                <w:szCs w:val="22"/>
                <w:lang w:val="en-US"/>
              </w:rPr>
            </w:pPr>
          </w:p>
          <w:p w14:paraId="5AE07E0E">
            <w:pPr>
              <w:pStyle w:val="54"/>
              <w:rPr>
                <w:rFonts w:ascii="Arial" w:hAnsi="Arial" w:eastAsia="Arial" w:cs="Arial"/>
                <w:sz w:val="22"/>
                <w:szCs w:val="22"/>
                <w:lang w:val="en-US"/>
              </w:rPr>
            </w:pPr>
          </w:p>
          <w:p w14:paraId="7150D326">
            <w:pPr>
              <w:pStyle w:val="54"/>
            </w:pPr>
            <w:r>
              <w:rPr>
                <w:rFonts w:ascii="Arial" w:hAnsi="Arial"/>
                <w:i/>
                <w:iCs/>
                <w:color w:val="808080"/>
                <w:sz w:val="18"/>
                <w:szCs w:val="18"/>
                <w:u w:color="808080"/>
                <w:lang w:val="en-US"/>
              </w:rPr>
              <w:t>(this box should expand as you type)</w:t>
            </w:r>
          </w:p>
        </w:tc>
      </w:tr>
      <w:tr w14:paraId="1A3E36B8">
        <w:trPr>
          <w:trHeight w:val="924"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4D47DB0">
            <w:pPr>
              <w:pStyle w:val="54"/>
              <w:jc w:val="center"/>
            </w:pPr>
            <w:r>
              <w:rPr>
                <w:rFonts w:ascii="Arial" w:hAnsi="Arial"/>
                <w:sz w:val="22"/>
                <w:szCs w:val="22"/>
                <w:lang w:val="en-US"/>
              </w:rPr>
              <w:t>12</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6E6A733">
            <w:pPr>
              <w:pStyle w:val="54"/>
            </w:pPr>
            <w:r>
              <w:rPr>
                <w:rFonts w:ascii="Arial" w:hAnsi="Arial"/>
                <w:sz w:val="22"/>
                <w:szCs w:val="22"/>
                <w:lang w:val="en-US"/>
              </w:rPr>
              <w:t>How will you identify the participants?</w:t>
            </w:r>
          </w:p>
        </w:tc>
        <w:tc>
          <w:tcPr>
            <w:tcW w:w="6633"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79A91655">
            <w:pPr>
              <w:pStyle w:val="54"/>
              <w:rPr>
                <w:rFonts w:ascii="Arial" w:hAnsi="Arial" w:eastAsia="Arial" w:cs="Arial"/>
                <w:sz w:val="22"/>
                <w:szCs w:val="22"/>
                <w:lang w:val="en-US"/>
              </w:rPr>
            </w:pPr>
          </w:p>
          <w:p w14:paraId="66CAADAB">
            <w:pPr>
              <w:pStyle w:val="54"/>
              <w:rPr>
                <w:rFonts w:ascii="Arial" w:hAnsi="Arial" w:eastAsia="Arial" w:cs="Arial"/>
                <w:sz w:val="22"/>
                <w:szCs w:val="22"/>
                <w:lang w:val="en-US"/>
              </w:rPr>
            </w:pPr>
          </w:p>
          <w:p w14:paraId="08755D74">
            <w:pPr>
              <w:pStyle w:val="54"/>
              <w:rPr>
                <w:rFonts w:ascii="Arial" w:hAnsi="Arial" w:eastAsia="Arial" w:cs="Arial"/>
                <w:sz w:val="22"/>
                <w:szCs w:val="22"/>
                <w:lang w:val="en-US"/>
              </w:rPr>
            </w:pPr>
          </w:p>
          <w:p w14:paraId="198EE6F0">
            <w:pPr>
              <w:pStyle w:val="54"/>
            </w:pPr>
            <w:r>
              <w:rPr>
                <w:rFonts w:ascii="Arial" w:hAnsi="Arial"/>
                <w:i/>
                <w:iCs/>
                <w:color w:val="808080"/>
                <w:sz w:val="18"/>
                <w:szCs w:val="18"/>
                <w:u w:color="808080"/>
                <w:lang w:val="en-US"/>
              </w:rPr>
              <w:t>(this box should expand as you type)</w:t>
            </w:r>
          </w:p>
        </w:tc>
      </w:tr>
    </w:tbl>
    <w:p w14:paraId="5FC5E6CA">
      <w:pPr>
        <w:pStyle w:val="54"/>
        <w:widowControl w:val="0"/>
        <w:rPr>
          <w:rFonts w:ascii="Arial" w:hAnsi="Arial" w:eastAsia="Arial" w:cs="Arial"/>
          <w:sz w:val="24"/>
          <w:szCs w:val="24"/>
        </w:rPr>
      </w:pPr>
    </w:p>
    <w:p w14:paraId="4633CB31">
      <w:pPr>
        <w:pStyle w:val="54"/>
        <w:rPr>
          <w:rFonts w:ascii="Arial" w:hAnsi="Arial" w:eastAsia="Arial" w:cs="Arial"/>
          <w:sz w:val="24"/>
          <w:szCs w:val="24"/>
        </w:rPr>
      </w:pPr>
    </w:p>
    <w:p w14:paraId="4C0701A6">
      <w:pPr>
        <w:pStyle w:val="54"/>
      </w:pPr>
    </w:p>
    <w:tbl>
      <w:tblPr>
        <w:tblStyle w:val="12"/>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7088"/>
        <w:gridCol w:w="992"/>
        <w:gridCol w:w="851"/>
        <w:gridCol w:w="992"/>
      </w:tblGrid>
      <w:tr w14:paraId="38D63FAC">
        <w:trPr>
          <w:trHeight w:val="42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3D717E5"/>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2DBC76D2">
            <w:pPr>
              <w:pStyle w:val="54"/>
              <w:jc w:val="both"/>
            </w:pPr>
            <w:r>
              <w:rPr>
                <w:rFonts w:ascii="Arial" w:hAnsi="Arial"/>
                <w:b/>
                <w:bCs/>
                <w:sz w:val="22"/>
                <w:szCs w:val="22"/>
                <w:lang w:val="en-US"/>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14:paraId="32272CD5">
            <w:pPr>
              <w:pStyle w:val="54"/>
              <w:jc w:val="center"/>
              <w:rPr>
                <w:rFonts w:ascii="Arial" w:hAnsi="Arial" w:eastAsia="Arial" w:cs="Arial"/>
                <w:b/>
                <w:bCs/>
                <w:sz w:val="16"/>
                <w:szCs w:val="16"/>
                <w:lang w:val="en-US"/>
              </w:rPr>
            </w:pPr>
          </w:p>
          <w:p w14:paraId="23EFB95A">
            <w:pPr>
              <w:pStyle w:val="54"/>
              <w:jc w:val="center"/>
            </w:pPr>
            <w:r>
              <w:rPr>
                <w:rFonts w:ascii="Arial" w:hAnsi="Arial"/>
                <w:b/>
                <w:bCs/>
                <w:sz w:val="22"/>
                <w:szCs w:val="22"/>
                <w:lang w:val="en-US"/>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14:paraId="3EA68098">
            <w:pPr>
              <w:pStyle w:val="54"/>
              <w:jc w:val="center"/>
            </w:pPr>
            <w:r>
              <w:rPr>
                <w:rFonts w:ascii="Arial" w:hAnsi="Arial"/>
                <w:b/>
                <w:bCs/>
                <w:sz w:val="22"/>
                <w:szCs w:val="22"/>
                <w:lang w:val="en-US"/>
              </w:rPr>
              <w:t>NO</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14A02B53">
            <w:pPr>
              <w:pStyle w:val="54"/>
              <w:jc w:val="center"/>
              <w:rPr>
                <w:rFonts w:ascii="Arial" w:hAnsi="Arial" w:eastAsia="Arial" w:cs="Arial"/>
                <w:b/>
                <w:bCs/>
                <w:sz w:val="16"/>
                <w:szCs w:val="16"/>
                <w:lang w:val="en-US"/>
              </w:rPr>
            </w:pPr>
          </w:p>
          <w:p w14:paraId="5FAADC67">
            <w:pPr>
              <w:pStyle w:val="54"/>
              <w:jc w:val="center"/>
            </w:pPr>
            <w:r>
              <w:rPr>
                <w:rFonts w:ascii="Arial" w:hAnsi="Arial"/>
                <w:b/>
                <w:bCs/>
                <w:sz w:val="22"/>
                <w:szCs w:val="22"/>
                <w:lang w:val="en-US"/>
              </w:rPr>
              <w:t>N/A</w:t>
            </w:r>
          </w:p>
        </w:tc>
      </w:tr>
      <w:tr w14:paraId="5F04A975">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E5584AD">
            <w:pPr>
              <w:pStyle w:val="54"/>
              <w:jc w:val="center"/>
            </w:pPr>
            <w:r>
              <w:rPr>
                <w:rFonts w:ascii="Arial" w:hAnsi="Arial"/>
                <w:sz w:val="22"/>
                <w:szCs w:val="22"/>
                <w:lang w:val="en-US"/>
              </w:rPr>
              <w:t>13</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1CF9680">
            <w:pPr>
              <w:pStyle w:val="54"/>
            </w:pPr>
            <w:r>
              <w:rPr>
                <w:rFonts w:ascii="Arial" w:hAnsi="Arial"/>
                <w:sz w:val="22"/>
                <w:szCs w:val="22"/>
                <w:lang w:val="en-US"/>
              </w:rPr>
              <w:t>Will you describe the main research procedures to participants in advance, so that they are informed about what to expect?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3CD6214">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93847E0">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F2A261C">
            <w:pPr>
              <w:pStyle w:val="54"/>
              <w:jc w:val="center"/>
            </w:pPr>
            <w:r>
              <w:rPr>
                <w:rFonts w:ascii="MS Gothic" w:hAnsi="MS Gothic" w:eastAsia="MS Gothic" w:cs="MS Gothic"/>
                <w:b/>
                <w:bCs/>
                <w:sz w:val="22"/>
                <w:szCs w:val="22"/>
                <w:lang w:val="en-US"/>
              </w:rPr>
              <w:t>☐</w:t>
            </w:r>
          </w:p>
        </w:tc>
      </w:tr>
      <w:tr w14:paraId="7F7A3E51">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0E5CA90">
            <w:pPr>
              <w:pStyle w:val="54"/>
              <w:jc w:val="center"/>
            </w:pPr>
            <w:r>
              <w:rPr>
                <w:rFonts w:ascii="Arial" w:hAnsi="Arial"/>
                <w:sz w:val="22"/>
                <w:szCs w:val="22"/>
                <w:lang w:val="en-US"/>
              </w:rPr>
              <w:t>14</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A98E715">
            <w:pPr>
              <w:pStyle w:val="54"/>
            </w:pPr>
            <w:r>
              <w:rPr>
                <w:rFonts w:ascii="Arial" w:hAnsi="Arial"/>
                <w:sz w:val="22"/>
                <w:szCs w:val="22"/>
                <w:lang w:val="en-US"/>
              </w:rPr>
              <w:t>Will you tell participants that their participation is voluntary?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6E5D243">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9C05909">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324A27D">
            <w:pPr>
              <w:pStyle w:val="54"/>
              <w:jc w:val="center"/>
            </w:pPr>
            <w:r>
              <w:rPr>
                <w:rFonts w:ascii="MS Gothic" w:hAnsi="MS Gothic" w:eastAsia="MS Gothic" w:cs="MS Gothic"/>
                <w:b/>
                <w:bCs/>
                <w:sz w:val="22"/>
                <w:szCs w:val="22"/>
                <w:lang w:val="en-US"/>
              </w:rPr>
              <w:t>☐</w:t>
            </w:r>
          </w:p>
        </w:tc>
      </w:tr>
      <w:tr w14:paraId="781E9800">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FB5B060">
            <w:pPr>
              <w:pStyle w:val="54"/>
              <w:jc w:val="center"/>
            </w:pPr>
            <w:r>
              <w:rPr>
                <w:rFonts w:ascii="Arial" w:hAnsi="Arial"/>
                <w:sz w:val="22"/>
                <w:szCs w:val="22"/>
                <w:lang w:val="en-US"/>
              </w:rPr>
              <w:t>15</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83C0B98">
            <w:pPr>
              <w:pStyle w:val="54"/>
            </w:pPr>
            <w:r>
              <w:rPr>
                <w:rFonts w:ascii="Arial" w:hAnsi="Arial"/>
                <w:sz w:val="22"/>
                <w:szCs w:val="22"/>
                <w:lang w:val="en-US"/>
              </w:rPr>
              <w:t>Will you obtain written consent for participation?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295B351">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40CEFE3">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F5B998C">
            <w:pPr>
              <w:pStyle w:val="54"/>
              <w:jc w:val="center"/>
            </w:pPr>
            <w:r>
              <w:rPr>
                <w:rFonts w:ascii="MS Gothic" w:hAnsi="MS Gothic" w:eastAsia="MS Gothic" w:cs="MS Gothic"/>
                <w:b/>
                <w:bCs/>
                <w:sz w:val="22"/>
                <w:szCs w:val="22"/>
                <w:lang w:val="en-US"/>
              </w:rPr>
              <w:t>☐</w:t>
            </w:r>
          </w:p>
        </w:tc>
      </w:tr>
      <w:tr w14:paraId="19CAC475">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8BA39DA">
            <w:pPr>
              <w:pStyle w:val="54"/>
              <w:jc w:val="center"/>
            </w:pPr>
            <w:r>
              <w:rPr>
                <w:rFonts w:ascii="Arial" w:hAnsi="Arial"/>
                <w:sz w:val="22"/>
                <w:szCs w:val="22"/>
                <w:lang w:val="en-US"/>
              </w:rPr>
              <w:t>16</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B4A31CB">
            <w:pPr>
              <w:pStyle w:val="54"/>
            </w:pPr>
            <w:r>
              <w:rPr>
                <w:rFonts w:ascii="Arial" w:hAnsi="Arial"/>
                <w:sz w:val="22"/>
                <w:szCs w:val="22"/>
                <w:lang w:val="en-US"/>
              </w:rPr>
              <w:t>Will you explain to participants that refusal to participate in the research will not affect their treatment or education (if relevant)?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8650B2B">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76A42F8">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297EF7A">
            <w:pPr>
              <w:pStyle w:val="54"/>
              <w:jc w:val="center"/>
            </w:pPr>
            <w:r>
              <w:rPr>
                <w:rFonts w:ascii="MS Gothic" w:hAnsi="MS Gothic" w:eastAsia="MS Gothic" w:cs="MS Gothic"/>
                <w:b/>
                <w:bCs/>
                <w:sz w:val="22"/>
                <w:szCs w:val="22"/>
                <w:lang w:val="en-US"/>
              </w:rPr>
              <w:t>☐</w:t>
            </w:r>
          </w:p>
        </w:tc>
      </w:tr>
      <w:tr w14:paraId="1255AB23">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2DF8BA2">
            <w:pPr>
              <w:pStyle w:val="54"/>
              <w:jc w:val="center"/>
            </w:pPr>
            <w:r>
              <w:rPr>
                <w:rFonts w:ascii="Arial" w:hAnsi="Arial"/>
                <w:sz w:val="22"/>
                <w:szCs w:val="22"/>
                <w:lang w:val="en-US"/>
              </w:rPr>
              <w:t>17</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4FC8924">
            <w:pPr>
              <w:pStyle w:val="54"/>
            </w:pPr>
            <w:r>
              <w:rPr>
                <w:rFonts w:ascii="Arial" w:hAnsi="Arial"/>
                <w:sz w:val="22"/>
                <w:szCs w:val="22"/>
                <w:lang w:val="en-US"/>
              </w:rPr>
              <w:t>If the research is observational, will you ask participants for their consent to being observed?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725E1E7">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3581AC2">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6075506">
            <w:pPr>
              <w:pStyle w:val="54"/>
              <w:jc w:val="center"/>
            </w:pPr>
            <w:r>
              <w:rPr>
                <w:rFonts w:ascii="MS Gothic" w:hAnsi="MS Gothic" w:eastAsia="MS Gothic" w:cs="MS Gothic"/>
                <w:b/>
                <w:bCs/>
                <w:sz w:val="22"/>
                <w:szCs w:val="22"/>
                <w:lang w:val="en-US"/>
              </w:rPr>
              <w:t>☐</w:t>
            </w:r>
          </w:p>
        </w:tc>
      </w:tr>
      <w:tr w14:paraId="2BF34CCE">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B931D2D">
            <w:pPr>
              <w:pStyle w:val="54"/>
              <w:jc w:val="center"/>
            </w:pPr>
            <w:r>
              <w:rPr>
                <w:rFonts w:ascii="Arial" w:hAnsi="Arial"/>
                <w:sz w:val="22"/>
                <w:szCs w:val="22"/>
                <w:lang w:val="en-US"/>
              </w:rPr>
              <w:t>18</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5D341C8">
            <w:pPr>
              <w:pStyle w:val="54"/>
            </w:pPr>
            <w:r>
              <w:rPr>
                <w:rFonts w:ascii="Arial" w:hAnsi="Arial"/>
                <w:sz w:val="22"/>
                <w:szCs w:val="22"/>
                <w:lang w:val="en-US"/>
              </w:rPr>
              <w:t>Will you tell participants that they may withdraw from the research at any time and for any reason?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48F6801">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C95B9BE">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7037D87">
            <w:pPr>
              <w:pStyle w:val="54"/>
              <w:jc w:val="center"/>
            </w:pPr>
            <w:r>
              <w:rPr>
                <w:rFonts w:ascii="MS Gothic" w:hAnsi="MS Gothic" w:eastAsia="MS Gothic" w:cs="MS Gothic"/>
                <w:b/>
                <w:bCs/>
                <w:sz w:val="22"/>
                <w:szCs w:val="22"/>
                <w:lang w:val="en-US"/>
              </w:rPr>
              <w:t>☐</w:t>
            </w:r>
          </w:p>
        </w:tc>
      </w:tr>
      <w:tr w14:paraId="61344E25">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FD64D7C">
            <w:pPr>
              <w:pStyle w:val="54"/>
              <w:jc w:val="center"/>
            </w:pPr>
            <w:r>
              <w:rPr>
                <w:rFonts w:ascii="Arial" w:hAnsi="Arial"/>
                <w:sz w:val="22"/>
                <w:szCs w:val="22"/>
                <w:lang w:val="en-US"/>
              </w:rPr>
              <w:t>19</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B674EEF">
            <w:pPr>
              <w:pStyle w:val="54"/>
            </w:pPr>
            <w:r>
              <w:rPr>
                <w:rFonts w:ascii="Arial" w:hAnsi="Arial"/>
                <w:sz w:val="22"/>
                <w:szCs w:val="22"/>
                <w:lang w:val="en-US"/>
              </w:rPr>
              <w:t>With questionnaires, will you give participants the option of omitting questions they do not want to answer?</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54C0C34">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17CF783">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2304784">
            <w:pPr>
              <w:pStyle w:val="54"/>
              <w:jc w:val="center"/>
            </w:pPr>
            <w:r>
              <w:rPr>
                <w:rFonts w:ascii="MS Gothic" w:hAnsi="MS Gothic" w:eastAsia="MS Gothic" w:cs="MS Gothic"/>
                <w:b/>
                <w:bCs/>
                <w:sz w:val="22"/>
                <w:szCs w:val="22"/>
                <w:lang w:val="en-US"/>
              </w:rPr>
              <w:t>☐</w:t>
            </w:r>
          </w:p>
        </w:tc>
      </w:tr>
      <w:tr w14:paraId="67A698E5">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EA6CE50">
            <w:pPr>
              <w:pStyle w:val="54"/>
              <w:jc w:val="center"/>
            </w:pPr>
            <w:r>
              <w:rPr>
                <w:rFonts w:ascii="Arial" w:hAnsi="Arial"/>
                <w:sz w:val="22"/>
                <w:szCs w:val="22"/>
                <w:lang w:val="en-US"/>
              </w:rPr>
              <w:t>20</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045A9FB">
            <w:pPr>
              <w:pStyle w:val="54"/>
            </w:pPr>
            <w:r>
              <w:rPr>
                <w:rFonts w:ascii="Arial" w:hAnsi="Arial"/>
                <w:sz w:val="22"/>
                <w:szCs w:val="22"/>
                <w:lang w:val="en-US"/>
              </w:rPr>
              <w:t>Will you tell participants that their data will be treated with full confidentiality and that, if published, it will not be identifiable as theirs?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B96D0A3">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3CEB783">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C62DC35">
            <w:pPr>
              <w:pStyle w:val="54"/>
              <w:jc w:val="center"/>
            </w:pPr>
            <w:r>
              <w:rPr>
                <w:rFonts w:ascii="MS Gothic" w:hAnsi="MS Gothic" w:eastAsia="MS Gothic" w:cs="MS Gothic"/>
                <w:b/>
                <w:bCs/>
                <w:sz w:val="22"/>
                <w:szCs w:val="22"/>
                <w:lang w:val="en-US"/>
              </w:rPr>
              <w:t>☐</w:t>
            </w:r>
          </w:p>
        </w:tc>
      </w:tr>
      <w:tr w14:paraId="444A4B7D">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D447981">
            <w:pPr>
              <w:pStyle w:val="54"/>
              <w:jc w:val="center"/>
            </w:pPr>
            <w:r>
              <w:rPr>
                <w:rFonts w:ascii="Arial" w:hAnsi="Arial"/>
                <w:sz w:val="22"/>
                <w:szCs w:val="22"/>
                <w:lang w:val="en-US"/>
              </w:rPr>
              <w:t>21</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6F654C8">
            <w:pPr>
              <w:pStyle w:val="54"/>
            </w:pPr>
            <w:r>
              <w:rPr>
                <w:rFonts w:ascii="Arial" w:hAnsi="Arial"/>
                <w:sz w:val="22"/>
                <w:szCs w:val="22"/>
                <w:lang w:val="en-US"/>
              </w:rPr>
              <w:t>Will you debrief participants at the end of their participation, in a way appropriate to the type of research undertaken?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31F4D80">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2ED2755">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F0A96DC">
            <w:pPr>
              <w:pStyle w:val="54"/>
              <w:jc w:val="center"/>
            </w:pPr>
            <w:r>
              <w:rPr>
                <w:rFonts w:ascii="MS Gothic" w:hAnsi="MS Gothic" w:eastAsia="MS Gothic" w:cs="MS Gothic"/>
                <w:b/>
                <w:bCs/>
                <w:sz w:val="22"/>
                <w:szCs w:val="22"/>
                <w:lang w:val="en-US"/>
              </w:rPr>
              <w:t>☐</w:t>
            </w:r>
          </w:p>
        </w:tc>
      </w:tr>
      <w:tr w14:paraId="5FAC46D9">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13EE4E1">
            <w:pPr>
              <w:pStyle w:val="54"/>
              <w:jc w:val="center"/>
            </w:pPr>
            <w:r>
              <w:rPr>
                <w:rFonts w:ascii="Arial" w:hAnsi="Arial"/>
                <w:sz w:val="22"/>
                <w:szCs w:val="22"/>
                <w:lang w:val="en-US"/>
              </w:rPr>
              <w:t>22</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4DF9037">
            <w:pPr>
              <w:pStyle w:val="54"/>
            </w:pPr>
            <w:r>
              <w:rPr>
                <w:rFonts w:ascii="Arial" w:hAnsi="Arial"/>
                <w:sz w:val="22"/>
                <w:szCs w:val="22"/>
                <w:lang w:val="en-US"/>
              </w:rPr>
              <w:t>If NO</w:t>
            </w:r>
            <w:r>
              <w:rPr>
                <w:rFonts w:ascii="Arial" w:hAnsi="Arial"/>
                <w:b/>
                <w:bCs/>
                <w:sz w:val="22"/>
                <w:szCs w:val="22"/>
                <w:lang w:val="en-US"/>
              </w:rPr>
              <w:t xml:space="preserve"> </w:t>
            </w:r>
            <w:r>
              <w:rPr>
                <w:rFonts w:ascii="Arial" w:hAnsi="Arial"/>
                <w:sz w:val="22"/>
                <w:szCs w:val="22"/>
                <w:lang w:val="en-US"/>
              </w:rPr>
              <w:t xml:space="preserve">to any of above questions, please give an explanation </w:t>
            </w:r>
          </w:p>
        </w:tc>
      </w:tr>
      <w:tr w14:paraId="6D75B579">
        <w:trPr>
          <w:trHeight w:val="68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6F26EDDD"/>
        </w:tc>
        <w:tc>
          <w:tcPr>
            <w:tcW w:w="9923" w:type="dxa"/>
            <w:gridSpan w:val="4"/>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43801ADD">
            <w:pPr>
              <w:pStyle w:val="54"/>
              <w:rPr>
                <w:rFonts w:ascii="Arial" w:hAnsi="Arial" w:eastAsia="Arial" w:cs="Arial"/>
                <w:color w:val="00B050"/>
                <w:sz w:val="24"/>
                <w:szCs w:val="24"/>
                <w:u w:color="00B050"/>
              </w:rPr>
            </w:pPr>
            <w:r>
              <w:rPr>
                <w:rFonts w:ascii="Arial" w:hAnsi="Arial"/>
                <w:color w:val="00B050"/>
                <w:sz w:val="22"/>
                <w:szCs w:val="22"/>
                <w:u w:color="00B050"/>
                <w:lang w:val="en-US"/>
              </w:rPr>
              <w:t>You should be able to tick YES for all of these questions. If not, then explain why not in this box.</w:t>
            </w:r>
          </w:p>
          <w:p w14:paraId="24937990">
            <w:pPr>
              <w:pStyle w:val="54"/>
              <w:rPr>
                <w:rFonts w:ascii="Arial" w:hAnsi="Arial" w:eastAsia="Arial" w:cs="Arial"/>
                <w:sz w:val="22"/>
                <w:szCs w:val="22"/>
                <w:lang w:val="en-US"/>
              </w:rPr>
            </w:pPr>
          </w:p>
          <w:p w14:paraId="48AB44A8">
            <w:pPr>
              <w:pStyle w:val="54"/>
            </w:pPr>
            <w:r>
              <w:rPr>
                <w:rFonts w:ascii="Arial" w:hAnsi="Arial"/>
                <w:i/>
                <w:iCs/>
                <w:color w:val="808080"/>
                <w:sz w:val="18"/>
                <w:szCs w:val="18"/>
                <w:u w:color="808080"/>
                <w:lang w:val="en-US"/>
              </w:rPr>
              <w:t>(this box should expand as you type)</w:t>
            </w:r>
          </w:p>
        </w:tc>
      </w:tr>
    </w:tbl>
    <w:p w14:paraId="57BFD7FE">
      <w:pPr>
        <w:pStyle w:val="54"/>
        <w:widowControl w:val="0"/>
      </w:pPr>
    </w:p>
    <w:p w14:paraId="75CE20FC">
      <w:pPr>
        <w:pStyle w:val="54"/>
      </w:pPr>
    </w:p>
    <w:tbl>
      <w:tblPr>
        <w:tblStyle w:val="12"/>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7088"/>
        <w:gridCol w:w="992"/>
        <w:gridCol w:w="851"/>
        <w:gridCol w:w="992"/>
      </w:tblGrid>
      <w:tr w14:paraId="4F27C413">
        <w:trPr>
          <w:trHeight w:val="42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7FD44B18"/>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E51D920">
            <w:pPr>
              <w:pStyle w:val="54"/>
            </w:pPr>
            <w:r>
              <w:rPr>
                <w:rFonts w:ascii="Arial" w:hAnsi="Arial"/>
                <w:b/>
                <w:bCs/>
                <w:sz w:val="22"/>
                <w:szCs w:val="22"/>
                <w:lang w:val="en-US"/>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14:paraId="75034869">
            <w:pPr>
              <w:pStyle w:val="54"/>
              <w:jc w:val="center"/>
              <w:rPr>
                <w:rFonts w:ascii="Arial" w:hAnsi="Arial" w:eastAsia="Arial" w:cs="Arial"/>
                <w:b/>
                <w:bCs/>
                <w:sz w:val="16"/>
                <w:szCs w:val="16"/>
                <w:lang w:val="en-US"/>
              </w:rPr>
            </w:pPr>
          </w:p>
          <w:p w14:paraId="19FDCF4B">
            <w:pPr>
              <w:pStyle w:val="54"/>
              <w:jc w:val="center"/>
            </w:pPr>
            <w:r>
              <w:rPr>
                <w:rFonts w:ascii="Arial" w:hAnsi="Arial"/>
                <w:b/>
                <w:bCs/>
                <w:sz w:val="22"/>
                <w:szCs w:val="22"/>
                <w:lang w:val="en-US"/>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14:paraId="3906407F">
            <w:pPr>
              <w:pStyle w:val="54"/>
              <w:jc w:val="center"/>
            </w:pPr>
            <w:r>
              <w:rPr>
                <w:rFonts w:ascii="Arial" w:hAnsi="Arial"/>
                <w:b/>
                <w:bCs/>
                <w:sz w:val="22"/>
                <w:szCs w:val="22"/>
                <w:lang w:val="en-US"/>
              </w:rPr>
              <w:t>NO</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14:paraId="3FE51038">
            <w:pPr>
              <w:pStyle w:val="54"/>
              <w:jc w:val="center"/>
              <w:rPr>
                <w:rFonts w:ascii="Arial" w:hAnsi="Arial" w:eastAsia="Arial" w:cs="Arial"/>
                <w:b/>
                <w:bCs/>
                <w:sz w:val="16"/>
                <w:szCs w:val="16"/>
                <w:lang w:val="en-US"/>
              </w:rPr>
            </w:pPr>
          </w:p>
          <w:p w14:paraId="51AC0424">
            <w:pPr>
              <w:pStyle w:val="54"/>
              <w:jc w:val="center"/>
            </w:pPr>
            <w:r>
              <w:rPr>
                <w:rFonts w:ascii="Arial" w:hAnsi="Arial"/>
                <w:b/>
                <w:bCs/>
                <w:sz w:val="22"/>
                <w:szCs w:val="22"/>
                <w:lang w:val="en-US"/>
              </w:rPr>
              <w:t>N/A</w:t>
            </w:r>
          </w:p>
        </w:tc>
      </w:tr>
      <w:tr w14:paraId="79B95490">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399F56D">
            <w:pPr>
              <w:pStyle w:val="54"/>
              <w:jc w:val="center"/>
            </w:pPr>
            <w:r>
              <w:rPr>
                <w:rFonts w:ascii="Arial" w:hAnsi="Arial"/>
                <w:sz w:val="22"/>
                <w:szCs w:val="22"/>
                <w:lang w:val="en-US"/>
              </w:rPr>
              <w:t>24</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4693F5A">
            <w:pPr>
              <w:pStyle w:val="54"/>
            </w:pPr>
            <w:r>
              <w:rPr>
                <w:rFonts w:ascii="Arial" w:hAnsi="Arial"/>
                <w:sz w:val="22"/>
                <w:szCs w:val="22"/>
                <w:lang w:val="en-US"/>
              </w:rPr>
              <w:t>Will participants be paid?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4B0109F">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17A950F">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6B50623">
            <w:pPr>
              <w:pStyle w:val="54"/>
              <w:jc w:val="center"/>
            </w:pPr>
            <w:r>
              <w:rPr>
                <w:rFonts w:ascii="MS Gothic" w:hAnsi="MS Gothic" w:eastAsia="MS Gothic" w:cs="MS Gothic"/>
                <w:b/>
                <w:bCs/>
                <w:sz w:val="22"/>
                <w:szCs w:val="22"/>
                <w:lang w:val="en-US"/>
              </w:rPr>
              <w:t>☐</w:t>
            </w:r>
          </w:p>
        </w:tc>
      </w:tr>
      <w:tr w14:paraId="228C546C">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5EE1A89">
            <w:pPr>
              <w:pStyle w:val="54"/>
              <w:jc w:val="center"/>
            </w:pPr>
            <w:r>
              <w:rPr>
                <w:rFonts w:ascii="Arial" w:hAnsi="Arial"/>
                <w:sz w:val="22"/>
                <w:szCs w:val="22"/>
                <w:lang w:val="en-US"/>
              </w:rPr>
              <w:t>25</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A7CEE49">
            <w:pPr>
              <w:pStyle w:val="54"/>
            </w:pPr>
            <w:r>
              <w:rPr>
                <w:rFonts w:ascii="Arial" w:hAnsi="Arial"/>
                <w:sz w:val="22"/>
                <w:szCs w:val="22"/>
                <w:lang w:val="en-US"/>
              </w:rPr>
              <w:t>Is specialist electrical or other equipment to be used with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5CE2B4E">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1601F70">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FA2C5D4">
            <w:pPr>
              <w:pStyle w:val="54"/>
              <w:jc w:val="center"/>
            </w:pPr>
            <w:r>
              <w:rPr>
                <w:rFonts w:ascii="MS Gothic" w:hAnsi="MS Gothic" w:eastAsia="MS Gothic" w:cs="MS Gothic"/>
                <w:b/>
                <w:bCs/>
                <w:sz w:val="22"/>
                <w:szCs w:val="22"/>
                <w:lang w:val="en-US"/>
              </w:rPr>
              <w:t>☐</w:t>
            </w:r>
          </w:p>
        </w:tc>
      </w:tr>
      <w:tr w14:paraId="41BF9310">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C8F7731">
            <w:pPr>
              <w:pStyle w:val="54"/>
              <w:jc w:val="center"/>
            </w:pPr>
            <w:r>
              <w:rPr>
                <w:rFonts w:ascii="Arial" w:hAnsi="Arial"/>
                <w:sz w:val="22"/>
                <w:szCs w:val="22"/>
                <w:lang w:val="en-US"/>
              </w:rPr>
              <w:t>26</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6DC8957">
            <w:pPr>
              <w:pStyle w:val="54"/>
            </w:pPr>
            <w:r>
              <w:rPr>
                <w:rFonts w:ascii="Arial" w:hAnsi="Arial"/>
                <w:sz w:val="22"/>
                <w:szCs w:val="22"/>
                <w:lang w:val="en-US"/>
              </w:rPr>
              <w:t>Are there any financial or other interests to the investigator or University arising from this study?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58D8FDD">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2D51981">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4404C65">
            <w:pPr>
              <w:pStyle w:val="54"/>
              <w:jc w:val="center"/>
            </w:pPr>
            <w:r>
              <w:rPr>
                <w:rFonts w:ascii="MS Gothic" w:hAnsi="MS Gothic" w:eastAsia="MS Gothic" w:cs="MS Gothic"/>
                <w:b/>
                <w:bCs/>
                <w:sz w:val="22"/>
                <w:szCs w:val="22"/>
                <w:lang w:val="en-US"/>
              </w:rPr>
              <w:t>☐</w:t>
            </w:r>
          </w:p>
        </w:tc>
      </w:tr>
      <w:tr w14:paraId="377DEC03">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D799484">
            <w:pPr>
              <w:pStyle w:val="54"/>
              <w:jc w:val="center"/>
            </w:pPr>
            <w:r>
              <w:rPr>
                <w:rFonts w:ascii="Arial" w:hAnsi="Arial"/>
                <w:sz w:val="22"/>
                <w:szCs w:val="22"/>
                <w:lang w:val="en-US"/>
              </w:rPr>
              <w:t>27</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C4385A2">
            <w:pPr>
              <w:pStyle w:val="54"/>
            </w:pPr>
            <w:r>
              <w:rPr>
                <w:rFonts w:ascii="Arial" w:hAnsi="Arial"/>
                <w:sz w:val="22"/>
                <w:szCs w:val="22"/>
                <w:lang w:val="en-US"/>
              </w:rPr>
              <w:t>Will the research activity involve deliberately misleading participants in any way, or the partial or full concealment of the specific study aims?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56A9774">
            <w:pPr>
              <w:pStyle w:val="54"/>
              <w:jc w:val="center"/>
            </w:pPr>
            <w:r>
              <w:rPr>
                <w:rFonts w:ascii="MS Gothic" w:hAnsi="MS Gothic" w:eastAsia="MS Gothic" w:cs="MS Gothic"/>
                <w:b/>
                <w:bCs/>
                <w:sz w:val="22"/>
                <w:szCs w:val="22"/>
                <w:lang w:val="en-US"/>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54123DF">
            <w:pPr>
              <w:pStyle w:val="54"/>
              <w:jc w:val="center"/>
            </w:pPr>
            <w:r>
              <w:rPr>
                <w:rFonts w:ascii="MS Gothic" w:hAnsi="MS Gothic" w:eastAsia="MS Gothic" w:cs="MS Gothic"/>
                <w:b/>
                <w:bCs/>
                <w:sz w:val="22"/>
                <w:szCs w:val="22"/>
                <w:lang w:val="en-US"/>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F09D6AF">
            <w:pPr>
              <w:pStyle w:val="54"/>
              <w:jc w:val="center"/>
            </w:pPr>
            <w:r>
              <w:rPr>
                <w:rFonts w:ascii="MS Gothic" w:hAnsi="MS Gothic" w:eastAsia="MS Gothic" w:cs="MS Gothic"/>
                <w:b/>
                <w:bCs/>
                <w:sz w:val="22"/>
                <w:szCs w:val="22"/>
                <w:lang w:val="en-US"/>
              </w:rPr>
              <w:t>☐</w:t>
            </w:r>
          </w:p>
        </w:tc>
      </w:tr>
      <w:tr w14:paraId="38FB2E96">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4D4136A">
            <w:pPr>
              <w:pStyle w:val="54"/>
              <w:jc w:val="center"/>
            </w:pPr>
            <w:r>
              <w:rPr>
                <w:rFonts w:ascii="Arial" w:hAnsi="Arial"/>
                <w:sz w:val="22"/>
                <w:szCs w:val="22"/>
                <w:lang w:val="en-US"/>
              </w:rPr>
              <w:t>28</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6F9D208">
            <w:pPr>
              <w:pStyle w:val="54"/>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 xml:space="preserve">to any question, please provide full details </w:t>
            </w:r>
          </w:p>
        </w:tc>
      </w:tr>
      <w:tr w14:paraId="107571FB">
        <w:trPr>
          <w:trHeight w:val="116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1736F461"/>
        </w:tc>
        <w:tc>
          <w:tcPr>
            <w:tcW w:w="9923" w:type="dxa"/>
            <w:gridSpan w:val="4"/>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3249F672">
            <w:pPr>
              <w:pStyle w:val="54"/>
              <w:rPr>
                <w:rFonts w:ascii="Arial" w:hAnsi="Arial" w:eastAsia="Arial" w:cs="Arial"/>
                <w:color w:val="00B050"/>
                <w:sz w:val="24"/>
                <w:szCs w:val="24"/>
                <w:u w:color="00B050"/>
              </w:rPr>
            </w:pPr>
            <w:r>
              <w:rPr>
                <w:rFonts w:ascii="Arial" w:hAnsi="Arial"/>
                <w:color w:val="00B050"/>
                <w:sz w:val="22"/>
                <w:szCs w:val="22"/>
                <w:u w:color="00B050"/>
                <w:lang w:val="en-US"/>
              </w:rPr>
              <w:t>You should be able to tick NO for most of these questions. For any cases that you have ticked YES then provide details in this box. If you are using cameras/voice recorders to record interviews, then please state that in this box.</w:t>
            </w:r>
          </w:p>
          <w:p w14:paraId="5A8038A6">
            <w:pPr>
              <w:pStyle w:val="54"/>
              <w:rPr>
                <w:rFonts w:ascii="Arial" w:hAnsi="Arial" w:eastAsia="Arial" w:cs="Arial"/>
                <w:sz w:val="22"/>
                <w:szCs w:val="22"/>
                <w:lang w:val="en-US"/>
              </w:rPr>
            </w:pPr>
          </w:p>
          <w:p w14:paraId="040A0BDB">
            <w:pPr>
              <w:pStyle w:val="54"/>
            </w:pPr>
            <w:r>
              <w:rPr>
                <w:rFonts w:ascii="Arial" w:hAnsi="Arial"/>
                <w:i/>
                <w:iCs/>
                <w:color w:val="808080"/>
                <w:sz w:val="18"/>
                <w:szCs w:val="18"/>
                <w:u w:color="808080"/>
                <w:lang w:val="en-US"/>
              </w:rPr>
              <w:t>(this box should expand as you type)</w:t>
            </w:r>
          </w:p>
        </w:tc>
      </w:tr>
    </w:tbl>
    <w:p w14:paraId="04A25E1D">
      <w:pPr>
        <w:pStyle w:val="54"/>
        <w:widowControl w:val="0"/>
      </w:pPr>
    </w:p>
    <w:p w14:paraId="64012D4A">
      <w:pPr>
        <w:pStyle w:val="54"/>
        <w:spacing w:after="240"/>
        <w:jc w:val="both"/>
        <w:rPr>
          <w:rFonts w:ascii="Arial" w:hAnsi="Arial" w:eastAsia="Arial" w:cs="Arial"/>
          <w:b/>
          <w:bCs/>
          <w:sz w:val="22"/>
          <w:szCs w:val="22"/>
        </w:rPr>
      </w:pPr>
    </w:p>
    <w:p w14:paraId="1C3356E9">
      <w:pPr>
        <w:pStyle w:val="54"/>
        <w:rPr>
          <w:rFonts w:ascii="Arial" w:hAnsi="Arial" w:eastAsia="Arial" w:cs="Arial"/>
          <w:b/>
          <w:bCs/>
          <w:sz w:val="22"/>
          <w:szCs w:val="22"/>
        </w:rPr>
      </w:pPr>
      <w:r>
        <w:rPr>
          <w:rFonts w:ascii="Arial" w:hAnsi="Arial"/>
          <w:b/>
          <w:bCs/>
          <w:sz w:val="22"/>
          <w:szCs w:val="22"/>
          <w:lang w:val="en-US"/>
        </w:rPr>
        <w:t>SECTION F: Anticipated Risks</w:t>
      </w:r>
    </w:p>
    <w:p w14:paraId="7899F91D">
      <w:pPr>
        <w:pStyle w:val="54"/>
        <w:rPr>
          <w:rFonts w:ascii="Arial" w:hAnsi="Arial" w:eastAsia="Arial" w:cs="Arial"/>
          <w:b/>
          <w:bCs/>
          <w:sz w:val="22"/>
          <w:szCs w:val="22"/>
        </w:rPr>
      </w:pPr>
    </w:p>
    <w:tbl>
      <w:tblPr>
        <w:tblStyle w:val="12"/>
        <w:tblW w:w="10519"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96"/>
        <w:gridCol w:w="4991"/>
        <w:gridCol w:w="4932"/>
      </w:tblGrid>
      <w:tr w14:paraId="4313DE8C">
        <w:trPr>
          <w:trHeight w:val="48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5F6D0E2"/>
        </w:tc>
        <w:tc>
          <w:tcPr>
            <w:tcW w:w="992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28B857FA">
            <w:pPr>
              <w:pStyle w:val="56"/>
              <w:jc w:val="left"/>
            </w:pPr>
            <w:bookmarkStart w:id="116" w:name="_Toc231245309"/>
            <w:r>
              <w:rPr>
                <w:rFonts w:ascii="Arial" w:hAnsi="Arial"/>
              </w:rPr>
              <w:t>Outline any anticipated risks that may adversely affect any of the participants, the researchers and/or the University, and the steps that will be taken to address them.</w:t>
            </w:r>
            <w:bookmarkEnd w:id="116"/>
            <w:r>
              <w:rPr>
                <w:rFonts w:ascii="Arial" w:hAnsi="Arial"/>
              </w:rPr>
              <w:t xml:space="preserve">  </w:t>
            </w:r>
          </w:p>
        </w:tc>
      </w:tr>
      <w:tr w14:paraId="011B38EB">
        <w:trPr>
          <w:trHeight w:val="96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C4D7AB2">
            <w:pPr>
              <w:pStyle w:val="54"/>
              <w:jc w:val="center"/>
            </w:pPr>
            <w:r>
              <w:rPr>
                <w:rFonts w:ascii="Arial" w:hAnsi="Arial"/>
                <w:sz w:val="22"/>
                <w:szCs w:val="22"/>
                <w:lang w:val="en-US"/>
              </w:rPr>
              <w:t>1</w:t>
            </w:r>
          </w:p>
        </w:tc>
        <w:tc>
          <w:tcPr>
            <w:tcW w:w="992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7368F6B2">
            <w:pPr>
              <w:pStyle w:val="54"/>
              <w:rPr>
                <w:rFonts w:ascii="Arial" w:hAnsi="Arial" w:eastAsia="Arial" w:cs="Arial"/>
                <w:sz w:val="22"/>
                <w:szCs w:val="22"/>
              </w:rPr>
            </w:pPr>
            <w:r>
              <w:rPr>
                <w:rFonts w:ascii="Arial" w:hAnsi="Arial"/>
                <w:b/>
                <w:bCs/>
                <w:sz w:val="22"/>
                <w:szCs w:val="22"/>
                <w:lang w:val="en-US"/>
              </w:rPr>
              <w:t>Risks to participants</w:t>
            </w:r>
          </w:p>
          <w:p w14:paraId="1CCD0A92">
            <w:pPr>
              <w:pStyle w:val="54"/>
            </w:pPr>
            <w:r>
              <w:rPr>
                <w:rFonts w:ascii="Arial" w:hAnsi="Arial"/>
                <w:sz w:val="22"/>
                <w:szCs w:val="22"/>
                <w:lang w:val="en-US"/>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23A9F89A">
        <w:trPr>
          <w:trHeight w:val="116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C63337D"/>
        </w:tc>
        <w:tc>
          <w:tcPr>
            <w:tcW w:w="4991"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54BB0B04">
            <w:pPr>
              <w:pStyle w:val="54"/>
              <w:rPr>
                <w:rFonts w:ascii="Arial" w:hAnsi="Arial"/>
                <w:sz w:val="22"/>
                <w:szCs w:val="22"/>
                <w:lang w:val="en-US"/>
              </w:rPr>
            </w:pPr>
            <w:r>
              <w:rPr>
                <w:rFonts w:ascii="Arial" w:hAnsi="Arial"/>
                <w:sz w:val="22"/>
                <w:szCs w:val="22"/>
                <w:lang w:val="en-US"/>
              </w:rPr>
              <w:t>Risk to participants:</w:t>
            </w:r>
          </w:p>
          <w:p w14:paraId="26A27E2C">
            <w:pPr>
              <w:pStyle w:val="54"/>
              <w:rPr>
                <w:rFonts w:ascii="Arial" w:hAnsi="Arial" w:eastAsia="Arial" w:cs="Arial"/>
                <w:sz w:val="22"/>
                <w:szCs w:val="22"/>
              </w:rPr>
            </w:pPr>
            <w:r>
              <w:rPr>
                <w:rFonts w:ascii="Arial" w:hAnsi="Arial" w:eastAsia="Arial" w:cs="Arial"/>
                <w:sz w:val="22"/>
                <w:szCs w:val="22"/>
              </w:rPr>
              <w:t>There are no direct human participants in this study because it uses secondary data only. Therefore, no physical, emotional, social, or financial risks will be imposed on participants. A limited indirect risk could arise if published materials were misinterpreted or represented unfairly.</w:t>
            </w:r>
          </w:p>
          <w:p w14:paraId="42CF1462">
            <w:pPr>
              <w:pStyle w:val="54"/>
            </w:pPr>
            <w:r>
              <w:rPr>
                <w:rFonts w:ascii="Arial" w:hAnsi="Arial"/>
                <w:i/>
                <w:iCs/>
                <w:color w:val="808080"/>
                <w:sz w:val="18"/>
                <w:szCs w:val="18"/>
                <w:u w:color="808080"/>
                <w:lang w:val="en-US"/>
              </w:rPr>
              <w:t>(this box should expand as you type)</w:t>
            </w:r>
          </w:p>
        </w:tc>
        <w:tc>
          <w:tcPr>
            <w:tcW w:w="493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1D4DC87F">
            <w:pPr>
              <w:pStyle w:val="54"/>
              <w:rPr>
                <w:rFonts w:ascii="Arial" w:hAnsi="Arial" w:eastAsia="Arial" w:cs="Arial"/>
                <w:i/>
                <w:iCs/>
                <w:sz w:val="18"/>
                <w:szCs w:val="18"/>
              </w:rPr>
            </w:pPr>
            <w:r>
              <w:rPr>
                <w:rFonts w:ascii="Arial" w:hAnsi="Arial"/>
                <w:i/>
                <w:iCs/>
                <w:sz w:val="18"/>
                <w:szCs w:val="18"/>
                <w:lang w:val="en-US"/>
              </w:rPr>
              <w:t>How you will mitigate the risk to participants:</w:t>
            </w:r>
          </w:p>
          <w:p w14:paraId="4C118242">
            <w:pPr>
              <w:pStyle w:val="54"/>
              <w:rPr>
                <w:rFonts w:ascii="Arial" w:hAnsi="Arial" w:eastAsia="Arial" w:cs="Arial"/>
                <w:sz w:val="22"/>
                <w:szCs w:val="22"/>
                <w:lang w:val="en-US"/>
              </w:rPr>
            </w:pPr>
          </w:p>
          <w:p w14:paraId="56BEFAD0">
            <w:pPr>
              <w:pStyle w:val="54"/>
              <w:rPr>
                <w:rFonts w:ascii="Arial" w:hAnsi="Arial" w:eastAsia="Arial" w:cs="Arial"/>
                <w:sz w:val="22"/>
                <w:szCs w:val="22"/>
                <w:lang w:val="en-US"/>
              </w:rPr>
            </w:pPr>
          </w:p>
          <w:p w14:paraId="77A8D96C">
            <w:pPr>
              <w:pStyle w:val="54"/>
            </w:pPr>
            <w:r>
              <w:rPr>
                <w:rFonts w:ascii="Arial" w:hAnsi="Arial"/>
                <w:i/>
                <w:iCs/>
                <w:color w:val="808080"/>
                <w:sz w:val="18"/>
                <w:szCs w:val="18"/>
                <w:u w:color="808080"/>
                <w:lang w:val="en-US"/>
              </w:rPr>
              <w:t>The study will rely only on publicly available and properly cited sources. Findings will be presented accurately, respectfully, and in context. No individual person will be recruited, contacted, or identifiable through the research.</w:t>
            </w:r>
          </w:p>
        </w:tc>
      </w:tr>
      <w:tr w14:paraId="2973BBA5">
        <w:trPr>
          <w:trHeight w:val="144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AB2E2DE">
            <w:pPr>
              <w:pStyle w:val="54"/>
              <w:jc w:val="center"/>
            </w:pPr>
            <w:r>
              <w:rPr>
                <w:rFonts w:ascii="Arial" w:hAnsi="Arial"/>
                <w:sz w:val="22"/>
                <w:szCs w:val="22"/>
                <w:lang w:val="en-US"/>
              </w:rPr>
              <w:t>2</w:t>
            </w:r>
          </w:p>
        </w:tc>
        <w:tc>
          <w:tcPr>
            <w:tcW w:w="992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BB63DF5">
            <w:pPr>
              <w:pStyle w:val="54"/>
            </w:pPr>
            <w:r>
              <w:rPr>
                <w:rFonts w:ascii="Arial" w:hAnsi="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lang w:val="en-US"/>
              </w:rPr>
              <w:t>where applicable, consent procedures should make it clear that if something potentially or actually illegal is discovered in the course of a project, it may need to be disclosed to the proper authorities</w:t>
            </w:r>
          </w:p>
        </w:tc>
      </w:tr>
      <w:tr w14:paraId="0DA920E7">
        <w:trPr>
          <w:trHeight w:val="92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57F26209"/>
        </w:tc>
        <w:tc>
          <w:tcPr>
            <w:tcW w:w="9923" w:type="dxa"/>
            <w:gridSpan w:val="2"/>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08A7DCD9">
            <w:pPr>
              <w:pStyle w:val="54"/>
              <w:rPr>
                <w:rFonts w:ascii="Arial" w:hAnsi="Arial" w:eastAsia="Arial" w:cs="Arial"/>
                <w:sz w:val="22"/>
                <w:szCs w:val="22"/>
              </w:rPr>
            </w:pPr>
            <w:r>
              <w:rPr>
                <w:rFonts w:ascii="Arial" w:hAnsi="Arial" w:eastAsia="Arial" w:cs="Arial"/>
                <w:sz w:val="22"/>
                <w:szCs w:val="22"/>
              </w:rPr>
              <w:t>The research does not involve sensitive questioning or disclosure from participants. It is based on published academic and corporate sources relating to marketing and branding. No procedures are required for participant support because there are no participants.</w:t>
            </w:r>
          </w:p>
          <w:p w14:paraId="2AD021B0">
            <w:pPr>
              <w:pStyle w:val="54"/>
            </w:pPr>
          </w:p>
        </w:tc>
      </w:tr>
      <w:tr w14:paraId="316E706B">
        <w:trPr>
          <w:trHeight w:val="72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C5FE7BB">
            <w:pPr>
              <w:pStyle w:val="54"/>
              <w:jc w:val="center"/>
            </w:pPr>
            <w:r>
              <w:rPr>
                <w:rFonts w:ascii="Arial" w:hAnsi="Arial"/>
                <w:sz w:val="22"/>
                <w:szCs w:val="22"/>
                <w:lang w:val="en-US"/>
              </w:rPr>
              <w:t>3</w:t>
            </w:r>
          </w:p>
        </w:tc>
        <w:tc>
          <w:tcPr>
            <w:tcW w:w="992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7649B20B">
            <w:pPr>
              <w:pStyle w:val="54"/>
              <w:rPr>
                <w:rFonts w:ascii="Arial" w:hAnsi="Arial" w:eastAsia="Arial" w:cs="Arial"/>
                <w:sz w:val="22"/>
                <w:szCs w:val="22"/>
              </w:rPr>
            </w:pPr>
            <w:r>
              <w:rPr>
                <w:rFonts w:ascii="Arial" w:hAnsi="Arial"/>
                <w:b/>
                <w:bCs/>
                <w:sz w:val="22"/>
                <w:szCs w:val="22"/>
                <w:lang w:val="en-US"/>
              </w:rPr>
              <w:t>Risks to the investigator</w:t>
            </w:r>
          </w:p>
          <w:p w14:paraId="04404A48">
            <w:pPr>
              <w:pStyle w:val="54"/>
            </w:pPr>
            <w:r>
              <w:rPr>
                <w:rFonts w:ascii="Arial" w:hAnsi="Arial"/>
                <w:sz w:val="22"/>
                <w:szCs w:val="22"/>
                <w:lang w:val="en-US"/>
              </w:rPr>
              <w:t>For example: personal health &amp; safety, physical harm, emotional distress, risk of accusation of harm/impropriety, conflict of interest</w:t>
            </w:r>
          </w:p>
        </w:tc>
      </w:tr>
      <w:tr w14:paraId="1CA8E16D">
        <w:trPr>
          <w:trHeight w:val="116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74DB7E8D"/>
        </w:tc>
        <w:tc>
          <w:tcPr>
            <w:tcW w:w="4991"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2392E494">
            <w:pPr>
              <w:pStyle w:val="54"/>
              <w:rPr>
                <w:rFonts w:ascii="Arial" w:hAnsi="Arial" w:eastAsia="Arial" w:cs="Arial"/>
                <w:sz w:val="22"/>
                <w:szCs w:val="22"/>
              </w:rPr>
            </w:pPr>
            <w:r>
              <w:rPr>
                <w:rFonts w:ascii="Arial" w:hAnsi="Arial"/>
                <w:sz w:val="22"/>
                <w:szCs w:val="22"/>
                <w:lang w:val="en-US"/>
              </w:rPr>
              <w:t>Risk to the investigator:</w:t>
            </w:r>
          </w:p>
          <w:p w14:paraId="5557D742">
            <w:pPr>
              <w:pStyle w:val="54"/>
              <w:rPr>
                <w:rFonts w:ascii="Arial" w:hAnsi="Arial" w:eastAsia="Arial" w:cs="Arial"/>
                <w:sz w:val="22"/>
                <w:szCs w:val="22"/>
                <w:lang w:val="en-US"/>
              </w:rPr>
            </w:pPr>
          </w:p>
          <w:p w14:paraId="25E9E27C">
            <w:pPr>
              <w:pStyle w:val="54"/>
            </w:pPr>
            <w:r>
              <w:rPr>
                <w:rFonts w:ascii="Arial" w:hAnsi="Arial"/>
                <w:i/>
                <w:iCs/>
                <w:color w:val="808080"/>
                <w:sz w:val="18"/>
                <w:szCs w:val="18"/>
                <w:u w:color="808080"/>
                <w:lang w:val="en-US"/>
              </w:rPr>
              <w:t>The main risks to the investigator are academic and procedural rather than physical. These include the risk of using low-quality sources, unintentionally misrepresenting published findings, poor data management, plagiarism, or over-reliance on non-scholarly materials. There is also a time-management risk associated with reviewing a large volume of literature.</w:t>
            </w:r>
          </w:p>
        </w:tc>
        <w:tc>
          <w:tcPr>
            <w:tcW w:w="493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18A26AEB">
            <w:pPr>
              <w:pStyle w:val="54"/>
              <w:rPr>
                <w:rFonts w:ascii="Arial" w:hAnsi="Arial" w:eastAsia="Arial" w:cs="Arial"/>
                <w:i/>
                <w:iCs/>
                <w:sz w:val="18"/>
                <w:szCs w:val="18"/>
              </w:rPr>
            </w:pPr>
            <w:r>
              <w:rPr>
                <w:rFonts w:ascii="Arial" w:hAnsi="Arial"/>
                <w:i/>
                <w:iCs/>
                <w:sz w:val="18"/>
                <w:szCs w:val="18"/>
                <w:lang w:val="en-US"/>
              </w:rPr>
              <w:t>How you will mitigate the risk to the investigator:</w:t>
            </w:r>
          </w:p>
          <w:p w14:paraId="29EC71DE">
            <w:pPr>
              <w:pStyle w:val="54"/>
              <w:rPr>
                <w:rFonts w:ascii="Arial" w:hAnsi="Arial" w:eastAsia="Arial" w:cs="Arial"/>
                <w:sz w:val="22"/>
                <w:szCs w:val="22"/>
                <w:lang w:val="en-US"/>
              </w:rPr>
            </w:pPr>
          </w:p>
          <w:p w14:paraId="6ED929D6">
            <w:pPr>
              <w:pStyle w:val="54"/>
              <w:rPr>
                <w:rFonts w:ascii="Arial" w:hAnsi="Arial" w:eastAsia="Arial" w:cs="Arial"/>
                <w:sz w:val="22"/>
                <w:szCs w:val="22"/>
                <w:lang w:val="en-US"/>
              </w:rPr>
            </w:pPr>
          </w:p>
          <w:p w14:paraId="1C26EEEE">
            <w:pPr>
              <w:pStyle w:val="54"/>
            </w:pPr>
            <w:r>
              <w:rPr>
                <w:rFonts w:ascii="Arial" w:hAnsi="Arial"/>
                <w:i/>
                <w:iCs/>
                <w:color w:val="808080"/>
                <w:sz w:val="18"/>
                <w:szCs w:val="18"/>
                <w:u w:color="808080"/>
                <w:lang w:val="en-US"/>
              </w:rPr>
              <w:t>The researcher will use credible academic databases, apply clear inclusion criteria, and maintain accurate records of all sources consulted. Proper referencing will be used throughout. Notes and drafts will be stored securely. The researcher will follow supervisor guidance and University policies on academic integrity, ethics, and data management.</w:t>
            </w:r>
          </w:p>
        </w:tc>
      </w:tr>
      <w:tr w14:paraId="1286540F">
        <w:trPr>
          <w:trHeight w:val="48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5DCD895">
            <w:pPr>
              <w:pStyle w:val="54"/>
              <w:jc w:val="center"/>
            </w:pPr>
            <w:r>
              <w:rPr>
                <w:rFonts w:ascii="Arial" w:hAnsi="Arial"/>
                <w:sz w:val="22"/>
                <w:szCs w:val="22"/>
                <w:lang w:val="en-US"/>
              </w:rPr>
              <w:t>4</w:t>
            </w:r>
          </w:p>
        </w:tc>
        <w:tc>
          <w:tcPr>
            <w:tcW w:w="992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546D98A1">
            <w:pPr>
              <w:pStyle w:val="54"/>
              <w:rPr>
                <w:rFonts w:ascii="Arial" w:hAnsi="Arial" w:eastAsia="Arial" w:cs="Arial"/>
                <w:sz w:val="22"/>
                <w:szCs w:val="22"/>
              </w:rPr>
            </w:pPr>
            <w:r>
              <w:rPr>
                <w:rFonts w:ascii="Arial" w:hAnsi="Arial"/>
                <w:b/>
                <w:bCs/>
                <w:sz w:val="22"/>
                <w:szCs w:val="22"/>
                <w:lang w:val="en-US"/>
              </w:rPr>
              <w:t>University/institutional risks</w:t>
            </w:r>
          </w:p>
          <w:p w14:paraId="0B8543CA">
            <w:pPr>
              <w:pStyle w:val="54"/>
            </w:pPr>
            <w:r>
              <w:rPr>
                <w:rFonts w:ascii="Arial" w:hAnsi="Arial"/>
                <w:sz w:val="22"/>
                <w:szCs w:val="22"/>
                <w:lang w:val="en-US"/>
              </w:rPr>
              <w:t>For example: adverse publicity, financial loss, data protection</w:t>
            </w:r>
          </w:p>
        </w:tc>
      </w:tr>
      <w:tr w14:paraId="27478517">
        <w:trPr>
          <w:trHeight w:val="116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4653755A"/>
        </w:tc>
        <w:tc>
          <w:tcPr>
            <w:tcW w:w="4991"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0AC9D67D">
            <w:pPr>
              <w:pStyle w:val="54"/>
              <w:rPr>
                <w:rFonts w:ascii="Arial" w:hAnsi="Arial" w:eastAsia="Arial" w:cs="Arial"/>
                <w:sz w:val="22"/>
                <w:szCs w:val="22"/>
              </w:rPr>
            </w:pPr>
            <w:r>
              <w:rPr>
                <w:rFonts w:ascii="Arial" w:hAnsi="Arial"/>
                <w:sz w:val="22"/>
                <w:szCs w:val="22"/>
                <w:lang w:val="en-US"/>
              </w:rPr>
              <w:t>Risk to the University:</w:t>
            </w:r>
          </w:p>
          <w:p w14:paraId="7C363640">
            <w:pPr>
              <w:pStyle w:val="54"/>
              <w:rPr>
                <w:rFonts w:ascii="Arial" w:hAnsi="Arial" w:eastAsia="Arial" w:cs="Arial"/>
                <w:sz w:val="22"/>
                <w:szCs w:val="22"/>
                <w:lang w:val="en-US"/>
              </w:rPr>
            </w:pPr>
          </w:p>
          <w:p w14:paraId="46CC21F9">
            <w:pPr>
              <w:pStyle w:val="54"/>
            </w:pPr>
            <w:r>
              <w:rPr>
                <w:rFonts w:ascii="Arial" w:hAnsi="Arial"/>
                <w:i/>
                <w:iCs/>
                <w:color w:val="808080"/>
                <w:sz w:val="18"/>
                <w:szCs w:val="18"/>
                <w:u w:color="808080"/>
                <w:lang w:val="en-US"/>
              </w:rPr>
              <w:t>Potential risks to the University include reputational risk if the research is poorly conducted, inaccurately references sources, misrepresents Starbucks or the literature, or breaches academic integrity and data handling expectations.</w:t>
            </w:r>
          </w:p>
        </w:tc>
        <w:tc>
          <w:tcPr>
            <w:tcW w:w="493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20401684">
            <w:pPr>
              <w:pStyle w:val="54"/>
              <w:rPr>
                <w:rFonts w:ascii="Arial" w:hAnsi="Arial" w:eastAsia="Arial" w:cs="Arial"/>
                <w:i/>
                <w:iCs/>
                <w:sz w:val="18"/>
                <w:szCs w:val="18"/>
              </w:rPr>
            </w:pPr>
            <w:r>
              <w:rPr>
                <w:rFonts w:ascii="Arial" w:hAnsi="Arial"/>
                <w:i/>
                <w:iCs/>
                <w:sz w:val="18"/>
                <w:szCs w:val="18"/>
                <w:lang w:val="en-US"/>
              </w:rPr>
              <w:t>How you will mitigate the risk to the University:</w:t>
            </w:r>
          </w:p>
          <w:p w14:paraId="55AC7D40">
            <w:pPr>
              <w:pStyle w:val="54"/>
              <w:rPr>
                <w:rFonts w:ascii="Arial" w:hAnsi="Arial" w:eastAsia="Arial" w:cs="Arial"/>
                <w:sz w:val="22"/>
                <w:szCs w:val="22"/>
                <w:lang w:val="en-US"/>
              </w:rPr>
            </w:pPr>
          </w:p>
          <w:p w14:paraId="554DDC09">
            <w:pPr>
              <w:pStyle w:val="54"/>
              <w:rPr>
                <w:rFonts w:ascii="Arial" w:hAnsi="Arial" w:eastAsia="Arial" w:cs="Arial"/>
                <w:sz w:val="22"/>
                <w:szCs w:val="22"/>
                <w:lang w:val="en-US"/>
              </w:rPr>
            </w:pPr>
          </w:p>
          <w:p w14:paraId="26FF32AB">
            <w:pPr>
              <w:pStyle w:val="54"/>
            </w:pPr>
            <w:r>
              <w:rPr>
                <w:rFonts w:ascii="Arial" w:hAnsi="Arial"/>
                <w:i/>
                <w:iCs/>
                <w:color w:val="808080"/>
                <w:sz w:val="18"/>
                <w:szCs w:val="18"/>
                <w:u w:color="808080"/>
                <w:lang w:val="en-US"/>
              </w:rPr>
              <w:t>The project will follow UWTSD ethical guidance, academic integrity rules, and data management requirements. Only publicly available and credible sources will be used. The dissertation will be written objectively, referenced correctly, and reviewed carefully to reduce errors, bias, or misinterpretation.</w:t>
            </w:r>
          </w:p>
        </w:tc>
      </w:tr>
      <w:tr w14:paraId="63B16860">
        <w:trPr>
          <w:trHeight w:val="48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DC99B51">
            <w:pPr>
              <w:pStyle w:val="54"/>
              <w:jc w:val="center"/>
            </w:pPr>
            <w:r>
              <w:rPr>
                <w:rFonts w:ascii="Arial" w:hAnsi="Arial"/>
                <w:sz w:val="22"/>
                <w:szCs w:val="22"/>
                <w:lang w:val="en-US"/>
              </w:rPr>
              <w:t>5</w:t>
            </w:r>
          </w:p>
        </w:tc>
        <w:tc>
          <w:tcPr>
            <w:tcW w:w="992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3A587C12">
            <w:pPr>
              <w:pStyle w:val="54"/>
              <w:rPr>
                <w:rFonts w:ascii="Arial" w:hAnsi="Arial" w:eastAsia="Arial" w:cs="Arial"/>
                <w:sz w:val="22"/>
                <w:szCs w:val="22"/>
              </w:rPr>
            </w:pPr>
            <w:r>
              <w:rPr>
                <w:rFonts w:ascii="Arial" w:hAnsi="Arial"/>
                <w:b/>
                <w:bCs/>
                <w:sz w:val="22"/>
                <w:szCs w:val="22"/>
                <w:lang w:val="en-US"/>
              </w:rPr>
              <w:t>Environmental risks</w:t>
            </w:r>
          </w:p>
          <w:p w14:paraId="6F9C8BF0">
            <w:pPr>
              <w:pStyle w:val="54"/>
            </w:pPr>
            <w:r>
              <w:rPr>
                <w:rFonts w:ascii="Arial" w:hAnsi="Arial"/>
                <w:sz w:val="22"/>
                <w:szCs w:val="22"/>
                <w:lang w:val="en-US"/>
              </w:rPr>
              <w:t>For example: accidental spillage of pollutants, damage to local ecosystems</w:t>
            </w:r>
          </w:p>
        </w:tc>
      </w:tr>
      <w:tr w14:paraId="6298E946">
        <w:trPr>
          <w:trHeight w:val="116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7FE2430"/>
        </w:tc>
        <w:tc>
          <w:tcPr>
            <w:tcW w:w="4991"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5BBEFBD6">
            <w:pPr>
              <w:pStyle w:val="54"/>
              <w:rPr>
                <w:rFonts w:ascii="Arial" w:hAnsi="Arial" w:eastAsia="Arial" w:cs="Arial"/>
                <w:sz w:val="22"/>
                <w:szCs w:val="22"/>
              </w:rPr>
            </w:pPr>
            <w:r>
              <w:rPr>
                <w:rFonts w:ascii="Arial" w:hAnsi="Arial"/>
                <w:sz w:val="22"/>
                <w:szCs w:val="22"/>
                <w:lang w:val="en-US"/>
              </w:rPr>
              <w:t>Risk to the environment:</w:t>
            </w:r>
          </w:p>
          <w:p w14:paraId="48D015A3">
            <w:pPr>
              <w:pStyle w:val="54"/>
              <w:rPr>
                <w:rFonts w:ascii="Arial" w:hAnsi="Arial" w:eastAsia="Arial" w:cs="Arial"/>
                <w:sz w:val="22"/>
                <w:szCs w:val="22"/>
                <w:lang w:val="en-US"/>
              </w:rPr>
            </w:pPr>
          </w:p>
          <w:p w14:paraId="71DAE055">
            <w:pPr>
              <w:pStyle w:val="54"/>
              <w:rPr>
                <w:rFonts w:ascii="Arial" w:hAnsi="Arial" w:eastAsia="Arial" w:cs="Arial"/>
                <w:sz w:val="22"/>
                <w:szCs w:val="22"/>
                <w:lang w:val="en-US"/>
              </w:rPr>
            </w:pPr>
          </w:p>
          <w:p w14:paraId="74DD2013">
            <w:pPr>
              <w:pStyle w:val="54"/>
            </w:pPr>
            <w:r>
              <w:rPr>
                <w:rFonts w:ascii="Arial" w:hAnsi="Arial"/>
                <w:i/>
                <w:iCs/>
                <w:color w:val="808080"/>
                <w:sz w:val="18"/>
                <w:szCs w:val="18"/>
                <w:u w:color="808080"/>
                <w:lang w:val="en-US"/>
              </w:rPr>
              <w:t>The research is desk-based and does not involve fieldwork, travel, substances, laboratory activity, or physical intervention in any environment. Environmental risk is therefore minimal, though there is a small indirect environmental impact from normal use of electricity and digital devices.</w:t>
            </w:r>
          </w:p>
        </w:tc>
        <w:tc>
          <w:tcPr>
            <w:tcW w:w="493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62247B33">
            <w:pPr>
              <w:pStyle w:val="54"/>
              <w:rPr>
                <w:rFonts w:ascii="Arial" w:hAnsi="Arial" w:eastAsia="Arial" w:cs="Arial"/>
                <w:i/>
                <w:iCs/>
                <w:sz w:val="18"/>
                <w:szCs w:val="18"/>
              </w:rPr>
            </w:pPr>
            <w:r>
              <w:rPr>
                <w:rFonts w:ascii="Arial" w:hAnsi="Arial"/>
                <w:i/>
                <w:iCs/>
                <w:sz w:val="18"/>
                <w:szCs w:val="18"/>
                <w:lang w:val="en-US"/>
              </w:rPr>
              <w:t>How you will mitigate the risk to environment:</w:t>
            </w:r>
          </w:p>
          <w:p w14:paraId="2C974EF0">
            <w:pPr>
              <w:pStyle w:val="54"/>
              <w:rPr>
                <w:rFonts w:ascii="Arial" w:hAnsi="Arial" w:eastAsia="Arial" w:cs="Arial"/>
                <w:sz w:val="22"/>
                <w:szCs w:val="22"/>
                <w:lang w:val="en-US"/>
              </w:rPr>
            </w:pPr>
          </w:p>
          <w:p w14:paraId="43BC06E2">
            <w:pPr>
              <w:pStyle w:val="54"/>
              <w:rPr>
                <w:rFonts w:ascii="Arial" w:hAnsi="Arial" w:eastAsia="Arial" w:cs="Arial"/>
                <w:sz w:val="22"/>
                <w:szCs w:val="22"/>
                <w:lang w:val="en-US"/>
              </w:rPr>
            </w:pPr>
          </w:p>
          <w:p w14:paraId="1F60E0B3">
            <w:pPr>
              <w:pStyle w:val="54"/>
            </w:pPr>
            <w:r>
              <w:rPr>
                <w:rFonts w:ascii="Arial" w:hAnsi="Arial"/>
                <w:i/>
                <w:iCs/>
                <w:color w:val="808080"/>
                <w:sz w:val="18"/>
                <w:szCs w:val="18"/>
                <w:u w:color="808080"/>
                <w:lang w:val="en-US"/>
              </w:rPr>
              <w:t>The study will be conducted digitally where possible, avoiding unnecessary printing and travel. Electronic storage and submission methods will be used to minimise waste and resource use.</w:t>
            </w:r>
          </w:p>
        </w:tc>
      </w:tr>
    </w:tbl>
    <w:p w14:paraId="1F3A0FC1">
      <w:pPr>
        <w:pStyle w:val="54"/>
        <w:widowControl w:val="0"/>
        <w:rPr>
          <w:rFonts w:ascii="Arial" w:hAnsi="Arial" w:eastAsia="Arial" w:cs="Arial"/>
          <w:b/>
          <w:bCs/>
          <w:sz w:val="22"/>
          <w:szCs w:val="22"/>
        </w:rPr>
      </w:pPr>
    </w:p>
    <w:p w14:paraId="117B131E">
      <w:pPr>
        <w:pStyle w:val="54"/>
      </w:pPr>
    </w:p>
    <w:p w14:paraId="39991B9F">
      <w:pPr>
        <w:pStyle w:val="54"/>
        <w:rPr>
          <w:rFonts w:ascii="Arial" w:hAnsi="Arial" w:eastAsia="Arial" w:cs="Arial"/>
          <w:b/>
          <w:bCs/>
          <w:sz w:val="22"/>
          <w:szCs w:val="22"/>
        </w:rPr>
      </w:pPr>
      <w:r>
        <w:rPr>
          <w:rFonts w:ascii="Arial" w:hAnsi="Arial"/>
          <w:b/>
          <w:bCs/>
          <w:sz w:val="22"/>
          <w:szCs w:val="22"/>
          <w:lang w:val="en-US"/>
        </w:rPr>
        <w:t>SECTION G: Feedback, Consent and Confidentiality</w:t>
      </w:r>
    </w:p>
    <w:p w14:paraId="41C585AB">
      <w:pPr>
        <w:pStyle w:val="54"/>
        <w:rPr>
          <w:rFonts w:ascii="Arial" w:hAnsi="Arial" w:eastAsia="Arial" w:cs="Arial"/>
          <w:b/>
          <w:bCs/>
          <w:sz w:val="22"/>
          <w:szCs w:val="22"/>
        </w:rPr>
      </w:pPr>
    </w:p>
    <w:p w14:paraId="51A5C1F8">
      <w:pPr>
        <w:pStyle w:val="54"/>
        <w:rPr>
          <w:rFonts w:ascii="Arial" w:hAnsi="Arial" w:eastAsia="Arial" w:cs="Arial"/>
          <w:sz w:val="22"/>
          <w:szCs w:val="22"/>
        </w:rPr>
      </w:pPr>
      <w:r>
        <w:rPr>
          <w:rFonts w:ascii="Arial" w:hAnsi="Arial"/>
          <w:sz w:val="22"/>
          <w:szCs w:val="22"/>
          <w:lang w:val="en-US"/>
        </w:rPr>
        <w:t>If you have identified in section D that there are no participants, then enter skip this section and continue to section H.</w:t>
      </w:r>
    </w:p>
    <w:p w14:paraId="5F0F208E">
      <w:pPr>
        <w:pStyle w:val="54"/>
        <w:rPr>
          <w:rFonts w:ascii="Arial" w:hAnsi="Arial" w:eastAsia="Arial" w:cs="Arial"/>
          <w:b/>
          <w:bCs/>
          <w:sz w:val="22"/>
          <w:szCs w:val="22"/>
        </w:rPr>
      </w:pPr>
    </w:p>
    <w:tbl>
      <w:tblPr>
        <w:tblStyle w:val="12"/>
        <w:tblW w:w="10519"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96"/>
        <w:gridCol w:w="9923"/>
      </w:tblGrid>
      <w:tr w14:paraId="2E2A25FA">
        <w:trPr>
          <w:trHeight w:val="48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6260E324">
            <w:pPr>
              <w:pStyle w:val="54"/>
            </w:pPr>
            <w:r>
              <w:rPr>
                <w:rFonts w:ascii="Arial" w:hAnsi="Arial"/>
                <w:sz w:val="22"/>
                <w:szCs w:val="22"/>
                <w:lang w:val="en-US"/>
              </w:rPr>
              <w:t>1</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39F6CA13">
            <w:pPr>
              <w:pStyle w:val="54"/>
              <w:rPr>
                <w:rFonts w:ascii="Arial" w:hAnsi="Arial" w:eastAsia="Arial" w:cs="Arial"/>
                <w:sz w:val="22"/>
                <w:szCs w:val="22"/>
              </w:rPr>
            </w:pPr>
            <w:r>
              <w:rPr>
                <w:rFonts w:ascii="Arial" w:hAnsi="Arial"/>
                <w:b/>
                <w:bCs/>
                <w:sz w:val="22"/>
                <w:szCs w:val="22"/>
                <w:lang w:val="en-US"/>
              </w:rPr>
              <w:t>Feedback</w:t>
            </w:r>
          </w:p>
          <w:p w14:paraId="4BB30741">
            <w:pPr>
              <w:pStyle w:val="54"/>
            </w:pPr>
            <w:r>
              <w:rPr>
                <w:rFonts w:ascii="Arial" w:hAnsi="Arial"/>
                <w:sz w:val="22"/>
                <w:szCs w:val="22"/>
                <w:lang w:val="en-US"/>
              </w:rPr>
              <w:t xml:space="preserve">What de-briefing and feedback will be provided to participants, how will this be done and when? </w:t>
            </w:r>
          </w:p>
        </w:tc>
      </w:tr>
      <w:tr w14:paraId="35495300">
        <w:trPr>
          <w:trHeight w:val="92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21FFA7BC"/>
        </w:tc>
        <w:tc>
          <w:tcPr>
            <w:tcW w:w="9923"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67D2AED0">
            <w:pPr>
              <w:pStyle w:val="54"/>
              <w:rPr>
                <w:rFonts w:ascii="Arial" w:hAnsi="Arial" w:eastAsia="Arial" w:cs="Arial"/>
                <w:color w:val="00B050"/>
                <w:sz w:val="24"/>
                <w:szCs w:val="24"/>
                <w:u w:color="00B050"/>
              </w:rPr>
            </w:pPr>
            <w:r>
              <w:rPr>
                <w:rFonts w:ascii="Arial" w:hAnsi="Arial"/>
                <w:color w:val="00B050"/>
                <w:sz w:val="22"/>
                <w:szCs w:val="22"/>
                <w:u w:color="00B050"/>
                <w:lang w:val="en-US"/>
              </w:rPr>
              <w:t>You don’t need to email your participants with your final report. A good alternative is to set up an email address that they will be able to contact for further details or results.</w:t>
            </w:r>
          </w:p>
          <w:p w14:paraId="18894166">
            <w:pPr>
              <w:pStyle w:val="54"/>
              <w:rPr>
                <w:rFonts w:ascii="Arial" w:hAnsi="Arial" w:eastAsia="Arial" w:cs="Arial"/>
                <w:sz w:val="22"/>
                <w:szCs w:val="22"/>
                <w:lang w:val="en-US"/>
              </w:rPr>
            </w:pPr>
          </w:p>
          <w:p w14:paraId="649EA5BE">
            <w:pPr>
              <w:pStyle w:val="54"/>
            </w:pPr>
            <w:r>
              <w:rPr>
                <w:rFonts w:ascii="Arial" w:hAnsi="Arial"/>
                <w:i/>
                <w:iCs/>
                <w:color w:val="808080"/>
                <w:sz w:val="18"/>
                <w:szCs w:val="18"/>
                <w:u w:color="808080"/>
                <w:lang w:val="en-US"/>
              </w:rPr>
              <w:t>(this box should expand as you type)</w:t>
            </w:r>
          </w:p>
        </w:tc>
      </w:tr>
      <w:tr w14:paraId="787C91A8">
        <w:trPr>
          <w:trHeight w:val="120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5901ECD5">
            <w:pPr>
              <w:pStyle w:val="54"/>
            </w:pPr>
            <w:r>
              <w:rPr>
                <w:rFonts w:ascii="Arial" w:hAnsi="Arial"/>
                <w:sz w:val="22"/>
                <w:szCs w:val="22"/>
                <w:lang w:val="en-US"/>
              </w:rPr>
              <w:t>2</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39E78C4F">
            <w:pPr>
              <w:pStyle w:val="54"/>
              <w:rPr>
                <w:rFonts w:ascii="Arial" w:hAnsi="Arial" w:eastAsia="Arial" w:cs="Arial"/>
                <w:sz w:val="22"/>
                <w:szCs w:val="22"/>
              </w:rPr>
            </w:pPr>
            <w:r>
              <w:rPr>
                <w:rFonts w:ascii="Arial" w:hAnsi="Arial"/>
                <w:b/>
                <w:bCs/>
                <w:sz w:val="22"/>
                <w:szCs w:val="22"/>
                <w:lang w:val="en-US"/>
              </w:rPr>
              <w:t>Informed consent</w:t>
            </w:r>
          </w:p>
          <w:p w14:paraId="02FE7FE1">
            <w:pPr>
              <w:pStyle w:val="54"/>
            </w:pPr>
            <w:r>
              <w:rPr>
                <w:rFonts w:ascii="Arial" w:hAnsi="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715A405F">
        <w:trPr>
          <w:trHeight w:val="164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5DECDFB4"/>
        </w:tc>
        <w:tc>
          <w:tcPr>
            <w:tcW w:w="9923"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634EEF1B">
            <w:pPr>
              <w:pStyle w:val="14"/>
              <w:rPr>
                <w:rFonts w:ascii="Arial" w:hAnsi="Arial" w:eastAsia="Arial" w:cs="Arial"/>
                <w:color w:val="00B050"/>
                <w:sz w:val="22"/>
                <w:szCs w:val="22"/>
                <w:u w:color="00B050"/>
              </w:rPr>
            </w:pPr>
            <w:r>
              <w:rPr>
                <w:rFonts w:ascii="Arial" w:hAnsi="Arial"/>
                <w:color w:val="00B050"/>
                <w:sz w:val="22"/>
                <w:szCs w:val="22"/>
                <w:u w:color="00B050"/>
              </w:rPr>
              <w:t>If you are using a paper questionnaire then you should have the participants sign an appropriate consent form. These forms will count as personal data and should be noted as such in section J.</w:t>
            </w:r>
          </w:p>
          <w:p w14:paraId="6637BC2B">
            <w:pPr>
              <w:pStyle w:val="54"/>
              <w:rPr>
                <w:rFonts w:ascii="Arial" w:hAnsi="Arial" w:eastAsia="Arial" w:cs="Arial"/>
                <w:color w:val="00B050"/>
                <w:sz w:val="24"/>
                <w:szCs w:val="24"/>
                <w:u w:color="00B050"/>
              </w:rPr>
            </w:pPr>
            <w:r>
              <w:rPr>
                <w:rFonts w:ascii="Arial" w:hAnsi="Arial"/>
                <w:color w:val="00B050"/>
                <w:sz w:val="22"/>
                <w:szCs w:val="22"/>
                <w:u w:color="00B050"/>
                <w:lang w:val="en-US"/>
              </w:rPr>
              <w:t>If you are using an online questionnaire, then you should have a screen before the questions start that acts as a consent form, informing participants that by clicking on the NEXT button they are providing consent.</w:t>
            </w:r>
          </w:p>
          <w:p w14:paraId="033AA3E7">
            <w:pPr>
              <w:pStyle w:val="54"/>
              <w:rPr>
                <w:rFonts w:ascii="Arial" w:hAnsi="Arial" w:eastAsia="Arial" w:cs="Arial"/>
                <w:sz w:val="22"/>
                <w:szCs w:val="22"/>
                <w:lang w:val="en-US"/>
              </w:rPr>
            </w:pPr>
          </w:p>
          <w:p w14:paraId="7BAE8611">
            <w:pPr>
              <w:pStyle w:val="54"/>
            </w:pPr>
            <w:r>
              <w:rPr>
                <w:rFonts w:ascii="Arial" w:hAnsi="Arial"/>
                <w:i/>
                <w:iCs/>
                <w:color w:val="808080"/>
                <w:sz w:val="18"/>
                <w:szCs w:val="18"/>
                <w:u w:color="808080"/>
                <w:lang w:val="en-US"/>
              </w:rPr>
              <w:t>(this box should expand as you type)</w:t>
            </w:r>
          </w:p>
        </w:tc>
      </w:tr>
      <w:tr w14:paraId="0228E48E">
        <w:trPr>
          <w:trHeight w:val="723" w:hRule="atLeast"/>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2E647992">
            <w:pPr>
              <w:pStyle w:val="54"/>
            </w:pPr>
            <w:r>
              <w:rPr>
                <w:rFonts w:ascii="Arial" w:hAnsi="Arial"/>
                <w:sz w:val="22"/>
                <w:szCs w:val="22"/>
                <w:lang w:val="en-US"/>
              </w:rPr>
              <w:t>3</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5F988FA8">
            <w:pPr>
              <w:pStyle w:val="54"/>
              <w:rPr>
                <w:rFonts w:ascii="Arial" w:hAnsi="Arial" w:eastAsia="Arial" w:cs="Arial"/>
                <w:b/>
                <w:bCs/>
                <w:sz w:val="22"/>
                <w:szCs w:val="22"/>
              </w:rPr>
            </w:pPr>
            <w:r>
              <w:rPr>
                <w:rFonts w:ascii="Arial" w:hAnsi="Arial"/>
                <w:b/>
                <w:bCs/>
                <w:sz w:val="22"/>
                <w:szCs w:val="22"/>
                <w:lang w:val="en-US"/>
              </w:rPr>
              <w:t>Confidentiality / Anonymity</w:t>
            </w:r>
          </w:p>
          <w:p w14:paraId="7ACC1404">
            <w:pPr>
              <w:pStyle w:val="54"/>
            </w:pPr>
            <w:r>
              <w:rPr>
                <w:rFonts w:ascii="Arial" w:hAnsi="Arial"/>
                <w:sz w:val="22"/>
                <w:szCs w:val="22"/>
                <w:lang w:val="en-US"/>
              </w:rPr>
              <w:t xml:space="preserve">Set out how anonymity of participants and confidentiality will be ensured in any outputs. If anonymity is not being offered, explain why this is the case. </w:t>
            </w:r>
          </w:p>
        </w:tc>
      </w:tr>
      <w:tr w14:paraId="6843B291">
        <w:trPr>
          <w:trHeight w:val="924" w:hRule="atLeast"/>
        </w:trPr>
        <w:tc>
          <w:tcPr>
            <w:tcW w:w="596"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75D4BBE1"/>
        </w:tc>
        <w:tc>
          <w:tcPr>
            <w:tcW w:w="9923"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7D388B97">
            <w:pPr>
              <w:pStyle w:val="14"/>
              <w:rPr>
                <w:rFonts w:ascii="Arial" w:hAnsi="Arial" w:eastAsia="Arial" w:cs="Arial"/>
                <w:color w:val="00B050"/>
                <w:sz w:val="22"/>
                <w:szCs w:val="22"/>
                <w:u w:color="00B050"/>
              </w:rPr>
            </w:pPr>
            <w:r>
              <w:rPr>
                <w:rFonts w:ascii="Arial" w:hAnsi="Arial"/>
                <w:color w:val="00B050"/>
                <w:sz w:val="22"/>
                <w:szCs w:val="22"/>
                <w:u w:color="00B050"/>
              </w:rPr>
              <w:t>Do not collect names unless you really need them. Do not name participants or organisations in any research publications (including the thesis) without their explicit permission.</w:t>
            </w:r>
          </w:p>
          <w:p w14:paraId="7D502380">
            <w:pPr>
              <w:pStyle w:val="54"/>
              <w:rPr>
                <w:rFonts w:ascii="Arial" w:hAnsi="Arial" w:eastAsia="Arial" w:cs="Arial"/>
                <w:sz w:val="22"/>
                <w:szCs w:val="22"/>
                <w:lang w:val="en-US"/>
              </w:rPr>
            </w:pPr>
          </w:p>
          <w:p w14:paraId="066EEB40">
            <w:pPr>
              <w:pStyle w:val="54"/>
            </w:pPr>
            <w:r>
              <w:rPr>
                <w:rFonts w:ascii="Arial" w:hAnsi="Arial"/>
                <w:i/>
                <w:iCs/>
                <w:color w:val="808080"/>
                <w:sz w:val="18"/>
                <w:szCs w:val="18"/>
                <w:u w:color="808080"/>
                <w:lang w:val="en-US"/>
              </w:rPr>
              <w:t>(this box should expand as you type)</w:t>
            </w:r>
          </w:p>
        </w:tc>
      </w:tr>
    </w:tbl>
    <w:p w14:paraId="082646FC">
      <w:pPr>
        <w:pStyle w:val="54"/>
        <w:widowControl w:val="0"/>
        <w:rPr>
          <w:rFonts w:ascii="Arial" w:hAnsi="Arial" w:eastAsia="Arial" w:cs="Arial"/>
          <w:b/>
          <w:bCs/>
          <w:sz w:val="22"/>
          <w:szCs w:val="22"/>
        </w:rPr>
      </w:pPr>
    </w:p>
    <w:p w14:paraId="3F7DF103">
      <w:pPr>
        <w:pStyle w:val="54"/>
        <w:rPr>
          <w:rFonts w:ascii="Arial" w:hAnsi="Arial" w:eastAsia="Arial" w:cs="Arial"/>
          <w:sz w:val="22"/>
          <w:szCs w:val="22"/>
        </w:rPr>
      </w:pPr>
    </w:p>
    <w:p w14:paraId="5D93D428">
      <w:pPr>
        <w:pStyle w:val="54"/>
        <w:rPr>
          <w:rFonts w:ascii="Arial" w:hAnsi="Arial" w:eastAsia="Arial" w:cs="Arial"/>
          <w:b/>
          <w:bCs/>
          <w:sz w:val="22"/>
          <w:szCs w:val="22"/>
        </w:rPr>
      </w:pPr>
      <w:r>
        <w:rPr>
          <w:rFonts w:ascii="Arial" w:hAnsi="Arial"/>
          <w:b/>
          <w:bCs/>
          <w:sz w:val="22"/>
          <w:szCs w:val="22"/>
          <w:lang w:val="en-US"/>
        </w:rPr>
        <w:t>SECTION H: Data Protection and Storage</w:t>
      </w:r>
    </w:p>
    <w:p w14:paraId="0B3EFB18">
      <w:pPr>
        <w:pStyle w:val="54"/>
        <w:rPr>
          <w:rFonts w:ascii="Arial" w:hAnsi="Arial" w:eastAsia="Arial" w:cs="Arial"/>
          <w:b/>
          <w:bCs/>
          <w:sz w:val="22"/>
          <w:szCs w:val="22"/>
        </w:rPr>
      </w:pPr>
    </w:p>
    <w:tbl>
      <w:tblPr>
        <w:tblStyle w:val="12"/>
        <w:tblW w:w="1049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7"/>
        <w:gridCol w:w="7905"/>
        <w:gridCol w:w="992"/>
        <w:gridCol w:w="1026"/>
      </w:tblGrid>
      <w:tr w14:paraId="4BC2A456">
        <w:trPr>
          <w:trHeight w:val="72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A33852A"/>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5884DA2">
            <w:pPr>
              <w:pStyle w:val="18"/>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9173498">
            <w:pPr>
              <w:pStyle w:val="18"/>
              <w:jc w:val="center"/>
            </w:pPr>
            <w:r>
              <w:rPr>
                <w:rFonts w:ascii="Arial" w:hAnsi="Arial" w:eastAsia="MS Gothic" w:cs="MS Gothic"/>
                <w:b/>
                <w:bCs/>
                <w:sz w:val="22"/>
                <w:szCs w:val="22"/>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A495EB1">
            <w:pPr>
              <w:pStyle w:val="18"/>
              <w:jc w:val="center"/>
            </w:pPr>
            <w:r>
              <w:rPr>
                <w:rFonts w:ascii="Arial" w:hAnsi="Arial" w:eastAsia="MS Gothic" w:cs="MS Gothic"/>
                <w:b/>
                <w:bCs/>
                <w:sz w:val="22"/>
                <w:szCs w:val="22"/>
              </w:rPr>
              <w:t>NO</w:t>
            </w:r>
          </w:p>
        </w:tc>
      </w:tr>
      <w:tr w14:paraId="2467E7A1">
        <w:trPr>
          <w:trHeight w:val="216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52750A3">
            <w:pPr>
              <w:pStyle w:val="18"/>
              <w:spacing w:before="0" w:after="0"/>
              <w:jc w:val="center"/>
            </w:pPr>
            <w:r>
              <w:rPr>
                <w:rFonts w:ascii="Arial" w:hAnsi="Arial"/>
                <w:sz w:val="22"/>
                <w:szCs w:val="22"/>
              </w:rPr>
              <w:t>1</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647" w:type="dxa"/>
              <w:bottom w:w="80" w:type="dxa"/>
              <w:right w:w="647" w:type="dxa"/>
            </w:tcMar>
            <w:vAlign w:val="center"/>
          </w:tcPr>
          <w:p w14:paraId="504D2513">
            <w:pPr>
              <w:pStyle w:val="18"/>
              <w:spacing w:before="0" w:after="0"/>
              <w:ind w:left="567" w:right="567"/>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A943C05">
            <w:pPr>
              <w:pStyle w:val="18"/>
              <w:jc w:val="center"/>
            </w:pPr>
            <w:r>
              <w:rPr>
                <w:rFonts w:ascii="MS Gothic" w:hAnsi="MS Gothic" w:eastAsia="MS Gothic" w:cs="MS Gothic"/>
                <w:b/>
                <w:bCs/>
                <w:sz w:val="22"/>
                <w:szCs w:val="22"/>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3CF57CB">
            <w:pPr>
              <w:pStyle w:val="18"/>
              <w:jc w:val="center"/>
            </w:pPr>
            <w:r>
              <w:rPr>
                <w:rFonts w:ascii="MS Gothic" w:hAnsi="MS Gothic" w:eastAsia="MS Gothic" w:cs="MS Gothic"/>
                <w:b/>
                <w:bCs/>
                <w:sz w:val="22"/>
                <w:szCs w:val="22"/>
              </w:rPr>
              <w:t>☑</w:t>
            </w:r>
          </w:p>
        </w:tc>
      </w:tr>
      <w:tr w14:paraId="0D514198">
        <w:trPr>
          <w:trHeight w:val="25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12DE002"/>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7F7825F">
            <w:pPr>
              <w:pStyle w:val="18"/>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14:paraId="2AD92FE8">
        <w:trPr>
          <w:trHeight w:val="924" w:hRule="atLeast"/>
        </w:trPr>
        <w:tc>
          <w:tcPr>
            <w:tcW w:w="567"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14E17D9">
            <w:pPr>
              <w:pStyle w:val="54"/>
              <w:jc w:val="center"/>
            </w:pPr>
            <w:r>
              <w:rPr>
                <w:rFonts w:ascii="Arial" w:hAnsi="Arial"/>
                <w:sz w:val="22"/>
                <w:szCs w:val="22"/>
                <w:lang w:val="en-US"/>
              </w:rPr>
              <w:t>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BF59914">
            <w:pPr>
              <w:pStyle w:val="54"/>
              <w:rPr>
                <w:rFonts w:ascii="Arial" w:hAnsi="Arial" w:eastAsia="Arial" w:cs="Arial"/>
                <w:color w:val="00B050"/>
                <w:sz w:val="24"/>
                <w:szCs w:val="24"/>
                <w:u w:color="00B050"/>
              </w:rPr>
            </w:pPr>
            <w:r>
              <w:rPr>
                <w:rFonts w:ascii="Arial" w:hAnsi="Arial"/>
                <w:color w:val="00B050"/>
                <w:sz w:val="22"/>
                <w:szCs w:val="22"/>
                <w:u w:color="00B050"/>
                <w:lang w:val="en-US"/>
              </w:rPr>
              <w:t>This includes audio/video data of participants but can also include IP addresses and usernames. Names, addresses and emails also count, as do consent forms.</w:t>
            </w:r>
          </w:p>
          <w:p w14:paraId="07FE656B">
            <w:pPr>
              <w:pStyle w:val="54"/>
              <w:rPr>
                <w:rFonts w:ascii="Arial" w:hAnsi="Arial" w:eastAsia="Arial" w:cs="Arial"/>
                <w:sz w:val="22"/>
                <w:szCs w:val="22"/>
                <w:lang w:val="en-US"/>
              </w:rPr>
            </w:pPr>
          </w:p>
          <w:p w14:paraId="45856DFC">
            <w:pPr>
              <w:pStyle w:val="54"/>
            </w:pPr>
            <w:r>
              <w:rPr>
                <w:rFonts w:ascii="Arial" w:hAnsi="Arial"/>
                <w:i/>
                <w:iCs/>
                <w:color w:val="808080"/>
                <w:sz w:val="18"/>
                <w:szCs w:val="18"/>
                <w:u w:color="808080"/>
                <w:lang w:val="en-US"/>
              </w:rPr>
              <w:t>(this box should expand as you type)</w:t>
            </w:r>
          </w:p>
        </w:tc>
      </w:tr>
      <w:tr w14:paraId="3370D2EF">
        <w:trPr>
          <w:trHeight w:val="25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90FA0DC"/>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79B0000">
            <w:pPr>
              <w:pStyle w:val="18"/>
              <w:spacing w:before="0" w:after="0"/>
            </w:pPr>
            <w:r>
              <w:rPr>
                <w:rFonts w:ascii="Arial" w:hAnsi="Arial"/>
                <w:sz w:val="22"/>
                <w:szCs w:val="22"/>
              </w:rPr>
              <w:t>Does it involve special category data (as defined by the GDPR)?</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05BBEF1">
            <w:pPr>
              <w:pStyle w:val="18"/>
              <w:jc w:val="center"/>
            </w:pPr>
            <w:r>
              <w:rPr>
                <w:rFonts w:ascii="Arial" w:hAnsi="Arial" w:eastAsia="MS Gothic" w:cs="MS Gothic"/>
                <w:b/>
                <w:bCs/>
                <w:sz w:val="22"/>
                <w:szCs w:val="22"/>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AB8ED34">
            <w:pPr>
              <w:pStyle w:val="18"/>
              <w:jc w:val="center"/>
            </w:pPr>
            <w:r>
              <w:rPr>
                <w:rFonts w:ascii="Arial" w:hAnsi="Arial" w:eastAsia="MS Gothic" w:cs="MS Gothic"/>
                <w:b/>
                <w:bCs/>
                <w:sz w:val="22"/>
                <w:szCs w:val="22"/>
              </w:rPr>
              <w:t>NO</w:t>
            </w:r>
          </w:p>
        </w:tc>
      </w:tr>
      <w:tr w14:paraId="4FA56DEF">
        <w:trPr>
          <w:trHeight w:val="242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A58FC03">
            <w:pPr>
              <w:pStyle w:val="18"/>
              <w:spacing w:before="0" w:after="0"/>
              <w:jc w:val="center"/>
            </w:pPr>
            <w:r>
              <w:rPr>
                <w:rFonts w:ascii="Arial" w:hAnsi="Arial"/>
                <w:sz w:val="20"/>
                <w:szCs w:val="20"/>
              </w:rPr>
              <w:t>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647" w:type="dxa"/>
              <w:bottom w:w="80" w:type="dxa"/>
              <w:right w:w="647" w:type="dxa"/>
            </w:tcMar>
            <w:vAlign w:val="center"/>
          </w:tcPr>
          <w:p w14:paraId="12C8A2C2">
            <w:pPr>
              <w:pStyle w:val="18"/>
              <w:spacing w:before="0" w:after="0"/>
              <w:ind w:left="567" w:right="567"/>
            </w:pPr>
            <w:r>
              <w:rPr>
                <w:rFonts w:ascii="Arial" w:hAnsi="Arial"/>
                <w:b/>
                <w:bCs/>
                <w:i/>
                <w:iCs/>
                <w:sz w:val="20"/>
                <w:szCs w:val="20"/>
              </w:rPr>
              <w:t>“Special category data”</w:t>
            </w:r>
            <w:r>
              <w:rPr>
                <w:rFonts w:ascii="Arial" w:hAnsi="Arial"/>
                <w:i/>
                <w:iCs/>
                <w:sz w:val="20"/>
                <w:szCs w:val="20"/>
              </w:rPr>
              <w:t> means sensitive personal data consisting of information as to the data subjects’ –</w:t>
            </w:r>
          </w:p>
          <w:p w14:paraId="3618B1A3">
            <w:pPr>
              <w:pStyle w:val="18"/>
              <w:spacing w:before="0" w:after="0"/>
              <w:ind w:left="1134" w:right="567"/>
            </w:pPr>
            <w:r>
              <w:rPr>
                <w:rFonts w:ascii="Arial" w:hAnsi="Arial"/>
                <w:i/>
                <w:iCs/>
                <w:sz w:val="20"/>
                <w:szCs w:val="20"/>
              </w:rPr>
              <w:t>(a) racial or ethnic origin,</w:t>
            </w:r>
          </w:p>
          <w:p w14:paraId="6C6386CA">
            <w:pPr>
              <w:pStyle w:val="18"/>
              <w:spacing w:before="0" w:after="0"/>
              <w:ind w:left="1134" w:right="567"/>
            </w:pPr>
            <w:r>
              <w:rPr>
                <w:rFonts w:ascii="Arial" w:hAnsi="Arial"/>
                <w:i/>
                <w:iCs/>
                <w:sz w:val="20"/>
                <w:szCs w:val="20"/>
              </w:rPr>
              <w:t>(b) political opinions,</w:t>
            </w:r>
          </w:p>
          <w:p w14:paraId="4136E5A6">
            <w:pPr>
              <w:pStyle w:val="18"/>
              <w:spacing w:before="0" w:after="0"/>
              <w:ind w:left="1134" w:right="567"/>
            </w:pPr>
            <w:r>
              <w:rPr>
                <w:rFonts w:ascii="Arial" w:hAnsi="Arial"/>
                <w:i/>
                <w:iCs/>
                <w:sz w:val="20"/>
                <w:szCs w:val="20"/>
              </w:rPr>
              <w:t>(c) religious beliefs or other beliefs of a similar nature,</w:t>
            </w:r>
          </w:p>
          <w:p w14:paraId="7214EB4A">
            <w:pPr>
              <w:pStyle w:val="18"/>
              <w:spacing w:before="0" w:after="0"/>
              <w:ind w:left="1134" w:right="567"/>
            </w:pPr>
            <w:r>
              <w:rPr>
                <w:rFonts w:ascii="Arial" w:hAnsi="Arial"/>
                <w:i/>
                <w:iCs/>
                <w:sz w:val="20"/>
                <w:szCs w:val="20"/>
              </w:rPr>
              <w:t>(d) membership of a trade union (within the meaning of the Trade Union and Labour Relations (Consolidation) Act 1992),</w:t>
            </w:r>
          </w:p>
          <w:p w14:paraId="27937BDB">
            <w:pPr>
              <w:pStyle w:val="18"/>
              <w:spacing w:before="0" w:after="0"/>
              <w:ind w:left="1134" w:right="567"/>
            </w:pPr>
            <w:r>
              <w:rPr>
                <w:rFonts w:ascii="Arial" w:hAnsi="Arial"/>
                <w:i/>
                <w:iCs/>
                <w:sz w:val="20"/>
                <w:szCs w:val="20"/>
              </w:rPr>
              <w:t>(e) physical or mental health or condition,</w:t>
            </w:r>
          </w:p>
          <w:p w14:paraId="600351B4">
            <w:pPr>
              <w:pStyle w:val="18"/>
              <w:spacing w:before="0" w:after="0"/>
              <w:ind w:left="1134" w:right="567"/>
            </w:pPr>
            <w:r>
              <w:rPr>
                <w:rFonts w:ascii="Arial" w:hAnsi="Arial"/>
                <w:i/>
                <w:iCs/>
                <w:sz w:val="20"/>
                <w:szCs w:val="20"/>
              </w:rPr>
              <w:t>(f) sexual life,</w:t>
            </w:r>
          </w:p>
          <w:p w14:paraId="7A625BBA">
            <w:pPr>
              <w:pStyle w:val="18"/>
              <w:spacing w:before="0" w:after="0"/>
              <w:ind w:left="1134" w:right="567"/>
            </w:pPr>
            <w:r>
              <w:rPr>
                <w:rFonts w:ascii="Arial" w:hAnsi="Arial"/>
                <w:i/>
                <w:iCs/>
                <w:sz w:val="20"/>
                <w:szCs w:val="20"/>
              </w:rPr>
              <w:t>(g) genetics,</w:t>
            </w:r>
          </w:p>
          <w:p w14:paraId="2A65D9A5">
            <w:pPr>
              <w:pStyle w:val="18"/>
              <w:spacing w:before="0" w:after="0"/>
              <w:ind w:left="1134" w:right="567"/>
            </w:pPr>
            <w:r>
              <w:rPr>
                <w:rFonts w:ascii="Arial" w:hAnsi="Arial"/>
                <w:i/>
                <w:iCs/>
                <w:sz w:val="20"/>
                <w:szCs w:val="20"/>
              </w:rPr>
              <w:t>(h) biometric data (as used for ID purposes),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05B5826">
            <w:pPr>
              <w:pStyle w:val="18"/>
              <w:jc w:val="center"/>
              <w:rPr>
                <w:rFonts w:ascii="MS Gothic" w:hAnsi="MS Gothic" w:eastAsia="MS Gothic" w:cs="MS Gothic"/>
                <w:b/>
                <w:bCs/>
                <w:sz w:val="22"/>
                <w:szCs w:val="22"/>
              </w:rPr>
            </w:pPr>
          </w:p>
          <w:p w14:paraId="6B516F09">
            <w:pPr>
              <w:pStyle w:val="18"/>
              <w:jc w:val="center"/>
            </w:pPr>
            <w:r>
              <w:rPr>
                <w:rFonts w:ascii="MS Gothic" w:hAnsi="MS Gothic" w:eastAsia="MS Gothic" w:cs="MS Gothic"/>
                <w:b/>
                <w:bCs/>
                <w:sz w:val="22"/>
                <w:szCs w:val="22"/>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E1DA62E">
            <w:pPr>
              <w:pStyle w:val="18"/>
              <w:jc w:val="center"/>
              <w:rPr>
                <w:rFonts w:ascii="MS Gothic" w:hAnsi="MS Gothic" w:eastAsia="MS Gothic" w:cs="MS Gothic"/>
                <w:b/>
                <w:bCs/>
                <w:sz w:val="22"/>
                <w:szCs w:val="22"/>
              </w:rPr>
            </w:pPr>
          </w:p>
          <w:p w14:paraId="427CFA91">
            <w:pPr>
              <w:pStyle w:val="18"/>
              <w:jc w:val="center"/>
            </w:pPr>
            <w:r>
              <w:rPr>
                <w:rFonts w:ascii="MS Gothic" w:hAnsi="MS Gothic" w:eastAsia="MS Gothic" w:cs="MS Gothic"/>
                <w:b/>
                <w:bCs/>
                <w:sz w:val="22"/>
                <w:szCs w:val="22"/>
              </w:rPr>
              <w:t>☑</w:t>
            </w:r>
          </w:p>
        </w:tc>
      </w:tr>
      <w:tr w14:paraId="11CE6041">
        <w:trPr>
          <w:trHeight w:val="483" w:hRule="atLeast"/>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8773AD3"/>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11871B1">
            <w:pPr>
              <w:pStyle w:val="18"/>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14:paraId="536BD632">
        <w:trPr>
          <w:trHeight w:val="1404" w:hRule="atLeast"/>
        </w:trPr>
        <w:tc>
          <w:tcPr>
            <w:tcW w:w="567"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354F65FF">
            <w:pPr>
              <w:pStyle w:val="54"/>
              <w:jc w:val="center"/>
            </w:pPr>
            <w:r>
              <w:rPr>
                <w:rFonts w:ascii="Arial" w:hAnsi="Arial"/>
                <w:sz w:val="22"/>
                <w:szCs w:val="22"/>
                <w:lang w:val="en-US"/>
              </w:rPr>
              <w:t>4</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4208ACF2">
            <w:pPr>
              <w:pStyle w:val="54"/>
              <w:rPr>
                <w:rFonts w:ascii="Arial" w:hAnsi="Arial" w:eastAsia="Arial" w:cs="Arial"/>
                <w:sz w:val="22"/>
                <w:szCs w:val="22"/>
                <w:lang w:val="en-US"/>
              </w:rPr>
            </w:pPr>
            <w:r>
              <w:rPr>
                <w:rFonts w:ascii="Arial" w:hAnsi="Arial" w:eastAsia="Arial" w:cs="Arial"/>
                <w:sz w:val="22"/>
                <w:szCs w:val="22"/>
                <w:lang w:val="en-US"/>
              </w:rPr>
              <w:t>Not applicable.</w:t>
            </w:r>
          </w:p>
          <w:p w14:paraId="61DF9A6D">
            <w:pPr>
              <w:pStyle w:val="54"/>
              <w:rPr>
                <w:rFonts w:ascii="Arial" w:hAnsi="Arial" w:eastAsia="Arial" w:cs="Arial"/>
                <w:sz w:val="22"/>
                <w:szCs w:val="22"/>
                <w:lang w:val="en-US"/>
              </w:rPr>
            </w:pPr>
          </w:p>
          <w:p w14:paraId="5A34319F">
            <w:pPr>
              <w:pStyle w:val="54"/>
              <w:rPr>
                <w:rFonts w:ascii="Arial" w:hAnsi="Arial" w:eastAsia="Arial" w:cs="Arial"/>
                <w:sz w:val="22"/>
                <w:szCs w:val="22"/>
                <w:lang w:val="en-US"/>
              </w:rPr>
            </w:pPr>
          </w:p>
          <w:p w14:paraId="1F607B6D">
            <w:pPr>
              <w:pStyle w:val="54"/>
            </w:pPr>
            <w:r>
              <w:rPr>
                <w:rFonts w:ascii="Arial" w:hAnsi="Arial"/>
                <w:i/>
                <w:iCs/>
                <w:color w:val="808080"/>
                <w:sz w:val="18"/>
                <w:szCs w:val="18"/>
                <w:u w:color="808080"/>
                <w:lang w:val="en-US"/>
              </w:rPr>
              <w:t>(this box should expand as you type)</w:t>
            </w:r>
          </w:p>
        </w:tc>
      </w:tr>
    </w:tbl>
    <w:p w14:paraId="6B050E95">
      <w:pPr>
        <w:pStyle w:val="54"/>
        <w:widowControl w:val="0"/>
        <w:rPr>
          <w:rFonts w:ascii="Arial" w:hAnsi="Arial" w:eastAsia="Arial" w:cs="Arial"/>
          <w:b/>
          <w:bCs/>
          <w:sz w:val="22"/>
          <w:szCs w:val="22"/>
        </w:rPr>
      </w:pPr>
    </w:p>
    <w:p w14:paraId="3C0D62D7">
      <w:pPr>
        <w:pStyle w:val="54"/>
      </w:pPr>
    </w:p>
    <w:tbl>
      <w:tblPr>
        <w:tblStyle w:val="12"/>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7905"/>
        <w:gridCol w:w="992"/>
        <w:gridCol w:w="1026"/>
      </w:tblGrid>
      <w:tr w14:paraId="6952866B">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8959D8E"/>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ECA4D6A">
            <w:pPr>
              <w:pStyle w:val="54"/>
            </w:pPr>
            <w:r>
              <w:rPr>
                <w:rFonts w:ascii="Arial" w:hAnsi="Arial"/>
                <w:b/>
                <w:bCs/>
                <w:sz w:val="22"/>
                <w:szCs w:val="22"/>
                <w:lang w:val="en-US"/>
              </w:rPr>
              <w:t>Will data from the research activity (collected data, drafts of the thesis, or materials for publication) be stored in any of the following ways?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208CCE0">
            <w:pPr>
              <w:pStyle w:val="54"/>
              <w:jc w:val="center"/>
            </w:pPr>
            <w:r>
              <w:rPr>
                <w:rFonts w:ascii="Arial" w:hAnsi="Arial"/>
                <w:b/>
                <w:bCs/>
                <w:sz w:val="22"/>
                <w:szCs w:val="22"/>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66A88065">
            <w:pPr>
              <w:pStyle w:val="54"/>
              <w:jc w:val="center"/>
            </w:pPr>
            <w:r>
              <w:rPr>
                <w:rFonts w:ascii="Arial" w:hAnsi="Arial"/>
                <w:b/>
                <w:bCs/>
                <w:sz w:val="22"/>
                <w:szCs w:val="22"/>
                <w:lang w:val="en-US"/>
              </w:rPr>
              <w:t>NO</w:t>
            </w:r>
          </w:p>
        </w:tc>
      </w:tr>
      <w:tr w14:paraId="73579E8F">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DFBAE02">
            <w:pPr>
              <w:pStyle w:val="54"/>
              <w:jc w:val="center"/>
            </w:pPr>
            <w:r>
              <w:rPr>
                <w:rFonts w:ascii="Arial" w:hAnsi="Arial"/>
                <w:sz w:val="22"/>
                <w:szCs w:val="22"/>
                <w:lang w:val="en-US"/>
              </w:rPr>
              <w:t>5</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B4F5539">
            <w:pPr>
              <w:pStyle w:val="54"/>
            </w:pPr>
            <w:r>
              <w:rPr>
                <w:rFonts w:ascii="Arial" w:hAnsi="Arial"/>
                <w:sz w:val="22"/>
                <w:szCs w:val="22"/>
                <w:lang w:val="en-US"/>
              </w:rPr>
              <w:t>Manual files (i.e. in paper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0D854506">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4CB5BE70">
            <w:pPr>
              <w:pStyle w:val="54"/>
              <w:jc w:val="center"/>
            </w:pPr>
            <w:r>
              <w:rPr>
                <w:rFonts w:ascii="MS Gothic" w:hAnsi="MS Gothic" w:eastAsia="MS Gothic" w:cs="MS Gothic"/>
                <w:b/>
                <w:bCs/>
                <w:sz w:val="22"/>
                <w:szCs w:val="22"/>
                <w:lang w:val="en-US"/>
              </w:rPr>
              <w:t>☑</w:t>
            </w:r>
          </w:p>
        </w:tc>
      </w:tr>
      <w:tr w14:paraId="3E33ABA2">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36AC5EB">
            <w:pPr>
              <w:pStyle w:val="54"/>
              <w:jc w:val="center"/>
            </w:pPr>
            <w:r>
              <w:rPr>
                <w:rFonts w:ascii="Arial" w:hAnsi="Arial"/>
                <w:sz w:val="22"/>
                <w:szCs w:val="22"/>
                <w:lang w:val="en-US"/>
              </w:rPr>
              <w:t>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237867D">
            <w:pPr>
              <w:pStyle w:val="54"/>
            </w:pPr>
            <w:r>
              <w:rPr>
                <w:rFonts w:ascii="Arial" w:hAnsi="Arial"/>
                <w:sz w:val="22"/>
                <w:szCs w:val="22"/>
                <w:lang w:val="en-US"/>
              </w:rPr>
              <w:t>University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172F3324">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08C9BBBB">
            <w:pPr>
              <w:pStyle w:val="54"/>
              <w:jc w:val="center"/>
            </w:pPr>
            <w:r>
              <w:rPr>
                <w:rFonts w:ascii="MS Gothic" w:hAnsi="MS Gothic" w:eastAsia="MS Gothic" w:cs="MS Gothic"/>
                <w:b/>
                <w:bCs/>
                <w:sz w:val="22"/>
                <w:szCs w:val="22"/>
                <w:lang w:val="en-US"/>
              </w:rPr>
              <w:t>☐</w:t>
            </w:r>
          </w:p>
        </w:tc>
      </w:tr>
      <w:tr w14:paraId="2C673731">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F4C3041">
            <w:pPr>
              <w:pStyle w:val="54"/>
              <w:jc w:val="center"/>
            </w:pPr>
            <w:r>
              <w:rPr>
                <w:rFonts w:ascii="Arial" w:hAnsi="Arial"/>
                <w:sz w:val="22"/>
                <w:szCs w:val="22"/>
                <w:lang w:val="en-US"/>
              </w:rPr>
              <w:t>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8E4159E">
            <w:pPr>
              <w:pStyle w:val="54"/>
            </w:pPr>
            <w:r>
              <w:rPr>
                <w:rFonts w:ascii="Arial" w:hAnsi="Arial"/>
                <w:sz w:val="22"/>
                <w:szCs w:val="22"/>
                <w:lang w:val="en-US"/>
              </w:rPr>
              <w:t>Private company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311E065F">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67E73849">
            <w:pPr>
              <w:pStyle w:val="54"/>
              <w:jc w:val="center"/>
            </w:pPr>
            <w:r>
              <w:rPr>
                <w:rFonts w:ascii="MS Gothic" w:hAnsi="MS Gothic" w:eastAsia="MS Gothic" w:cs="MS Gothic"/>
                <w:b/>
                <w:bCs/>
                <w:sz w:val="22"/>
                <w:szCs w:val="22"/>
                <w:lang w:val="en-US"/>
              </w:rPr>
              <w:t>☑</w:t>
            </w:r>
          </w:p>
        </w:tc>
      </w:tr>
      <w:tr w14:paraId="0BA6FC3F">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EBD1125">
            <w:pPr>
              <w:pStyle w:val="54"/>
              <w:jc w:val="center"/>
            </w:pPr>
            <w:r>
              <w:rPr>
                <w:rFonts w:ascii="Arial" w:hAnsi="Arial"/>
                <w:sz w:val="22"/>
                <w:szCs w:val="22"/>
                <w:lang w:val="en-US"/>
              </w:rPr>
              <w:t>8</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64770B7">
            <w:pPr>
              <w:pStyle w:val="54"/>
            </w:pPr>
            <w:r>
              <w:rPr>
                <w:rFonts w:ascii="Arial" w:hAnsi="Arial"/>
                <w:sz w:val="22"/>
                <w:szCs w:val="22"/>
                <w:lang w:val="en-US"/>
              </w:rPr>
              <w:t>Home or other personal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7DBBDFC3">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2B844064">
            <w:pPr>
              <w:pStyle w:val="54"/>
              <w:jc w:val="center"/>
            </w:pPr>
            <w:r>
              <w:rPr>
                <w:rFonts w:ascii="MS Gothic" w:hAnsi="MS Gothic" w:eastAsia="MS Gothic" w:cs="MS Gothic"/>
                <w:b/>
                <w:bCs/>
                <w:sz w:val="22"/>
                <w:szCs w:val="22"/>
                <w:lang w:val="en-US"/>
              </w:rPr>
              <w:t>☐</w:t>
            </w:r>
          </w:p>
        </w:tc>
      </w:tr>
      <w:tr w14:paraId="7D56A142">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027AE0B">
            <w:pPr>
              <w:pStyle w:val="54"/>
              <w:jc w:val="center"/>
            </w:pPr>
            <w:r>
              <w:rPr>
                <w:rFonts w:ascii="Arial" w:hAnsi="Arial"/>
                <w:sz w:val="22"/>
                <w:szCs w:val="22"/>
                <w:lang w:val="en-US"/>
              </w:rPr>
              <w:t>9</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D4C9578">
            <w:pPr>
              <w:pStyle w:val="54"/>
            </w:pPr>
            <w:r>
              <w:rPr>
                <w:rFonts w:ascii="Arial" w:hAnsi="Arial"/>
                <w:sz w:val="22"/>
                <w:szCs w:val="22"/>
                <w:lang w:val="en-US"/>
              </w:rPr>
              <w:t>Laptop computers/ CDs/ Portable disk-drives/ memory sticks?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6E0EDC48">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4B259F21">
            <w:pPr>
              <w:pStyle w:val="54"/>
              <w:jc w:val="center"/>
            </w:pPr>
            <w:r>
              <w:rPr>
                <w:rFonts w:ascii="MS Gothic" w:hAnsi="MS Gothic" w:eastAsia="MS Gothic" w:cs="MS Gothic"/>
                <w:b/>
                <w:bCs/>
                <w:sz w:val="22"/>
                <w:szCs w:val="22"/>
                <w:lang w:val="en-US"/>
              </w:rPr>
              <w:t>☐</w:t>
            </w:r>
          </w:p>
        </w:tc>
      </w:tr>
      <w:tr w14:paraId="60049425">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F754CDF">
            <w:pPr>
              <w:pStyle w:val="54"/>
              <w:jc w:val="center"/>
            </w:pPr>
            <w:r>
              <w:rPr>
                <w:rFonts w:ascii="Arial" w:hAnsi="Arial"/>
                <w:sz w:val="22"/>
                <w:szCs w:val="22"/>
                <w:lang w:val="en-US"/>
              </w:rPr>
              <w:t>10</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212F66E">
            <w:pPr>
              <w:pStyle w:val="54"/>
            </w:pPr>
            <w:r>
              <w:rPr>
                <w:rFonts w:ascii="Arial" w:hAnsi="Arial"/>
                <w:sz w:val="22"/>
                <w:szCs w:val="22"/>
                <w:lang w:val="en-US"/>
              </w:rPr>
              <w:t>“Cloud” storage or websites?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3C84B7B2">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14:paraId="4A880A6B">
            <w:pPr>
              <w:pStyle w:val="54"/>
              <w:jc w:val="center"/>
            </w:pPr>
            <w:r>
              <w:rPr>
                <w:rFonts w:ascii="MS Gothic" w:hAnsi="MS Gothic" w:eastAsia="MS Gothic" w:cs="MS Gothic"/>
                <w:b/>
                <w:bCs/>
                <w:sz w:val="22"/>
                <w:szCs w:val="22"/>
                <w:lang w:val="en-US"/>
              </w:rPr>
              <w:t>☐</w:t>
            </w:r>
          </w:p>
        </w:tc>
      </w:tr>
      <w:tr w14:paraId="3EFE5039">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AB43126">
            <w:pPr>
              <w:pStyle w:val="54"/>
              <w:jc w:val="center"/>
            </w:pPr>
            <w:r>
              <w:rPr>
                <w:rFonts w:ascii="Arial" w:hAnsi="Arial"/>
                <w:sz w:val="22"/>
                <w:szCs w:val="22"/>
                <w:lang w:val="en-US"/>
              </w:rPr>
              <w:t>11</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5DCE533F">
            <w:pPr>
              <w:pStyle w:val="54"/>
            </w:pPr>
            <w:r>
              <w:rPr>
                <w:rFonts w:ascii="Arial" w:hAnsi="Arial"/>
                <w:sz w:val="22"/>
                <w:szCs w:val="22"/>
                <w:lang w:val="en-US"/>
              </w:rPr>
              <w:t>Other – specify: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F5C8CED">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C972F4C">
            <w:pPr>
              <w:pStyle w:val="54"/>
              <w:jc w:val="center"/>
            </w:pPr>
            <w:r>
              <w:rPr>
                <w:rFonts w:ascii="MS Gothic" w:hAnsi="MS Gothic" w:eastAsia="MS Gothic" w:cs="MS Gothic"/>
                <w:b/>
                <w:bCs/>
                <w:sz w:val="22"/>
                <w:szCs w:val="22"/>
                <w:lang w:val="en-US"/>
              </w:rPr>
              <w:t>☑</w:t>
            </w:r>
          </w:p>
        </w:tc>
      </w:tr>
      <w:tr w14:paraId="68E2B53C">
        <w:trPr>
          <w:trHeight w:val="72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D587DD6">
            <w:pPr>
              <w:pStyle w:val="54"/>
              <w:jc w:val="center"/>
            </w:pPr>
            <w:r>
              <w:rPr>
                <w:rFonts w:ascii="Arial" w:hAnsi="Arial"/>
                <w:sz w:val="22"/>
                <w:szCs w:val="22"/>
                <w:lang w:val="en-US"/>
              </w:rPr>
              <w:t>12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06E06080">
            <w:pPr>
              <w:pStyle w:val="54"/>
            </w:pPr>
            <w:r>
              <w:rPr>
                <w:rFonts w:ascii="Arial" w:hAnsi="Arial"/>
                <w:sz w:val="22"/>
                <w:szCs w:val="22"/>
                <w:lang w:val="en-US"/>
              </w:rPr>
              <w:t xml:space="preserve">For all stored data, explain the measures in place to ensure the security of the data collected, data confidentiality, including details of backup procedures, </w:t>
            </w:r>
            <w:r>
              <w:rPr>
                <w:rFonts w:ascii="Arial" w:hAnsi="Arial"/>
                <w:sz w:val="22"/>
                <w:szCs w:val="22"/>
                <w:shd w:val="clear" w:color="auto" w:fill="F2F2F2"/>
                <w:lang w:val="en-US"/>
              </w:rPr>
              <w:t>password</w:t>
            </w:r>
            <w:r>
              <w:rPr>
                <w:rFonts w:ascii="Arial" w:hAnsi="Arial"/>
                <w:sz w:val="22"/>
                <w:szCs w:val="22"/>
                <w:lang w:val="en-US"/>
              </w:rPr>
              <w:t xml:space="preserve"> protection, encryption, anonymisation and pseudonymisation:</w:t>
            </w:r>
          </w:p>
        </w:tc>
      </w:tr>
      <w:tr w14:paraId="72871303">
        <w:trPr>
          <w:trHeight w:val="284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5C4FBB7A"/>
        </w:tc>
        <w:tc>
          <w:tcPr>
            <w:tcW w:w="9923"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79D81ABF">
            <w:pPr>
              <w:pStyle w:val="54"/>
            </w:pPr>
            <w:r>
              <w:rPr>
                <w:rFonts w:ascii="Arial" w:hAnsi="Arial"/>
                <w:i/>
                <w:iCs/>
                <w:color w:val="808080"/>
                <w:sz w:val="18"/>
                <w:szCs w:val="18"/>
                <w:u w:color="808080"/>
                <w:lang w:val="en-US"/>
              </w:rPr>
              <w:t>All research materials, including downloaded articles, notes, coded themes, and dissertation drafts, will be stored securely on password-protected devices and password-protected cloud storage. Access will be limited to the principal researcher and, where necessary, the supervisor. Files will be organised carefully and backed up regularly. Any portable storage used will be password protected. Since no personal data will be collected, anonymisation of participant data is not required. However, all sources will be handled responsibly, and citation records will be maintained accurately to ensure academic integrity.</w:t>
            </w:r>
          </w:p>
        </w:tc>
      </w:tr>
    </w:tbl>
    <w:p w14:paraId="42F13D38">
      <w:pPr>
        <w:pStyle w:val="54"/>
        <w:widowControl w:val="0"/>
      </w:pPr>
    </w:p>
    <w:p w14:paraId="3BC6732C">
      <w:pPr>
        <w:pStyle w:val="54"/>
      </w:pPr>
    </w:p>
    <w:tbl>
      <w:tblPr>
        <w:tblStyle w:val="12"/>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7905"/>
        <w:gridCol w:w="992"/>
        <w:gridCol w:w="1026"/>
      </w:tblGrid>
      <w:tr w14:paraId="511917F6">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73D330E"/>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1DC7249">
            <w:pPr>
              <w:pStyle w:val="54"/>
            </w:pPr>
            <w:r>
              <w:rPr>
                <w:rFonts w:ascii="Arial" w:hAnsi="Arial"/>
                <w:b/>
                <w:bCs/>
                <w:sz w:val="22"/>
                <w:szCs w:val="22"/>
                <w:lang w:val="en-US"/>
              </w:rPr>
              <w:t>Data Protection</w:t>
            </w:r>
          </w:p>
        </w:tc>
      </w:tr>
      <w:tr w14:paraId="3747F0A3">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AB9101C"/>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8ABD08C">
            <w:pPr>
              <w:pStyle w:val="54"/>
            </w:pPr>
            <w:r>
              <w:rPr>
                <w:rFonts w:ascii="Arial" w:hAnsi="Arial"/>
                <w:sz w:val="22"/>
                <w:szCs w:val="22"/>
                <w:lang w:val="en-US"/>
              </w:rPr>
              <w:t>Will the research activity involve any of the following activities: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26C648D">
            <w:pPr>
              <w:pStyle w:val="54"/>
              <w:jc w:val="center"/>
            </w:pPr>
            <w:r>
              <w:rPr>
                <w:rFonts w:ascii="Arial" w:hAnsi="Arial"/>
                <w:b/>
                <w:bCs/>
                <w:sz w:val="22"/>
                <w:szCs w:val="22"/>
                <w:lang w:val="en-US"/>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35A38F6">
            <w:pPr>
              <w:pStyle w:val="54"/>
              <w:jc w:val="center"/>
            </w:pPr>
            <w:r>
              <w:rPr>
                <w:rFonts w:ascii="Arial" w:hAnsi="Arial"/>
                <w:b/>
                <w:bCs/>
                <w:sz w:val="22"/>
                <w:szCs w:val="22"/>
                <w:lang w:val="en-US"/>
              </w:rPr>
              <w:t>NO</w:t>
            </w:r>
          </w:p>
        </w:tc>
      </w:tr>
      <w:tr w14:paraId="5E485351">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DE76AB0">
            <w:pPr>
              <w:pStyle w:val="54"/>
              <w:jc w:val="center"/>
            </w:pPr>
            <w:r>
              <w:rPr>
                <w:rFonts w:ascii="Arial" w:hAnsi="Arial"/>
                <w:sz w:val="22"/>
                <w:szCs w:val="22"/>
                <w:lang w:val="en-US"/>
              </w:rPr>
              <w:t>13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1F4DB1A">
            <w:pPr>
              <w:pStyle w:val="54"/>
            </w:pPr>
            <w:r>
              <w:rPr>
                <w:rFonts w:ascii="Arial" w:hAnsi="Arial"/>
                <w:sz w:val="22"/>
                <w:szCs w:val="22"/>
                <w:lang w:val="en-US"/>
              </w:rPr>
              <w:t>Electronic transfer of data in any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9861CE7">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90FCD6B">
            <w:pPr>
              <w:pStyle w:val="54"/>
              <w:jc w:val="center"/>
            </w:pPr>
            <w:r>
              <w:rPr>
                <w:rFonts w:ascii="MS Gothic" w:hAnsi="MS Gothic" w:eastAsia="MS Gothic" w:cs="MS Gothic"/>
                <w:b/>
                <w:bCs/>
                <w:sz w:val="22"/>
                <w:szCs w:val="22"/>
                <w:lang w:val="en-US"/>
              </w:rPr>
              <w:t>☐</w:t>
            </w:r>
          </w:p>
        </w:tc>
      </w:tr>
      <w:tr w14:paraId="28A93EFA">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7B13547">
            <w:pPr>
              <w:pStyle w:val="54"/>
              <w:jc w:val="center"/>
            </w:pPr>
            <w:r>
              <w:rPr>
                <w:rFonts w:ascii="Arial" w:hAnsi="Arial"/>
                <w:sz w:val="22"/>
                <w:szCs w:val="22"/>
                <w:lang w:val="en-US"/>
              </w:rPr>
              <w:t>14</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4559906">
            <w:pPr>
              <w:pStyle w:val="54"/>
            </w:pPr>
            <w:r>
              <w:rPr>
                <w:rFonts w:ascii="Arial" w:hAnsi="Arial"/>
                <w:sz w:val="22"/>
                <w:szCs w:val="22"/>
                <w:lang w:val="en-US"/>
              </w:rPr>
              <w:t>Sharing of data with others at the University outside of the immediate research team?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2DC1F71">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1AF2EF5">
            <w:pPr>
              <w:pStyle w:val="54"/>
              <w:jc w:val="center"/>
            </w:pPr>
            <w:r>
              <w:rPr>
                <w:rFonts w:ascii="MS Gothic" w:hAnsi="MS Gothic" w:eastAsia="MS Gothic" w:cs="MS Gothic"/>
                <w:b/>
                <w:bCs/>
                <w:sz w:val="22"/>
                <w:szCs w:val="22"/>
                <w:lang w:val="en-US"/>
              </w:rPr>
              <w:t>☑</w:t>
            </w:r>
          </w:p>
        </w:tc>
      </w:tr>
      <w:tr w14:paraId="1EF7B9CD">
        <w:trPr>
          <w:trHeight w:val="279"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FE1CBB7">
            <w:pPr>
              <w:pStyle w:val="54"/>
              <w:jc w:val="center"/>
            </w:pPr>
            <w:r>
              <w:rPr>
                <w:rFonts w:ascii="Arial" w:hAnsi="Arial"/>
                <w:sz w:val="22"/>
                <w:szCs w:val="22"/>
                <w:lang w:val="en-US"/>
              </w:rPr>
              <w:t>15</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45135F3">
            <w:pPr>
              <w:pStyle w:val="54"/>
            </w:pPr>
            <w:r>
              <w:rPr>
                <w:rFonts w:ascii="Arial" w:hAnsi="Arial"/>
                <w:sz w:val="22"/>
                <w:szCs w:val="22"/>
                <w:lang w:val="en-US"/>
              </w:rPr>
              <w:t>Sharing of data with other organisations?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A8F7888">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D0FB74C">
            <w:pPr>
              <w:pStyle w:val="54"/>
              <w:jc w:val="center"/>
            </w:pPr>
            <w:r>
              <w:rPr>
                <w:rFonts w:ascii="MS Gothic" w:hAnsi="MS Gothic" w:eastAsia="MS Gothic" w:cs="MS Gothic"/>
                <w:b/>
                <w:bCs/>
                <w:sz w:val="22"/>
                <w:szCs w:val="22"/>
                <w:lang w:val="en-US"/>
              </w:rPr>
              <w:t>☑</w:t>
            </w:r>
          </w:p>
        </w:tc>
      </w:tr>
      <w:tr w14:paraId="1C80DFCA">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09FA320">
            <w:pPr>
              <w:pStyle w:val="54"/>
              <w:jc w:val="center"/>
            </w:pPr>
            <w:r>
              <w:rPr>
                <w:rFonts w:ascii="Arial" w:hAnsi="Arial"/>
                <w:sz w:val="22"/>
                <w:szCs w:val="22"/>
                <w:lang w:val="en-US"/>
              </w:rPr>
              <w:t>16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741B833">
            <w:pPr>
              <w:pStyle w:val="54"/>
            </w:pPr>
            <w:r>
              <w:rPr>
                <w:rFonts w:ascii="Arial" w:hAnsi="Arial"/>
                <w:sz w:val="22"/>
                <w:szCs w:val="22"/>
                <w:lang w:val="en-US"/>
              </w:rPr>
              <w:t>Export of data outside the UK or importing of data from outside the UK?</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F445180">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AF74E3B">
            <w:pPr>
              <w:pStyle w:val="54"/>
              <w:jc w:val="center"/>
            </w:pPr>
            <w:r>
              <w:rPr>
                <w:rFonts w:ascii="MS Gothic" w:hAnsi="MS Gothic" w:eastAsia="MS Gothic" w:cs="MS Gothic"/>
                <w:b/>
                <w:bCs/>
                <w:sz w:val="22"/>
                <w:szCs w:val="22"/>
                <w:lang w:val="en-US"/>
              </w:rPr>
              <w:t>☑</w:t>
            </w:r>
          </w:p>
        </w:tc>
      </w:tr>
      <w:tr w14:paraId="2F375D1E">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715FE42">
            <w:pPr>
              <w:pStyle w:val="54"/>
              <w:jc w:val="center"/>
            </w:pPr>
            <w:r>
              <w:rPr>
                <w:rFonts w:ascii="Arial" w:hAnsi="Arial"/>
                <w:sz w:val="22"/>
                <w:szCs w:val="22"/>
                <w:lang w:val="en-US"/>
              </w:rPr>
              <w:t>17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1C7F475">
            <w:pPr>
              <w:pStyle w:val="54"/>
            </w:pPr>
            <w:r>
              <w:rPr>
                <w:rFonts w:ascii="Arial" w:hAnsi="Arial"/>
                <w:sz w:val="22"/>
                <w:szCs w:val="22"/>
                <w:lang w:val="en-US"/>
              </w:rPr>
              <w:t>Use of personal addresses, postcodes, faxes, emails or telephone numbers?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EF9F51C">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63D0D63">
            <w:pPr>
              <w:pStyle w:val="54"/>
              <w:jc w:val="center"/>
            </w:pPr>
            <w:r>
              <w:rPr>
                <w:rFonts w:ascii="MS Gothic" w:hAnsi="MS Gothic" w:eastAsia="MS Gothic" w:cs="MS Gothic"/>
                <w:b/>
                <w:bCs/>
                <w:sz w:val="22"/>
                <w:szCs w:val="22"/>
                <w:lang w:val="en-US"/>
              </w:rPr>
              <w:t>☑</w:t>
            </w:r>
          </w:p>
        </w:tc>
      </w:tr>
      <w:tr w14:paraId="1E98E834">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9FC0CAE">
            <w:pPr>
              <w:pStyle w:val="54"/>
              <w:jc w:val="center"/>
            </w:pPr>
            <w:r>
              <w:rPr>
                <w:rFonts w:ascii="Arial" w:hAnsi="Arial"/>
                <w:sz w:val="22"/>
                <w:szCs w:val="22"/>
                <w:lang w:val="en-US"/>
              </w:rPr>
              <w:t>18</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57F65AC">
            <w:pPr>
              <w:pStyle w:val="54"/>
            </w:pPr>
            <w:r>
              <w:rPr>
                <w:rFonts w:ascii="Arial" w:hAnsi="Arial"/>
                <w:sz w:val="22"/>
                <w:szCs w:val="22"/>
                <w:lang w:val="en-US"/>
              </w:rPr>
              <w:t>Publication of data that might allow identification of individuals?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36C5812">
            <w:pPr>
              <w:pStyle w:val="54"/>
              <w:jc w:val="center"/>
            </w:pPr>
            <w:r>
              <w:rPr>
                <w:rFonts w:ascii="MS Gothic" w:hAnsi="MS Gothic" w:eastAsia="MS Gothic" w:cs="MS Gothic"/>
                <w:b/>
                <w:bCs/>
                <w:sz w:val="22"/>
                <w:szCs w:val="22"/>
                <w:lang w:val="en-US"/>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E7B632F">
            <w:pPr>
              <w:pStyle w:val="54"/>
              <w:jc w:val="center"/>
            </w:pPr>
            <w:r>
              <w:rPr>
                <w:rFonts w:ascii="MS Gothic" w:hAnsi="MS Gothic" w:eastAsia="MS Gothic" w:cs="MS Gothic"/>
                <w:b/>
                <w:bCs/>
                <w:sz w:val="22"/>
                <w:szCs w:val="22"/>
                <w:lang w:val="en-US"/>
              </w:rPr>
              <w:t>☑</w:t>
            </w:r>
          </w:p>
        </w:tc>
      </w:tr>
      <w:tr w14:paraId="31B9B880">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B10DC78">
            <w:pPr>
              <w:pStyle w:val="54"/>
              <w:spacing w:before="120" w:after="120"/>
              <w:jc w:val="center"/>
            </w:pPr>
            <w:r>
              <w:rPr>
                <w:rFonts w:ascii="Arial" w:hAnsi="Arial"/>
                <w:sz w:val="22"/>
                <w:szCs w:val="22"/>
                <w:lang w:val="en-US"/>
              </w:rPr>
              <w:t>19</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0E6CFAC">
            <w:pPr>
              <w:pStyle w:val="54"/>
              <w:spacing w:before="120" w:after="120"/>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to any question, please provide full details, explaining how this will be conducted in accordance with the GDPR and Data Protection Act (2018) (and/or any international equivalent):</w:t>
            </w:r>
          </w:p>
        </w:tc>
      </w:tr>
      <w:tr w14:paraId="725147D0">
        <w:trPr>
          <w:trHeight w:val="308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3CE7D720"/>
        </w:tc>
        <w:tc>
          <w:tcPr>
            <w:tcW w:w="9923"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534B6B0">
            <w:pPr>
              <w:pStyle w:val="54"/>
            </w:pPr>
          </w:p>
        </w:tc>
      </w:tr>
      <w:tr w14:paraId="0CE08F2C">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33CFA83">
            <w:pPr>
              <w:pStyle w:val="54"/>
              <w:jc w:val="center"/>
            </w:pPr>
            <w:r>
              <w:rPr>
                <w:rFonts w:ascii="Arial" w:hAnsi="Arial"/>
                <w:sz w:val="22"/>
                <w:szCs w:val="22"/>
                <w:lang w:val="en-US"/>
              </w:rPr>
              <w:t>20</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563487C">
            <w:pPr>
              <w:pStyle w:val="54"/>
            </w:pPr>
            <w:r>
              <w:rPr>
                <w:rFonts w:ascii="Arial" w:hAnsi="Arial"/>
                <w:sz w:val="22"/>
                <w:szCs w:val="22"/>
                <w:lang w:val="en-US"/>
              </w:rPr>
              <w:t>List all who will have access to the data generated by the research activity:</w:t>
            </w:r>
          </w:p>
        </w:tc>
      </w:tr>
      <w:tr w14:paraId="39D64126">
        <w:trPr>
          <w:trHeight w:val="92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1DE14176"/>
        </w:tc>
        <w:tc>
          <w:tcPr>
            <w:tcW w:w="9923"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6599015D">
            <w:pPr>
              <w:pStyle w:val="54"/>
            </w:pPr>
            <w:r>
              <w:rPr>
                <w:rFonts w:ascii="Arial" w:hAnsi="Arial"/>
                <w:i/>
                <w:iCs/>
                <w:color w:val="808080"/>
                <w:sz w:val="18"/>
                <w:szCs w:val="18"/>
                <w:u w:color="808080"/>
                <w:lang w:val="en-US"/>
              </w:rPr>
              <w:t>(this box should expand as you type)</w:t>
            </w:r>
          </w:p>
        </w:tc>
      </w:tr>
      <w:tr w14:paraId="2AEFE495">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B8E2C03">
            <w:pPr>
              <w:pStyle w:val="54"/>
              <w:jc w:val="center"/>
            </w:pPr>
            <w:r>
              <w:rPr>
                <w:rFonts w:ascii="Arial" w:hAnsi="Arial"/>
                <w:sz w:val="22"/>
                <w:szCs w:val="22"/>
                <w:lang w:val="en-US"/>
              </w:rPr>
              <w:t>21</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83B6DCB">
            <w:pPr>
              <w:pStyle w:val="54"/>
            </w:pPr>
            <w:r>
              <w:rPr>
                <w:rFonts w:ascii="Arial" w:hAnsi="Arial"/>
                <w:sz w:val="22"/>
                <w:szCs w:val="22"/>
                <w:lang w:val="en-US"/>
              </w:rPr>
              <w:t>List who will have control of, and act as custodian(s) for, data generated by the research activity:</w:t>
            </w:r>
          </w:p>
        </w:tc>
      </w:tr>
      <w:tr w14:paraId="183CD4C1">
        <w:trPr>
          <w:trHeight w:val="66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5020E7D1"/>
        </w:tc>
        <w:tc>
          <w:tcPr>
            <w:tcW w:w="9923"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196A25E7">
            <w:pPr>
              <w:pStyle w:val="54"/>
            </w:pPr>
            <w:r>
              <w:rPr>
                <w:rFonts w:ascii="Arial" w:hAnsi="Arial"/>
                <w:i/>
                <w:iCs/>
                <w:color w:val="808080"/>
                <w:sz w:val="18"/>
                <w:szCs w:val="18"/>
                <w:u w:color="808080"/>
                <w:lang w:val="en-US"/>
              </w:rPr>
              <w:t>(this box should expand as you type)</w:t>
            </w:r>
          </w:p>
        </w:tc>
      </w:tr>
      <w:tr w14:paraId="6483B166">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0BAAEAD">
            <w:pPr>
              <w:pStyle w:val="54"/>
              <w:jc w:val="center"/>
            </w:pPr>
            <w:r>
              <w:rPr>
                <w:rFonts w:ascii="Arial" w:hAnsi="Arial"/>
                <w:sz w:val="22"/>
                <w:szCs w:val="22"/>
                <w:lang w:val="en-US"/>
              </w:rPr>
              <w:t>22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44CC1663">
            <w:pPr>
              <w:pStyle w:val="54"/>
            </w:pPr>
            <w:r>
              <w:rPr>
                <w:rFonts w:ascii="Arial" w:hAnsi="Arial"/>
                <w:sz w:val="22"/>
                <w:szCs w:val="22"/>
                <w:lang w:val="en-US"/>
              </w:rPr>
              <w:t xml:space="preserve">Give details of data storage arrangements, including security measures in place to protect the data, where data will be stored, how long for, and in what form. </w:t>
            </w:r>
          </w:p>
        </w:tc>
      </w:tr>
      <w:tr w14:paraId="33A19A5C">
        <w:trPr>
          <w:trHeight w:val="1404" w:hRule="atLeast"/>
        </w:trPr>
        <w:tc>
          <w:tcPr>
            <w:tcW w:w="562"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B39834D"/>
        </w:tc>
        <w:tc>
          <w:tcPr>
            <w:tcW w:w="9923" w:type="dxa"/>
            <w:gridSpan w:val="3"/>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586EF45E">
            <w:pPr>
              <w:pStyle w:val="54"/>
            </w:pPr>
            <w:r>
              <w:rPr>
                <w:rFonts w:ascii="Arial" w:hAnsi="Arial"/>
                <w:i/>
                <w:iCs/>
                <w:color w:val="808080"/>
                <w:sz w:val="18"/>
                <w:szCs w:val="18"/>
                <w:u w:color="808080"/>
                <w:lang w:val="en-US"/>
              </w:rPr>
              <w:t>(this box should expand as you type)</w:t>
            </w:r>
          </w:p>
        </w:tc>
      </w:tr>
      <w:tr w14:paraId="33506D9D">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9AB7797">
            <w:pPr>
              <w:pStyle w:val="54"/>
              <w:jc w:val="center"/>
            </w:pPr>
            <w:r>
              <w:rPr>
                <w:rFonts w:ascii="Arial" w:hAnsi="Arial"/>
                <w:sz w:val="22"/>
                <w:szCs w:val="22"/>
                <w:lang w:val="en-US"/>
              </w:rPr>
              <w:t>22</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2217B03A">
            <w:pPr>
              <w:pStyle w:val="54"/>
            </w:pPr>
            <w:r>
              <w:rPr>
                <w:rFonts w:ascii="Arial" w:hAnsi="Arial"/>
                <w:sz w:val="22"/>
                <w:szCs w:val="22"/>
                <w:lang w:val="en-US"/>
              </w:rPr>
              <w:t xml:space="preserve">Confirm that you have read the UWTSD guidance on data management (see </w:t>
            </w:r>
            <w:r>
              <w:fldChar w:fldCharType="begin"/>
            </w:r>
            <w:r>
              <w:instrText xml:space="preserve"> HYPERLINK "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w:instrText>
            </w:r>
            <w:r>
              <w:fldChar w:fldCharType="separate"/>
            </w:r>
            <w:r>
              <w:rPr>
                <w:rStyle w:val="58"/>
                <w:rFonts w:ascii="Arial" w:hAnsi="Arial"/>
                <w:sz w:val="22"/>
                <w:szCs w:val="22"/>
              </w:rPr>
              <w:t>https://www.uwtsd.ac.uk/library/research-data-management/</w:t>
            </w:r>
            <w:r>
              <w:rPr>
                <w:rStyle w:val="58"/>
                <w:rFonts w:ascii="Arial" w:hAnsi="Arial"/>
                <w:sz w:val="22"/>
                <w:szCs w:val="22"/>
              </w:rPr>
              <w:fldChar w:fldCharType="end"/>
            </w:r>
            <w:r>
              <w:rPr>
                <w:rFonts w:ascii="Arial" w:hAnsi="Arial"/>
                <w:sz w:val="22"/>
                <w:szCs w:val="22"/>
                <w:lang w:val="en-US"/>
              </w:rPr>
              <w:t>)</w:t>
            </w:r>
          </w:p>
        </w:tc>
        <w:tc>
          <w:tcPr>
            <w:tcW w:w="2018" w:type="dxa"/>
            <w:gridSpan w:val="2"/>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1D068C8">
            <w:pPr>
              <w:pStyle w:val="54"/>
              <w:jc w:val="center"/>
            </w:pPr>
            <w:r>
              <w:rPr>
                <w:rFonts w:ascii="MS Gothic" w:hAnsi="MS Gothic" w:eastAsia="MS Gothic" w:cs="MS Gothic"/>
                <w:b/>
                <w:bCs/>
                <w:lang w:val="en-US"/>
              </w:rPr>
              <w:t>☑</w:t>
            </w:r>
          </w:p>
        </w:tc>
      </w:tr>
      <w:tr w14:paraId="26C497CA">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F89F947">
            <w:pPr>
              <w:pStyle w:val="54"/>
              <w:jc w:val="center"/>
            </w:pPr>
            <w:r>
              <w:rPr>
                <w:rFonts w:ascii="Arial" w:hAnsi="Arial"/>
                <w:sz w:val="22"/>
                <w:szCs w:val="22"/>
                <w:lang w:val="en-US"/>
              </w:rPr>
              <w:t>23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5B2CF015">
            <w:pPr>
              <w:pStyle w:val="54"/>
            </w:pPr>
            <w:r>
              <w:rPr>
                <w:rFonts w:ascii="Arial" w:hAnsi="Arial"/>
                <w:sz w:val="22"/>
                <w:szCs w:val="22"/>
                <w:lang w:val="en-US"/>
              </w:rPr>
              <w:t>Confirm that you are aware that you need to keep all data until after your research has completed or the end of your funding</w:t>
            </w:r>
          </w:p>
        </w:tc>
        <w:tc>
          <w:tcPr>
            <w:tcW w:w="2018" w:type="dxa"/>
            <w:gridSpan w:val="2"/>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660346EB">
            <w:pPr>
              <w:pStyle w:val="54"/>
              <w:jc w:val="center"/>
            </w:pPr>
            <w:r>
              <w:rPr>
                <w:rFonts w:ascii="MS Gothic" w:hAnsi="MS Gothic" w:eastAsia="MS Gothic" w:cs="MS Gothic"/>
                <w:b/>
                <w:bCs/>
                <w:lang w:val="en-US"/>
              </w:rPr>
              <w:t>☑</w:t>
            </w:r>
          </w:p>
        </w:tc>
      </w:tr>
    </w:tbl>
    <w:p w14:paraId="5EFFE1DE">
      <w:pPr>
        <w:pStyle w:val="54"/>
        <w:widowControl w:val="0"/>
      </w:pPr>
    </w:p>
    <w:p w14:paraId="1988F86A">
      <w:pPr>
        <w:pStyle w:val="54"/>
        <w:rPr>
          <w:rFonts w:ascii="Arial" w:hAnsi="Arial" w:eastAsia="Arial" w:cs="Arial"/>
          <w:b/>
          <w:bCs/>
          <w:sz w:val="22"/>
          <w:szCs w:val="22"/>
        </w:rPr>
      </w:pPr>
    </w:p>
    <w:p w14:paraId="36AEAA2A">
      <w:pPr>
        <w:pStyle w:val="54"/>
        <w:spacing w:after="240"/>
        <w:jc w:val="both"/>
        <w:rPr>
          <w:rFonts w:ascii="Arial" w:hAnsi="Arial" w:eastAsia="Arial" w:cs="Arial"/>
          <w:b/>
          <w:bCs/>
          <w:sz w:val="22"/>
          <w:szCs w:val="22"/>
        </w:rPr>
      </w:pPr>
    </w:p>
    <w:p w14:paraId="65C2D4D0">
      <w:pPr>
        <w:pStyle w:val="54"/>
        <w:spacing w:after="240"/>
        <w:jc w:val="both"/>
        <w:rPr>
          <w:rFonts w:ascii="Arial" w:hAnsi="Arial" w:eastAsia="Arial" w:cs="Arial"/>
          <w:b/>
          <w:bCs/>
          <w:sz w:val="22"/>
          <w:szCs w:val="22"/>
        </w:rPr>
      </w:pPr>
      <w:r>
        <w:rPr>
          <w:rFonts w:ascii="Arial" w:hAnsi="Arial"/>
          <w:b/>
          <w:bCs/>
          <w:sz w:val="22"/>
          <w:szCs w:val="22"/>
          <w:lang w:val="en-US"/>
        </w:rPr>
        <w:t>SECTION I: Use of AI tools</w:t>
      </w:r>
    </w:p>
    <w:tbl>
      <w:tblPr>
        <w:tblStyle w:val="12"/>
        <w:tblW w:w="10487"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51"/>
        <w:gridCol w:w="6840"/>
        <w:gridCol w:w="980"/>
        <w:gridCol w:w="1109"/>
        <w:gridCol w:w="1007"/>
      </w:tblGrid>
      <w:tr w14:paraId="55C846C0">
        <w:trPr>
          <w:trHeight w:val="1923" w:hRule="atLeast"/>
        </w:trPr>
        <w:tc>
          <w:tcPr>
            <w:tcW w:w="7391"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14:paraId="7E6B1B4E">
            <w:pPr>
              <w:pStyle w:val="54"/>
              <w:jc w:val="both"/>
              <w:rPr>
                <w:rFonts w:ascii="Arial" w:hAnsi="Arial" w:eastAsia="Arial" w:cs="Arial"/>
                <w:b/>
                <w:bCs/>
                <w:sz w:val="22"/>
                <w:szCs w:val="22"/>
              </w:rPr>
            </w:pPr>
            <w:r>
              <w:rPr>
                <w:rFonts w:ascii="Arial" w:hAnsi="Arial"/>
                <w:b/>
                <w:bCs/>
                <w:sz w:val="22"/>
                <w:szCs w:val="22"/>
                <w:lang w:val="en-US"/>
              </w:rPr>
              <w:t>Use of generative AI and other AI-based tools</w:t>
            </w:r>
          </w:p>
          <w:p w14:paraId="6E03872E">
            <w:pPr>
              <w:pStyle w:val="54"/>
              <w:jc w:val="both"/>
              <w:rPr>
                <w:rFonts w:ascii="Arial" w:hAnsi="Arial" w:eastAsia="Arial" w:cs="Arial"/>
                <w:sz w:val="22"/>
                <w:szCs w:val="22"/>
              </w:rPr>
            </w:pPr>
            <w:r>
              <w:rPr>
                <w:rFonts w:ascii="Arial" w:hAnsi="Arial"/>
                <w:sz w:val="22"/>
                <w:szCs w:val="22"/>
                <w:lang w:val="en-U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865D5B1">
            <w:pPr>
              <w:pStyle w:val="54"/>
              <w:jc w:val="both"/>
              <w:rPr>
                <w:rFonts w:ascii="Arial" w:hAnsi="Arial" w:eastAsia="Arial" w:cs="Arial"/>
                <w:sz w:val="22"/>
                <w:szCs w:val="22"/>
                <w:lang w:val="en-US"/>
              </w:rPr>
            </w:pPr>
          </w:p>
          <w:p w14:paraId="15C3A306">
            <w:pPr>
              <w:pStyle w:val="54"/>
              <w:jc w:val="both"/>
            </w:pPr>
            <w:r>
              <w:rPr>
                <w:rFonts w:ascii="Arial" w:hAnsi="Arial"/>
                <w:sz w:val="22"/>
                <w:szCs w:val="22"/>
                <w:lang w:val="en-US"/>
              </w:rPr>
              <w:t>Will the research use AI tools to do any of the following:</w:t>
            </w:r>
          </w:p>
        </w:tc>
        <w:tc>
          <w:tcPr>
            <w:tcW w:w="98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D51C7BE">
            <w:pPr>
              <w:pStyle w:val="54"/>
              <w:jc w:val="center"/>
            </w:pPr>
            <w:r>
              <w:rPr>
                <w:rFonts w:ascii="Arial" w:hAnsi="Arial"/>
                <w:b/>
                <w:bCs/>
                <w:sz w:val="22"/>
                <w:szCs w:val="22"/>
                <w:lang w:val="en-US"/>
              </w:rPr>
              <w:t>YES</w:t>
            </w:r>
          </w:p>
        </w:tc>
        <w:tc>
          <w:tcPr>
            <w:tcW w:w="1109"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5687E19">
            <w:pPr>
              <w:pStyle w:val="54"/>
              <w:jc w:val="center"/>
            </w:pPr>
            <w:r>
              <w:rPr>
                <w:rFonts w:ascii="Arial" w:hAnsi="Arial"/>
                <w:b/>
                <w:bCs/>
                <w:sz w:val="22"/>
                <w:szCs w:val="22"/>
                <w:lang w:val="en-US"/>
              </w:rPr>
              <w:t>NO</w:t>
            </w:r>
          </w:p>
        </w:tc>
        <w:tc>
          <w:tcPr>
            <w:tcW w:w="100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4BA2FCA">
            <w:pPr>
              <w:pStyle w:val="54"/>
              <w:jc w:val="center"/>
            </w:pPr>
            <w:r>
              <w:rPr>
                <w:rFonts w:ascii="Arial" w:hAnsi="Arial"/>
                <w:b/>
                <w:bCs/>
                <w:sz w:val="22"/>
                <w:szCs w:val="22"/>
                <w:lang w:val="en-US"/>
              </w:rPr>
              <w:t>N/A</w:t>
            </w:r>
          </w:p>
        </w:tc>
      </w:tr>
      <w:tr w14:paraId="784D5154">
        <w:trPr>
          <w:trHeight w:val="279"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F4F22F1">
            <w:pPr>
              <w:pStyle w:val="54"/>
              <w:jc w:val="center"/>
            </w:pPr>
            <w:r>
              <w:rPr>
                <w:rFonts w:ascii="Arial" w:hAnsi="Arial"/>
                <w:sz w:val="22"/>
                <w:szCs w:val="22"/>
                <w:lang w:val="en-US"/>
              </w:rPr>
              <w:t>1</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9FC66AC">
            <w:pPr>
              <w:pStyle w:val="54"/>
            </w:pPr>
            <w:r>
              <w:rPr>
                <w:rFonts w:ascii="Arial" w:hAnsi="Arial"/>
                <w:sz w:val="22"/>
                <w:szCs w:val="22"/>
                <w:lang w:val="en-US"/>
              </w:rPr>
              <w:t>Capture data?</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2FB965A">
            <w:pPr>
              <w:pStyle w:val="54"/>
              <w:jc w:val="center"/>
            </w:pPr>
            <w:r>
              <w:rPr>
                <w:rFonts w:ascii="MS Gothic" w:hAnsi="MS Gothic" w:eastAsia="MS Gothic" w:cs="MS Gothic"/>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8C3A136">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40C5608">
            <w:pPr>
              <w:pStyle w:val="54"/>
              <w:jc w:val="center"/>
            </w:pPr>
            <w:r>
              <w:rPr>
                <w:rFonts w:ascii="Segoe UI Symbol" w:hAnsi="Segoe UI Symbol" w:eastAsia="Segoe UI Symbol" w:cs="Segoe UI Symbol"/>
                <w:sz w:val="22"/>
                <w:szCs w:val="22"/>
                <w:lang w:val="en-US"/>
              </w:rPr>
              <w:t>☐</w:t>
            </w:r>
          </w:p>
        </w:tc>
      </w:tr>
      <w:tr w14:paraId="5330501E">
        <w:trPr>
          <w:trHeight w:val="243"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935EBAA">
            <w:pPr>
              <w:pStyle w:val="54"/>
              <w:jc w:val="center"/>
            </w:pPr>
            <w:r>
              <w:rPr>
                <w:rFonts w:ascii="Arial" w:hAnsi="Arial"/>
                <w:sz w:val="22"/>
                <w:szCs w:val="22"/>
                <w:lang w:val="en-US"/>
              </w:rPr>
              <w:t>2</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49EC52E">
            <w:pPr>
              <w:pStyle w:val="54"/>
            </w:pPr>
            <w:r>
              <w:rPr>
                <w:rFonts w:ascii="Arial" w:hAnsi="Arial"/>
                <w:sz w:val="22"/>
                <w:szCs w:val="22"/>
                <w:lang w:val="en-US"/>
              </w:rPr>
              <w:t>Generate and/or edit text?</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9FF492E">
            <w:pPr>
              <w:pStyle w:val="54"/>
              <w:jc w:val="center"/>
            </w:pPr>
            <w:r>
              <w:rPr>
                <w:rFonts w:ascii="MS Gothic" w:hAnsi="MS Gothic" w:eastAsia="MS Gothic" w:cs="MS Gothic"/>
                <w:b/>
                <w:bCs/>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1A750E3">
            <w:pPr>
              <w:pStyle w:val="54"/>
              <w:jc w:val="center"/>
            </w:pPr>
            <w:r>
              <w:rPr>
                <w:rFonts w:ascii="Segoe UI Symbol" w:hAnsi="Segoe UI Symbol" w:eastAsia="Segoe UI Symbol" w:cs="Segoe UI Symbol"/>
                <w:sz w:val="22"/>
                <w:szCs w:val="22"/>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AD6F2DF">
            <w:pPr>
              <w:pStyle w:val="54"/>
              <w:jc w:val="center"/>
            </w:pPr>
            <w:r>
              <w:rPr>
                <w:rFonts w:ascii="Segoe UI Symbol" w:hAnsi="Segoe UI Symbol" w:eastAsia="Segoe UI Symbol" w:cs="Segoe UI Symbol"/>
                <w:sz w:val="22"/>
                <w:szCs w:val="22"/>
                <w:lang w:val="en-US"/>
              </w:rPr>
              <w:t>☐</w:t>
            </w:r>
          </w:p>
        </w:tc>
      </w:tr>
      <w:tr w14:paraId="47D6E36D">
        <w:trPr>
          <w:trHeight w:val="243"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F7E7985">
            <w:pPr>
              <w:pStyle w:val="54"/>
              <w:jc w:val="center"/>
            </w:pPr>
            <w:r>
              <w:rPr>
                <w:rFonts w:ascii="Arial" w:hAnsi="Arial"/>
                <w:sz w:val="22"/>
                <w:szCs w:val="22"/>
                <w:lang w:val="en-US"/>
              </w:rPr>
              <w:t>3</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208CF5D">
            <w:pPr>
              <w:pStyle w:val="54"/>
            </w:pPr>
            <w:r>
              <w:rPr>
                <w:rFonts w:ascii="Arial" w:hAnsi="Arial"/>
                <w:sz w:val="22"/>
                <w:szCs w:val="22"/>
                <w:lang w:val="en-US"/>
              </w:rPr>
              <w:t>Generate graphics?</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707F9EE">
            <w:pPr>
              <w:pStyle w:val="54"/>
              <w:jc w:val="center"/>
            </w:pPr>
            <w:r>
              <w:rPr>
                <w:rFonts w:ascii="MS Gothic" w:hAnsi="MS Gothic" w:eastAsia="MS Gothic" w:cs="MS Gothic"/>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80BDC74">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A15226F">
            <w:pPr>
              <w:pStyle w:val="54"/>
              <w:jc w:val="center"/>
            </w:pPr>
            <w:r>
              <w:rPr>
                <w:rFonts w:ascii="Segoe UI Symbol" w:hAnsi="Segoe UI Symbol" w:eastAsia="Segoe UI Symbol" w:cs="Segoe UI Symbol"/>
                <w:sz w:val="22"/>
                <w:szCs w:val="22"/>
                <w:lang w:val="en-US"/>
              </w:rPr>
              <w:t>☐</w:t>
            </w:r>
          </w:p>
        </w:tc>
      </w:tr>
      <w:tr w14:paraId="12FAEDB0">
        <w:trPr>
          <w:trHeight w:val="243"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9DFA40B">
            <w:pPr>
              <w:pStyle w:val="54"/>
              <w:jc w:val="center"/>
            </w:pPr>
            <w:r>
              <w:rPr>
                <w:rFonts w:ascii="Arial" w:hAnsi="Arial"/>
                <w:sz w:val="22"/>
                <w:szCs w:val="22"/>
                <w:lang w:val="en-US"/>
              </w:rPr>
              <w:t>4</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3A4EC80">
            <w:pPr>
              <w:pStyle w:val="54"/>
            </w:pPr>
            <w:r>
              <w:rPr>
                <w:rFonts w:ascii="Arial" w:hAnsi="Arial"/>
                <w:sz w:val="22"/>
                <w:szCs w:val="22"/>
                <w:lang w:val="en-US"/>
              </w:rPr>
              <w:t>Generate video?</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911AE4F">
            <w:pPr>
              <w:pStyle w:val="54"/>
              <w:jc w:val="center"/>
            </w:pPr>
            <w:r>
              <w:rPr>
                <w:rFonts w:ascii="MS Gothic" w:hAnsi="MS Gothic" w:eastAsia="MS Gothic" w:cs="MS Gothic"/>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658F54D">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DC75453">
            <w:pPr>
              <w:pStyle w:val="54"/>
              <w:jc w:val="center"/>
            </w:pPr>
            <w:r>
              <w:rPr>
                <w:rFonts w:ascii="Segoe UI Symbol" w:hAnsi="Segoe UI Symbol" w:eastAsia="Segoe UI Symbol" w:cs="Segoe UI Symbol"/>
                <w:sz w:val="22"/>
                <w:szCs w:val="22"/>
                <w:lang w:val="en-US"/>
              </w:rPr>
              <w:t>☐</w:t>
            </w:r>
          </w:p>
        </w:tc>
      </w:tr>
      <w:tr w14:paraId="2ABB8D33">
        <w:trPr>
          <w:trHeight w:val="243"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F7D4464">
            <w:pPr>
              <w:pStyle w:val="54"/>
              <w:jc w:val="center"/>
            </w:pPr>
            <w:r>
              <w:rPr>
                <w:rFonts w:ascii="Arial" w:hAnsi="Arial"/>
                <w:sz w:val="22"/>
                <w:szCs w:val="22"/>
                <w:lang w:val="en-US"/>
              </w:rPr>
              <w:t>5</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3B586CC">
            <w:pPr>
              <w:pStyle w:val="54"/>
            </w:pPr>
            <w:r>
              <w:rPr>
                <w:rFonts w:ascii="Arial" w:hAnsi="Arial"/>
                <w:sz w:val="22"/>
                <w:szCs w:val="22"/>
                <w:lang w:val="en-US"/>
              </w:rPr>
              <w:t>Generate sound/music?</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6010B1D">
            <w:pPr>
              <w:pStyle w:val="54"/>
              <w:jc w:val="center"/>
            </w:pPr>
            <w:r>
              <w:rPr>
                <w:rFonts w:ascii="MS Gothic" w:hAnsi="MS Gothic" w:eastAsia="MS Gothic" w:cs="MS Gothic"/>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1142A8F">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DB16D51">
            <w:pPr>
              <w:pStyle w:val="54"/>
              <w:jc w:val="center"/>
            </w:pPr>
            <w:r>
              <w:rPr>
                <w:rFonts w:ascii="Segoe UI Symbol" w:hAnsi="Segoe UI Symbol" w:eastAsia="Segoe UI Symbol" w:cs="Segoe UI Symbol"/>
                <w:sz w:val="22"/>
                <w:szCs w:val="22"/>
                <w:lang w:val="en-US"/>
              </w:rPr>
              <w:t>☐</w:t>
            </w:r>
          </w:p>
        </w:tc>
      </w:tr>
      <w:tr w14:paraId="56C12232">
        <w:trPr>
          <w:trHeight w:val="279"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824B005">
            <w:pPr>
              <w:pStyle w:val="54"/>
              <w:jc w:val="center"/>
            </w:pPr>
            <w:r>
              <w:rPr>
                <w:rFonts w:ascii="Arial" w:hAnsi="Arial"/>
                <w:sz w:val="22"/>
                <w:szCs w:val="22"/>
                <w:lang w:val="en-US"/>
              </w:rPr>
              <w:t>6</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281AF7F">
            <w:pPr>
              <w:pStyle w:val="54"/>
            </w:pPr>
            <w:r>
              <w:rPr>
                <w:rFonts w:ascii="Arial" w:hAnsi="Arial"/>
                <w:sz w:val="22"/>
                <w:szCs w:val="22"/>
                <w:lang w:val="en-US"/>
              </w:rPr>
              <w:t>Generate code?</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4366265">
            <w:pPr>
              <w:pStyle w:val="54"/>
              <w:jc w:val="center"/>
            </w:pPr>
            <w:r>
              <w:rPr>
                <w:rFonts w:ascii="Segoe UI Symbol" w:hAnsi="Segoe UI Symbol" w:eastAsia="Segoe UI Symbol" w:cs="Segoe UI Symbol"/>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5698C91">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5D426247">
            <w:pPr>
              <w:pStyle w:val="54"/>
              <w:jc w:val="center"/>
            </w:pPr>
            <w:r>
              <w:rPr>
                <w:rFonts w:ascii="Segoe UI Symbol" w:hAnsi="Segoe UI Symbol" w:eastAsia="Segoe UI Symbol" w:cs="Segoe UI Symbol"/>
                <w:sz w:val="22"/>
                <w:szCs w:val="22"/>
                <w:lang w:val="en-US"/>
              </w:rPr>
              <w:t>☐</w:t>
            </w:r>
          </w:p>
        </w:tc>
      </w:tr>
      <w:tr w14:paraId="3179CCD8">
        <w:trPr>
          <w:trHeight w:val="243"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A49C14A">
            <w:pPr>
              <w:pStyle w:val="54"/>
              <w:jc w:val="center"/>
            </w:pPr>
            <w:r>
              <w:rPr>
                <w:rFonts w:ascii="Arial" w:hAnsi="Arial"/>
                <w:sz w:val="22"/>
                <w:szCs w:val="22"/>
                <w:lang w:val="en-US"/>
              </w:rPr>
              <w:t>7</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A8907A8">
            <w:pPr>
              <w:pStyle w:val="54"/>
            </w:pPr>
            <w:r>
              <w:rPr>
                <w:rFonts w:ascii="Arial" w:hAnsi="Arial"/>
                <w:sz w:val="22"/>
                <w:szCs w:val="22"/>
                <w:lang w:val="en-US"/>
              </w:rPr>
              <w:t>Generate synthetic data?</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5F76E5B">
            <w:pPr>
              <w:pStyle w:val="54"/>
              <w:jc w:val="center"/>
            </w:pPr>
            <w:r>
              <w:rPr>
                <w:rFonts w:ascii="Segoe UI Symbol" w:hAnsi="Segoe UI Symbol" w:eastAsia="Segoe UI Symbol" w:cs="Segoe UI Symbol"/>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05166FC">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DE8A7CB">
            <w:pPr>
              <w:pStyle w:val="54"/>
              <w:jc w:val="center"/>
            </w:pPr>
            <w:r>
              <w:rPr>
                <w:rFonts w:ascii="Segoe UI Symbol" w:hAnsi="Segoe UI Symbol" w:eastAsia="Segoe UI Symbol" w:cs="Segoe UI Symbol"/>
                <w:sz w:val="22"/>
                <w:szCs w:val="22"/>
                <w:lang w:val="en-US"/>
              </w:rPr>
              <w:t>☐</w:t>
            </w:r>
          </w:p>
        </w:tc>
      </w:tr>
      <w:tr w14:paraId="44795D38">
        <w:trPr>
          <w:trHeight w:val="243"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8B459DB">
            <w:pPr>
              <w:pStyle w:val="54"/>
              <w:jc w:val="center"/>
            </w:pPr>
            <w:r>
              <w:rPr>
                <w:rFonts w:ascii="Arial" w:hAnsi="Arial"/>
                <w:sz w:val="22"/>
                <w:szCs w:val="22"/>
                <w:lang w:val="en-US"/>
              </w:rPr>
              <w:t>8</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9E7E2CD">
            <w:pPr>
              <w:pStyle w:val="54"/>
            </w:pPr>
            <w:r>
              <w:rPr>
                <w:rFonts w:ascii="Arial" w:hAnsi="Arial"/>
                <w:sz w:val="22"/>
                <w:szCs w:val="22"/>
                <w:lang w:val="en-US"/>
              </w:rPr>
              <w:t>Analyse data?</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FF4ADD0">
            <w:pPr>
              <w:pStyle w:val="54"/>
              <w:jc w:val="center"/>
            </w:pPr>
            <w:r>
              <w:rPr>
                <w:rFonts w:ascii="Segoe UI Symbol" w:hAnsi="Segoe UI Symbol" w:eastAsia="Segoe UI Symbol" w:cs="Segoe UI Symbol"/>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8BCC826">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D572D7F">
            <w:pPr>
              <w:pStyle w:val="54"/>
              <w:jc w:val="center"/>
            </w:pPr>
            <w:r>
              <w:rPr>
                <w:rFonts w:ascii="Segoe UI Symbol" w:hAnsi="Segoe UI Symbol" w:eastAsia="Segoe UI Symbol" w:cs="Segoe UI Symbol"/>
                <w:sz w:val="22"/>
                <w:szCs w:val="22"/>
                <w:lang w:val="en-US"/>
              </w:rPr>
              <w:t>☐</w:t>
            </w:r>
          </w:p>
        </w:tc>
      </w:tr>
      <w:tr w14:paraId="761A91B9">
        <w:trPr>
          <w:trHeight w:val="243"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EF9FF63">
            <w:pPr>
              <w:pStyle w:val="54"/>
              <w:jc w:val="center"/>
            </w:pPr>
            <w:r>
              <w:rPr>
                <w:rFonts w:ascii="Arial" w:hAnsi="Arial"/>
                <w:sz w:val="22"/>
                <w:szCs w:val="22"/>
                <w:lang w:val="en-US"/>
              </w:rPr>
              <w:t>9</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7C77532">
            <w:pPr>
              <w:pStyle w:val="54"/>
            </w:pPr>
            <w:r>
              <w:rPr>
                <w:rFonts w:ascii="Arial" w:hAnsi="Arial"/>
                <w:sz w:val="22"/>
                <w:szCs w:val="22"/>
                <w:lang w:val="en-US"/>
              </w:rPr>
              <w:t>Analyse personal or sensitive data?</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19E7DF4D">
            <w:pPr>
              <w:pStyle w:val="54"/>
              <w:jc w:val="center"/>
            </w:pPr>
            <w:r>
              <w:rPr>
                <w:rFonts w:ascii="MS Gothic" w:hAnsi="MS Gothic" w:eastAsia="MS Gothic" w:cs="MS Gothic"/>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F6E422B">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3ED6A79">
            <w:pPr>
              <w:pStyle w:val="54"/>
              <w:jc w:val="center"/>
            </w:pPr>
            <w:r>
              <w:rPr>
                <w:rFonts w:ascii="Segoe UI Symbol" w:hAnsi="Segoe UI Symbol" w:eastAsia="Segoe UI Symbol" w:cs="Segoe UI Symbol"/>
                <w:sz w:val="22"/>
                <w:szCs w:val="22"/>
                <w:lang w:val="en-US"/>
              </w:rPr>
              <w:t>☐</w:t>
            </w:r>
          </w:p>
        </w:tc>
      </w:tr>
      <w:tr w14:paraId="5B7E24BB">
        <w:trPr>
          <w:trHeight w:val="279"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4556A74">
            <w:pPr>
              <w:pStyle w:val="54"/>
              <w:jc w:val="center"/>
            </w:pPr>
            <w:r>
              <w:rPr>
                <w:rFonts w:ascii="Arial" w:hAnsi="Arial"/>
                <w:sz w:val="22"/>
                <w:szCs w:val="22"/>
                <w:lang w:val="en-US"/>
              </w:rPr>
              <w:t>10</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BE1D4E9">
            <w:pPr>
              <w:pStyle w:val="54"/>
            </w:pPr>
            <w:r>
              <w:rPr>
                <w:rFonts w:ascii="Arial" w:hAnsi="Arial"/>
                <w:sz w:val="22"/>
                <w:szCs w:val="22"/>
                <w:lang w:val="en-US"/>
              </w:rPr>
              <w:t>Classify data?</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71B1B05B">
            <w:pPr>
              <w:pStyle w:val="54"/>
              <w:jc w:val="center"/>
            </w:pPr>
            <w:r>
              <w:rPr>
                <w:rFonts w:ascii="Segoe UI Symbol" w:hAnsi="Segoe UI Symbol" w:eastAsia="Segoe UI Symbol" w:cs="Segoe UI Symbol"/>
                <w:sz w:val="22"/>
                <w:szCs w:val="22"/>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48C7785D">
            <w:pPr>
              <w:pStyle w:val="54"/>
              <w:jc w:val="center"/>
            </w:pPr>
            <w:r>
              <w:rPr>
                <w:rFonts w:ascii="MS Gothic" w:hAnsi="MS Gothic" w:eastAsia="MS Gothic" w:cs="MS Gothic"/>
                <w:b/>
                <w:bCs/>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27615171">
            <w:pPr>
              <w:pStyle w:val="54"/>
              <w:jc w:val="center"/>
            </w:pPr>
            <w:r>
              <w:rPr>
                <w:rFonts w:ascii="Segoe UI Symbol" w:hAnsi="Segoe UI Symbol" w:eastAsia="Segoe UI Symbol" w:cs="Segoe UI Symbol"/>
                <w:sz w:val="22"/>
                <w:szCs w:val="22"/>
                <w:lang w:val="en-US"/>
              </w:rPr>
              <w:t>☐</w:t>
            </w:r>
          </w:p>
        </w:tc>
      </w:tr>
      <w:tr w14:paraId="3CD3A824">
        <w:trPr>
          <w:trHeight w:val="279" w:hRule="atLeast"/>
        </w:trPr>
        <w:tc>
          <w:tcPr>
            <w:tcW w:w="5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153FB1E">
            <w:pPr>
              <w:pStyle w:val="54"/>
              <w:jc w:val="center"/>
            </w:pPr>
            <w:r>
              <w:rPr>
                <w:rFonts w:ascii="Arial" w:hAnsi="Arial"/>
                <w:sz w:val="22"/>
                <w:szCs w:val="22"/>
                <w:lang w:val="en-US"/>
              </w:rPr>
              <w:t>11</w:t>
            </w:r>
          </w:p>
        </w:tc>
        <w:tc>
          <w:tcPr>
            <w:tcW w:w="684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DD577ED">
            <w:pPr>
              <w:pStyle w:val="54"/>
            </w:pPr>
            <w:r>
              <w:rPr>
                <w:rFonts w:ascii="Arial" w:hAnsi="Arial"/>
                <w:sz w:val="22"/>
                <w:szCs w:val="22"/>
                <w:lang w:val="en-US"/>
              </w:rPr>
              <w:t>Do you intend to use the free version of any AI tools?</w:t>
            </w:r>
          </w:p>
        </w:tc>
        <w:tc>
          <w:tcPr>
            <w:tcW w:w="9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6166AA9E">
            <w:pPr>
              <w:pStyle w:val="54"/>
              <w:jc w:val="center"/>
            </w:pPr>
            <w:r>
              <w:rPr>
                <w:rFonts w:ascii="MS Gothic" w:hAnsi="MS Gothic" w:eastAsia="MS Gothic" w:cs="MS Gothic"/>
                <w:b/>
                <w:bCs/>
                <w:lang w:val="en-US"/>
              </w:rPr>
              <w:t>☑</w:t>
            </w:r>
          </w:p>
        </w:tc>
        <w:tc>
          <w:tcPr>
            <w:tcW w:w="1109"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3AAC6257">
            <w:pPr>
              <w:pStyle w:val="54"/>
              <w:jc w:val="center"/>
            </w:pPr>
            <w:r>
              <w:rPr>
                <w:rFonts w:ascii="Segoe UI Symbol" w:hAnsi="Segoe UI Symbol" w:eastAsia="Segoe UI Symbol" w:cs="Segoe UI Symbol"/>
                <w:sz w:val="22"/>
                <w:szCs w:val="22"/>
                <w:lang w:val="en-US"/>
              </w:rPr>
              <w:t>☐</w:t>
            </w:r>
          </w:p>
        </w:tc>
        <w:tc>
          <w:tcPr>
            <w:tcW w:w="100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14:paraId="02456F83">
            <w:pPr>
              <w:pStyle w:val="54"/>
              <w:jc w:val="center"/>
            </w:pPr>
            <w:r>
              <w:rPr>
                <w:rFonts w:ascii="Segoe UI Symbol" w:hAnsi="Segoe UI Symbol" w:eastAsia="Segoe UI Symbol" w:cs="Segoe UI Symbol"/>
                <w:sz w:val="22"/>
                <w:szCs w:val="22"/>
                <w:lang w:val="en-US"/>
              </w:rPr>
              <w:t>☐</w:t>
            </w:r>
          </w:p>
        </w:tc>
      </w:tr>
      <w:tr w14:paraId="030D901F">
        <w:trPr>
          <w:trHeight w:val="483" w:hRule="atLeast"/>
        </w:trPr>
        <w:tc>
          <w:tcPr>
            <w:tcW w:w="10487" w:type="dxa"/>
            <w:gridSpan w:val="5"/>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EE645B9">
            <w:pPr>
              <w:pStyle w:val="54"/>
            </w:pPr>
            <w:r>
              <w:rPr>
                <w:rFonts w:ascii="Arial" w:hAnsi="Arial"/>
                <w:sz w:val="22"/>
                <w:szCs w:val="22"/>
                <w:lang w:val="en-US"/>
              </w:rPr>
              <w:t xml:space="preserve">If you have answered </w:t>
            </w:r>
            <w:r>
              <w:rPr>
                <w:rFonts w:ascii="Arial" w:hAnsi="Arial"/>
                <w:b/>
                <w:bCs/>
                <w:sz w:val="22"/>
                <w:szCs w:val="22"/>
                <w:lang w:val="en-US"/>
              </w:rPr>
              <w:t>YES</w:t>
            </w:r>
            <w:r>
              <w:rPr>
                <w:rFonts w:ascii="Arial" w:hAnsi="Arial"/>
                <w:sz w:val="22"/>
                <w:szCs w:val="22"/>
                <w:lang w:val="en-US"/>
              </w:rPr>
              <w:t xml:space="preserve"> to any of questions O1-O11, please provide justification detailing why this is necessary for the research.  </w:t>
            </w:r>
          </w:p>
        </w:tc>
      </w:tr>
      <w:tr w14:paraId="663390E6">
        <w:trPr>
          <w:trHeight w:val="1364" w:hRule="atLeast"/>
        </w:trPr>
        <w:tc>
          <w:tcPr>
            <w:tcW w:w="551"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3A5E946F">
            <w:pPr>
              <w:pStyle w:val="54"/>
              <w:jc w:val="center"/>
            </w:pPr>
            <w:r>
              <w:rPr>
                <w:rFonts w:ascii="Arial" w:hAnsi="Arial"/>
                <w:sz w:val="22"/>
                <w:szCs w:val="22"/>
                <w:lang w:val="en-US"/>
              </w:rPr>
              <w:t>12</w:t>
            </w:r>
          </w:p>
        </w:tc>
        <w:tc>
          <w:tcPr>
            <w:tcW w:w="9936" w:type="dxa"/>
            <w:gridSpan w:val="4"/>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59712F61">
            <w:pPr>
              <w:pStyle w:val="54"/>
            </w:pPr>
            <w:r>
              <w:rPr>
                <w:rFonts w:ascii="Arial" w:hAnsi="Arial"/>
                <w:i/>
                <w:iCs/>
                <w:color w:val="808080"/>
                <w:sz w:val="18"/>
                <w:szCs w:val="18"/>
                <w:u w:color="808080"/>
                <w:lang w:val="en-US"/>
              </w:rPr>
              <w:t>(this box should expand as you type)</w:t>
            </w:r>
          </w:p>
        </w:tc>
      </w:tr>
    </w:tbl>
    <w:p w14:paraId="634AC0A3">
      <w:pPr>
        <w:pStyle w:val="54"/>
        <w:widowControl w:val="0"/>
        <w:spacing w:after="240"/>
        <w:jc w:val="both"/>
        <w:rPr>
          <w:rFonts w:ascii="Arial" w:hAnsi="Arial" w:eastAsia="Arial" w:cs="Arial"/>
          <w:b/>
          <w:bCs/>
          <w:sz w:val="22"/>
          <w:szCs w:val="22"/>
        </w:rPr>
      </w:pPr>
    </w:p>
    <w:p w14:paraId="45CD1B6F">
      <w:pPr>
        <w:pStyle w:val="54"/>
        <w:rPr>
          <w:rFonts w:ascii="Arial" w:hAnsi="Arial" w:eastAsia="Arial" w:cs="Arial"/>
          <w:b/>
          <w:bCs/>
          <w:sz w:val="22"/>
          <w:szCs w:val="22"/>
        </w:rPr>
      </w:pPr>
    </w:p>
    <w:p w14:paraId="68A25294">
      <w:pPr>
        <w:pStyle w:val="54"/>
        <w:rPr>
          <w:rFonts w:ascii="Arial" w:hAnsi="Arial" w:eastAsia="Arial" w:cs="Arial"/>
          <w:b/>
          <w:bCs/>
          <w:sz w:val="22"/>
          <w:szCs w:val="22"/>
        </w:rPr>
      </w:pPr>
    </w:p>
    <w:p w14:paraId="3646EF21">
      <w:pPr>
        <w:pStyle w:val="54"/>
        <w:spacing w:after="240"/>
        <w:jc w:val="both"/>
        <w:rPr>
          <w:rFonts w:ascii="Arial" w:hAnsi="Arial" w:eastAsia="Arial" w:cs="Arial"/>
          <w:b/>
          <w:bCs/>
          <w:sz w:val="22"/>
          <w:szCs w:val="22"/>
        </w:rPr>
      </w:pPr>
      <w:r>
        <w:rPr>
          <w:rFonts w:ascii="Arial" w:hAnsi="Arial"/>
          <w:b/>
          <w:bCs/>
          <w:sz w:val="22"/>
          <w:szCs w:val="22"/>
        </w:rPr>
        <w:t>SECTION J: Declaration</w:t>
      </w:r>
    </w:p>
    <w:tbl>
      <w:tblPr>
        <w:tblStyle w:val="12"/>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108" w:type="dxa"/>
          <w:bottom w:w="0" w:type="dxa"/>
          <w:right w:w="108" w:type="dxa"/>
        </w:tblCellMar>
      </w:tblPr>
      <w:tblGrid>
        <w:gridCol w:w="562"/>
        <w:gridCol w:w="2835"/>
        <w:gridCol w:w="4949"/>
        <w:gridCol w:w="2139"/>
      </w:tblGrid>
      <w:tr w14:paraId="5E96CEA3">
        <w:trPr>
          <w:trHeight w:val="16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A508606"/>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E32877E">
            <w:pPr>
              <w:pStyle w:val="54"/>
              <w:jc w:val="both"/>
              <w:rPr>
                <w:rFonts w:ascii="Arial" w:hAnsi="Arial" w:eastAsia="Arial" w:cs="Arial"/>
                <w:b/>
                <w:bCs/>
                <w:sz w:val="22"/>
                <w:szCs w:val="22"/>
              </w:rPr>
            </w:pPr>
            <w:r>
              <w:rPr>
                <w:rFonts w:ascii="Arial" w:hAnsi="Arial"/>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lang w:val="en-US"/>
              </w:rPr>
              <w:t>.</w:t>
            </w:r>
          </w:p>
          <w:p w14:paraId="5384DB84">
            <w:pPr>
              <w:pStyle w:val="54"/>
              <w:jc w:val="both"/>
              <w:rPr>
                <w:rFonts w:ascii="Arial" w:hAnsi="Arial" w:eastAsia="Arial" w:cs="Arial"/>
                <w:b/>
                <w:bCs/>
                <w:sz w:val="22"/>
                <w:szCs w:val="22"/>
                <w:lang w:val="en-US"/>
              </w:rPr>
            </w:pPr>
          </w:p>
          <w:p w14:paraId="2AE642A0">
            <w:pPr>
              <w:pStyle w:val="54"/>
              <w:jc w:val="both"/>
            </w:pPr>
            <w:r>
              <w:rPr>
                <w:rFonts w:ascii="Arial" w:hAnsi="Arial"/>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59"/>
                <w:rFonts w:ascii="Arial" w:hAnsi="Arial"/>
                <w:sz w:val="22"/>
                <w:szCs w:val="22"/>
              </w:rPr>
              <w:t>https://www.uwtsd.ac.uk/research/research-ethics/</w:t>
            </w:r>
            <w:r>
              <w:rPr>
                <w:rStyle w:val="59"/>
                <w:rFonts w:ascii="Arial" w:hAnsi="Arial"/>
                <w:sz w:val="22"/>
                <w:szCs w:val="22"/>
              </w:rPr>
              <w:fldChar w:fldCharType="end"/>
            </w:r>
            <w:r>
              <w:rPr>
                <w:rFonts w:ascii="Arial" w:hAnsi="Arial"/>
                <w:sz w:val="22"/>
                <w:szCs w:val="22"/>
                <w:lang w:val="en-US"/>
              </w:rPr>
              <w:t xml:space="preserve"> </w:t>
            </w:r>
          </w:p>
        </w:tc>
      </w:tr>
      <w:tr w14:paraId="6EB460D4">
        <w:trPr>
          <w:trHeight w:val="5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A822D3D">
            <w:pPr>
              <w:pStyle w:val="54"/>
              <w:spacing w:before="100" w:after="100"/>
              <w:jc w:val="center"/>
            </w:pPr>
            <w:r>
              <w:rPr>
                <w:rFonts w:ascii="Arial" w:hAnsi="Arial"/>
                <w:sz w:val="22"/>
                <w:szCs w:val="22"/>
                <w:lang w:val="en-US"/>
              </w:rPr>
              <w:t>1</w:t>
            </w:r>
          </w:p>
        </w:tc>
        <w:tc>
          <w:tcPr>
            <w:tcW w:w="283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F0E57D3">
            <w:pPr>
              <w:pStyle w:val="54"/>
              <w:spacing w:before="100" w:after="100"/>
            </w:pPr>
            <w:r>
              <w:rPr>
                <w:rFonts w:ascii="Arial" w:hAnsi="Arial"/>
                <w:b/>
                <w:bCs/>
                <w:sz w:val="22"/>
                <w:szCs w:val="22"/>
                <w:lang w:val="en-US"/>
              </w:rPr>
              <w:t>Signature of applicant:</w:t>
            </w:r>
          </w:p>
        </w:tc>
        <w:tc>
          <w:tcPr>
            <w:tcW w:w="4949"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744C0B3F"/>
        </w:tc>
        <w:tc>
          <w:tcPr>
            <w:tcW w:w="2139"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245868AC">
            <w:pPr>
              <w:pStyle w:val="54"/>
              <w:spacing w:before="100" w:after="100"/>
            </w:pPr>
            <w:r>
              <w:rPr>
                <w:rFonts w:ascii="Arial" w:hAnsi="Arial"/>
                <w:b/>
                <w:bCs/>
                <w:sz w:val="22"/>
                <w:szCs w:val="22"/>
                <w:lang w:val="en-US"/>
              </w:rPr>
              <w:t>Date:</w:t>
            </w:r>
          </w:p>
        </w:tc>
      </w:tr>
      <w:tr w14:paraId="110DFB9C">
        <w:trPr>
          <w:trHeight w:val="24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8F396C2">
            <w:pPr>
              <w:pStyle w:val="45"/>
              <w:ind w:left="0"/>
              <w:jc w:val="center"/>
            </w:pPr>
            <w:r>
              <w:rPr>
                <w:rFonts w:ascii="Arial" w:hAnsi="Arial"/>
              </w:rPr>
              <w:t>2</w:t>
            </w:r>
          </w:p>
        </w:tc>
        <w:tc>
          <w:tcPr>
            <w:tcW w:w="283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53EB6020">
            <w:pPr>
              <w:pStyle w:val="45"/>
              <w:ind w:left="0"/>
            </w:pPr>
            <w:r>
              <w:rPr>
                <w:rFonts w:ascii="Arial" w:hAnsi="Arial"/>
              </w:rPr>
              <w:t>Supervisor:</w:t>
            </w:r>
          </w:p>
        </w:tc>
        <w:tc>
          <w:tcPr>
            <w:tcW w:w="4949"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7D388B1"/>
        </w:tc>
        <w:tc>
          <w:tcPr>
            <w:tcW w:w="2139" w:type="dxa"/>
            <w:vMerge w:val="restart"/>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tcPr>
          <w:p w14:paraId="592F9257">
            <w:pPr>
              <w:pStyle w:val="45"/>
              <w:ind w:left="0"/>
            </w:pPr>
            <w:r>
              <w:rPr>
                <w:rFonts w:ascii="Arial" w:hAnsi="Arial"/>
                <w:b/>
                <w:bCs/>
              </w:rPr>
              <w:t>Date:</w:t>
            </w:r>
          </w:p>
        </w:tc>
      </w:tr>
      <w:tr w14:paraId="2A9BE4DD">
        <w:trPr>
          <w:trHeight w:val="483" w:hRule="atLeast"/>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07A47A4">
            <w:pPr>
              <w:pStyle w:val="45"/>
              <w:ind w:left="0"/>
              <w:jc w:val="center"/>
            </w:pPr>
            <w:r>
              <w:rPr>
                <w:rFonts w:ascii="Arial" w:hAnsi="Arial"/>
              </w:rPr>
              <w:t>3</w:t>
            </w:r>
          </w:p>
        </w:tc>
        <w:tc>
          <w:tcPr>
            <w:tcW w:w="283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E1B52B7">
            <w:pPr>
              <w:pStyle w:val="45"/>
              <w:ind w:left="0"/>
            </w:pPr>
            <w:r>
              <w:rPr>
                <w:rFonts w:ascii="Arial" w:hAnsi="Arial"/>
              </w:rPr>
              <w:t>Signature:</w:t>
            </w:r>
          </w:p>
        </w:tc>
        <w:tc>
          <w:tcPr>
            <w:tcW w:w="4949" w:type="dxa"/>
            <w:tcBorders>
              <w:top w:val="single" w:color="000000" w:sz="4" w:space="0"/>
              <w:left w:val="single" w:color="000000" w:sz="4" w:space="0"/>
              <w:bottom w:val="single" w:color="000000" w:sz="4" w:space="0"/>
              <w:right w:val="single" w:color="000000" w:sz="4" w:space="0"/>
            </w:tcBorders>
            <w:shd w:val="clear" w:color="auto" w:fill="CED7E7"/>
            <w:tcMar>
              <w:top w:w="80" w:type="dxa"/>
              <w:left w:w="80" w:type="dxa"/>
              <w:bottom w:w="80" w:type="dxa"/>
              <w:right w:w="80" w:type="dxa"/>
            </w:tcMar>
            <w:vAlign w:val="center"/>
          </w:tcPr>
          <w:p w14:paraId="09412527">
            <w:pPr>
              <w:pStyle w:val="45"/>
              <w:ind w:left="0"/>
            </w:pPr>
          </w:p>
        </w:tc>
        <w:tc>
          <w:tcPr>
            <w:tcW w:w="2139" w:type="dxa"/>
            <w:vMerge w:val="continue"/>
            <w:tcBorders>
              <w:top w:val="single" w:color="000000" w:sz="4" w:space="0"/>
              <w:left w:val="single" w:color="000000" w:sz="4" w:space="0"/>
              <w:bottom w:val="single" w:color="000000" w:sz="4" w:space="0"/>
              <w:right w:val="single" w:color="000000" w:sz="4" w:space="0"/>
            </w:tcBorders>
            <w:shd w:val="clear" w:color="auto" w:fill="CED7E7"/>
          </w:tcPr>
          <w:p w14:paraId="233B0783"/>
        </w:tc>
      </w:tr>
    </w:tbl>
    <w:p w14:paraId="39A7B592">
      <w:pPr>
        <w:pStyle w:val="54"/>
        <w:widowControl w:val="0"/>
        <w:spacing w:after="240"/>
        <w:jc w:val="both"/>
      </w:pPr>
    </w:p>
    <w:p w14:paraId="5C3C9F7A"/>
    <w:sectPr>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Arial Unicode MS">
    <w:panose1 w:val="020B0604020202020204"/>
    <w:charset w:val="80"/>
    <w:family w:val="swiss"/>
    <w:pitch w:val="default"/>
    <w:sig w:usb0="FFFFFFFF" w:usb1="E9FFFFFF" w:usb2="0000003F" w:usb3="00000000" w:csb0="603F01FF" w:csb1="FFFF0000"/>
  </w:font>
  <w:font w:name="Symbol">
    <w:altName w:val="Kingsoft Sign"/>
    <w:panose1 w:val="05050102010706020507"/>
    <w:charset w:val="02"/>
    <w:family w:val="roman"/>
    <w:pitch w:val="default"/>
    <w:sig w:usb0="00000000" w:usb1="00000000" w:usb2="00000000" w:usb3="00000000" w:csb0="80000000" w:csb1="00000000"/>
  </w:font>
  <w:font w:name="MS Gothic">
    <w:altName w:val="Hiragino Sans"/>
    <w:panose1 w:val="020B0609070205080204"/>
    <w:charset w:val="80"/>
    <w:family w:val="modern"/>
    <w:pitch w:val="default"/>
    <w:sig w:usb0="00000000" w:usb1="00000000" w:usb2="08000012" w:usb3="00000000" w:csb0="0002009F" w:csb1="00000000"/>
  </w:font>
  <w:font w:name="Segoe UI Symbol">
    <w:altName w:val="苹方-简"/>
    <w:panose1 w:val="020B0502040204020203"/>
    <w:charset w:val="00"/>
    <w:family w:val="swiss"/>
    <w:pitch w:val="default"/>
    <w:sig w:usb0="00000000" w:usb1="00000000" w:usb2="00040000" w:usb3="00000000" w:csb0="00000001" w:csb1="00000000"/>
  </w:font>
  <w:font w:name="Helvetica Neue">
    <w:panose1 w:val="02000503000000020004"/>
    <w:charset w:val="00"/>
    <w:family w:val="auto"/>
    <w:pitch w:val="default"/>
    <w:sig w:usb0="E50002FF" w:usb1="500079DB" w:usb2="00000010" w:usb3="00000000" w:csb0="00000000" w:csb1="0000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Hiragino Sans">
    <w:panose1 w:val="020B0700000000000000"/>
    <w:charset w:val="80"/>
    <w:family w:val="auto"/>
    <w:pitch w:val="default"/>
    <w:sig w:usb0="800002CF" w:usb1="6AC7FCFC" w:usb2="00000012" w:usb3="00000000" w:csb0="0002000D" w:csb1="00000000"/>
  </w:font>
  <w:font w:name="苹方-简">
    <w:altName w:val="Times New Roman"/>
    <w:panose1 w:val="020B0600000000000000"/>
    <w:charset w:val="00"/>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88698779"/>
      <w:docPartObj>
        <w:docPartGallery w:val="autotext"/>
      </w:docPartObj>
    </w:sdtPr>
    <w:sdtEndPr>
      <w:rPr>
        <w:color w:val="808080" w:themeColor="background1" w:themeShade="80"/>
        <w:spacing w:val="60"/>
      </w:rPr>
    </w:sdtEndPr>
    <w:sdtContent>
      <w:p w14:paraId="36ABBB26">
        <w:pPr>
          <w:pStyle w:val="15"/>
          <w:pBdr>
            <w:top w:val="single" w:color="D8D8D8" w:themeColor="background1" w:themeShade="D9" w:sz="4" w:space="1"/>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033BA110">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2F24EA8"/>
    <w:multiLevelType w:val="multilevel"/>
    <w:tmpl w:val="22F24EA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48971FCB"/>
    <w:multiLevelType w:val="multilevel"/>
    <w:tmpl w:val="48971FCB"/>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7FE4176C"/>
    <w:multiLevelType w:val="multilevel"/>
    <w:tmpl w:val="7FE4176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BA7"/>
    <w:rsid w:val="00004BA7"/>
    <w:rsid w:val="00030414"/>
    <w:rsid w:val="00037477"/>
    <w:rsid w:val="000C23F1"/>
    <w:rsid w:val="000E7782"/>
    <w:rsid w:val="001009A0"/>
    <w:rsid w:val="001166FF"/>
    <w:rsid w:val="0012107F"/>
    <w:rsid w:val="001239EE"/>
    <w:rsid w:val="001343A4"/>
    <w:rsid w:val="00137737"/>
    <w:rsid w:val="00145858"/>
    <w:rsid w:val="00157B59"/>
    <w:rsid w:val="00162BBC"/>
    <w:rsid w:val="001847A3"/>
    <w:rsid w:val="00192AA1"/>
    <w:rsid w:val="001E63FB"/>
    <w:rsid w:val="00206737"/>
    <w:rsid w:val="00207D6F"/>
    <w:rsid w:val="002569AA"/>
    <w:rsid w:val="00267B7B"/>
    <w:rsid w:val="0027098B"/>
    <w:rsid w:val="00297A93"/>
    <w:rsid w:val="002B3DB9"/>
    <w:rsid w:val="002B75EE"/>
    <w:rsid w:val="002F2DF1"/>
    <w:rsid w:val="002F35FB"/>
    <w:rsid w:val="003128C9"/>
    <w:rsid w:val="003508ED"/>
    <w:rsid w:val="0037096B"/>
    <w:rsid w:val="0037403A"/>
    <w:rsid w:val="0039633F"/>
    <w:rsid w:val="003C061D"/>
    <w:rsid w:val="00430EC4"/>
    <w:rsid w:val="00433D9D"/>
    <w:rsid w:val="00442657"/>
    <w:rsid w:val="004C093D"/>
    <w:rsid w:val="004C4447"/>
    <w:rsid w:val="005507A8"/>
    <w:rsid w:val="00573088"/>
    <w:rsid w:val="0058206F"/>
    <w:rsid w:val="005F20A9"/>
    <w:rsid w:val="0060678A"/>
    <w:rsid w:val="00634DF4"/>
    <w:rsid w:val="006501F6"/>
    <w:rsid w:val="00667520"/>
    <w:rsid w:val="006A1FAF"/>
    <w:rsid w:val="006C0D8B"/>
    <w:rsid w:val="00782C65"/>
    <w:rsid w:val="007C04D1"/>
    <w:rsid w:val="00821B22"/>
    <w:rsid w:val="008249D7"/>
    <w:rsid w:val="0088109F"/>
    <w:rsid w:val="00882AD3"/>
    <w:rsid w:val="008C33EB"/>
    <w:rsid w:val="008F5256"/>
    <w:rsid w:val="009705CB"/>
    <w:rsid w:val="00970E1B"/>
    <w:rsid w:val="00984AC5"/>
    <w:rsid w:val="009B1675"/>
    <w:rsid w:val="009E33B5"/>
    <w:rsid w:val="00A02A99"/>
    <w:rsid w:val="00A37F63"/>
    <w:rsid w:val="00A43E9C"/>
    <w:rsid w:val="00A6716A"/>
    <w:rsid w:val="00A76591"/>
    <w:rsid w:val="00A77CB9"/>
    <w:rsid w:val="00A90380"/>
    <w:rsid w:val="00AB1DB1"/>
    <w:rsid w:val="00AC2B46"/>
    <w:rsid w:val="00AE5616"/>
    <w:rsid w:val="00B00F9D"/>
    <w:rsid w:val="00B963E3"/>
    <w:rsid w:val="00BB69E4"/>
    <w:rsid w:val="00C21755"/>
    <w:rsid w:val="00C738F5"/>
    <w:rsid w:val="00CA119C"/>
    <w:rsid w:val="00CD2066"/>
    <w:rsid w:val="00CE3F9E"/>
    <w:rsid w:val="00CE6443"/>
    <w:rsid w:val="00D24204"/>
    <w:rsid w:val="00D27131"/>
    <w:rsid w:val="00D52E2D"/>
    <w:rsid w:val="00D567D6"/>
    <w:rsid w:val="00D60606"/>
    <w:rsid w:val="00D67334"/>
    <w:rsid w:val="00D84619"/>
    <w:rsid w:val="00D86404"/>
    <w:rsid w:val="00D95AED"/>
    <w:rsid w:val="00DA16D8"/>
    <w:rsid w:val="00DA4B9E"/>
    <w:rsid w:val="00DB7E55"/>
    <w:rsid w:val="00DD06AE"/>
    <w:rsid w:val="00DD3421"/>
    <w:rsid w:val="00DD6020"/>
    <w:rsid w:val="00DF2ACC"/>
    <w:rsid w:val="00DF7C00"/>
    <w:rsid w:val="00E1653B"/>
    <w:rsid w:val="00E71AF4"/>
    <w:rsid w:val="00E83C66"/>
    <w:rsid w:val="00ED5942"/>
    <w:rsid w:val="00EE2184"/>
    <w:rsid w:val="00F70821"/>
    <w:rsid w:val="00FB6E3C"/>
    <w:rsid w:val="00FC1A30"/>
    <w:rsid w:val="00FC7569"/>
    <w:rsid w:val="00FD0F17"/>
    <w:rsid w:val="00FD57A5"/>
    <w:rsid w:val="FFA903AD"/>
    <w:rsid w:val="FFD9F8B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semiHidden="0" w:name="toc 4"/>
    <w:lsdException w:uiPriority="39" w:semiHidden="0" w:name="toc 5"/>
    <w:lsdException w:uiPriority="39" w:semiHidden="0" w:name="toc 6"/>
    <w:lsdException w:uiPriority="39" w:semiHidden="0" w:name="toc 7"/>
    <w:lsdException w:uiPriority="39" w:semiHidden="0" w:name="toc 8"/>
    <w:lsdException w:uiPriority="39" w:semiHidden="0" w:name="toc 9"/>
    <w:lsdException w:uiPriority="99" w:name="Normal Indent"/>
    <w:lsdException w:uiPriority="99" w:name="footnote text"/>
    <w:lsdException w:unhideWhenUsed="0" w:uiPriority="0" w:semiHidden="0"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heme="minorHAnsi" w:cstheme="minorBidi"/>
      <w:sz w:val="24"/>
      <w:szCs w:val="24"/>
      <w:lang w:val="en-GB" w:eastAsia="en-US" w:bidi="ar-SA"/>
      <w14:ligatures w14:val="none"/>
    </w:rPr>
  </w:style>
  <w:style w:type="paragraph" w:styleId="2">
    <w:name w:val="heading 1"/>
    <w:basedOn w:val="1"/>
    <w:next w:val="1"/>
    <w:link w:val="31"/>
    <w:qFormat/>
    <w:uiPriority w:val="9"/>
    <w:pPr>
      <w:keepNext/>
      <w:keepLines/>
      <w:outlineLvl w:val="0"/>
    </w:pPr>
    <w:rPr>
      <w:rFonts w:eastAsiaTheme="majorEastAsia" w:cstheme="majorBidi"/>
      <w:b/>
      <w:sz w:val="32"/>
      <w:szCs w:val="32"/>
    </w:rPr>
  </w:style>
  <w:style w:type="paragraph" w:styleId="3">
    <w:name w:val="heading 2"/>
    <w:basedOn w:val="1"/>
    <w:next w:val="1"/>
    <w:link w:val="32"/>
    <w:unhideWhenUsed/>
    <w:qFormat/>
    <w:uiPriority w:val="9"/>
    <w:pPr>
      <w:keepNext/>
      <w:keepLines/>
      <w:outlineLvl w:val="1"/>
    </w:pPr>
    <w:rPr>
      <w:rFonts w:eastAsiaTheme="majorEastAsia" w:cstheme="majorBidi"/>
      <w:b/>
      <w:sz w:val="28"/>
      <w:szCs w:val="26"/>
    </w:rPr>
  </w:style>
  <w:style w:type="paragraph" w:styleId="4">
    <w:name w:val="heading 3"/>
    <w:basedOn w:val="1"/>
    <w:next w:val="1"/>
    <w:link w:val="34"/>
    <w:unhideWhenUsed/>
    <w:qFormat/>
    <w:uiPriority w:val="9"/>
    <w:pPr>
      <w:keepNext/>
      <w:keepLines/>
      <w:outlineLvl w:val="2"/>
    </w:pPr>
    <w:rPr>
      <w:rFonts w:eastAsiaTheme="majorEastAsia" w:cstheme="majorBidi"/>
      <w:b/>
      <w:color w:val="000000" w:themeColor="text1"/>
      <w:sz w:val="26"/>
      <w:szCs w:val="28"/>
      <w14:textFill>
        <w14:solidFill>
          <w14:schemeClr w14:val="tx1"/>
        </w14:solidFill>
      </w14:textFill>
    </w:rPr>
  </w:style>
  <w:style w:type="paragraph" w:styleId="5">
    <w:name w:val="heading 4"/>
    <w:basedOn w:val="1"/>
    <w:next w:val="1"/>
    <w:link w:val="36"/>
    <w:semiHidden/>
    <w:unhideWhenUsed/>
    <w:qFormat/>
    <w:uiPriority w:val="9"/>
    <w:pPr>
      <w:keepNext/>
      <w:keepLines/>
      <w:spacing w:before="80" w:after="40"/>
      <w:outlineLvl w:val="3"/>
    </w:pPr>
    <w:rPr>
      <w:rFonts w:asciiTheme="minorHAnsi" w:hAnsiTheme="minorHAnsi" w:eastAsiaTheme="majorEastAsia" w:cstheme="majorBidi"/>
      <w:i/>
      <w:iCs/>
      <w:color w:val="376092" w:themeColor="accent1" w:themeShade="BF"/>
    </w:rPr>
  </w:style>
  <w:style w:type="paragraph" w:styleId="6">
    <w:name w:val="heading 5"/>
    <w:basedOn w:val="1"/>
    <w:next w:val="1"/>
    <w:link w:val="37"/>
    <w:semiHidden/>
    <w:unhideWhenUsed/>
    <w:qFormat/>
    <w:uiPriority w:val="9"/>
    <w:pPr>
      <w:keepNext/>
      <w:keepLines/>
      <w:spacing w:before="80" w:after="40"/>
      <w:outlineLvl w:val="4"/>
    </w:pPr>
    <w:rPr>
      <w:rFonts w:asciiTheme="minorHAnsi" w:hAnsiTheme="minorHAnsi" w:eastAsiaTheme="majorEastAsia" w:cstheme="majorBidi"/>
      <w:color w:val="376092" w:themeColor="accent1" w:themeShade="BF"/>
    </w:rPr>
  </w:style>
  <w:style w:type="paragraph" w:styleId="7">
    <w:name w:val="heading 6"/>
    <w:basedOn w:val="1"/>
    <w:next w:val="1"/>
    <w:link w:val="38"/>
    <w:semiHidden/>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9"/>
    <w:semiHidden/>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40"/>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41"/>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before="120" w:after="200" w:line="240" w:lineRule="auto"/>
    </w:pPr>
    <w:rPr>
      <w:b/>
      <w:iCs/>
      <w:color w:val="000000" w:themeColor="text1"/>
      <w:sz w:val="22"/>
      <w:szCs w:val="18"/>
      <w14:textFill>
        <w14:solidFill>
          <w14:schemeClr w14:val="tx1"/>
        </w14:solidFill>
      </w14:textFill>
    </w:rPr>
  </w:style>
  <w:style w:type="paragraph" w:styleId="14">
    <w:name w:val="annotation text"/>
    <w:link w:val="57"/>
    <w:uiPriority w:val="0"/>
    <w:pPr>
      <w:pBdr>
        <w:top w:val="none" w:color="auto" w:sz="0" w:space="0"/>
        <w:left w:val="none" w:color="auto" w:sz="0" w:space="0"/>
        <w:bottom w:val="none" w:color="auto" w:sz="0" w:space="0"/>
        <w:right w:val="none" w:color="auto" w:sz="0" w:space="0"/>
        <w:between w:val="none" w:color="auto" w:sz="0" w:space="0"/>
      </w:pBdr>
      <w:spacing w:after="0" w:line="240" w:lineRule="auto"/>
    </w:pPr>
    <w:rPr>
      <w:rFonts w:ascii="Times New Roman" w:hAnsi="Times New Roman" w:eastAsia="Arial Unicode MS" w:cs="Arial Unicode MS"/>
      <w:color w:val="000000"/>
      <w:sz w:val="20"/>
      <w:szCs w:val="20"/>
      <w:u w:color="000000"/>
      <w:lang w:val="en-US" w:eastAsia="en-GB" w:bidi="ar-SA"/>
      <w14:ligatures w14:val="none"/>
    </w:rPr>
  </w:style>
  <w:style w:type="paragraph" w:styleId="15">
    <w:name w:val="footer"/>
    <w:basedOn w:val="1"/>
    <w:link w:val="53"/>
    <w:unhideWhenUsed/>
    <w:uiPriority w:val="99"/>
    <w:pPr>
      <w:tabs>
        <w:tab w:val="center" w:pos="4513"/>
        <w:tab w:val="right" w:pos="9026"/>
      </w:tabs>
      <w:spacing w:line="240" w:lineRule="auto"/>
    </w:pPr>
  </w:style>
  <w:style w:type="paragraph" w:styleId="16">
    <w:name w:val="header"/>
    <w:basedOn w:val="1"/>
    <w:link w:val="52"/>
    <w:unhideWhenUsed/>
    <w:uiPriority w:val="99"/>
    <w:pPr>
      <w:tabs>
        <w:tab w:val="center" w:pos="4513"/>
        <w:tab w:val="right" w:pos="9026"/>
      </w:tabs>
      <w:spacing w:line="240" w:lineRule="auto"/>
    </w:pPr>
  </w:style>
  <w:style w:type="character" w:styleId="17">
    <w:name w:val="Hyperlink"/>
    <w:basedOn w:val="11"/>
    <w:unhideWhenUsed/>
    <w:uiPriority w:val="99"/>
    <w:rPr>
      <w:color w:val="0000FF" w:themeColor="hyperlink"/>
      <w:u w:val="single"/>
      <w14:textFill>
        <w14:solidFill>
          <w14:schemeClr w14:val="hlink"/>
        </w14:solidFill>
      </w14:textFill>
    </w:rPr>
  </w:style>
  <w:style w:type="paragraph" w:styleId="18">
    <w:name w:val="Normal (Web)"/>
    <w:uiPriority w:val="0"/>
    <w:pPr>
      <w:pBdr>
        <w:top w:val="none" w:color="auto" w:sz="0" w:space="0"/>
        <w:left w:val="none" w:color="auto" w:sz="0" w:space="0"/>
        <w:bottom w:val="none" w:color="auto" w:sz="0" w:space="0"/>
        <w:right w:val="none" w:color="auto" w:sz="0" w:space="0"/>
        <w:between w:val="none" w:color="auto" w:sz="0" w:space="0"/>
      </w:pBdr>
      <w:spacing w:before="100" w:after="100" w:line="240" w:lineRule="auto"/>
    </w:pPr>
    <w:rPr>
      <w:rFonts w:ascii="Times New Roman" w:hAnsi="Times New Roman" w:eastAsia="Arial Unicode MS" w:cs="Arial Unicode MS"/>
      <w:color w:val="000000"/>
      <w:sz w:val="24"/>
      <w:szCs w:val="24"/>
      <w:u w:color="000000"/>
      <w:lang w:val="en-US" w:eastAsia="en-GB" w:bidi="ar-SA"/>
      <w14:ligatures w14:val="none"/>
    </w:rPr>
  </w:style>
  <w:style w:type="paragraph" w:styleId="19">
    <w:name w:val="Subtitle"/>
    <w:basedOn w:val="1"/>
    <w:next w:val="1"/>
    <w:link w:val="42"/>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0">
    <w:name w:val="table of figures"/>
    <w:basedOn w:val="1"/>
    <w:next w:val="1"/>
    <w:unhideWhenUsed/>
    <w:uiPriority w:val="99"/>
  </w:style>
  <w:style w:type="paragraph" w:styleId="21">
    <w:name w:val="Title"/>
    <w:basedOn w:val="1"/>
    <w:next w:val="1"/>
    <w:link w:val="33"/>
    <w:qFormat/>
    <w:uiPriority w:val="10"/>
    <w:pPr>
      <w:contextualSpacing/>
    </w:pPr>
    <w:rPr>
      <w:rFonts w:eastAsiaTheme="majorEastAsia" w:cstheme="majorBidi"/>
      <w:b/>
      <w:spacing w:val="-10"/>
      <w:kern w:val="28"/>
      <w:sz w:val="52"/>
      <w:szCs w:val="56"/>
    </w:rPr>
  </w:style>
  <w:style w:type="paragraph" w:styleId="22">
    <w:name w:val="toc 1"/>
    <w:basedOn w:val="1"/>
    <w:next w:val="1"/>
    <w:autoRedefine/>
    <w:unhideWhenUsed/>
    <w:uiPriority w:val="39"/>
    <w:pPr>
      <w:tabs>
        <w:tab w:val="right" w:leader="dot" w:pos="9350"/>
      </w:tabs>
      <w:spacing w:after="100" w:line="276" w:lineRule="auto"/>
    </w:pPr>
  </w:style>
  <w:style w:type="paragraph" w:styleId="23">
    <w:name w:val="toc 2"/>
    <w:basedOn w:val="1"/>
    <w:next w:val="1"/>
    <w:autoRedefine/>
    <w:unhideWhenUsed/>
    <w:uiPriority w:val="39"/>
    <w:pPr>
      <w:spacing w:after="100"/>
      <w:ind w:left="240"/>
    </w:pPr>
  </w:style>
  <w:style w:type="paragraph" w:styleId="24">
    <w:name w:val="toc 3"/>
    <w:basedOn w:val="1"/>
    <w:next w:val="1"/>
    <w:autoRedefine/>
    <w:unhideWhenUsed/>
    <w:uiPriority w:val="39"/>
    <w:pPr>
      <w:spacing w:after="100"/>
      <w:ind w:left="480"/>
    </w:pPr>
  </w:style>
  <w:style w:type="paragraph" w:styleId="25">
    <w:name w:val="toc 4"/>
    <w:basedOn w:val="1"/>
    <w:next w:val="1"/>
    <w:autoRedefine/>
    <w:unhideWhenUsed/>
    <w:uiPriority w:val="39"/>
    <w:pPr>
      <w:spacing w:after="100" w:line="278" w:lineRule="auto"/>
      <w:ind w:left="720"/>
      <w:jc w:val="left"/>
    </w:pPr>
    <w:rPr>
      <w:rFonts w:asciiTheme="minorHAnsi" w:hAnsiTheme="minorHAnsi" w:eastAsiaTheme="minorEastAsia"/>
      <w:kern w:val="2"/>
      <w:lang w:eastAsia="en-GB"/>
      <w14:ligatures w14:val="standardContextual"/>
    </w:rPr>
  </w:style>
  <w:style w:type="paragraph" w:styleId="26">
    <w:name w:val="toc 5"/>
    <w:basedOn w:val="1"/>
    <w:next w:val="1"/>
    <w:autoRedefine/>
    <w:unhideWhenUsed/>
    <w:uiPriority w:val="39"/>
    <w:pPr>
      <w:spacing w:after="100" w:line="278" w:lineRule="auto"/>
      <w:ind w:left="960"/>
      <w:jc w:val="left"/>
    </w:pPr>
    <w:rPr>
      <w:rFonts w:asciiTheme="minorHAnsi" w:hAnsiTheme="minorHAnsi" w:eastAsiaTheme="minorEastAsia"/>
      <w:kern w:val="2"/>
      <w:lang w:eastAsia="en-GB"/>
      <w14:ligatures w14:val="standardContextual"/>
    </w:rPr>
  </w:style>
  <w:style w:type="paragraph" w:styleId="27">
    <w:name w:val="toc 6"/>
    <w:basedOn w:val="1"/>
    <w:next w:val="1"/>
    <w:autoRedefine/>
    <w:unhideWhenUsed/>
    <w:uiPriority w:val="39"/>
    <w:pPr>
      <w:spacing w:after="100" w:line="278" w:lineRule="auto"/>
      <w:ind w:left="1200"/>
      <w:jc w:val="left"/>
    </w:pPr>
    <w:rPr>
      <w:rFonts w:asciiTheme="minorHAnsi" w:hAnsiTheme="minorHAnsi" w:eastAsiaTheme="minorEastAsia"/>
      <w:kern w:val="2"/>
      <w:lang w:eastAsia="en-GB"/>
      <w14:ligatures w14:val="standardContextual"/>
    </w:rPr>
  </w:style>
  <w:style w:type="paragraph" w:styleId="28">
    <w:name w:val="toc 7"/>
    <w:basedOn w:val="1"/>
    <w:next w:val="1"/>
    <w:autoRedefine/>
    <w:unhideWhenUsed/>
    <w:uiPriority w:val="39"/>
    <w:pPr>
      <w:spacing w:after="100" w:line="278" w:lineRule="auto"/>
      <w:ind w:left="1440"/>
      <w:jc w:val="left"/>
    </w:pPr>
    <w:rPr>
      <w:rFonts w:asciiTheme="minorHAnsi" w:hAnsiTheme="minorHAnsi" w:eastAsiaTheme="minorEastAsia"/>
      <w:kern w:val="2"/>
      <w:lang w:eastAsia="en-GB"/>
      <w14:ligatures w14:val="standardContextual"/>
    </w:rPr>
  </w:style>
  <w:style w:type="paragraph" w:styleId="29">
    <w:name w:val="toc 8"/>
    <w:basedOn w:val="1"/>
    <w:next w:val="1"/>
    <w:autoRedefine/>
    <w:unhideWhenUsed/>
    <w:uiPriority w:val="39"/>
    <w:pPr>
      <w:spacing w:after="100" w:line="278" w:lineRule="auto"/>
      <w:ind w:left="1680"/>
      <w:jc w:val="left"/>
    </w:pPr>
    <w:rPr>
      <w:rFonts w:asciiTheme="minorHAnsi" w:hAnsiTheme="minorHAnsi" w:eastAsiaTheme="minorEastAsia"/>
      <w:kern w:val="2"/>
      <w:lang w:eastAsia="en-GB"/>
      <w14:ligatures w14:val="standardContextual"/>
    </w:rPr>
  </w:style>
  <w:style w:type="paragraph" w:styleId="30">
    <w:name w:val="toc 9"/>
    <w:basedOn w:val="1"/>
    <w:next w:val="1"/>
    <w:autoRedefine/>
    <w:unhideWhenUsed/>
    <w:uiPriority w:val="39"/>
    <w:pPr>
      <w:spacing w:after="100" w:line="278" w:lineRule="auto"/>
      <w:ind w:left="1920"/>
      <w:jc w:val="left"/>
    </w:pPr>
    <w:rPr>
      <w:rFonts w:asciiTheme="minorHAnsi" w:hAnsiTheme="minorHAnsi" w:eastAsiaTheme="minorEastAsia"/>
      <w:kern w:val="2"/>
      <w:lang w:eastAsia="en-GB"/>
      <w14:ligatures w14:val="standardContextual"/>
    </w:rPr>
  </w:style>
  <w:style w:type="character" w:customStyle="1" w:styleId="31">
    <w:name w:val="Heading 1 Char"/>
    <w:basedOn w:val="11"/>
    <w:link w:val="2"/>
    <w:uiPriority w:val="9"/>
    <w:rPr>
      <w:rFonts w:ascii="Times New Roman" w:hAnsi="Times New Roman" w:eastAsiaTheme="majorEastAsia" w:cstheme="majorBidi"/>
      <w:b/>
      <w:sz w:val="32"/>
      <w:szCs w:val="32"/>
      <w14:ligatures w14:val="none"/>
    </w:rPr>
  </w:style>
  <w:style w:type="character" w:customStyle="1" w:styleId="32">
    <w:name w:val="Heading 2 Char"/>
    <w:basedOn w:val="11"/>
    <w:link w:val="3"/>
    <w:uiPriority w:val="9"/>
    <w:rPr>
      <w:rFonts w:ascii="Times New Roman" w:hAnsi="Times New Roman" w:eastAsiaTheme="majorEastAsia" w:cstheme="majorBidi"/>
      <w:b/>
      <w:sz w:val="28"/>
      <w:szCs w:val="26"/>
      <w14:ligatures w14:val="none"/>
    </w:rPr>
  </w:style>
  <w:style w:type="character" w:customStyle="1" w:styleId="33">
    <w:name w:val="Title Char"/>
    <w:basedOn w:val="11"/>
    <w:link w:val="21"/>
    <w:uiPriority w:val="10"/>
    <w:rPr>
      <w:rFonts w:ascii="Times New Roman" w:hAnsi="Times New Roman" w:eastAsiaTheme="majorEastAsia" w:cstheme="majorBidi"/>
      <w:b/>
      <w:color w:val="000000" w:themeColor="text1"/>
      <w:spacing w:val="-10"/>
      <w:kern w:val="28"/>
      <w:sz w:val="52"/>
      <w:szCs w:val="56"/>
      <w14:textFill>
        <w14:solidFill>
          <w14:schemeClr w14:val="tx1"/>
        </w14:solidFill>
      </w14:textFill>
    </w:rPr>
  </w:style>
  <w:style w:type="character" w:customStyle="1" w:styleId="34">
    <w:name w:val="Heading 3 Char"/>
    <w:basedOn w:val="11"/>
    <w:link w:val="4"/>
    <w:uiPriority w:val="9"/>
    <w:rPr>
      <w:rFonts w:ascii="Times New Roman" w:hAnsi="Times New Roman" w:eastAsiaTheme="majorEastAsia" w:cstheme="majorBidi"/>
      <w:b/>
      <w:color w:val="000000" w:themeColor="text1"/>
      <w:sz w:val="26"/>
      <w:szCs w:val="28"/>
      <w14:textFill>
        <w14:solidFill>
          <w14:schemeClr w14:val="tx1"/>
        </w14:solidFill>
      </w14:textFill>
      <w14:ligatures w14:val="none"/>
    </w:rPr>
  </w:style>
  <w:style w:type="paragraph" w:customStyle="1" w:styleId="35">
    <w:name w:val="TOC Heading"/>
    <w:basedOn w:val="2"/>
    <w:next w:val="1"/>
    <w:unhideWhenUsed/>
    <w:qFormat/>
    <w:uiPriority w:val="39"/>
    <w:pPr>
      <w:spacing w:before="240" w:line="259" w:lineRule="auto"/>
      <w:jc w:val="left"/>
      <w:outlineLvl w:val="9"/>
    </w:pPr>
    <w:rPr>
      <w:color w:val="000000" w:themeColor="text1"/>
      <w:lang w:val="en-US"/>
      <w14:textFill>
        <w14:solidFill>
          <w14:schemeClr w14:val="tx1"/>
        </w14:solidFill>
      </w14:textFill>
    </w:rPr>
  </w:style>
  <w:style w:type="character" w:customStyle="1" w:styleId="36">
    <w:name w:val="Heading 4 Char"/>
    <w:basedOn w:val="11"/>
    <w:link w:val="5"/>
    <w:semiHidden/>
    <w:uiPriority w:val="9"/>
    <w:rPr>
      <w:rFonts w:eastAsiaTheme="majorEastAsia" w:cstheme="majorBidi"/>
      <w:i/>
      <w:iCs/>
      <w:color w:val="376092" w:themeColor="accent1" w:themeShade="BF"/>
      <w:sz w:val="24"/>
      <w:szCs w:val="24"/>
      <w14:ligatures w14:val="none"/>
    </w:rPr>
  </w:style>
  <w:style w:type="character" w:customStyle="1" w:styleId="37">
    <w:name w:val="Heading 5 Char"/>
    <w:basedOn w:val="11"/>
    <w:link w:val="6"/>
    <w:semiHidden/>
    <w:uiPriority w:val="9"/>
    <w:rPr>
      <w:rFonts w:eastAsiaTheme="majorEastAsia" w:cstheme="majorBidi"/>
      <w:color w:val="376092" w:themeColor="accent1" w:themeShade="BF"/>
      <w:sz w:val="24"/>
      <w:szCs w:val="24"/>
      <w14:ligatures w14:val="none"/>
    </w:rPr>
  </w:style>
  <w:style w:type="character" w:customStyle="1" w:styleId="38">
    <w:name w:val="Heading 6 Char"/>
    <w:basedOn w:val="11"/>
    <w:link w:val="7"/>
    <w:semiHidden/>
    <w:uiPriority w:val="9"/>
    <w:rPr>
      <w:rFonts w:eastAsiaTheme="majorEastAsia" w:cstheme="majorBidi"/>
      <w:i/>
      <w:iCs/>
      <w:color w:val="595959" w:themeColor="text1" w:themeTint="A6"/>
      <w:sz w:val="24"/>
      <w:szCs w:val="24"/>
      <w14:textFill>
        <w14:solidFill>
          <w14:schemeClr w14:val="tx1">
            <w14:lumMod w14:val="65000"/>
            <w14:lumOff w14:val="35000"/>
          </w14:schemeClr>
        </w14:solidFill>
      </w14:textFill>
      <w14:ligatures w14:val="none"/>
    </w:rPr>
  </w:style>
  <w:style w:type="character" w:customStyle="1" w:styleId="39">
    <w:name w:val="Heading 7 Char"/>
    <w:basedOn w:val="11"/>
    <w:link w:val="8"/>
    <w:semiHidden/>
    <w:uiPriority w:val="9"/>
    <w:rPr>
      <w:rFonts w:eastAsiaTheme="majorEastAsia" w:cstheme="majorBidi"/>
      <w:color w:val="595959" w:themeColor="text1" w:themeTint="A6"/>
      <w:sz w:val="24"/>
      <w:szCs w:val="24"/>
      <w14:textFill>
        <w14:solidFill>
          <w14:schemeClr w14:val="tx1">
            <w14:lumMod w14:val="65000"/>
            <w14:lumOff w14:val="35000"/>
          </w14:schemeClr>
        </w14:solidFill>
      </w14:textFill>
      <w14:ligatures w14:val="none"/>
    </w:rPr>
  </w:style>
  <w:style w:type="character" w:customStyle="1" w:styleId="40">
    <w:name w:val="Heading 8 Char"/>
    <w:basedOn w:val="11"/>
    <w:link w:val="9"/>
    <w:semiHidden/>
    <w:uiPriority w:val="9"/>
    <w:rPr>
      <w:rFonts w:eastAsiaTheme="majorEastAsia" w:cstheme="majorBidi"/>
      <w:i/>
      <w:iCs/>
      <w:color w:val="262626" w:themeColor="text1" w:themeTint="D9"/>
      <w:sz w:val="24"/>
      <w:szCs w:val="24"/>
      <w14:textFill>
        <w14:solidFill>
          <w14:schemeClr w14:val="tx1">
            <w14:lumMod w14:val="85000"/>
            <w14:lumOff w14:val="15000"/>
          </w14:schemeClr>
        </w14:solidFill>
      </w14:textFill>
      <w14:ligatures w14:val="none"/>
    </w:rPr>
  </w:style>
  <w:style w:type="character" w:customStyle="1" w:styleId="41">
    <w:name w:val="Heading 9 Char"/>
    <w:basedOn w:val="11"/>
    <w:link w:val="10"/>
    <w:semiHidden/>
    <w:uiPriority w:val="9"/>
    <w:rPr>
      <w:rFonts w:eastAsiaTheme="majorEastAsia" w:cstheme="majorBidi"/>
      <w:color w:val="262626" w:themeColor="text1" w:themeTint="D9"/>
      <w:sz w:val="24"/>
      <w:szCs w:val="24"/>
      <w14:textFill>
        <w14:solidFill>
          <w14:schemeClr w14:val="tx1">
            <w14:lumMod w14:val="85000"/>
            <w14:lumOff w14:val="15000"/>
          </w14:schemeClr>
        </w14:solidFill>
      </w14:textFill>
      <w14:ligatures w14:val="none"/>
    </w:rPr>
  </w:style>
  <w:style w:type="character" w:customStyle="1" w:styleId="42">
    <w:name w:val="Subtitle Char"/>
    <w:basedOn w:val="11"/>
    <w:link w:val="19"/>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14:ligatures w14:val="none"/>
    </w:rPr>
  </w:style>
  <w:style w:type="paragraph" w:styleId="43">
    <w:name w:val="Quote"/>
    <w:basedOn w:val="1"/>
    <w:next w:val="1"/>
    <w:link w:val="44"/>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44">
    <w:name w:val="Quote Char"/>
    <w:basedOn w:val="11"/>
    <w:link w:val="43"/>
    <w:uiPriority w:val="29"/>
    <w:rPr>
      <w:rFonts w:ascii="Times New Roman" w:hAnsi="Times New Roman"/>
      <w:i/>
      <w:iCs/>
      <w:color w:val="404040" w:themeColor="text1" w:themeTint="BF"/>
      <w:sz w:val="24"/>
      <w:szCs w:val="24"/>
      <w14:textFill>
        <w14:solidFill>
          <w14:schemeClr w14:val="tx1">
            <w14:lumMod w14:val="75000"/>
            <w14:lumOff w14:val="25000"/>
          </w14:schemeClr>
        </w14:solidFill>
      </w14:textFill>
      <w14:ligatures w14:val="none"/>
    </w:rPr>
  </w:style>
  <w:style w:type="paragraph" w:styleId="45">
    <w:name w:val="List Paragraph"/>
    <w:basedOn w:val="1"/>
    <w:qFormat/>
    <w:uiPriority w:val="0"/>
    <w:pPr>
      <w:ind w:left="720"/>
      <w:contextualSpacing/>
    </w:pPr>
  </w:style>
  <w:style w:type="character" w:customStyle="1" w:styleId="46">
    <w:name w:val="Intense Emphasis"/>
    <w:basedOn w:val="11"/>
    <w:qFormat/>
    <w:uiPriority w:val="21"/>
    <w:rPr>
      <w:i/>
      <w:iCs/>
      <w:color w:val="376092" w:themeColor="accent1" w:themeShade="BF"/>
    </w:rPr>
  </w:style>
  <w:style w:type="paragraph" w:styleId="47">
    <w:name w:val="Intense Quote"/>
    <w:basedOn w:val="1"/>
    <w:next w:val="1"/>
    <w:link w:val="48"/>
    <w:qFormat/>
    <w:uiPriority w:val="30"/>
    <w:pPr>
      <w:pBdr>
        <w:top w:val="single" w:color="366091" w:themeColor="accent1" w:themeShade="BF" w:sz="4" w:space="10"/>
        <w:bottom w:val="single" w:color="366091" w:themeColor="accent1" w:themeShade="BF" w:sz="4" w:space="10"/>
      </w:pBdr>
      <w:spacing w:before="360" w:after="360"/>
      <w:ind w:left="864" w:right="864"/>
      <w:jc w:val="center"/>
    </w:pPr>
    <w:rPr>
      <w:i/>
      <w:iCs/>
      <w:color w:val="376092" w:themeColor="accent1" w:themeShade="BF"/>
    </w:rPr>
  </w:style>
  <w:style w:type="character" w:customStyle="1" w:styleId="48">
    <w:name w:val="Intense Quote Char"/>
    <w:basedOn w:val="11"/>
    <w:link w:val="47"/>
    <w:uiPriority w:val="30"/>
    <w:rPr>
      <w:rFonts w:ascii="Times New Roman" w:hAnsi="Times New Roman"/>
      <w:i/>
      <w:iCs/>
      <w:color w:val="376092" w:themeColor="accent1" w:themeShade="BF"/>
      <w:sz w:val="24"/>
      <w:szCs w:val="24"/>
      <w14:ligatures w14:val="none"/>
    </w:rPr>
  </w:style>
  <w:style w:type="character" w:customStyle="1" w:styleId="49">
    <w:name w:val="Intense Reference"/>
    <w:basedOn w:val="11"/>
    <w:qFormat/>
    <w:uiPriority w:val="32"/>
    <w:rPr>
      <w:b/>
      <w:bCs/>
      <w:smallCaps/>
      <w:color w:val="376092" w:themeColor="accent1" w:themeShade="BF"/>
      <w:spacing w:val="5"/>
    </w:rPr>
  </w:style>
  <w:style w:type="character" w:customStyle="1" w:styleId="50">
    <w:name w:val="Unresolved Mention"/>
    <w:basedOn w:val="11"/>
    <w:semiHidden/>
    <w:unhideWhenUsed/>
    <w:uiPriority w:val="99"/>
    <w:rPr>
      <w:color w:val="605E5C"/>
      <w:shd w:val="clear" w:color="auto" w:fill="E1DFDD"/>
    </w:rPr>
  </w:style>
  <w:style w:type="table" w:customStyle="1" w:styleId="51">
    <w:name w:val="Plain Table 1"/>
    <w:basedOn w:val="12"/>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52">
    <w:name w:val="Header Char"/>
    <w:basedOn w:val="11"/>
    <w:link w:val="16"/>
    <w:uiPriority w:val="99"/>
    <w:rPr>
      <w:rFonts w:ascii="Times New Roman" w:hAnsi="Times New Roman"/>
      <w:sz w:val="24"/>
      <w:szCs w:val="24"/>
      <w14:ligatures w14:val="none"/>
    </w:rPr>
  </w:style>
  <w:style w:type="character" w:customStyle="1" w:styleId="53">
    <w:name w:val="Footer Char"/>
    <w:basedOn w:val="11"/>
    <w:link w:val="15"/>
    <w:uiPriority w:val="99"/>
    <w:rPr>
      <w:rFonts w:ascii="Times New Roman" w:hAnsi="Times New Roman"/>
      <w:sz w:val="24"/>
      <w:szCs w:val="24"/>
      <w14:ligatures w14:val="none"/>
    </w:rPr>
  </w:style>
  <w:style w:type="paragraph" w:customStyle="1" w:styleId="54">
    <w:name w:val="Body"/>
    <w:uiPriority w:val="0"/>
    <w:pPr>
      <w:pBdr>
        <w:top w:val="none" w:color="auto" w:sz="0" w:space="0"/>
        <w:left w:val="none" w:color="auto" w:sz="0" w:space="0"/>
        <w:bottom w:val="none" w:color="auto" w:sz="0" w:space="0"/>
        <w:right w:val="none" w:color="auto" w:sz="0" w:space="0"/>
        <w:between w:val="none" w:color="auto" w:sz="0" w:space="0"/>
      </w:pBdr>
      <w:spacing w:after="0" w:line="240" w:lineRule="auto"/>
    </w:pPr>
    <w:rPr>
      <w:rFonts w:ascii="Times New Roman" w:hAnsi="Times New Roman" w:eastAsia="Times New Roman" w:cs="Times New Roman"/>
      <w:color w:val="000000"/>
      <w:sz w:val="20"/>
      <w:szCs w:val="20"/>
      <w:u w:color="000000"/>
      <w:lang w:val="en-GB" w:eastAsia="en-GB" w:bidi="ar-SA"/>
      <w14:ligatures w14:val="none"/>
    </w:rPr>
  </w:style>
  <w:style w:type="character" w:customStyle="1" w:styleId="55">
    <w:name w:val="Link"/>
    <w:uiPriority w:val="0"/>
    <w:rPr>
      <w:color w:val="0000FF"/>
      <w:u w:val="single" w:color="0000FF"/>
      <w:lang w:val="en-US"/>
    </w:rPr>
  </w:style>
  <w:style w:type="paragraph" w:customStyle="1" w:styleId="56">
    <w:name w:val="Heading"/>
    <w:next w:val="54"/>
    <w:uiPriority w:val="0"/>
    <w:pPr>
      <w:keepNext/>
      <w:pBdr>
        <w:top w:val="none" w:color="auto" w:sz="0" w:space="0"/>
        <w:left w:val="none" w:color="auto" w:sz="0" w:space="0"/>
        <w:bottom w:val="none" w:color="auto" w:sz="0" w:space="0"/>
        <w:right w:val="none" w:color="auto" w:sz="0" w:space="0"/>
        <w:between w:val="none" w:color="auto" w:sz="0" w:space="0"/>
      </w:pBdr>
      <w:tabs>
        <w:tab w:val="left" w:pos="5103"/>
      </w:tabs>
      <w:spacing w:after="0" w:line="240" w:lineRule="auto"/>
      <w:jc w:val="center"/>
      <w:outlineLvl w:val="0"/>
    </w:pPr>
    <w:rPr>
      <w:rFonts w:ascii="Times New Roman" w:hAnsi="Times New Roman" w:eastAsia="Arial Unicode MS" w:cs="Arial Unicode MS"/>
      <w:b/>
      <w:bCs/>
      <w:color w:val="000000"/>
      <w:sz w:val="22"/>
      <w:szCs w:val="22"/>
      <w:u w:color="000000"/>
      <w:lang w:val="en-US" w:eastAsia="en-GB" w:bidi="ar-SA"/>
      <w14:ligatures w14:val="none"/>
    </w:rPr>
  </w:style>
  <w:style w:type="character" w:customStyle="1" w:styleId="57">
    <w:name w:val="Comment Text Char"/>
    <w:basedOn w:val="11"/>
    <w:link w:val="14"/>
    <w:uiPriority w:val="0"/>
    <w:rPr>
      <w:rFonts w:ascii="Times New Roman" w:hAnsi="Times New Roman" w:eastAsia="Arial Unicode MS" w:cs="Arial Unicode MS"/>
      <w:color w:val="000000"/>
      <w:sz w:val="20"/>
      <w:szCs w:val="20"/>
      <w:u w:color="000000"/>
      <w:lang w:val="en-US" w:eastAsia="en-GB"/>
      <w14:ligatures w14:val="none"/>
    </w:rPr>
  </w:style>
  <w:style w:type="character" w:customStyle="1" w:styleId="58">
    <w:name w:val="Hyperlink.0"/>
    <w:basedOn w:val="55"/>
    <w:uiPriority w:val="0"/>
    <w:rPr>
      <w:color w:val="000000"/>
      <w:u w:val="single" w:color="000000"/>
      <w:lang w:val="en-US"/>
    </w:rPr>
  </w:style>
  <w:style w:type="character" w:customStyle="1" w:styleId="59">
    <w:name w:val="Hyperlink.1"/>
    <w:basedOn w:val="55"/>
    <w:uiPriority w:val="0"/>
    <w:rPr>
      <w:color w:val="0000FF"/>
      <w:u w:val="single" w:color="0000FF"/>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SixthEditionOfficeOnline.xsl" Version="6"/>
</file>

<file path=customXml/itemProps1.xml><?xml version="1.0" encoding="utf-8"?>
<ds:datastoreItem xmlns:ds="http://schemas.openxmlformats.org/officeDocument/2006/customXml" ds:itemID="{755939C2-2D22-4C83-9416-F7BC303687BF}">
  <ds:schemaRefs/>
</ds:datastoreItem>
</file>

<file path=docProps/app.xml><?xml version="1.0" encoding="utf-8"?>
<Properties xmlns="http://schemas.openxmlformats.org/officeDocument/2006/extended-properties" xmlns:vt="http://schemas.openxmlformats.org/officeDocument/2006/docPropsVTypes">
  <Template>Normal.dotm</Template>
  <Pages>80</Pages>
  <Words>24054</Words>
  <Characters>137113</Characters>
  <Lines>1142</Lines>
  <Paragraphs>321</Paragraphs>
  <TotalTime>55</TotalTime>
  <ScaleCrop>false</ScaleCrop>
  <LinksUpToDate>false</LinksUpToDate>
  <CharactersWithSpaces>160846</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2026-04-21T10:56:00Z</dcterms:created>
  <dc:creator>Anwer Hosain Shakib</dc:creator>
  <cp:lastModifiedBy>papeyaakter</cp:lastModifiedBy>
  <dcterms:modified xsi:type="dcterms:W3CDTF">2026-06-02T00:08:45Z</dcterms:modified>
  <cp:revision>16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30e4453e-05eb-4d65-a042-6a3d3f20f615</vt:lpwstr>
  </property>
  <property fmtid="{D5CDD505-2E9C-101B-9397-08002B2CF9AE}" pid="3" name="KSOProductBuildVer">
    <vt:lpwstr>1033-12.1.23155.23155</vt:lpwstr>
  </property>
  <property fmtid="{D5CDD505-2E9C-101B-9397-08002B2CF9AE}" pid="4" name="ICV">
    <vt:lpwstr>7EA60165075B9ACC9F0F1E6AB4793FD4_42</vt:lpwstr>
  </property>
</Properties>
</file>