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2645D" w14:textId="13E9F2A6" w:rsidR="00B92FB3" w:rsidRPr="000279F5" w:rsidRDefault="0004219C" w:rsidP="0004219C">
      <w:pPr>
        <w:jc w:val="center"/>
        <w:rPr>
          <w:sz w:val="28"/>
          <w:szCs w:val="28"/>
          <w:u w:val="single"/>
        </w:rPr>
      </w:pPr>
      <w:r w:rsidRPr="000279F5">
        <w:rPr>
          <w:sz w:val="28"/>
          <w:szCs w:val="28"/>
          <w:u w:val="single"/>
        </w:rPr>
        <w:t>Analysis on Vounous bowl</w:t>
      </w:r>
      <w:r w:rsidR="000258EE" w:rsidRPr="000279F5">
        <w:rPr>
          <w:sz w:val="28"/>
          <w:szCs w:val="28"/>
          <w:u w:val="single"/>
        </w:rPr>
        <w:t xml:space="preserve"> from the early Bronze Age</w:t>
      </w:r>
      <w:r w:rsidR="008608DD" w:rsidRPr="000279F5">
        <w:rPr>
          <w:sz w:val="28"/>
          <w:szCs w:val="28"/>
          <w:u w:val="single"/>
        </w:rPr>
        <w:t>. 2025-1850 B.C.E</w:t>
      </w:r>
    </w:p>
    <w:p w14:paraId="1A209B1D" w14:textId="25A136EB" w:rsidR="00CE7770" w:rsidRPr="000279F5" w:rsidRDefault="00CE7770" w:rsidP="003E453D">
      <w:pPr>
        <w:jc w:val="both"/>
        <w:rPr>
          <w:sz w:val="26"/>
          <w:szCs w:val="26"/>
        </w:rPr>
      </w:pPr>
      <w:r w:rsidRPr="000279F5">
        <w:rPr>
          <w:sz w:val="26"/>
          <w:szCs w:val="26"/>
        </w:rPr>
        <w:t xml:space="preserve">The Vounous bowl is from the early Bronze Age and was found in a cemetery at Bellapais Vounous on the north coast of Cyprus. </w:t>
      </w:r>
      <w:r w:rsidR="00554310" w:rsidRPr="000279F5">
        <w:rPr>
          <w:sz w:val="26"/>
          <w:szCs w:val="26"/>
        </w:rPr>
        <w:t>This bowl is commonly interpreted as a ritual activity or some kind of religious setting</w:t>
      </w:r>
      <w:r w:rsidR="003E453D" w:rsidRPr="000279F5">
        <w:rPr>
          <w:sz w:val="26"/>
          <w:szCs w:val="26"/>
        </w:rPr>
        <w:t xml:space="preserve"> in front of a shrine</w:t>
      </w:r>
      <w:r w:rsidR="00554310" w:rsidRPr="000279F5">
        <w:rPr>
          <w:sz w:val="26"/>
          <w:szCs w:val="26"/>
        </w:rPr>
        <w:t>. The shape of the bowl has been thought to resemble a building, perhaps a temple or a religious building of some kind. The sides of the bowl have often been referred to as the walls. The door shaped hole in the side of the bowl helps with this narrative.</w:t>
      </w:r>
      <w:r w:rsidR="003E453D" w:rsidRPr="000279F5">
        <w:rPr>
          <w:sz w:val="26"/>
          <w:szCs w:val="26"/>
        </w:rPr>
        <w:t xml:space="preserve"> The doorway in the vessels wall stands opposite three pilasters, a cross bar and wavy relief lines that look as if they are meant to represent snakes. This is sometimes called the “tripartite structure”. </w:t>
      </w:r>
      <w:r w:rsidR="003E453D" w:rsidRPr="000279F5">
        <w:rPr>
          <w:sz w:val="26"/>
          <w:szCs w:val="26"/>
        </w:rPr>
        <w:t>(Steel 2013, 54; Sneddon 2019, 1)</w:t>
      </w:r>
      <w:r w:rsidR="00554310" w:rsidRPr="000279F5">
        <w:rPr>
          <w:sz w:val="26"/>
          <w:szCs w:val="26"/>
        </w:rPr>
        <w:t xml:space="preserve"> Sneddon argues that there is “</w:t>
      </w:r>
      <w:r w:rsidR="00554310" w:rsidRPr="000279F5">
        <w:rPr>
          <w:sz w:val="26"/>
          <w:szCs w:val="26"/>
        </w:rPr>
        <w:t>Unambiguous evidence for religious structures and paraphernalia</w:t>
      </w:r>
      <w:r w:rsidR="00554310" w:rsidRPr="000279F5">
        <w:rPr>
          <w:sz w:val="26"/>
          <w:szCs w:val="26"/>
        </w:rPr>
        <w:t xml:space="preserve">” </w:t>
      </w:r>
      <w:r w:rsidR="003E453D" w:rsidRPr="000279F5">
        <w:rPr>
          <w:sz w:val="26"/>
          <w:szCs w:val="26"/>
        </w:rPr>
        <w:t>(Sneddon 2019, 1) which has intrigued archaeologists since the discovery of this bowl. “</w:t>
      </w:r>
      <w:r w:rsidR="003E453D" w:rsidRPr="000279F5">
        <w:rPr>
          <w:sz w:val="26"/>
          <w:szCs w:val="26"/>
        </w:rPr>
        <w:t>The vessel has long intrigued</w:t>
      </w:r>
      <w:r w:rsidR="003E453D" w:rsidRPr="000279F5">
        <w:rPr>
          <w:sz w:val="26"/>
          <w:szCs w:val="26"/>
        </w:rPr>
        <w:t xml:space="preserve"> </w:t>
      </w:r>
      <w:r w:rsidR="003E453D" w:rsidRPr="000279F5">
        <w:rPr>
          <w:sz w:val="26"/>
          <w:szCs w:val="26"/>
        </w:rPr>
        <w:t>archaeologists working in Cyprus, partly because unambiguous evidence for religious structures</w:t>
      </w:r>
      <w:r w:rsidR="003E453D" w:rsidRPr="000279F5">
        <w:rPr>
          <w:sz w:val="26"/>
          <w:szCs w:val="26"/>
        </w:rPr>
        <w:t xml:space="preserve"> </w:t>
      </w:r>
      <w:r w:rsidR="003E453D" w:rsidRPr="000279F5">
        <w:rPr>
          <w:sz w:val="26"/>
          <w:szCs w:val="26"/>
        </w:rPr>
        <w:t>and paraphernalia has eluded them in the archaeological record</w:t>
      </w:r>
      <w:r w:rsidR="003E453D" w:rsidRPr="000279F5">
        <w:rPr>
          <w:sz w:val="26"/>
          <w:szCs w:val="26"/>
        </w:rPr>
        <w:t xml:space="preserve">.” (Sneddon 2019, 1) </w:t>
      </w:r>
    </w:p>
    <w:p w14:paraId="63F081C0" w14:textId="5C14168F" w:rsidR="00E158C3" w:rsidRPr="000279F5" w:rsidRDefault="00520BFD" w:rsidP="00FB0467">
      <w:pPr>
        <w:jc w:val="both"/>
        <w:rPr>
          <w:sz w:val="26"/>
          <w:szCs w:val="26"/>
        </w:rPr>
      </w:pPr>
      <w:r w:rsidRPr="000279F5">
        <w:rPr>
          <w:sz w:val="26"/>
          <w:szCs w:val="26"/>
        </w:rPr>
        <w:t xml:space="preserve">The Vounous bowl includes eighteen human figures inside the walls and four penned cattle. There is a nineteenth figure hanging of the side of the bowl, this could indicate a selective society or group, or it could show a group of people willing to shut people out. This could be  a punishment for the exiled figure. Either way, it shows that people want to be included in this ritualistic behaviour. The bowl is 37 cm in diameter and 8 cm in height with the flared base. The red polish ware used on the bowl was rather popular in the early middle Cypriot ceramic style. </w:t>
      </w:r>
      <w:r w:rsidR="00E158C3" w:rsidRPr="000279F5">
        <w:rPr>
          <w:sz w:val="26"/>
          <w:szCs w:val="26"/>
        </w:rPr>
        <w:t>(Sneddon 2019, 1) A few of the people depicted in the Vounous bowl are shown to be kneeling down and praying</w:t>
      </w:r>
      <w:r w:rsidR="00B42DEC" w:rsidRPr="000279F5">
        <w:rPr>
          <w:sz w:val="26"/>
          <w:szCs w:val="26"/>
        </w:rPr>
        <w:t xml:space="preserve">, while others are sitting or standing. These people are shown to be in separate groups, within the larger group. Some of the people have their hands clasped together in prayer while others seem to be praying with their arms across their body. (Sneddon 2019, 1) </w:t>
      </w:r>
    </w:p>
    <w:p w14:paraId="2EA9E995" w14:textId="28054682" w:rsidR="00D57382" w:rsidRPr="000279F5" w:rsidRDefault="00D57382" w:rsidP="00D57382">
      <w:pPr>
        <w:jc w:val="both"/>
        <w:rPr>
          <w:sz w:val="26"/>
          <w:szCs w:val="26"/>
        </w:rPr>
      </w:pPr>
      <w:r w:rsidRPr="000279F5">
        <w:rPr>
          <w:sz w:val="26"/>
          <w:szCs w:val="26"/>
        </w:rPr>
        <w:t xml:space="preserve">Some argue that the Vounous bowl depicts a burial ritual due to the similarities between pilasters and crossbeams carved into the wall of the dromos of Tomb 6 at the north coast cemetery at Karmi Palaealona. </w:t>
      </w:r>
      <w:bookmarkStart w:id="0" w:name="_Hlk156151092"/>
      <w:r w:rsidRPr="000279F5">
        <w:rPr>
          <w:sz w:val="26"/>
          <w:szCs w:val="26"/>
        </w:rPr>
        <w:t>(Frankel and Tamvaki 1973</w:t>
      </w:r>
      <w:r w:rsidR="00FA3A62" w:rsidRPr="000279F5">
        <w:rPr>
          <w:sz w:val="26"/>
          <w:szCs w:val="26"/>
        </w:rPr>
        <w:t>,</w:t>
      </w:r>
      <w:r w:rsidRPr="000279F5">
        <w:rPr>
          <w:sz w:val="26"/>
          <w:szCs w:val="26"/>
        </w:rPr>
        <w:t xml:space="preserve"> 42; Sneddon 2019</w:t>
      </w:r>
      <w:r w:rsidR="00FA3A62" w:rsidRPr="000279F5">
        <w:rPr>
          <w:sz w:val="26"/>
          <w:szCs w:val="26"/>
        </w:rPr>
        <w:t>,</w:t>
      </w:r>
      <w:r w:rsidRPr="000279F5">
        <w:rPr>
          <w:sz w:val="26"/>
          <w:szCs w:val="26"/>
        </w:rPr>
        <w:t xml:space="preserve"> 1) </w:t>
      </w:r>
      <w:bookmarkEnd w:id="0"/>
      <w:r w:rsidR="00B42DEC" w:rsidRPr="000279F5">
        <w:rPr>
          <w:sz w:val="26"/>
          <w:szCs w:val="26"/>
        </w:rPr>
        <w:t>Looking at shrines from Kotchati and Kalopsidha this bowl shares a resemblance and is likely to depict a shrine or temple of some kind. (Morris 1985, 284; Sneddon 2019, 1).</w:t>
      </w:r>
    </w:p>
    <w:p w14:paraId="44033608" w14:textId="29C98B19" w:rsidR="008D0808" w:rsidRPr="000279F5" w:rsidRDefault="00BC5763" w:rsidP="00D57382">
      <w:pPr>
        <w:jc w:val="both"/>
        <w:rPr>
          <w:sz w:val="26"/>
          <w:szCs w:val="26"/>
        </w:rPr>
      </w:pPr>
      <w:r w:rsidRPr="000279F5">
        <w:rPr>
          <w:sz w:val="26"/>
          <w:szCs w:val="26"/>
        </w:rPr>
        <w:t>It has been suggested that the enthroned character could represent a sense of prosperity that has been idealised with this ceramic. (Steel 2013</w:t>
      </w:r>
      <w:r w:rsidR="00FA3A62" w:rsidRPr="000279F5">
        <w:rPr>
          <w:sz w:val="26"/>
          <w:szCs w:val="26"/>
        </w:rPr>
        <w:t>,</w:t>
      </w:r>
      <w:r w:rsidRPr="000279F5">
        <w:rPr>
          <w:sz w:val="26"/>
          <w:szCs w:val="26"/>
        </w:rPr>
        <w:t xml:space="preserve"> 55; Sneddon 2019</w:t>
      </w:r>
      <w:r w:rsidR="00FA3A62" w:rsidRPr="000279F5">
        <w:rPr>
          <w:sz w:val="26"/>
          <w:szCs w:val="26"/>
        </w:rPr>
        <w:t>,</w:t>
      </w:r>
      <w:r w:rsidRPr="000279F5">
        <w:rPr>
          <w:sz w:val="26"/>
          <w:szCs w:val="26"/>
        </w:rPr>
        <w:t xml:space="preserve"> 3) </w:t>
      </w:r>
      <w:r w:rsidR="00B42DEC" w:rsidRPr="000279F5">
        <w:rPr>
          <w:sz w:val="26"/>
          <w:szCs w:val="26"/>
        </w:rPr>
        <w:t xml:space="preserve">The throne shown on the Vounous bowl seems to be unique to the </w:t>
      </w:r>
      <w:r w:rsidR="00E22755" w:rsidRPr="000279F5">
        <w:rPr>
          <w:sz w:val="26"/>
          <w:szCs w:val="26"/>
        </w:rPr>
        <w:t xml:space="preserve">art of the age. Coroplastic art in prehistoric Bronze Age Cyprus usually included terracotta figurines made with different types of clay. This period of art has included humans seated on </w:t>
      </w:r>
      <w:r w:rsidR="00E22755" w:rsidRPr="000279F5">
        <w:rPr>
          <w:sz w:val="26"/>
          <w:szCs w:val="26"/>
        </w:rPr>
        <w:lastRenderedPageBreak/>
        <w:t xml:space="preserve">furniture, the unique element in this particular piece of terracotta art is the detail that has gone into the throne. “representations of humans seated on furniture exist on other vessels from the period, the furniture is usually plain and unadorned.” (Sneddon 2019, 11; Morris 1985, 226,270,293.) The roundels seen on the throne in the Vounous bowl are not incorporated in the usual ceramic art of the prehistoric Bronze Age in Cyprus. </w:t>
      </w:r>
      <w:r w:rsidR="00016A50" w:rsidRPr="000279F5">
        <w:rPr>
          <w:sz w:val="26"/>
          <w:szCs w:val="26"/>
        </w:rPr>
        <w:t xml:space="preserve">Representations of high back chairs similar to the throne in the Vounous bowl were more common in Cyprus in the Late Bronze Age, however considering that the Vounous bowl was made in the early Bronze Age “there are no clear parallels for the throne that might indicate a continuity of style or practice.” (Sneddon 2019, 11)  </w:t>
      </w:r>
      <w:r w:rsidR="007E33EB" w:rsidRPr="000279F5">
        <w:rPr>
          <w:sz w:val="26"/>
          <w:szCs w:val="26"/>
        </w:rPr>
        <w:t>“In short, the ‘throne’ depicted on the Vounous bowl is highly unusual, and peculiar to Cyprus during the Early-Middle Bronze Age.” (Sneddon 2019, 12)</w:t>
      </w:r>
    </w:p>
    <w:p w14:paraId="5A424138" w14:textId="16A79535" w:rsidR="008D0808" w:rsidRPr="000279F5" w:rsidRDefault="00BC5763" w:rsidP="00D57382">
      <w:pPr>
        <w:jc w:val="both"/>
        <w:rPr>
          <w:sz w:val="26"/>
          <w:szCs w:val="26"/>
        </w:rPr>
      </w:pPr>
      <w:r w:rsidRPr="000279F5">
        <w:rPr>
          <w:sz w:val="26"/>
          <w:szCs w:val="26"/>
        </w:rPr>
        <w:t xml:space="preserve">A range of different </w:t>
      </w:r>
      <w:r w:rsidR="00FA3A62" w:rsidRPr="000279F5">
        <w:rPr>
          <w:sz w:val="26"/>
          <w:szCs w:val="26"/>
        </w:rPr>
        <w:t>opinions</w:t>
      </w:r>
      <w:r w:rsidRPr="000279F5">
        <w:rPr>
          <w:sz w:val="26"/>
          <w:szCs w:val="26"/>
        </w:rPr>
        <w:t xml:space="preserve"> and interpretations have </w:t>
      </w:r>
      <w:r w:rsidR="00FA3A62" w:rsidRPr="000279F5">
        <w:rPr>
          <w:sz w:val="26"/>
          <w:szCs w:val="26"/>
        </w:rPr>
        <w:t xml:space="preserve">been thrust upon the Vounous bowl, but one continuous view is that this ceramic bowl depicts a religious setting. “A group-based religious activity within a clearly defined sacred space.” (Sneddon 2019: 3) However, Desmond Morris doesn’t have a different view as he notes that the art of this period usually depicts people getting on with everyday ordinary task rather than religious settings and rituals. He concludes that it is “much more reasonable to assume that it is simply a peaceful village scene, with people standing around talking at the end of another busy day.” (Morris 1985, 282) </w:t>
      </w:r>
      <w:r w:rsidR="00E22755" w:rsidRPr="000279F5">
        <w:rPr>
          <w:sz w:val="26"/>
          <w:szCs w:val="26"/>
        </w:rPr>
        <w:t xml:space="preserve">However, </w:t>
      </w:r>
      <w:r w:rsidR="00194C35" w:rsidRPr="000279F5">
        <w:rPr>
          <w:sz w:val="26"/>
          <w:szCs w:val="26"/>
        </w:rPr>
        <w:t>Stuart Swiny argues that the Vounous bowl clearly shows a religious setting and that it would likely be used in a religious setting. (Swiny 2008, 49)</w:t>
      </w:r>
    </w:p>
    <w:p w14:paraId="069C7899" w14:textId="018385F7" w:rsidR="003247E8" w:rsidRPr="000279F5" w:rsidRDefault="00D10FE0" w:rsidP="008D0808">
      <w:pPr>
        <w:jc w:val="both"/>
        <w:rPr>
          <w:sz w:val="26"/>
          <w:szCs w:val="26"/>
        </w:rPr>
      </w:pPr>
      <w:r w:rsidRPr="000279F5">
        <w:rPr>
          <w:sz w:val="26"/>
          <w:szCs w:val="26"/>
        </w:rPr>
        <w:t xml:space="preserve">In central Cyprus a plastered mudbrick feature was discovered in 2015. This archaeological find “closely resembles the splaying roundels with concave upper surfaces forming parts of the throne that is such an important part of the Vounous Bowl.” (Sneddon 2019, 3) Along with this mudbrick feature an unusual human burial was found which helps to support the theory that the Vounous bowl depicts a religious scene. </w:t>
      </w:r>
      <w:r w:rsidR="00AF4575" w:rsidRPr="000279F5">
        <w:rPr>
          <w:sz w:val="26"/>
          <w:szCs w:val="26"/>
        </w:rPr>
        <w:t xml:space="preserve">This plastered mudbrick feature </w:t>
      </w:r>
      <w:r w:rsidR="003247E8" w:rsidRPr="000279F5">
        <w:rPr>
          <w:sz w:val="26"/>
          <w:szCs w:val="26"/>
        </w:rPr>
        <w:t>is tapered inwards on an asymmetrical base</w:t>
      </w:r>
      <w:r w:rsidR="007E33EB" w:rsidRPr="000279F5">
        <w:rPr>
          <w:sz w:val="26"/>
          <w:szCs w:val="26"/>
        </w:rPr>
        <w:t xml:space="preserve"> which is 31 cm long by 22cm wide. The ovel top of this feature is 24 cm long by 16.5 cm wide, with the overall height of 22cm. This feature has a concave impression on the top of the brick that goes 1.8 cm deep. (Sneddon 2019, 3)</w:t>
      </w:r>
    </w:p>
    <w:p w14:paraId="333471BC" w14:textId="4B409A59" w:rsidR="008D0808" w:rsidRPr="000279F5" w:rsidRDefault="007E33EB" w:rsidP="008D0808">
      <w:pPr>
        <w:jc w:val="both"/>
        <w:rPr>
          <w:sz w:val="26"/>
          <w:szCs w:val="26"/>
        </w:rPr>
      </w:pPr>
      <w:r w:rsidRPr="000279F5">
        <w:rPr>
          <w:sz w:val="26"/>
          <w:szCs w:val="26"/>
        </w:rPr>
        <w:t xml:space="preserve">The plaster the brick was made from </w:t>
      </w:r>
      <w:r w:rsidR="00CB750B" w:rsidRPr="000279F5">
        <w:rPr>
          <w:sz w:val="26"/>
          <w:szCs w:val="26"/>
        </w:rPr>
        <w:t xml:space="preserve">is most likely weathered and puddled limestone or chalk. (Colman 1996, 25) This has often been described as lime plaster. (Swiny 2003, 60; Frankel and Webb 2006, 7; Sneddon 2019, 3) </w:t>
      </w:r>
      <w:r w:rsidR="00AA4A30" w:rsidRPr="000279F5">
        <w:rPr>
          <w:sz w:val="26"/>
          <w:szCs w:val="26"/>
        </w:rPr>
        <w:t xml:space="preserve">The function of this feature has been theorized, but a conclusion as to what is would have been used for has stumped people. The plaster would not be able to take a lot of weight so it would not be able to function as a stool. It also would not have been able to function as a free standing alter, however </w:t>
      </w:r>
      <w:r w:rsidR="001D32FB" w:rsidRPr="000279F5">
        <w:rPr>
          <w:sz w:val="26"/>
          <w:szCs w:val="26"/>
        </w:rPr>
        <w:t xml:space="preserve">“its form does indicate that it was intended to rest on the brick part of the base with the oval concave surface facing up.” </w:t>
      </w:r>
      <w:r w:rsidR="00AA4A30" w:rsidRPr="000279F5">
        <w:rPr>
          <w:sz w:val="26"/>
          <w:szCs w:val="26"/>
        </w:rPr>
        <w:t>(Sneddon 2019, 4)</w:t>
      </w:r>
    </w:p>
    <w:p w14:paraId="066C2947" w14:textId="60284DC4" w:rsidR="002E3D62" w:rsidRPr="000279F5" w:rsidRDefault="002E3D62" w:rsidP="008D0808">
      <w:pPr>
        <w:jc w:val="both"/>
        <w:rPr>
          <w:sz w:val="26"/>
          <w:szCs w:val="26"/>
        </w:rPr>
      </w:pPr>
      <w:r w:rsidRPr="000279F5">
        <w:rPr>
          <w:sz w:val="26"/>
          <w:szCs w:val="26"/>
        </w:rPr>
        <w:lastRenderedPageBreak/>
        <w:t xml:space="preserve">Within the Vounous bowl there is a kind of mortuary activity in the midst of a ritual in from of a shrine. There is also an indication of some detailed realism in many aspects of this art style. There are several instances of religious structures and paraphernalia as well as religious body language in the humans depicted. </w:t>
      </w:r>
      <w:r w:rsidR="009B710A" w:rsidRPr="000279F5">
        <w:rPr>
          <w:sz w:val="26"/>
          <w:szCs w:val="26"/>
        </w:rPr>
        <w:t xml:space="preserve">It has also portrayed some of the reflections based on the furniture of the period, which is also mentioned as one of the religious functions of the Vounous bowl. </w:t>
      </w:r>
    </w:p>
    <w:p w14:paraId="75E4CD4A" w14:textId="68812212" w:rsidR="009B710A" w:rsidRPr="000279F5" w:rsidRDefault="00A600E6" w:rsidP="008D0808">
      <w:pPr>
        <w:jc w:val="both"/>
        <w:rPr>
          <w:sz w:val="26"/>
          <w:szCs w:val="26"/>
        </w:rPr>
      </w:pPr>
      <w:r w:rsidRPr="000279F5">
        <w:rPr>
          <w:sz w:val="26"/>
          <w:szCs w:val="26"/>
        </w:rPr>
        <w:t>The arguments that are represented through the Vounous bowl depict the rituals of the burial and also the similarities between the crossbeams and the pilasters through the wall of the dromos of Tomb 6, which is portrayed in the cemetery at Karmi Palaealona</w:t>
      </w:r>
      <w:r w:rsidR="002D122F">
        <w:rPr>
          <w:sz w:val="26"/>
          <w:szCs w:val="26"/>
        </w:rPr>
        <w:t xml:space="preserve">. </w:t>
      </w:r>
      <w:r w:rsidR="002D122F" w:rsidRPr="002D122F">
        <w:rPr>
          <w:sz w:val="26"/>
          <w:szCs w:val="26"/>
        </w:rPr>
        <w:t xml:space="preserve">(Frankel and Tamvaki 1973, 42; Sneddon 2019, 1) </w:t>
      </w:r>
      <w:r w:rsidRPr="000279F5">
        <w:rPr>
          <w:sz w:val="26"/>
          <w:szCs w:val="26"/>
        </w:rPr>
        <w:t xml:space="preserve">The Vounous bowl, in general, explains some of the seated figures that are reflected in the notions of the receding in the Catholic period. The representations of the Late Bronze Age are also involved in the style of the practices and the involvement in these notions as well. (Frankel and Tamvaki 1973, 42; Sneddon 2019, 1) </w:t>
      </w:r>
    </w:p>
    <w:p w14:paraId="07E48DF1" w14:textId="77777777" w:rsidR="00194C35" w:rsidRDefault="00194C35" w:rsidP="008D0808">
      <w:pPr>
        <w:jc w:val="both"/>
        <w:rPr>
          <w:sz w:val="24"/>
          <w:szCs w:val="24"/>
        </w:rPr>
      </w:pPr>
    </w:p>
    <w:p w14:paraId="5EC58468" w14:textId="77777777" w:rsidR="00194C35" w:rsidRDefault="00194C35" w:rsidP="008D0808">
      <w:pPr>
        <w:jc w:val="both"/>
        <w:rPr>
          <w:sz w:val="24"/>
          <w:szCs w:val="24"/>
        </w:rPr>
      </w:pPr>
    </w:p>
    <w:p w14:paraId="4D7AA1AC" w14:textId="0DE4DA33" w:rsidR="008D0808" w:rsidRPr="008D0808" w:rsidRDefault="008D0808" w:rsidP="008D0808">
      <w:pPr>
        <w:jc w:val="both"/>
        <w:rPr>
          <w:sz w:val="28"/>
          <w:szCs w:val="28"/>
          <w:u w:val="single"/>
        </w:rPr>
      </w:pPr>
      <w:r w:rsidRPr="008D0808">
        <w:rPr>
          <w:sz w:val="28"/>
          <w:szCs w:val="28"/>
          <w:u w:val="single"/>
        </w:rPr>
        <w:t>Bibliography</w:t>
      </w:r>
    </w:p>
    <w:p w14:paraId="38572B9D" w14:textId="3E0E1277" w:rsidR="001D32FB" w:rsidRPr="001D32FB" w:rsidRDefault="001D32FB" w:rsidP="001D32FB">
      <w:pPr>
        <w:jc w:val="both"/>
        <w:rPr>
          <w:sz w:val="24"/>
          <w:szCs w:val="24"/>
        </w:rPr>
      </w:pPr>
      <w:r w:rsidRPr="001D32FB">
        <w:rPr>
          <w:sz w:val="24"/>
          <w:szCs w:val="24"/>
        </w:rPr>
        <w:t>Coleman, J. E.; Barlow, J. A.; Mogelonsky, M. K.; and</w:t>
      </w:r>
      <w:r>
        <w:rPr>
          <w:sz w:val="24"/>
          <w:szCs w:val="24"/>
        </w:rPr>
        <w:t xml:space="preserve"> </w:t>
      </w:r>
      <w:r w:rsidRPr="001D32FB">
        <w:rPr>
          <w:sz w:val="24"/>
          <w:szCs w:val="24"/>
        </w:rPr>
        <w:t>Schaar, K. W.</w:t>
      </w:r>
      <w:r>
        <w:rPr>
          <w:sz w:val="24"/>
          <w:szCs w:val="24"/>
        </w:rPr>
        <w:t xml:space="preserve"> 1</w:t>
      </w:r>
      <w:r w:rsidRPr="001D32FB">
        <w:rPr>
          <w:sz w:val="24"/>
          <w:szCs w:val="24"/>
        </w:rPr>
        <w:t>996</w:t>
      </w:r>
      <w:r>
        <w:rPr>
          <w:sz w:val="24"/>
          <w:szCs w:val="24"/>
        </w:rPr>
        <w:t>. ‘</w:t>
      </w:r>
      <w:r w:rsidRPr="001D32FB">
        <w:rPr>
          <w:sz w:val="24"/>
          <w:szCs w:val="24"/>
        </w:rPr>
        <w:t>A Middle Bronze Age Settlement in Cyprus.</w:t>
      </w:r>
      <w:r>
        <w:rPr>
          <w:sz w:val="24"/>
          <w:szCs w:val="24"/>
        </w:rPr>
        <w:t xml:space="preserve"> </w:t>
      </w:r>
      <w:r w:rsidRPr="001D32FB">
        <w:rPr>
          <w:sz w:val="24"/>
          <w:szCs w:val="24"/>
        </w:rPr>
        <w:t>Archaeological Investigations by Cornell University</w:t>
      </w:r>
      <w:r>
        <w:rPr>
          <w:sz w:val="24"/>
          <w:szCs w:val="24"/>
        </w:rPr>
        <w:t xml:space="preserve"> </w:t>
      </w:r>
      <w:r w:rsidRPr="001D32FB">
        <w:rPr>
          <w:sz w:val="24"/>
          <w:szCs w:val="24"/>
        </w:rPr>
        <w:t>1974–1985.</w:t>
      </w:r>
      <w:r>
        <w:rPr>
          <w:sz w:val="24"/>
          <w:szCs w:val="24"/>
        </w:rPr>
        <w:t xml:space="preserve">’ </w:t>
      </w:r>
      <w:r w:rsidRPr="001D32FB">
        <w:rPr>
          <w:i/>
          <w:iCs/>
          <w:sz w:val="24"/>
          <w:szCs w:val="24"/>
        </w:rPr>
        <w:t>Studies in Mediterranean Archaeology</w:t>
      </w:r>
    </w:p>
    <w:p w14:paraId="431CD230" w14:textId="156BD5A0" w:rsidR="00BC5763" w:rsidRDefault="00BC5763" w:rsidP="008D0808">
      <w:pPr>
        <w:jc w:val="both"/>
        <w:rPr>
          <w:sz w:val="24"/>
          <w:szCs w:val="24"/>
        </w:rPr>
      </w:pPr>
      <w:r w:rsidRPr="00BC5763">
        <w:rPr>
          <w:sz w:val="24"/>
          <w:szCs w:val="24"/>
        </w:rPr>
        <w:t>Frankel</w:t>
      </w:r>
      <w:r>
        <w:rPr>
          <w:sz w:val="24"/>
          <w:szCs w:val="24"/>
        </w:rPr>
        <w:t>, D</w:t>
      </w:r>
      <w:r w:rsidRPr="00BC5763">
        <w:rPr>
          <w:sz w:val="24"/>
          <w:szCs w:val="24"/>
        </w:rPr>
        <w:t xml:space="preserve"> and Tamvaki</w:t>
      </w:r>
      <w:r>
        <w:rPr>
          <w:sz w:val="24"/>
          <w:szCs w:val="24"/>
        </w:rPr>
        <w:t>, A. 1973</w:t>
      </w:r>
      <w:r w:rsidR="000279F5">
        <w:rPr>
          <w:sz w:val="24"/>
          <w:szCs w:val="24"/>
        </w:rPr>
        <w:t>.</w:t>
      </w:r>
      <w:r>
        <w:rPr>
          <w:sz w:val="24"/>
          <w:szCs w:val="24"/>
        </w:rPr>
        <w:t xml:space="preserve"> ‘</w:t>
      </w:r>
      <w:r w:rsidRPr="00BC5763">
        <w:rPr>
          <w:sz w:val="24"/>
          <w:szCs w:val="24"/>
        </w:rPr>
        <w:t>Cypriote Shrine Models and Decorated Tombs.</w:t>
      </w:r>
      <w:r>
        <w:rPr>
          <w:sz w:val="24"/>
          <w:szCs w:val="24"/>
        </w:rPr>
        <w:t>’</w:t>
      </w:r>
      <w:r>
        <w:t xml:space="preserve"> </w:t>
      </w:r>
      <w:r w:rsidRPr="00BC5763">
        <w:rPr>
          <w:i/>
          <w:iCs/>
          <w:sz w:val="24"/>
          <w:szCs w:val="24"/>
        </w:rPr>
        <w:t>Australian Journal of Biblical Archaeology</w:t>
      </w:r>
    </w:p>
    <w:p w14:paraId="1745FB71" w14:textId="1A658144" w:rsidR="00BC5763" w:rsidRDefault="00BC5763" w:rsidP="008D0808">
      <w:pPr>
        <w:jc w:val="both"/>
        <w:rPr>
          <w:sz w:val="24"/>
          <w:szCs w:val="24"/>
        </w:rPr>
      </w:pPr>
      <w:r w:rsidRPr="00BC5763">
        <w:rPr>
          <w:sz w:val="24"/>
          <w:szCs w:val="24"/>
        </w:rPr>
        <w:t xml:space="preserve">Morris, D. 1985. ‘The Art of Ancient Cyprus.’ </w:t>
      </w:r>
      <w:r w:rsidRPr="00BC5763">
        <w:rPr>
          <w:i/>
          <w:iCs/>
          <w:sz w:val="24"/>
          <w:szCs w:val="24"/>
        </w:rPr>
        <w:t>Oxford: Phaidon</w:t>
      </w:r>
    </w:p>
    <w:p w14:paraId="5EA078DE" w14:textId="26F81B8F" w:rsidR="008D0808" w:rsidRDefault="008D0808" w:rsidP="008D0808">
      <w:pPr>
        <w:jc w:val="both"/>
        <w:rPr>
          <w:i/>
          <w:iCs/>
          <w:sz w:val="24"/>
          <w:szCs w:val="24"/>
        </w:rPr>
      </w:pPr>
      <w:r>
        <w:rPr>
          <w:sz w:val="24"/>
          <w:szCs w:val="24"/>
        </w:rPr>
        <w:t>Sneddon, A. 2019. ‘</w:t>
      </w:r>
      <w:r w:rsidRPr="008D0808">
        <w:rPr>
          <w:sz w:val="24"/>
          <w:szCs w:val="24"/>
        </w:rPr>
        <w:t>An Analog from the Prehistoric Bronze Age Site of Alambra Mouttes (Cyprus) for</w:t>
      </w:r>
      <w:r>
        <w:rPr>
          <w:sz w:val="24"/>
          <w:szCs w:val="24"/>
        </w:rPr>
        <w:t xml:space="preserve"> </w:t>
      </w:r>
      <w:r w:rsidRPr="008D0808">
        <w:rPr>
          <w:sz w:val="24"/>
          <w:szCs w:val="24"/>
        </w:rPr>
        <w:t>Adornments on the Enigmatic “Vounous Bowl”</w:t>
      </w:r>
      <w:r>
        <w:rPr>
          <w:sz w:val="24"/>
          <w:szCs w:val="24"/>
        </w:rPr>
        <w:t xml:space="preserve">’ </w:t>
      </w:r>
      <w:r w:rsidRPr="008D0808">
        <w:rPr>
          <w:i/>
          <w:iCs/>
          <w:sz w:val="24"/>
          <w:szCs w:val="24"/>
        </w:rPr>
        <w:t>The University of Chicago Press on behalf of The American Society of Overseas Research</w:t>
      </w:r>
    </w:p>
    <w:p w14:paraId="432DFA1D" w14:textId="44C7A391" w:rsidR="008D0808" w:rsidRDefault="008D0808" w:rsidP="008D0808">
      <w:pPr>
        <w:jc w:val="both"/>
        <w:rPr>
          <w:sz w:val="24"/>
          <w:szCs w:val="24"/>
        </w:rPr>
      </w:pPr>
      <w:r>
        <w:rPr>
          <w:sz w:val="24"/>
          <w:szCs w:val="24"/>
        </w:rPr>
        <w:t>Steel, L. 2013. ‘</w:t>
      </w:r>
      <w:r w:rsidRPr="008D0808">
        <w:rPr>
          <w:sz w:val="24"/>
          <w:szCs w:val="24"/>
        </w:rPr>
        <w:t>The Social World of Early-Middle Bronze Age</w:t>
      </w:r>
      <w:r>
        <w:rPr>
          <w:sz w:val="24"/>
          <w:szCs w:val="24"/>
        </w:rPr>
        <w:t xml:space="preserve"> </w:t>
      </w:r>
      <w:r w:rsidRPr="008D0808">
        <w:rPr>
          <w:sz w:val="24"/>
          <w:szCs w:val="24"/>
        </w:rPr>
        <w:t>Cyprus: Rethinking the Vounous Bowl.</w:t>
      </w:r>
      <w:r>
        <w:rPr>
          <w:sz w:val="24"/>
          <w:szCs w:val="24"/>
        </w:rPr>
        <w:t>’</w:t>
      </w:r>
      <w:r w:rsidRPr="008D0808">
        <w:rPr>
          <w:sz w:val="24"/>
          <w:szCs w:val="24"/>
        </w:rPr>
        <w:t xml:space="preserve"> </w:t>
      </w:r>
      <w:r w:rsidRPr="008D0808">
        <w:rPr>
          <w:i/>
          <w:iCs/>
          <w:sz w:val="24"/>
          <w:szCs w:val="24"/>
        </w:rPr>
        <w:t>Journal of Mediterranean Archaeology</w:t>
      </w:r>
      <w:r w:rsidRPr="008D0808">
        <w:rPr>
          <w:sz w:val="24"/>
          <w:szCs w:val="24"/>
        </w:rPr>
        <w:t xml:space="preserve"> </w:t>
      </w:r>
    </w:p>
    <w:p w14:paraId="10E044C5" w14:textId="6FB9D395" w:rsidR="00194C35" w:rsidRDefault="00194C35" w:rsidP="008D0808">
      <w:pPr>
        <w:jc w:val="both"/>
        <w:rPr>
          <w:sz w:val="24"/>
          <w:szCs w:val="24"/>
        </w:rPr>
      </w:pPr>
      <w:r>
        <w:rPr>
          <w:sz w:val="24"/>
          <w:szCs w:val="24"/>
        </w:rPr>
        <w:t>Swiny, S. 2008. ‘</w:t>
      </w:r>
      <w:r w:rsidRPr="00194C35">
        <w:rPr>
          <w:sz w:val="24"/>
          <w:szCs w:val="24"/>
        </w:rPr>
        <w:t>Of Cows, Copper, Corners, and Cult: The Emergence of the Cypriot Bronze Age.</w:t>
      </w:r>
      <w:r>
        <w:rPr>
          <w:sz w:val="24"/>
          <w:szCs w:val="24"/>
        </w:rPr>
        <w:t xml:space="preserve">’ </w:t>
      </w:r>
      <w:r w:rsidRPr="00194C35">
        <w:rPr>
          <w:sz w:val="24"/>
          <w:szCs w:val="24"/>
        </w:rPr>
        <w:t xml:space="preserve"> </w:t>
      </w:r>
      <w:r w:rsidRPr="00194C35">
        <w:rPr>
          <w:i/>
          <w:iCs/>
          <w:sz w:val="24"/>
          <w:szCs w:val="24"/>
        </w:rPr>
        <w:t>Near Eastern Archaeology</w:t>
      </w:r>
    </w:p>
    <w:p w14:paraId="1C66494B" w14:textId="5CBCD7D3" w:rsidR="008D0808" w:rsidRPr="000258EE" w:rsidRDefault="008D0808" w:rsidP="00BC5763">
      <w:pPr>
        <w:jc w:val="both"/>
        <w:rPr>
          <w:sz w:val="24"/>
          <w:szCs w:val="24"/>
          <w:lang w:val="en-US"/>
        </w:rPr>
      </w:pPr>
    </w:p>
    <w:sectPr w:rsidR="008D0808" w:rsidRPr="00025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4219C"/>
    <w:rsid w:val="000027C1"/>
    <w:rsid w:val="00016A50"/>
    <w:rsid w:val="000258EE"/>
    <w:rsid w:val="000279F5"/>
    <w:rsid w:val="0004219C"/>
    <w:rsid w:val="00194C35"/>
    <w:rsid w:val="001D32FB"/>
    <w:rsid w:val="002B01EE"/>
    <w:rsid w:val="002D122F"/>
    <w:rsid w:val="002E3D62"/>
    <w:rsid w:val="003247E8"/>
    <w:rsid w:val="003B712C"/>
    <w:rsid w:val="003E453D"/>
    <w:rsid w:val="00416543"/>
    <w:rsid w:val="004C6372"/>
    <w:rsid w:val="004E5152"/>
    <w:rsid w:val="00520BFD"/>
    <w:rsid w:val="00546874"/>
    <w:rsid w:val="00554310"/>
    <w:rsid w:val="007E33EB"/>
    <w:rsid w:val="00854816"/>
    <w:rsid w:val="008608DD"/>
    <w:rsid w:val="008D0808"/>
    <w:rsid w:val="009B710A"/>
    <w:rsid w:val="00A600E6"/>
    <w:rsid w:val="00AA4A30"/>
    <w:rsid w:val="00AF4575"/>
    <w:rsid w:val="00B222CF"/>
    <w:rsid w:val="00B42DEC"/>
    <w:rsid w:val="00B729AD"/>
    <w:rsid w:val="00B92FB3"/>
    <w:rsid w:val="00BC5763"/>
    <w:rsid w:val="00CB750B"/>
    <w:rsid w:val="00CE7770"/>
    <w:rsid w:val="00D10FE0"/>
    <w:rsid w:val="00D57382"/>
    <w:rsid w:val="00D872CD"/>
    <w:rsid w:val="00DB1425"/>
    <w:rsid w:val="00E158C3"/>
    <w:rsid w:val="00E22755"/>
    <w:rsid w:val="00F8305C"/>
    <w:rsid w:val="00FA3A62"/>
    <w:rsid w:val="00FB0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43408"/>
  <w15:docId w15:val="{821732D3-B12E-4A8C-A450-C2E1F1F45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1694</TotalTime>
  <Pages>3</Pages>
  <Words>1209</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6</cp:revision>
  <dcterms:created xsi:type="dcterms:W3CDTF">2023-12-11T15:21:00Z</dcterms:created>
  <dcterms:modified xsi:type="dcterms:W3CDTF">2024-01-14T18:58:00Z</dcterms:modified>
</cp:coreProperties>
</file>