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4298612"/>
        <w:docPartObj>
          <w:docPartGallery w:val="Cover Pages"/>
          <w:docPartUnique/>
        </w:docPartObj>
      </w:sdtPr>
      <w:sdtContent>
        <w:p w14:paraId="5B5C0F5F" w14:textId="5DBAED02" w:rsidR="00BD37E3" w:rsidRDefault="00BD37E3"/>
        <w:p w14:paraId="62036539" w14:textId="77777777" w:rsidR="00BD37E3" w:rsidRDefault="00BD37E3" w:rsidP="00BD37E3">
          <w:r>
            <w:rPr>
              <w:noProof/>
              <w:lang w:eastAsia="zh-CN"/>
            </w:rPr>
            <mc:AlternateContent>
              <mc:Choice Requires="wps">
                <w:drawing>
                  <wp:anchor distT="0" distB="0" distL="182880" distR="182880" simplePos="0" relativeHeight="251660288" behindDoc="0" locked="0" layoutInCell="1" allowOverlap="1" wp14:anchorId="5D36E2DE" wp14:editId="1DAA4C9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07970" w14:textId="52FD32C0" w:rsidR="00BD37E3" w:rsidRDefault="00BD37E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Legal Processes Assignment </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BDF9C05" w14:textId="24AEF059" w:rsidR="00BD37E3" w:rsidRDefault="00BD37E3">
                                    <w:pPr>
                                      <w:pStyle w:val="NoSpacing"/>
                                      <w:spacing w:before="40" w:after="40"/>
                                      <w:rPr>
                                        <w:caps/>
                                        <w:color w:val="1F4E79" w:themeColor="accent5" w:themeShade="80"/>
                                        <w:sz w:val="28"/>
                                        <w:szCs w:val="28"/>
                                      </w:rPr>
                                    </w:pPr>
                                    <w:r>
                                      <w:rPr>
                                        <w:caps/>
                                        <w:color w:val="1F4E79" w:themeColor="accent5" w:themeShade="80"/>
                                        <w:sz w:val="28"/>
                                        <w:szCs w:val="28"/>
                                      </w:rPr>
                                      <w:t>BMPL4005 BMLW4003</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C715FF5" w14:textId="6A199436" w:rsidR="00BD37E3" w:rsidRDefault="00BD37E3">
                                    <w:pPr>
                                      <w:pStyle w:val="NoSpacing"/>
                                      <w:spacing w:before="80" w:after="40"/>
                                      <w:rPr>
                                        <w:caps/>
                                        <w:color w:val="5B9BD5" w:themeColor="accent5"/>
                                        <w:sz w:val="24"/>
                                        <w:szCs w:val="24"/>
                                      </w:rPr>
                                    </w:pPr>
                                    <w:r>
                                      <w:rPr>
                                        <w:caps/>
                                        <w:color w:val="5B9BD5" w:themeColor="accent5"/>
                                        <w:sz w:val="24"/>
                                        <w:szCs w:val="24"/>
                                      </w:rPr>
                                      <w:t>Oliver Rowe (2100430)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D36E2D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3F207970" w14:textId="52FD32C0" w:rsidR="00BD37E3" w:rsidRDefault="00BD37E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Legal Processes Assignment </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BDF9C05" w14:textId="24AEF059" w:rsidR="00BD37E3" w:rsidRDefault="00BD37E3">
                              <w:pPr>
                                <w:pStyle w:val="NoSpacing"/>
                                <w:spacing w:before="40" w:after="40"/>
                                <w:rPr>
                                  <w:caps/>
                                  <w:color w:val="1F4E79" w:themeColor="accent5" w:themeShade="80"/>
                                  <w:sz w:val="28"/>
                                  <w:szCs w:val="28"/>
                                </w:rPr>
                              </w:pPr>
                              <w:r>
                                <w:rPr>
                                  <w:caps/>
                                  <w:color w:val="1F4E79" w:themeColor="accent5" w:themeShade="80"/>
                                  <w:sz w:val="28"/>
                                  <w:szCs w:val="28"/>
                                </w:rPr>
                                <w:t>BMPL4005 BMLW4003</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C715FF5" w14:textId="6A199436" w:rsidR="00BD37E3" w:rsidRDefault="00BD37E3">
                              <w:pPr>
                                <w:pStyle w:val="NoSpacing"/>
                                <w:spacing w:before="80" w:after="40"/>
                                <w:rPr>
                                  <w:caps/>
                                  <w:color w:val="5B9BD5" w:themeColor="accent5"/>
                                  <w:sz w:val="24"/>
                                  <w:szCs w:val="24"/>
                                </w:rPr>
                              </w:pPr>
                              <w:r>
                                <w:rPr>
                                  <w:caps/>
                                  <w:color w:val="5B9BD5" w:themeColor="accent5"/>
                                  <w:sz w:val="24"/>
                                  <w:szCs w:val="24"/>
                                </w:rPr>
                                <w:t>Oliver Rowe (2100430)</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2948426D" wp14:editId="54290AB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4E147567" w14:textId="3BBD4D70" w:rsidR="00BD37E3" w:rsidRDefault="00BD37E3">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948426D"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IG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iSkD&#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DABlIG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4E147567" w14:textId="3BBD4D70" w:rsidR="00BD37E3" w:rsidRDefault="00BD37E3">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p>
        <w:p w14:paraId="7192A6A1" w14:textId="77777777" w:rsidR="00BD37E3" w:rsidRDefault="00BD37E3" w:rsidP="00BD37E3"/>
        <w:p w14:paraId="425BCD66" w14:textId="77777777" w:rsidR="00BD37E3" w:rsidRDefault="00BD37E3" w:rsidP="00BD37E3"/>
        <w:p w14:paraId="75678BC8" w14:textId="77777777" w:rsidR="00BD37E3" w:rsidRDefault="00BD37E3" w:rsidP="00BD37E3"/>
        <w:p w14:paraId="2F2BE89B" w14:textId="77777777" w:rsidR="00BD37E3" w:rsidRDefault="00BD37E3" w:rsidP="00BD37E3"/>
        <w:p w14:paraId="59FBBC9C" w14:textId="77777777" w:rsidR="00BD37E3" w:rsidRDefault="00BD37E3" w:rsidP="00BD37E3"/>
        <w:p w14:paraId="1F186194" w14:textId="77777777" w:rsidR="00BD37E3" w:rsidRDefault="00BD37E3" w:rsidP="00BD37E3"/>
        <w:p w14:paraId="70C2F5D5" w14:textId="77777777" w:rsidR="00BD37E3" w:rsidRDefault="00BD37E3" w:rsidP="00BD37E3"/>
        <w:p w14:paraId="691BB85C" w14:textId="77777777" w:rsidR="00BD37E3" w:rsidRDefault="00BD37E3" w:rsidP="00BD37E3"/>
        <w:p w14:paraId="2E693851" w14:textId="77777777" w:rsidR="00BD37E3" w:rsidRDefault="00BD37E3" w:rsidP="00BD37E3"/>
        <w:p w14:paraId="0DED778E" w14:textId="77777777" w:rsidR="00BD37E3" w:rsidRDefault="00BD37E3" w:rsidP="00BD37E3"/>
        <w:p w14:paraId="0981264D" w14:textId="77777777" w:rsidR="00BD37E3" w:rsidRDefault="00BD37E3" w:rsidP="00BD37E3"/>
        <w:p w14:paraId="352A0F8E" w14:textId="77777777" w:rsidR="00BD37E3" w:rsidRDefault="00BD37E3" w:rsidP="00BD37E3"/>
        <w:p w14:paraId="0103C7FC" w14:textId="77777777" w:rsidR="00BD37E3" w:rsidRDefault="00BD37E3" w:rsidP="00BD37E3"/>
        <w:p w14:paraId="07FDBCB8" w14:textId="77777777" w:rsidR="00BD37E3" w:rsidRDefault="00BD37E3" w:rsidP="00BD37E3"/>
        <w:p w14:paraId="52EDA0D5" w14:textId="77777777" w:rsidR="00BD37E3" w:rsidRDefault="00BD37E3" w:rsidP="00BD37E3"/>
        <w:p w14:paraId="0D531F95" w14:textId="77777777" w:rsidR="00BD37E3" w:rsidRDefault="00BD37E3" w:rsidP="00BD37E3"/>
        <w:p w14:paraId="226692F2" w14:textId="77777777" w:rsidR="00BD37E3" w:rsidRDefault="00BD37E3" w:rsidP="00BD37E3"/>
        <w:p w14:paraId="6CF03355" w14:textId="77777777" w:rsidR="00BD37E3" w:rsidRDefault="00BD37E3" w:rsidP="00BD37E3"/>
        <w:p w14:paraId="2CDCB7A9" w14:textId="77777777" w:rsidR="00BD37E3" w:rsidRDefault="00BD37E3" w:rsidP="00BD37E3"/>
        <w:p w14:paraId="57148276" w14:textId="77777777" w:rsidR="00BD37E3" w:rsidRDefault="00BD37E3" w:rsidP="00BD37E3"/>
        <w:p w14:paraId="7F32C389" w14:textId="77777777" w:rsidR="00BD37E3" w:rsidRDefault="00BD37E3" w:rsidP="00BD37E3"/>
        <w:p w14:paraId="42FD8DA7" w14:textId="77777777" w:rsidR="00BD37E3" w:rsidRDefault="00BD37E3" w:rsidP="00BD37E3"/>
        <w:p w14:paraId="1696E7A6" w14:textId="77777777" w:rsidR="00BD37E3" w:rsidRDefault="00BD37E3" w:rsidP="00BD37E3"/>
        <w:p w14:paraId="0AB4E44E" w14:textId="77777777" w:rsidR="00BD37E3" w:rsidRDefault="00BD37E3" w:rsidP="00BD37E3"/>
        <w:p w14:paraId="2212185E" w14:textId="77777777" w:rsidR="00BD37E3" w:rsidRDefault="00BD37E3" w:rsidP="00BD37E3"/>
        <w:p w14:paraId="722F8275" w14:textId="77777777" w:rsidR="00BD37E3" w:rsidRDefault="00BD37E3" w:rsidP="00BD37E3"/>
        <w:p w14:paraId="34211DD0" w14:textId="77777777" w:rsidR="00BD37E3" w:rsidRDefault="00BD37E3" w:rsidP="00BD37E3"/>
        <w:p w14:paraId="035E1855" w14:textId="77777777" w:rsidR="00BD37E3" w:rsidRDefault="00BD37E3" w:rsidP="00BD37E3"/>
        <w:p w14:paraId="3C40D75F" w14:textId="77777777" w:rsidR="00BD37E3" w:rsidRDefault="00BD37E3" w:rsidP="00BD37E3"/>
        <w:p w14:paraId="1085939C" w14:textId="77777777" w:rsidR="00BD37E3" w:rsidRDefault="00BD37E3" w:rsidP="00BD37E3"/>
        <w:p w14:paraId="18AC4E87" w14:textId="77777777" w:rsidR="00BD37E3" w:rsidRDefault="00BD37E3" w:rsidP="00BD37E3"/>
        <w:p w14:paraId="21026BB7" w14:textId="77777777" w:rsidR="00BD37E3" w:rsidRDefault="00BD37E3" w:rsidP="00BD37E3"/>
        <w:p w14:paraId="76EA872C" w14:textId="77777777" w:rsidR="00BD37E3" w:rsidRDefault="00BD37E3" w:rsidP="00BD37E3"/>
        <w:p w14:paraId="152CCA39" w14:textId="77777777" w:rsidR="00BD37E3" w:rsidRDefault="00BD37E3" w:rsidP="00BD37E3"/>
        <w:p w14:paraId="031D7C4A" w14:textId="77777777" w:rsidR="00BD37E3" w:rsidRDefault="00BD37E3" w:rsidP="00BD37E3"/>
        <w:p w14:paraId="35959749" w14:textId="77777777" w:rsidR="00BD37E3" w:rsidRDefault="00BD37E3" w:rsidP="00BD37E3"/>
        <w:p w14:paraId="27252689" w14:textId="77777777" w:rsidR="00BD37E3" w:rsidRDefault="00BD37E3" w:rsidP="00BD37E3"/>
        <w:p w14:paraId="6A42CF1D" w14:textId="77777777" w:rsidR="00BD37E3" w:rsidRDefault="00BD37E3" w:rsidP="00BD37E3"/>
        <w:p w14:paraId="33FED828" w14:textId="77777777" w:rsidR="00BD37E3" w:rsidRDefault="00BD37E3" w:rsidP="00BD37E3"/>
        <w:p w14:paraId="59742DA5" w14:textId="77777777" w:rsidR="00BD37E3" w:rsidRDefault="00BD37E3" w:rsidP="00BD37E3"/>
        <w:p w14:paraId="22720B0B" w14:textId="77777777" w:rsidR="00BD37E3" w:rsidRDefault="00BD37E3" w:rsidP="00BD37E3"/>
        <w:p w14:paraId="050F364B" w14:textId="77777777" w:rsidR="00BD37E3" w:rsidRDefault="00BD37E3" w:rsidP="00BD37E3"/>
        <w:p w14:paraId="7FCE2F6B" w14:textId="77777777" w:rsidR="00BD37E3" w:rsidRDefault="00BD37E3" w:rsidP="00BD37E3"/>
        <w:p w14:paraId="7CB2742A" w14:textId="33A298D7" w:rsidR="00BD37E3" w:rsidRDefault="00BD37E3" w:rsidP="00BD37E3"/>
      </w:sdtContent>
    </w:sdt>
    <w:p w14:paraId="0D29C566" w14:textId="5A5B5400" w:rsidR="00F33DA1" w:rsidRPr="00BD37E3" w:rsidRDefault="00BA579E" w:rsidP="009B6247">
      <w:pPr>
        <w:spacing w:line="360" w:lineRule="auto"/>
      </w:pPr>
      <w:r w:rsidRPr="00567B1C">
        <w:rPr>
          <w:rFonts w:ascii="Arial" w:hAnsi="Arial" w:cs="Arial"/>
        </w:rPr>
        <w:lastRenderedPageBreak/>
        <w:t>Statu</w:t>
      </w:r>
      <w:r w:rsidR="00351E8B" w:rsidRPr="00567B1C">
        <w:rPr>
          <w:rFonts w:ascii="Arial" w:hAnsi="Arial" w:cs="Arial"/>
        </w:rPr>
        <w:t xml:space="preserve">tory interpretation is a legal process that is applied throughout the English and Welsh Legal system to allow the courts to interpret Acts of Parliament to understand the true meaning of the Act and what the Legislation was intending to. </w:t>
      </w:r>
      <w:r w:rsidR="00B10252" w:rsidRPr="00567B1C">
        <w:rPr>
          <w:rFonts w:ascii="Arial" w:hAnsi="Arial" w:cs="Arial"/>
        </w:rPr>
        <w:t>(Ross, 2021</w:t>
      </w:r>
      <w:r w:rsidR="00302CA0" w:rsidRPr="00567B1C">
        <w:rPr>
          <w:rFonts w:ascii="Arial" w:hAnsi="Arial" w:cs="Arial"/>
        </w:rPr>
        <w:t>. Page 1)</w:t>
      </w:r>
      <w:r w:rsidR="008D5BEA" w:rsidRPr="00567B1C">
        <w:rPr>
          <w:rFonts w:ascii="Arial" w:hAnsi="Arial" w:cs="Arial"/>
        </w:rPr>
        <w:t xml:space="preserve">. </w:t>
      </w:r>
      <w:r w:rsidR="00FC72CD" w:rsidRPr="00567B1C">
        <w:rPr>
          <w:rFonts w:ascii="Arial" w:hAnsi="Arial" w:cs="Arial"/>
        </w:rPr>
        <w:t xml:space="preserve">After Parliament create </w:t>
      </w:r>
      <w:r w:rsidR="00E66BAF" w:rsidRPr="00567B1C">
        <w:rPr>
          <w:rFonts w:ascii="Arial" w:hAnsi="Arial" w:cs="Arial"/>
        </w:rPr>
        <w:t>legislation,</w:t>
      </w:r>
      <w:r w:rsidR="00FC72CD" w:rsidRPr="00567B1C">
        <w:rPr>
          <w:rFonts w:ascii="Arial" w:hAnsi="Arial" w:cs="Arial"/>
        </w:rPr>
        <w:t xml:space="preserve"> it is the responsibility of judges to apply the law in real life situation in c</w:t>
      </w:r>
      <w:r w:rsidR="00606FFD" w:rsidRPr="00567B1C">
        <w:rPr>
          <w:rFonts w:ascii="Arial" w:hAnsi="Arial" w:cs="Arial"/>
        </w:rPr>
        <w:t>o</w:t>
      </w:r>
      <w:r w:rsidR="00FC72CD" w:rsidRPr="00567B1C">
        <w:rPr>
          <w:rFonts w:ascii="Arial" w:hAnsi="Arial" w:cs="Arial"/>
        </w:rPr>
        <w:t xml:space="preserve">urt. </w:t>
      </w:r>
      <w:r w:rsidR="00606FFD" w:rsidRPr="00567B1C">
        <w:rPr>
          <w:rFonts w:ascii="Arial" w:hAnsi="Arial" w:cs="Arial"/>
        </w:rPr>
        <w:t xml:space="preserve">Judges have the power and authority to interpret the legislation based off old rulings and in previous cases. </w:t>
      </w:r>
      <w:r w:rsidR="00C01AEE" w:rsidRPr="00567B1C">
        <w:rPr>
          <w:rFonts w:ascii="Arial" w:hAnsi="Arial" w:cs="Arial"/>
        </w:rPr>
        <w:t xml:space="preserve">Laver, (2022). </w:t>
      </w:r>
      <w:r w:rsidR="00944CF9" w:rsidRPr="00567B1C">
        <w:rPr>
          <w:rFonts w:ascii="Arial" w:hAnsi="Arial" w:cs="Arial"/>
        </w:rPr>
        <w:t xml:space="preserve">Interpretation of Legislation is </w:t>
      </w:r>
      <w:r w:rsidR="00391989">
        <w:rPr>
          <w:rFonts w:ascii="Arial" w:hAnsi="Arial" w:cs="Arial"/>
        </w:rPr>
        <w:t xml:space="preserve">an essential process in the English and Welsh legal system </w:t>
      </w:r>
      <w:r w:rsidR="00391989" w:rsidRPr="00567B1C">
        <w:rPr>
          <w:rFonts w:ascii="Arial" w:hAnsi="Arial" w:cs="Arial"/>
        </w:rPr>
        <w:t>because</w:t>
      </w:r>
      <w:r w:rsidR="00944CF9" w:rsidRPr="00567B1C">
        <w:rPr>
          <w:rFonts w:ascii="Arial" w:hAnsi="Arial" w:cs="Arial"/>
        </w:rPr>
        <w:t xml:space="preserve"> </w:t>
      </w:r>
      <w:r w:rsidR="005E49A1" w:rsidRPr="00567B1C">
        <w:rPr>
          <w:rFonts w:ascii="Arial" w:hAnsi="Arial" w:cs="Arial"/>
        </w:rPr>
        <w:t>law can sometimes be difficult to apply because the wording of an Act may be too ambiguous</w:t>
      </w:r>
      <w:r w:rsidR="00701F0E" w:rsidRPr="00567B1C">
        <w:rPr>
          <w:rFonts w:ascii="Arial" w:hAnsi="Arial" w:cs="Arial"/>
        </w:rPr>
        <w:t xml:space="preserve">. </w:t>
      </w:r>
      <w:r w:rsidR="003A0563" w:rsidRPr="00567B1C">
        <w:rPr>
          <w:rFonts w:ascii="Arial" w:hAnsi="Arial" w:cs="Arial"/>
        </w:rPr>
        <w:t xml:space="preserve">The Law Commission and The Scottish Law Commission. (1969). </w:t>
      </w:r>
      <w:r w:rsidR="00701F0E" w:rsidRPr="00567B1C">
        <w:rPr>
          <w:rFonts w:ascii="Arial" w:hAnsi="Arial" w:cs="Arial"/>
        </w:rPr>
        <w:t>An example of a word</w:t>
      </w:r>
      <w:r w:rsidR="00484FB8" w:rsidRPr="00567B1C">
        <w:rPr>
          <w:rFonts w:ascii="Arial" w:hAnsi="Arial" w:cs="Arial"/>
        </w:rPr>
        <w:t xml:space="preserve"> or phrase in a piece of legislation that caused problems was highlighted in the case of </w:t>
      </w:r>
      <w:r w:rsidR="00484FB8" w:rsidRPr="00567B1C">
        <w:rPr>
          <w:rFonts w:ascii="Arial" w:hAnsi="Arial" w:cs="Arial"/>
          <w:u w:val="single"/>
        </w:rPr>
        <w:t>Brock v DPP (1993).</w:t>
      </w:r>
      <w:r w:rsidR="00484FB8" w:rsidRPr="00567B1C">
        <w:rPr>
          <w:rFonts w:ascii="Arial" w:hAnsi="Arial" w:cs="Arial"/>
        </w:rPr>
        <w:t xml:space="preserve"> This case </w:t>
      </w:r>
      <w:r w:rsidR="001B60D3" w:rsidRPr="00567B1C">
        <w:rPr>
          <w:rFonts w:ascii="Arial" w:hAnsi="Arial" w:cs="Arial"/>
        </w:rPr>
        <w:t>highlighted an issue with the wording of the Dangerous Dogs Act (1991).</w:t>
      </w:r>
      <w:r w:rsidR="00B85242" w:rsidRPr="00567B1C">
        <w:rPr>
          <w:rFonts w:ascii="Arial" w:hAnsi="Arial" w:cs="Arial"/>
        </w:rPr>
        <w:t xml:space="preserve"> Another reason why judges may have to interpret legislation could be due to changes in use of language in today’s modern society or a drafting error that occurred when the legislation was passed. </w:t>
      </w:r>
      <w:r w:rsidR="00391989">
        <w:rPr>
          <w:rFonts w:ascii="Arial" w:hAnsi="Arial" w:cs="Arial"/>
        </w:rPr>
        <w:t>Statutory interpretation is also needed when the wording of an Act is too archaic to fit in with modern day society. A</w:t>
      </w:r>
      <w:r w:rsidR="0086545C">
        <w:rPr>
          <w:rFonts w:ascii="Arial" w:hAnsi="Arial" w:cs="Arial"/>
        </w:rPr>
        <w:t xml:space="preserve">n example of a piece of legislation that has changed because of statutory interpretation is section. </w:t>
      </w:r>
      <w:r w:rsidR="0086545C" w:rsidRPr="002148E0">
        <w:rPr>
          <w:rFonts w:ascii="Arial" w:hAnsi="Arial" w:cs="Arial"/>
          <w:u w:val="single"/>
        </w:rPr>
        <w:t>39 of The Criminal Justice Act (1988)</w:t>
      </w:r>
      <w:r w:rsidR="0086545C">
        <w:rPr>
          <w:rFonts w:ascii="Arial" w:hAnsi="Arial" w:cs="Arial"/>
        </w:rPr>
        <w:t xml:space="preserve">. </w:t>
      </w:r>
      <w:r w:rsidR="00F33DA1">
        <w:rPr>
          <w:rFonts w:ascii="Arial" w:hAnsi="Arial" w:cs="Arial"/>
        </w:rPr>
        <w:t xml:space="preserve">These changes were made in the case of </w:t>
      </w:r>
      <w:r w:rsidR="00F33DA1" w:rsidRPr="002148E0">
        <w:rPr>
          <w:rFonts w:ascii="Arial" w:hAnsi="Arial" w:cs="Arial"/>
          <w:u w:val="single"/>
        </w:rPr>
        <w:t>DPP v Little (1992)</w:t>
      </w:r>
      <w:r w:rsidR="00F33DA1">
        <w:rPr>
          <w:rFonts w:ascii="Arial" w:hAnsi="Arial" w:cs="Arial"/>
        </w:rPr>
        <w:t>. Where it was stated that a defendant can be charged by “assault by beating.”</w:t>
      </w:r>
      <w:r w:rsidR="002148E0">
        <w:rPr>
          <w:rFonts w:ascii="Arial" w:hAnsi="Arial" w:cs="Arial"/>
        </w:rPr>
        <w:t xml:space="preserve"> CPS, (2022). </w:t>
      </w:r>
    </w:p>
    <w:p w14:paraId="0F25BC77" w14:textId="77777777" w:rsidR="001C044E" w:rsidRPr="00567B1C" w:rsidRDefault="001C044E" w:rsidP="00567B1C">
      <w:pPr>
        <w:spacing w:line="360" w:lineRule="auto"/>
        <w:rPr>
          <w:rFonts w:ascii="Arial" w:hAnsi="Arial" w:cs="Arial"/>
        </w:rPr>
      </w:pPr>
    </w:p>
    <w:p w14:paraId="0284275E" w14:textId="45804A04" w:rsidR="003A0563" w:rsidRPr="00567B1C" w:rsidRDefault="00944CF9" w:rsidP="00567B1C">
      <w:pPr>
        <w:spacing w:line="360" w:lineRule="auto"/>
        <w:rPr>
          <w:rFonts w:ascii="Arial" w:hAnsi="Arial" w:cs="Arial"/>
        </w:rPr>
      </w:pPr>
      <w:r w:rsidRPr="00567B1C">
        <w:rPr>
          <w:rFonts w:ascii="Arial" w:hAnsi="Arial" w:cs="Arial"/>
        </w:rPr>
        <w:t xml:space="preserve">There are </w:t>
      </w:r>
      <w:r w:rsidR="004E468B">
        <w:rPr>
          <w:rFonts w:ascii="Arial" w:hAnsi="Arial" w:cs="Arial"/>
        </w:rPr>
        <w:t>four</w:t>
      </w:r>
      <w:r w:rsidRPr="00567B1C">
        <w:rPr>
          <w:rFonts w:ascii="Arial" w:hAnsi="Arial" w:cs="Arial"/>
        </w:rPr>
        <w:t xml:space="preserve"> approaches that judges can use to interpret the legislation to apply it to the cases in which they hear. </w:t>
      </w:r>
      <w:r w:rsidR="00F771F2" w:rsidRPr="00567B1C">
        <w:rPr>
          <w:rFonts w:ascii="Arial" w:hAnsi="Arial" w:cs="Arial"/>
        </w:rPr>
        <w:t xml:space="preserve">These approaches are the literal rule, the golden </w:t>
      </w:r>
      <w:proofErr w:type="gramStart"/>
      <w:r w:rsidR="00F771F2" w:rsidRPr="00567B1C">
        <w:rPr>
          <w:rFonts w:ascii="Arial" w:hAnsi="Arial" w:cs="Arial"/>
        </w:rPr>
        <w:t>rule</w:t>
      </w:r>
      <w:proofErr w:type="gramEnd"/>
      <w:r w:rsidR="00B85242" w:rsidRPr="00567B1C">
        <w:rPr>
          <w:rFonts w:ascii="Arial" w:hAnsi="Arial" w:cs="Arial"/>
        </w:rPr>
        <w:t xml:space="preserve"> and </w:t>
      </w:r>
      <w:r w:rsidR="00F771F2" w:rsidRPr="00567B1C">
        <w:rPr>
          <w:rFonts w:ascii="Arial" w:hAnsi="Arial" w:cs="Arial"/>
        </w:rPr>
        <w:t xml:space="preserve">the mischief </w:t>
      </w:r>
      <w:r w:rsidR="00701F0E" w:rsidRPr="00567B1C">
        <w:rPr>
          <w:rFonts w:ascii="Arial" w:hAnsi="Arial" w:cs="Arial"/>
        </w:rPr>
        <w:t>rul</w:t>
      </w:r>
      <w:r w:rsidR="00B85242" w:rsidRPr="00567B1C">
        <w:rPr>
          <w:rFonts w:ascii="Arial" w:hAnsi="Arial" w:cs="Arial"/>
        </w:rPr>
        <w:t>e</w:t>
      </w:r>
      <w:r w:rsidR="00F771F2" w:rsidRPr="00567B1C">
        <w:rPr>
          <w:rFonts w:ascii="Arial" w:hAnsi="Arial" w:cs="Arial"/>
        </w:rPr>
        <w:t>. The Open University (2022)</w:t>
      </w:r>
      <w:r w:rsidR="00701F0E" w:rsidRPr="00567B1C">
        <w:rPr>
          <w:rFonts w:ascii="Arial" w:hAnsi="Arial" w:cs="Arial"/>
        </w:rPr>
        <w:t>. When using the Literal rule as a way of interpreting legislation</w:t>
      </w:r>
      <w:r w:rsidR="003A0563" w:rsidRPr="00567B1C">
        <w:rPr>
          <w:rFonts w:ascii="Arial" w:hAnsi="Arial" w:cs="Arial"/>
        </w:rPr>
        <w:t xml:space="preserve"> </w:t>
      </w:r>
      <w:r w:rsidR="001B6524" w:rsidRPr="00567B1C">
        <w:rPr>
          <w:rFonts w:ascii="Arial" w:hAnsi="Arial" w:cs="Arial"/>
        </w:rPr>
        <w:t xml:space="preserve">judges will give the words in the Legislation their most basic and original meaning. The case </w:t>
      </w:r>
      <w:r w:rsidR="001B6524" w:rsidRPr="00567B1C">
        <w:rPr>
          <w:rFonts w:ascii="Arial" w:hAnsi="Arial" w:cs="Arial"/>
          <w:u w:val="single"/>
        </w:rPr>
        <w:t>of R v City of London Court Judge (1892)</w:t>
      </w:r>
      <w:r w:rsidR="001B6524" w:rsidRPr="00567B1C">
        <w:rPr>
          <w:rFonts w:ascii="Arial" w:hAnsi="Arial" w:cs="Arial"/>
        </w:rPr>
        <w:t xml:space="preserve"> states that if this approach is used the words must be taken </w:t>
      </w:r>
      <w:r w:rsidR="00871346" w:rsidRPr="00567B1C">
        <w:rPr>
          <w:rFonts w:ascii="Arial" w:hAnsi="Arial" w:cs="Arial"/>
        </w:rPr>
        <w:t xml:space="preserve">in their most literal meaning. </w:t>
      </w:r>
      <w:r w:rsidR="0013151B" w:rsidRPr="00567B1C">
        <w:rPr>
          <w:rFonts w:ascii="Arial" w:hAnsi="Arial" w:cs="Arial"/>
        </w:rPr>
        <w:t xml:space="preserve">It could be argued that the literal rule sometimes leads to harsh outcomes in cases. An example of this is in the case of </w:t>
      </w:r>
      <w:r w:rsidR="0013151B" w:rsidRPr="00567B1C">
        <w:rPr>
          <w:rFonts w:ascii="Arial" w:hAnsi="Arial" w:cs="Arial"/>
          <w:u w:val="single"/>
        </w:rPr>
        <w:t xml:space="preserve">London &amp; </w:t>
      </w:r>
      <w:proofErr w:type="gramStart"/>
      <w:r w:rsidR="0013151B" w:rsidRPr="00567B1C">
        <w:rPr>
          <w:rFonts w:ascii="Arial" w:hAnsi="Arial" w:cs="Arial"/>
          <w:u w:val="single"/>
        </w:rPr>
        <w:t>North Eastern</w:t>
      </w:r>
      <w:proofErr w:type="gramEnd"/>
      <w:r w:rsidR="0013151B" w:rsidRPr="00567B1C">
        <w:rPr>
          <w:rFonts w:ascii="Arial" w:hAnsi="Arial" w:cs="Arial"/>
          <w:u w:val="single"/>
        </w:rPr>
        <w:t xml:space="preserve"> Railway Co v Bernman (1946</w:t>
      </w:r>
      <w:r w:rsidR="0013151B" w:rsidRPr="00567B1C">
        <w:rPr>
          <w:rFonts w:ascii="Arial" w:hAnsi="Arial" w:cs="Arial"/>
        </w:rPr>
        <w:t xml:space="preserve">). </w:t>
      </w:r>
      <w:r w:rsidR="001252E2" w:rsidRPr="00567B1C">
        <w:rPr>
          <w:rFonts w:ascii="Arial" w:hAnsi="Arial" w:cs="Arial"/>
        </w:rPr>
        <w:t xml:space="preserve">The court held that the claimant was not entitled to any compensation as her husband was “oiling” the railway and the words in the legislation were ‘relaying or repairing’. Jus Dicere (2021). </w:t>
      </w:r>
      <w:r w:rsidR="001C044E" w:rsidRPr="00567B1C">
        <w:rPr>
          <w:rFonts w:ascii="Arial" w:hAnsi="Arial" w:cs="Arial"/>
        </w:rPr>
        <w:t xml:space="preserve">The case of </w:t>
      </w:r>
      <w:r w:rsidR="001C044E" w:rsidRPr="00A0691D">
        <w:rPr>
          <w:rFonts w:ascii="Arial" w:hAnsi="Arial" w:cs="Arial"/>
          <w:u w:val="single"/>
        </w:rPr>
        <w:t>Fisher and Bell (1960)</w:t>
      </w:r>
      <w:r w:rsidR="001C044E" w:rsidRPr="00567B1C">
        <w:rPr>
          <w:rFonts w:ascii="Arial" w:hAnsi="Arial" w:cs="Arial"/>
        </w:rPr>
        <w:t xml:space="preserve"> is a case that used the literal rule. In this case a shop owner who had a knife in his shop window was not found guilty of offering to sell a weapon, because </w:t>
      </w:r>
      <w:r w:rsidR="001C044E" w:rsidRPr="00567B1C">
        <w:rPr>
          <w:rFonts w:ascii="Arial" w:hAnsi="Arial" w:cs="Arial"/>
        </w:rPr>
        <w:lastRenderedPageBreak/>
        <w:t xml:space="preserve">the literal rule was used to state that having a knife in the shop window is just an ‘invitation to treat’. </w:t>
      </w:r>
    </w:p>
    <w:p w14:paraId="01E774EA" w14:textId="77777777" w:rsidR="001C044E" w:rsidRPr="00567B1C" w:rsidRDefault="001C044E" w:rsidP="00567B1C">
      <w:pPr>
        <w:spacing w:line="360" w:lineRule="auto"/>
        <w:rPr>
          <w:rFonts w:ascii="Arial" w:hAnsi="Arial" w:cs="Arial"/>
        </w:rPr>
      </w:pPr>
    </w:p>
    <w:p w14:paraId="2FAB463E" w14:textId="6393D896" w:rsidR="00925FAA" w:rsidRDefault="00925FAA" w:rsidP="00567B1C">
      <w:pPr>
        <w:spacing w:line="360" w:lineRule="auto"/>
        <w:rPr>
          <w:rFonts w:ascii="Arial" w:hAnsi="Arial" w:cs="Arial"/>
        </w:rPr>
      </w:pPr>
      <w:r w:rsidRPr="00567B1C">
        <w:rPr>
          <w:rFonts w:ascii="Arial" w:hAnsi="Arial" w:cs="Arial"/>
        </w:rPr>
        <w:t>The Golden rule</w:t>
      </w:r>
      <w:r w:rsidR="00567B1C">
        <w:rPr>
          <w:rFonts w:ascii="Arial" w:hAnsi="Arial" w:cs="Arial"/>
        </w:rPr>
        <w:t xml:space="preserve"> was first used in the case of </w:t>
      </w:r>
      <w:r w:rsidR="00567B1C" w:rsidRPr="00A0691D">
        <w:rPr>
          <w:rFonts w:ascii="Arial" w:hAnsi="Arial" w:cs="Arial"/>
          <w:u w:val="single"/>
        </w:rPr>
        <w:t xml:space="preserve">R v Allen </w:t>
      </w:r>
      <w:r w:rsidR="00A0691D" w:rsidRPr="00A0691D">
        <w:rPr>
          <w:rFonts w:ascii="Arial" w:hAnsi="Arial" w:cs="Arial"/>
          <w:u w:val="single"/>
        </w:rPr>
        <w:t>(1872)</w:t>
      </w:r>
      <w:r w:rsidR="00A0691D">
        <w:rPr>
          <w:rFonts w:ascii="Arial" w:hAnsi="Arial" w:cs="Arial"/>
        </w:rPr>
        <w:t>. This case was the origin of the golden. The golden rule</w:t>
      </w:r>
      <w:r w:rsidRPr="00567B1C">
        <w:rPr>
          <w:rFonts w:ascii="Arial" w:hAnsi="Arial" w:cs="Arial"/>
        </w:rPr>
        <w:t xml:space="preserve"> states </w:t>
      </w:r>
      <w:proofErr w:type="gramStart"/>
      <w:r w:rsidRPr="00567B1C">
        <w:rPr>
          <w:rFonts w:ascii="Arial" w:hAnsi="Arial" w:cs="Arial"/>
        </w:rPr>
        <w:t>enforces</w:t>
      </w:r>
      <w:proofErr w:type="gramEnd"/>
      <w:r w:rsidRPr="00567B1C">
        <w:rPr>
          <w:rFonts w:ascii="Arial" w:hAnsi="Arial" w:cs="Arial"/>
        </w:rPr>
        <w:t xml:space="preserve"> the use of the literal rule by stating that the literal must be followed as far as possible. However</w:t>
      </w:r>
      <w:r w:rsidR="00746243" w:rsidRPr="00567B1C">
        <w:rPr>
          <w:rFonts w:ascii="Arial" w:hAnsi="Arial" w:cs="Arial"/>
        </w:rPr>
        <w:t>,</w:t>
      </w:r>
      <w:r w:rsidRPr="00567B1C">
        <w:rPr>
          <w:rFonts w:ascii="Arial" w:hAnsi="Arial" w:cs="Arial"/>
        </w:rPr>
        <w:t xml:space="preserve"> if by following the literal rule leads to an absurd outcome the golden rule states that the meaning of the words in the statute must be interpreted in a different way to avoid the outcome from the literal rule. </w:t>
      </w:r>
      <w:proofErr w:type="spellStart"/>
      <w:r w:rsidRPr="00567B1C">
        <w:rPr>
          <w:rFonts w:ascii="Arial" w:hAnsi="Arial" w:cs="Arial"/>
        </w:rPr>
        <w:t>LexForti</w:t>
      </w:r>
      <w:proofErr w:type="spellEnd"/>
      <w:r w:rsidRPr="00567B1C">
        <w:rPr>
          <w:rFonts w:ascii="Arial" w:hAnsi="Arial" w:cs="Arial"/>
        </w:rPr>
        <w:t xml:space="preserve"> Legal News Network (2020). </w:t>
      </w:r>
      <w:r w:rsidR="008C7D46" w:rsidRPr="00567B1C">
        <w:rPr>
          <w:rFonts w:ascii="Arial" w:hAnsi="Arial" w:cs="Arial"/>
        </w:rPr>
        <w:t xml:space="preserve">An example of a case </w:t>
      </w:r>
      <w:r w:rsidR="00746243" w:rsidRPr="00567B1C">
        <w:rPr>
          <w:rFonts w:ascii="Arial" w:hAnsi="Arial" w:cs="Arial"/>
        </w:rPr>
        <w:t xml:space="preserve">where the Golden rule was used is the case of </w:t>
      </w:r>
      <w:r w:rsidR="00746243" w:rsidRPr="00567B1C">
        <w:rPr>
          <w:rFonts w:ascii="Arial" w:hAnsi="Arial" w:cs="Arial"/>
          <w:u w:val="single"/>
        </w:rPr>
        <w:t xml:space="preserve">Re Sigsworth </w:t>
      </w:r>
      <w:r w:rsidR="00242846" w:rsidRPr="00567B1C">
        <w:rPr>
          <w:rFonts w:ascii="Arial" w:hAnsi="Arial" w:cs="Arial"/>
          <w:u w:val="single"/>
        </w:rPr>
        <w:t>(1935).</w:t>
      </w:r>
      <w:r w:rsidR="00242846" w:rsidRPr="00567B1C">
        <w:rPr>
          <w:rFonts w:ascii="Arial" w:hAnsi="Arial" w:cs="Arial"/>
        </w:rPr>
        <w:t xml:space="preserve"> In this case the golden rule was used to stop a son who murdered his mother inheriting the money from her death. In this case the golden rule was used because the </w:t>
      </w:r>
      <w:r w:rsidR="00A34830" w:rsidRPr="00567B1C">
        <w:rPr>
          <w:rFonts w:ascii="Arial" w:hAnsi="Arial" w:cs="Arial"/>
          <w:u w:val="single"/>
        </w:rPr>
        <w:t>Administration of Estates Act 1925</w:t>
      </w:r>
      <w:r w:rsidR="00A34830" w:rsidRPr="00567B1C">
        <w:rPr>
          <w:rFonts w:ascii="Arial" w:hAnsi="Arial" w:cs="Arial"/>
        </w:rPr>
        <w:t xml:space="preserve"> states that her son should </w:t>
      </w:r>
      <w:r w:rsidR="0070418A" w:rsidRPr="00567B1C">
        <w:rPr>
          <w:rFonts w:ascii="Arial" w:hAnsi="Arial" w:cs="Arial"/>
        </w:rPr>
        <w:t>have</w:t>
      </w:r>
      <w:r w:rsidR="00A34830" w:rsidRPr="00567B1C">
        <w:rPr>
          <w:rFonts w:ascii="Arial" w:hAnsi="Arial" w:cs="Arial"/>
        </w:rPr>
        <w:t xml:space="preserve"> inherited the money and the courts ruled this is </w:t>
      </w:r>
      <w:r w:rsidR="0070418A" w:rsidRPr="00567B1C">
        <w:rPr>
          <w:rFonts w:ascii="Arial" w:hAnsi="Arial" w:cs="Arial"/>
        </w:rPr>
        <w:t xml:space="preserve">absurd. </w:t>
      </w:r>
    </w:p>
    <w:p w14:paraId="39E8D58C" w14:textId="77777777" w:rsidR="00BD37E3" w:rsidRPr="00567B1C" w:rsidRDefault="00BD37E3" w:rsidP="00567B1C">
      <w:pPr>
        <w:spacing w:line="360" w:lineRule="auto"/>
        <w:rPr>
          <w:rFonts w:ascii="Arial" w:hAnsi="Arial" w:cs="Arial"/>
        </w:rPr>
      </w:pPr>
    </w:p>
    <w:p w14:paraId="781322D4" w14:textId="65A455D1" w:rsidR="000D3918" w:rsidRDefault="00B85242" w:rsidP="00567B1C">
      <w:pPr>
        <w:spacing w:line="360" w:lineRule="auto"/>
        <w:rPr>
          <w:rFonts w:ascii="Arial" w:hAnsi="Arial" w:cs="Arial"/>
        </w:rPr>
      </w:pPr>
      <w:r w:rsidRPr="00567B1C">
        <w:rPr>
          <w:rFonts w:ascii="Arial" w:hAnsi="Arial" w:cs="Arial"/>
        </w:rPr>
        <w:t xml:space="preserve">Another rule that judges can use to interpret a piece of legislation is the mischief rule. </w:t>
      </w:r>
      <w:r w:rsidR="00BA2FF2">
        <w:rPr>
          <w:rFonts w:ascii="Arial" w:hAnsi="Arial" w:cs="Arial"/>
        </w:rPr>
        <w:t>The first time th</w:t>
      </w:r>
      <w:r w:rsidR="00EF1CD4">
        <w:rPr>
          <w:rFonts w:ascii="Arial" w:hAnsi="Arial" w:cs="Arial"/>
        </w:rPr>
        <w:t>i</w:t>
      </w:r>
      <w:r w:rsidR="00BA2FF2">
        <w:rPr>
          <w:rFonts w:ascii="Arial" w:hAnsi="Arial" w:cs="Arial"/>
        </w:rPr>
        <w:t xml:space="preserve">s </w:t>
      </w:r>
      <w:r w:rsidR="00EF1CD4">
        <w:rPr>
          <w:rFonts w:ascii="Arial" w:hAnsi="Arial" w:cs="Arial"/>
        </w:rPr>
        <w:t>rule</w:t>
      </w:r>
      <w:r w:rsidR="00BA2FF2">
        <w:rPr>
          <w:rFonts w:ascii="Arial" w:hAnsi="Arial" w:cs="Arial"/>
        </w:rPr>
        <w:t xml:space="preserve"> was used in the English legal system was in the case of </w:t>
      </w:r>
      <w:proofErr w:type="spellStart"/>
      <w:r w:rsidR="00BA2FF2" w:rsidRPr="00B86C59">
        <w:rPr>
          <w:rFonts w:ascii="Arial" w:hAnsi="Arial" w:cs="Arial"/>
          <w:u w:val="single"/>
        </w:rPr>
        <w:t>Heydons</w:t>
      </w:r>
      <w:proofErr w:type="spellEnd"/>
      <w:r w:rsidR="00BA2FF2" w:rsidRPr="00B86C59">
        <w:rPr>
          <w:rFonts w:ascii="Arial" w:hAnsi="Arial" w:cs="Arial"/>
          <w:u w:val="single"/>
        </w:rPr>
        <w:t xml:space="preserve"> (1584).</w:t>
      </w:r>
      <w:r w:rsidR="00BA2FF2">
        <w:rPr>
          <w:rFonts w:ascii="Arial" w:hAnsi="Arial" w:cs="Arial"/>
        </w:rPr>
        <w:t xml:space="preserve"> This particular rule requires judges to look at the law and what </w:t>
      </w:r>
      <w:proofErr w:type="gramStart"/>
      <w:r w:rsidR="00BA2FF2">
        <w:rPr>
          <w:rFonts w:ascii="Arial" w:hAnsi="Arial" w:cs="Arial"/>
        </w:rPr>
        <w:t>is</w:t>
      </w:r>
      <w:proofErr w:type="gramEnd"/>
      <w:r w:rsidR="00BA2FF2">
        <w:rPr>
          <w:rFonts w:ascii="Arial" w:hAnsi="Arial" w:cs="Arial"/>
        </w:rPr>
        <w:t xml:space="preserve"> was before the legislation was passed. The judges are required to do this so that they can identify and understand what the purpose of the act was and what</w:t>
      </w:r>
      <w:r w:rsidR="009C22DA">
        <w:rPr>
          <w:rFonts w:ascii="Arial" w:hAnsi="Arial" w:cs="Arial"/>
        </w:rPr>
        <w:t xml:space="preserve"> </w:t>
      </w:r>
      <w:r w:rsidR="00BA2FF2">
        <w:rPr>
          <w:rFonts w:ascii="Arial" w:hAnsi="Arial" w:cs="Arial"/>
        </w:rPr>
        <w:t xml:space="preserve">the </w:t>
      </w:r>
      <w:r w:rsidR="009C22DA">
        <w:rPr>
          <w:rFonts w:ascii="Arial" w:hAnsi="Arial" w:cs="Arial"/>
        </w:rPr>
        <w:t xml:space="preserve">passing </w:t>
      </w:r>
      <w:r w:rsidR="00BA2FF2">
        <w:rPr>
          <w:rFonts w:ascii="Arial" w:hAnsi="Arial" w:cs="Arial"/>
        </w:rPr>
        <w:t xml:space="preserve">act was trying to prevent when it was passed. The Open University (2022). </w:t>
      </w:r>
      <w:r w:rsidR="009C22DA">
        <w:rPr>
          <w:rFonts w:ascii="Arial" w:hAnsi="Arial" w:cs="Arial"/>
        </w:rPr>
        <w:t xml:space="preserve">When the courts are applying this approach there are four questions that judges must consider. </w:t>
      </w:r>
      <w:r w:rsidR="00EF1CD4">
        <w:rPr>
          <w:rFonts w:ascii="Arial" w:hAnsi="Arial" w:cs="Arial"/>
        </w:rPr>
        <w:t xml:space="preserve">These questions are in place to ensure that judges </w:t>
      </w:r>
      <w:r w:rsidR="00354F26">
        <w:rPr>
          <w:rFonts w:ascii="Arial" w:hAnsi="Arial" w:cs="Arial"/>
        </w:rPr>
        <w:t>can</w:t>
      </w:r>
      <w:r w:rsidR="00EF1CD4">
        <w:rPr>
          <w:rFonts w:ascii="Arial" w:hAnsi="Arial" w:cs="Arial"/>
        </w:rPr>
        <w:t xml:space="preserve"> amend law and interpret it in a way that is fitting and works in line with what Parliament originally intended when they passed the Act in question.</w:t>
      </w:r>
      <w:r w:rsidR="00565EF7">
        <w:rPr>
          <w:rFonts w:ascii="Arial" w:hAnsi="Arial" w:cs="Arial"/>
        </w:rPr>
        <w:t xml:space="preserve"> An example of a time where this rule was used is in the case of </w:t>
      </w:r>
      <w:proofErr w:type="spellStart"/>
      <w:r w:rsidR="00354F26" w:rsidRPr="00B86C59">
        <w:rPr>
          <w:rFonts w:ascii="Arial" w:hAnsi="Arial" w:cs="Arial"/>
          <w:u w:val="single"/>
        </w:rPr>
        <w:t>Gorris</w:t>
      </w:r>
      <w:proofErr w:type="spellEnd"/>
      <w:r w:rsidR="00354F26" w:rsidRPr="00B86C59">
        <w:rPr>
          <w:rFonts w:ascii="Arial" w:hAnsi="Arial" w:cs="Arial"/>
          <w:u w:val="single"/>
        </w:rPr>
        <w:t xml:space="preserve"> v Scott (1874).</w:t>
      </w:r>
      <w:r w:rsidR="00354F26">
        <w:rPr>
          <w:rFonts w:ascii="Arial" w:hAnsi="Arial" w:cs="Arial"/>
        </w:rPr>
        <w:t xml:space="preserve"> In this case the judge had to look at what the </w:t>
      </w:r>
      <w:r w:rsidR="00354F26" w:rsidRPr="00B86C59">
        <w:rPr>
          <w:rFonts w:ascii="Arial" w:hAnsi="Arial" w:cs="Arial"/>
          <w:u w:val="single"/>
        </w:rPr>
        <w:t xml:space="preserve">Contagious Disease Act </w:t>
      </w:r>
      <w:r w:rsidR="00B86C59" w:rsidRPr="00B86C59">
        <w:rPr>
          <w:rFonts w:ascii="Arial" w:hAnsi="Arial" w:cs="Arial"/>
          <w:u w:val="single"/>
        </w:rPr>
        <w:t>1869</w:t>
      </w:r>
      <w:r w:rsidR="00B86C59">
        <w:rPr>
          <w:rFonts w:ascii="Arial" w:hAnsi="Arial" w:cs="Arial"/>
        </w:rPr>
        <w:t xml:space="preserve">. So even though the ship owner failed to comply to the order he was not responsible for the loss of the sheep. Because the Act was meant to prevent the spread of a contagious disease not the loss of animals. </w:t>
      </w:r>
    </w:p>
    <w:p w14:paraId="02A90E3E" w14:textId="546284EE" w:rsidR="00AB1026" w:rsidRDefault="00AB1026" w:rsidP="00567B1C">
      <w:pPr>
        <w:spacing w:line="360" w:lineRule="auto"/>
        <w:rPr>
          <w:rFonts w:ascii="Arial" w:hAnsi="Arial" w:cs="Arial"/>
        </w:rPr>
      </w:pPr>
    </w:p>
    <w:p w14:paraId="62928676" w14:textId="6F9D7D77" w:rsidR="00356855" w:rsidRDefault="00356855" w:rsidP="00567B1C">
      <w:pPr>
        <w:spacing w:line="360" w:lineRule="auto"/>
        <w:rPr>
          <w:rFonts w:ascii="Arial" w:hAnsi="Arial" w:cs="Arial"/>
        </w:rPr>
      </w:pPr>
      <w:r>
        <w:rPr>
          <w:rFonts w:ascii="Arial" w:hAnsi="Arial" w:cs="Arial"/>
        </w:rPr>
        <w:t xml:space="preserve">The final approach that judges can take while interpreting law is called the purposive approach. The purposive approach is </w:t>
      </w:r>
      <w:proofErr w:type="gramStart"/>
      <w:r w:rsidR="00556A20">
        <w:rPr>
          <w:rFonts w:ascii="Arial" w:hAnsi="Arial" w:cs="Arial"/>
        </w:rPr>
        <w:t>similar</w:t>
      </w:r>
      <w:r>
        <w:rPr>
          <w:rFonts w:ascii="Arial" w:hAnsi="Arial" w:cs="Arial"/>
        </w:rPr>
        <w:t xml:space="preserve"> to</w:t>
      </w:r>
      <w:proofErr w:type="gramEnd"/>
      <w:r>
        <w:rPr>
          <w:rFonts w:ascii="Arial" w:hAnsi="Arial" w:cs="Arial"/>
        </w:rPr>
        <w:t xml:space="preserve"> the </w:t>
      </w:r>
      <w:r w:rsidR="00556A20">
        <w:rPr>
          <w:rFonts w:ascii="Arial" w:hAnsi="Arial" w:cs="Arial"/>
        </w:rPr>
        <w:t>mischief rule however, it looks at Parliaments intentions in more detail. This approach is used far more since the UK were introduced into the European Union in 1972. Law Teacher (2020)</w:t>
      </w:r>
    </w:p>
    <w:p w14:paraId="291B673C" w14:textId="6545A355" w:rsidR="00CC193C" w:rsidRDefault="00FD54FE" w:rsidP="00567B1C">
      <w:pPr>
        <w:spacing w:line="360" w:lineRule="auto"/>
        <w:rPr>
          <w:rFonts w:ascii="Arial" w:hAnsi="Arial" w:cs="Arial"/>
        </w:rPr>
      </w:pPr>
      <w:r>
        <w:rPr>
          <w:rFonts w:ascii="Arial" w:hAnsi="Arial" w:cs="Arial"/>
        </w:rPr>
        <w:lastRenderedPageBreak/>
        <w:t xml:space="preserve">Even though statutory interpretation </w:t>
      </w:r>
      <w:r w:rsidR="00AB1026">
        <w:rPr>
          <w:rFonts w:ascii="Arial" w:hAnsi="Arial" w:cs="Arial"/>
        </w:rPr>
        <w:t xml:space="preserve">is a widely used process within the English legal system it could be argued that it goes against the rule of law. This is because judges have the power to interpret what they believe what Parliament intended and therefore they could arise to a different conclusion to Parliament. </w:t>
      </w:r>
      <w:r w:rsidR="00CC193C">
        <w:rPr>
          <w:rFonts w:ascii="Arial" w:hAnsi="Arial" w:cs="Arial"/>
        </w:rPr>
        <w:t xml:space="preserve">Anson, M (2013). This is a potential problem because it undermines the rule of law if the judges interpret the law in a way that is completely different to what Parliament intended. </w:t>
      </w:r>
      <w:r w:rsidR="009B6247">
        <w:rPr>
          <w:rFonts w:ascii="Arial" w:hAnsi="Arial" w:cs="Arial"/>
        </w:rPr>
        <w:t xml:space="preserve">Another problem that sometimes occur from statutory interpretation is the fact that it can lead to ‘unsatisfying conclusions’ </w:t>
      </w:r>
      <w:r w:rsidR="003D0385" w:rsidRPr="00567B1C">
        <w:rPr>
          <w:rFonts w:ascii="Arial" w:hAnsi="Arial" w:cs="Arial"/>
        </w:rPr>
        <w:t>The Law Commission and The Scottish Law Commission. (1969)</w:t>
      </w:r>
      <w:r w:rsidR="003D0385">
        <w:rPr>
          <w:rFonts w:ascii="Arial" w:hAnsi="Arial" w:cs="Arial"/>
        </w:rPr>
        <w:t xml:space="preserve">. </w:t>
      </w:r>
      <w:r w:rsidR="004E468B">
        <w:rPr>
          <w:rFonts w:ascii="Arial" w:hAnsi="Arial" w:cs="Arial"/>
        </w:rPr>
        <w:t xml:space="preserve">Statutory interpretation can lead to these ‘unsatisfying conclusions’ because the outcome is solely on the judge and what rule he decides to follow when interpreting the legislation. For </w:t>
      </w:r>
      <w:proofErr w:type="gramStart"/>
      <w:r w:rsidR="004E468B">
        <w:rPr>
          <w:rFonts w:ascii="Arial" w:hAnsi="Arial" w:cs="Arial"/>
        </w:rPr>
        <w:t>example</w:t>
      </w:r>
      <w:proofErr w:type="gramEnd"/>
      <w:r w:rsidR="004E468B">
        <w:rPr>
          <w:rFonts w:ascii="Arial" w:hAnsi="Arial" w:cs="Arial"/>
        </w:rPr>
        <w:t xml:space="preserve"> the use of the golden rule could lead to a more desirable outcome as opposed to the literal rule. </w:t>
      </w:r>
    </w:p>
    <w:p w14:paraId="2A6B4C1F" w14:textId="7153F975" w:rsidR="0056569F" w:rsidRDefault="0056569F" w:rsidP="00567B1C">
      <w:pPr>
        <w:spacing w:line="360" w:lineRule="auto"/>
        <w:rPr>
          <w:rFonts w:ascii="Arial" w:hAnsi="Arial" w:cs="Arial"/>
        </w:rPr>
      </w:pPr>
    </w:p>
    <w:p w14:paraId="3D95E02F" w14:textId="04B0ECB2" w:rsidR="0056569F" w:rsidRDefault="0056569F" w:rsidP="00567B1C">
      <w:pPr>
        <w:spacing w:line="360" w:lineRule="auto"/>
        <w:rPr>
          <w:rFonts w:ascii="Arial" w:hAnsi="Arial" w:cs="Arial"/>
        </w:rPr>
      </w:pPr>
      <w:r>
        <w:rPr>
          <w:rFonts w:ascii="Arial" w:hAnsi="Arial" w:cs="Arial"/>
        </w:rPr>
        <w:t xml:space="preserve">There are several rules surrounding statutory interpretation that judges </w:t>
      </w:r>
      <w:proofErr w:type="gramStart"/>
      <w:r>
        <w:rPr>
          <w:rFonts w:ascii="Arial" w:hAnsi="Arial" w:cs="Arial"/>
        </w:rPr>
        <w:t>have to</w:t>
      </w:r>
      <w:proofErr w:type="gramEnd"/>
      <w:r>
        <w:rPr>
          <w:rFonts w:ascii="Arial" w:hAnsi="Arial" w:cs="Arial"/>
        </w:rPr>
        <w:t xml:space="preserve"> follow for example when interpreting legislation judges are only allowed to interpret Acts that are completed. Th</w:t>
      </w:r>
      <w:r w:rsidR="00697169">
        <w:rPr>
          <w:rFonts w:ascii="Arial" w:hAnsi="Arial" w:cs="Arial"/>
        </w:rPr>
        <w:t xml:space="preserve">e point of this rule is it helps with preventing inconstancies amongst judges when they are applying the law. Oxford University Press (2022). </w:t>
      </w:r>
    </w:p>
    <w:p w14:paraId="1A66F362" w14:textId="7A93B7A3" w:rsidR="00A97F6E" w:rsidRDefault="00A97F6E" w:rsidP="00567B1C">
      <w:pPr>
        <w:spacing w:line="360" w:lineRule="auto"/>
        <w:rPr>
          <w:rFonts w:ascii="Arial" w:hAnsi="Arial" w:cs="Arial"/>
        </w:rPr>
      </w:pPr>
    </w:p>
    <w:p w14:paraId="0FF8DB88" w14:textId="4487F66A" w:rsidR="00A97F6E" w:rsidRDefault="004E468B" w:rsidP="00567B1C">
      <w:pPr>
        <w:spacing w:line="360" w:lineRule="auto"/>
        <w:rPr>
          <w:rFonts w:ascii="Arial" w:hAnsi="Arial" w:cs="Arial"/>
        </w:rPr>
      </w:pPr>
      <w:r>
        <w:rPr>
          <w:rFonts w:ascii="Arial" w:hAnsi="Arial" w:cs="Arial"/>
        </w:rPr>
        <w:t xml:space="preserve">In conclusion, </w:t>
      </w:r>
      <w:proofErr w:type="gramStart"/>
      <w:r w:rsidR="00A97F6E">
        <w:rPr>
          <w:rFonts w:ascii="Arial" w:hAnsi="Arial" w:cs="Arial"/>
        </w:rPr>
        <w:t>It</w:t>
      </w:r>
      <w:proofErr w:type="gramEnd"/>
      <w:r w:rsidR="00A97F6E">
        <w:rPr>
          <w:rFonts w:ascii="Arial" w:hAnsi="Arial" w:cs="Arial"/>
        </w:rPr>
        <w:t xml:space="preserve"> could be argued that statutory interpretation undermines the legislation in the United Kingdom, this is because people believe that the fact that judges can interpret law how they see fit defeats the point of the Act of Parliament being passed in the first place. However, when judges use the </w:t>
      </w:r>
      <w:r w:rsidR="008A1EE4">
        <w:rPr>
          <w:rFonts w:ascii="Arial" w:hAnsi="Arial" w:cs="Arial"/>
        </w:rPr>
        <w:t>mischief</w:t>
      </w:r>
      <w:r w:rsidR="00A97F6E">
        <w:rPr>
          <w:rFonts w:ascii="Arial" w:hAnsi="Arial" w:cs="Arial"/>
        </w:rPr>
        <w:t xml:space="preserve"> </w:t>
      </w:r>
      <w:r w:rsidR="00BD37E3">
        <w:rPr>
          <w:rFonts w:ascii="Arial" w:hAnsi="Arial" w:cs="Arial"/>
        </w:rPr>
        <w:t>rule,</w:t>
      </w:r>
      <w:r w:rsidR="00A97F6E">
        <w:rPr>
          <w:rFonts w:ascii="Arial" w:hAnsi="Arial" w:cs="Arial"/>
        </w:rPr>
        <w:t xml:space="preserve"> they do take into consideration what Parliament </w:t>
      </w:r>
      <w:r w:rsidR="008A1EE4">
        <w:rPr>
          <w:rFonts w:ascii="Arial" w:hAnsi="Arial" w:cs="Arial"/>
        </w:rPr>
        <w:t>intended</w:t>
      </w:r>
      <w:r w:rsidR="00A97F6E">
        <w:rPr>
          <w:rFonts w:ascii="Arial" w:hAnsi="Arial" w:cs="Arial"/>
        </w:rPr>
        <w:t xml:space="preserve"> in the first place therefore, </w:t>
      </w:r>
      <w:r w:rsidR="008A1EE4">
        <w:rPr>
          <w:rFonts w:ascii="Arial" w:hAnsi="Arial" w:cs="Arial"/>
        </w:rPr>
        <w:t xml:space="preserve">when this approach is used by judges it does not completely undermine the status of the legislation. </w:t>
      </w:r>
      <w:r w:rsidR="00135BA9">
        <w:rPr>
          <w:rFonts w:ascii="Arial" w:hAnsi="Arial" w:cs="Arial"/>
        </w:rPr>
        <w:t xml:space="preserve">Also, when judges interpret the law in a </w:t>
      </w:r>
      <w:r w:rsidR="00BD37E3">
        <w:rPr>
          <w:rFonts w:ascii="Arial" w:hAnsi="Arial" w:cs="Arial"/>
        </w:rPr>
        <w:t>way,</w:t>
      </w:r>
      <w:r w:rsidR="00135BA9">
        <w:rPr>
          <w:rFonts w:ascii="Arial" w:hAnsi="Arial" w:cs="Arial"/>
        </w:rPr>
        <w:t xml:space="preserve"> they see fit it sometimes goes against the theory of ‘Stare decisis.’ This is because ‘stare decisis’ is a </w:t>
      </w:r>
      <w:r w:rsidR="00BD37E3">
        <w:rPr>
          <w:rFonts w:ascii="Arial" w:hAnsi="Arial" w:cs="Arial"/>
        </w:rPr>
        <w:t>Latin</w:t>
      </w:r>
      <w:r w:rsidR="00135BA9">
        <w:rPr>
          <w:rFonts w:ascii="Arial" w:hAnsi="Arial" w:cs="Arial"/>
        </w:rPr>
        <w:t xml:space="preserve"> term for ‘to stand by decided matters.’ Britannica (2022). </w:t>
      </w:r>
    </w:p>
    <w:p w14:paraId="381B952A" w14:textId="153644C0" w:rsidR="00391989" w:rsidRDefault="00391989" w:rsidP="00567B1C">
      <w:pPr>
        <w:spacing w:line="360" w:lineRule="auto"/>
        <w:rPr>
          <w:rFonts w:ascii="Arial" w:hAnsi="Arial" w:cs="Arial"/>
        </w:rPr>
      </w:pPr>
    </w:p>
    <w:p w14:paraId="5DF84115" w14:textId="77777777" w:rsidR="00391989" w:rsidRPr="00567B1C" w:rsidRDefault="00391989" w:rsidP="00567B1C">
      <w:pPr>
        <w:spacing w:line="360" w:lineRule="auto"/>
        <w:rPr>
          <w:rFonts w:ascii="Arial" w:hAnsi="Arial" w:cs="Arial"/>
        </w:rPr>
      </w:pPr>
    </w:p>
    <w:p w14:paraId="1CFF5401" w14:textId="77777777" w:rsidR="002148E0" w:rsidRDefault="002148E0"/>
    <w:p w14:paraId="32B82124" w14:textId="77777777" w:rsidR="00AB1026" w:rsidRDefault="00AB1026"/>
    <w:p w14:paraId="0724815C" w14:textId="77777777" w:rsidR="00AB1026" w:rsidRDefault="00AB1026"/>
    <w:p w14:paraId="2E847098" w14:textId="77777777" w:rsidR="00AB1026" w:rsidRDefault="00AB1026"/>
    <w:p w14:paraId="7184BA5E" w14:textId="77777777" w:rsidR="0004229E" w:rsidRDefault="0004229E"/>
    <w:p w14:paraId="6BFD2243" w14:textId="0BEE8C68" w:rsidR="00302CA0" w:rsidRPr="0004229E" w:rsidRDefault="00302CA0">
      <w:pPr>
        <w:rPr>
          <w:rFonts w:ascii="Arial" w:hAnsi="Arial" w:cs="Arial"/>
        </w:rPr>
      </w:pPr>
      <w:r w:rsidRPr="0004229E">
        <w:rPr>
          <w:rFonts w:ascii="Arial" w:hAnsi="Arial" w:cs="Arial"/>
        </w:rPr>
        <w:lastRenderedPageBreak/>
        <w:t xml:space="preserve">Reference list. </w:t>
      </w:r>
    </w:p>
    <w:p w14:paraId="598D26C1" w14:textId="77777777" w:rsidR="0004229E" w:rsidRDefault="0004229E"/>
    <w:p w14:paraId="34292FF8" w14:textId="2B220208" w:rsidR="00302CA0" w:rsidRDefault="00302CA0"/>
    <w:p w14:paraId="25584D42" w14:textId="5D0E9424" w:rsidR="0074605C" w:rsidRDefault="0074605C" w:rsidP="0074605C">
      <w:pPr>
        <w:rPr>
          <w:rFonts w:ascii="Arial" w:hAnsi="Arial" w:cs="Arial"/>
        </w:rPr>
      </w:pPr>
      <w:r w:rsidRPr="0074605C">
        <w:rPr>
          <w:rFonts w:ascii="Arial" w:hAnsi="Arial" w:cs="Arial"/>
        </w:rPr>
        <w:t>Administration of Estates Act (1925).</w:t>
      </w:r>
    </w:p>
    <w:p w14:paraId="1CFAD01C" w14:textId="77777777" w:rsidR="0004229E" w:rsidRPr="0074605C" w:rsidRDefault="0004229E" w:rsidP="0074605C">
      <w:pPr>
        <w:rPr>
          <w:rFonts w:ascii="Arial" w:hAnsi="Arial" w:cs="Arial"/>
        </w:rPr>
      </w:pPr>
    </w:p>
    <w:p w14:paraId="4798B2FE" w14:textId="7AD2AE2C" w:rsidR="0074605C" w:rsidRDefault="0074605C" w:rsidP="0074605C">
      <w:pPr>
        <w:rPr>
          <w:rFonts w:ascii="Arial" w:hAnsi="Arial" w:cs="Arial"/>
        </w:rPr>
      </w:pPr>
      <w:r w:rsidRPr="0074605C">
        <w:rPr>
          <w:rFonts w:ascii="Arial" w:hAnsi="Arial" w:cs="Arial"/>
        </w:rPr>
        <w:t>Britannica, (2022</w:t>
      </w:r>
      <w:proofErr w:type="gramStart"/>
      <w:r w:rsidRPr="0074605C">
        <w:rPr>
          <w:rFonts w:ascii="Arial" w:hAnsi="Arial" w:cs="Arial"/>
        </w:rPr>
        <w:t>).</w:t>
      </w:r>
      <w:r w:rsidRPr="0074605C">
        <w:rPr>
          <w:rFonts w:ascii="Arial" w:hAnsi="Arial" w:cs="Arial"/>
          <w:i/>
          <w:iCs/>
        </w:rPr>
        <w:t>Judicial</w:t>
      </w:r>
      <w:proofErr w:type="gramEnd"/>
      <w:r w:rsidRPr="0074605C">
        <w:rPr>
          <w:rFonts w:ascii="Arial" w:hAnsi="Arial" w:cs="Arial"/>
          <w:i/>
          <w:iCs/>
        </w:rPr>
        <w:t xml:space="preserve"> Law Making. </w:t>
      </w:r>
      <w:r w:rsidRPr="0074605C">
        <w:rPr>
          <w:rFonts w:ascii="Arial" w:hAnsi="Arial" w:cs="Arial"/>
        </w:rPr>
        <w:t xml:space="preserve">Available at: </w:t>
      </w:r>
      <w:hyperlink r:id="rId7" w:history="1">
        <w:r w:rsidRPr="0074605C">
          <w:rPr>
            <w:rStyle w:val="Hyperlink"/>
            <w:rFonts w:ascii="Arial" w:hAnsi="Arial" w:cs="Arial"/>
          </w:rPr>
          <w:t>https://www.britannica.com/topic/court-law/Judicial-lawmaking</w:t>
        </w:r>
      </w:hyperlink>
      <w:r w:rsidRPr="0074605C">
        <w:rPr>
          <w:rFonts w:ascii="Arial" w:hAnsi="Arial" w:cs="Arial"/>
        </w:rPr>
        <w:t>. (Accessed April 21</w:t>
      </w:r>
      <w:r w:rsidRPr="0074605C">
        <w:rPr>
          <w:rFonts w:ascii="Arial" w:hAnsi="Arial" w:cs="Arial"/>
          <w:vertAlign w:val="superscript"/>
        </w:rPr>
        <w:t>st</w:t>
      </w:r>
      <w:proofErr w:type="gramStart"/>
      <w:r w:rsidRPr="0074605C">
        <w:rPr>
          <w:rFonts w:ascii="Arial" w:hAnsi="Arial" w:cs="Arial"/>
        </w:rPr>
        <w:t xml:space="preserve"> 2022</w:t>
      </w:r>
      <w:proofErr w:type="gramEnd"/>
      <w:r w:rsidRPr="0074605C">
        <w:rPr>
          <w:rFonts w:ascii="Arial" w:hAnsi="Arial" w:cs="Arial"/>
        </w:rPr>
        <w:t xml:space="preserve">). </w:t>
      </w:r>
    </w:p>
    <w:p w14:paraId="7F70C784" w14:textId="77777777" w:rsidR="0004229E" w:rsidRPr="0074605C" w:rsidRDefault="0004229E" w:rsidP="0074605C">
      <w:pPr>
        <w:rPr>
          <w:rFonts w:ascii="Arial" w:hAnsi="Arial" w:cs="Arial"/>
        </w:rPr>
      </w:pPr>
    </w:p>
    <w:p w14:paraId="4817A831" w14:textId="494D31E0" w:rsidR="0074605C" w:rsidRDefault="0074605C" w:rsidP="0074605C">
      <w:pPr>
        <w:rPr>
          <w:rFonts w:ascii="Arial" w:hAnsi="Arial" w:cs="Arial"/>
          <w:u w:val="single"/>
        </w:rPr>
      </w:pPr>
      <w:r w:rsidRPr="0074605C">
        <w:rPr>
          <w:rFonts w:ascii="Arial" w:hAnsi="Arial" w:cs="Arial"/>
          <w:u w:val="single"/>
        </w:rPr>
        <w:t>Contagious Disease Act 1869</w:t>
      </w:r>
    </w:p>
    <w:p w14:paraId="317F46FA" w14:textId="77777777" w:rsidR="0004229E" w:rsidRPr="0074605C" w:rsidRDefault="0004229E" w:rsidP="0074605C">
      <w:pPr>
        <w:rPr>
          <w:rFonts w:ascii="Arial" w:hAnsi="Arial" w:cs="Arial"/>
          <w:u w:val="single"/>
        </w:rPr>
      </w:pPr>
    </w:p>
    <w:p w14:paraId="4E9C4B8C" w14:textId="2EB282B0" w:rsidR="0074605C" w:rsidRDefault="0074605C" w:rsidP="0074605C">
      <w:pPr>
        <w:rPr>
          <w:rFonts w:ascii="Arial" w:hAnsi="Arial" w:cs="Arial"/>
        </w:rPr>
      </w:pPr>
      <w:r w:rsidRPr="0074605C">
        <w:rPr>
          <w:rFonts w:ascii="Arial" w:hAnsi="Arial" w:cs="Arial"/>
        </w:rPr>
        <w:t xml:space="preserve">CPS, (2022) </w:t>
      </w:r>
      <w:r w:rsidRPr="0074605C">
        <w:rPr>
          <w:rFonts w:ascii="Arial" w:hAnsi="Arial" w:cs="Arial"/>
          <w:i/>
          <w:iCs/>
        </w:rPr>
        <w:t xml:space="preserve">S.39 Of </w:t>
      </w:r>
      <w:proofErr w:type="gramStart"/>
      <w:r w:rsidRPr="0074605C">
        <w:rPr>
          <w:rFonts w:ascii="Arial" w:hAnsi="Arial" w:cs="Arial"/>
          <w:i/>
          <w:iCs/>
        </w:rPr>
        <w:t>The</w:t>
      </w:r>
      <w:proofErr w:type="gramEnd"/>
      <w:r w:rsidRPr="0074605C">
        <w:rPr>
          <w:rFonts w:ascii="Arial" w:hAnsi="Arial" w:cs="Arial"/>
          <w:i/>
          <w:iCs/>
        </w:rPr>
        <w:t xml:space="preserve"> Criminal justice Act (1988). </w:t>
      </w:r>
      <w:r w:rsidRPr="0074605C">
        <w:rPr>
          <w:rFonts w:ascii="Arial" w:hAnsi="Arial" w:cs="Arial"/>
        </w:rPr>
        <w:t xml:space="preserve">Available at: </w:t>
      </w:r>
      <w:hyperlink r:id="rId8" w:history="1">
        <w:r w:rsidRPr="0074605C">
          <w:rPr>
            <w:rStyle w:val="Hyperlink"/>
            <w:rFonts w:ascii="Arial" w:hAnsi="Arial" w:cs="Arial"/>
          </w:rPr>
          <w:t>https://www.cps.gov.uk/legal-guidance/offences-against-person-incorporating-charging-standard</w:t>
        </w:r>
      </w:hyperlink>
      <w:r w:rsidRPr="0074605C">
        <w:rPr>
          <w:rFonts w:ascii="Arial" w:hAnsi="Arial" w:cs="Arial"/>
        </w:rPr>
        <w:t>. (Accessed April 21</w:t>
      </w:r>
      <w:r w:rsidRPr="0074605C">
        <w:rPr>
          <w:rFonts w:ascii="Arial" w:hAnsi="Arial" w:cs="Arial"/>
          <w:vertAlign w:val="superscript"/>
        </w:rPr>
        <w:t>st</w:t>
      </w:r>
      <w:proofErr w:type="gramStart"/>
      <w:r w:rsidRPr="0074605C">
        <w:rPr>
          <w:rFonts w:ascii="Arial" w:hAnsi="Arial" w:cs="Arial"/>
        </w:rPr>
        <w:t xml:space="preserve"> 2022</w:t>
      </w:r>
      <w:proofErr w:type="gramEnd"/>
      <w:r w:rsidRPr="0074605C">
        <w:rPr>
          <w:rFonts w:ascii="Arial" w:hAnsi="Arial" w:cs="Arial"/>
        </w:rPr>
        <w:t xml:space="preserve">). </w:t>
      </w:r>
    </w:p>
    <w:p w14:paraId="114C7055" w14:textId="77777777" w:rsidR="0074605C" w:rsidRPr="0074605C" w:rsidRDefault="0074605C" w:rsidP="0074605C">
      <w:pPr>
        <w:rPr>
          <w:rFonts w:ascii="Arial" w:hAnsi="Arial" w:cs="Arial"/>
        </w:rPr>
      </w:pPr>
    </w:p>
    <w:p w14:paraId="5D0B1B57" w14:textId="29082AA8" w:rsidR="0074605C" w:rsidRDefault="0074605C" w:rsidP="0074605C">
      <w:pPr>
        <w:rPr>
          <w:rFonts w:ascii="Arial" w:hAnsi="Arial" w:cs="Arial"/>
        </w:rPr>
      </w:pPr>
      <w:r w:rsidRPr="0074605C">
        <w:rPr>
          <w:rFonts w:ascii="Arial" w:hAnsi="Arial" w:cs="Arial"/>
        </w:rPr>
        <w:t xml:space="preserve">Dangerous Dogs Act (1991) </w:t>
      </w:r>
    </w:p>
    <w:p w14:paraId="3959377D" w14:textId="77777777" w:rsidR="0074605C" w:rsidRPr="0074605C" w:rsidRDefault="0074605C" w:rsidP="0074605C">
      <w:pPr>
        <w:rPr>
          <w:rFonts w:ascii="Arial" w:hAnsi="Arial" w:cs="Arial"/>
        </w:rPr>
      </w:pPr>
    </w:p>
    <w:p w14:paraId="0E24BE83" w14:textId="60714C0B" w:rsidR="0074605C" w:rsidRDefault="0074605C" w:rsidP="0074605C">
      <w:pPr>
        <w:rPr>
          <w:rFonts w:ascii="Arial" w:hAnsi="Arial" w:cs="Arial"/>
        </w:rPr>
      </w:pPr>
      <w:r w:rsidRPr="0074605C">
        <w:rPr>
          <w:rFonts w:ascii="Arial" w:hAnsi="Arial" w:cs="Arial"/>
        </w:rPr>
        <w:t>Jus Dicere, (2021). ‘</w:t>
      </w:r>
      <w:r w:rsidRPr="0074605C">
        <w:rPr>
          <w:rFonts w:ascii="Arial" w:hAnsi="Arial" w:cs="Arial"/>
          <w:i/>
          <w:iCs/>
        </w:rPr>
        <w:t xml:space="preserve">London and </w:t>
      </w:r>
      <w:proofErr w:type="gramStart"/>
      <w:r w:rsidRPr="0074605C">
        <w:rPr>
          <w:rFonts w:ascii="Arial" w:hAnsi="Arial" w:cs="Arial"/>
          <w:i/>
          <w:iCs/>
        </w:rPr>
        <w:t>North Eastern</w:t>
      </w:r>
      <w:proofErr w:type="gramEnd"/>
      <w:r w:rsidRPr="0074605C">
        <w:rPr>
          <w:rFonts w:ascii="Arial" w:hAnsi="Arial" w:cs="Arial"/>
          <w:i/>
          <w:iCs/>
        </w:rPr>
        <w:t xml:space="preserve"> Railway’ </w:t>
      </w:r>
      <w:r w:rsidRPr="0074605C">
        <w:rPr>
          <w:rFonts w:ascii="Arial" w:hAnsi="Arial" w:cs="Arial"/>
        </w:rPr>
        <w:t xml:space="preserve">Available at: </w:t>
      </w:r>
      <w:hyperlink r:id="rId9" w:history="1">
        <w:r w:rsidRPr="0074605C">
          <w:rPr>
            <w:rStyle w:val="Hyperlink"/>
            <w:rFonts w:ascii="Arial" w:hAnsi="Arial" w:cs="Arial"/>
          </w:rPr>
          <w:t>https://www.jusdicere.in/london-and-north-eastern-railway-v-berriman/</w:t>
        </w:r>
      </w:hyperlink>
      <w:r w:rsidRPr="0074605C">
        <w:rPr>
          <w:rFonts w:ascii="Arial" w:hAnsi="Arial" w:cs="Arial"/>
        </w:rPr>
        <w:t>. (Accessed April 21</w:t>
      </w:r>
      <w:r w:rsidRPr="0074605C">
        <w:rPr>
          <w:rFonts w:ascii="Arial" w:hAnsi="Arial" w:cs="Arial"/>
          <w:vertAlign w:val="superscript"/>
        </w:rPr>
        <w:t>st</w:t>
      </w:r>
      <w:proofErr w:type="gramStart"/>
      <w:r w:rsidRPr="0074605C">
        <w:rPr>
          <w:rFonts w:ascii="Arial" w:hAnsi="Arial" w:cs="Arial"/>
        </w:rPr>
        <w:t xml:space="preserve"> 2022</w:t>
      </w:r>
      <w:proofErr w:type="gramEnd"/>
      <w:r w:rsidRPr="0074605C">
        <w:rPr>
          <w:rFonts w:ascii="Arial" w:hAnsi="Arial" w:cs="Arial"/>
        </w:rPr>
        <w:t xml:space="preserve">). </w:t>
      </w:r>
    </w:p>
    <w:p w14:paraId="757F2054" w14:textId="77777777" w:rsidR="0074605C" w:rsidRPr="0074605C" w:rsidRDefault="0074605C" w:rsidP="0074605C">
      <w:pPr>
        <w:rPr>
          <w:rFonts w:ascii="Arial" w:hAnsi="Arial" w:cs="Arial"/>
        </w:rPr>
      </w:pPr>
    </w:p>
    <w:p w14:paraId="32AD5C44" w14:textId="574BCD9F" w:rsidR="0074605C" w:rsidRDefault="0074605C" w:rsidP="0074605C">
      <w:pPr>
        <w:rPr>
          <w:rFonts w:ascii="Arial" w:hAnsi="Arial" w:cs="Arial"/>
        </w:rPr>
      </w:pPr>
      <w:r w:rsidRPr="0074605C">
        <w:rPr>
          <w:rFonts w:ascii="Arial" w:hAnsi="Arial" w:cs="Arial"/>
        </w:rPr>
        <w:t xml:space="preserve">Laver, L. (2022) </w:t>
      </w:r>
      <w:r w:rsidRPr="0074605C">
        <w:rPr>
          <w:rFonts w:ascii="Arial" w:hAnsi="Arial" w:cs="Arial"/>
          <w:i/>
          <w:iCs/>
        </w:rPr>
        <w:t xml:space="preserve">Statutory Interpretation. </w:t>
      </w:r>
      <w:r w:rsidRPr="0074605C">
        <w:rPr>
          <w:rFonts w:ascii="Arial" w:hAnsi="Arial" w:cs="Arial"/>
        </w:rPr>
        <w:t xml:space="preserve">Available at: </w:t>
      </w:r>
      <w:hyperlink r:id="rId10" w:history="1">
        <w:r w:rsidRPr="0074605C">
          <w:rPr>
            <w:rStyle w:val="Hyperlink"/>
            <w:rFonts w:ascii="Arial" w:hAnsi="Arial" w:cs="Arial"/>
          </w:rPr>
          <w:t>https://www.inbrief.co.uk/legal-system/statutory-interpretation/</w:t>
        </w:r>
      </w:hyperlink>
      <w:r w:rsidRPr="0074605C">
        <w:rPr>
          <w:rFonts w:ascii="Arial" w:hAnsi="Arial" w:cs="Arial"/>
        </w:rPr>
        <w:t>. (Accessed: April 20</w:t>
      </w:r>
      <w:r w:rsidRPr="0074605C">
        <w:rPr>
          <w:rFonts w:ascii="Arial" w:hAnsi="Arial" w:cs="Arial"/>
          <w:vertAlign w:val="superscript"/>
        </w:rPr>
        <w:t>th</w:t>
      </w:r>
      <w:proofErr w:type="gramStart"/>
      <w:r w:rsidRPr="0074605C">
        <w:rPr>
          <w:rFonts w:ascii="Arial" w:hAnsi="Arial" w:cs="Arial"/>
        </w:rPr>
        <w:t xml:space="preserve"> 2022</w:t>
      </w:r>
      <w:proofErr w:type="gramEnd"/>
      <w:r w:rsidRPr="0074605C">
        <w:rPr>
          <w:rFonts w:ascii="Arial" w:hAnsi="Arial" w:cs="Arial"/>
        </w:rPr>
        <w:t xml:space="preserve">). </w:t>
      </w:r>
    </w:p>
    <w:p w14:paraId="121C3D88" w14:textId="77777777" w:rsidR="0074605C" w:rsidRPr="0074605C" w:rsidRDefault="0074605C" w:rsidP="0074605C">
      <w:pPr>
        <w:rPr>
          <w:rFonts w:ascii="Arial" w:hAnsi="Arial" w:cs="Arial"/>
        </w:rPr>
      </w:pPr>
    </w:p>
    <w:p w14:paraId="3FB96AC7" w14:textId="18B96C32" w:rsidR="0074605C" w:rsidRDefault="0074605C" w:rsidP="0074605C">
      <w:pPr>
        <w:rPr>
          <w:rFonts w:ascii="Arial" w:hAnsi="Arial" w:cs="Arial"/>
        </w:rPr>
      </w:pPr>
      <w:r w:rsidRPr="0074605C">
        <w:rPr>
          <w:rFonts w:ascii="Arial" w:hAnsi="Arial" w:cs="Arial"/>
        </w:rPr>
        <w:t xml:space="preserve">Law Teacher, (2020). </w:t>
      </w:r>
      <w:r w:rsidRPr="0074605C">
        <w:rPr>
          <w:rFonts w:ascii="Arial" w:hAnsi="Arial" w:cs="Arial"/>
          <w:i/>
          <w:iCs/>
        </w:rPr>
        <w:t xml:space="preserve">Law Involves Dealing with Words. </w:t>
      </w:r>
      <w:r w:rsidRPr="0074605C">
        <w:rPr>
          <w:rFonts w:ascii="Arial" w:hAnsi="Arial" w:cs="Arial"/>
        </w:rPr>
        <w:t xml:space="preserve">Available at: </w:t>
      </w:r>
      <w:hyperlink r:id="rId11" w:history="1">
        <w:r w:rsidRPr="0074605C">
          <w:rPr>
            <w:rStyle w:val="Hyperlink"/>
            <w:rFonts w:ascii="Arial" w:hAnsi="Arial" w:cs="Arial"/>
          </w:rPr>
          <w:t>https://www.lawteacher.net/free-law-essays/common-law/law-involves-a-dealing-with-words.php</w:t>
        </w:r>
      </w:hyperlink>
      <w:r w:rsidRPr="0074605C">
        <w:rPr>
          <w:rFonts w:ascii="Arial" w:hAnsi="Arial" w:cs="Arial"/>
        </w:rPr>
        <w:t>. (Accessed April 22</w:t>
      </w:r>
      <w:r w:rsidRPr="0074605C">
        <w:rPr>
          <w:rFonts w:ascii="Arial" w:hAnsi="Arial" w:cs="Arial"/>
          <w:vertAlign w:val="superscript"/>
        </w:rPr>
        <w:t>nd</w:t>
      </w:r>
      <w:proofErr w:type="gramStart"/>
      <w:r w:rsidRPr="0074605C">
        <w:rPr>
          <w:rFonts w:ascii="Arial" w:hAnsi="Arial" w:cs="Arial"/>
        </w:rPr>
        <w:t xml:space="preserve"> 2022</w:t>
      </w:r>
      <w:proofErr w:type="gramEnd"/>
      <w:r w:rsidRPr="0074605C">
        <w:rPr>
          <w:rFonts w:ascii="Arial" w:hAnsi="Arial" w:cs="Arial"/>
        </w:rPr>
        <w:t xml:space="preserve">). </w:t>
      </w:r>
    </w:p>
    <w:p w14:paraId="1C7889D1" w14:textId="77777777" w:rsidR="0074605C" w:rsidRPr="0074605C" w:rsidRDefault="0074605C" w:rsidP="0074605C">
      <w:pPr>
        <w:rPr>
          <w:rFonts w:ascii="Arial" w:hAnsi="Arial" w:cs="Arial"/>
        </w:rPr>
      </w:pPr>
    </w:p>
    <w:p w14:paraId="47423879" w14:textId="57C4A588" w:rsidR="0074605C" w:rsidRDefault="0074605C" w:rsidP="0074605C">
      <w:pPr>
        <w:rPr>
          <w:rFonts w:ascii="Arial" w:hAnsi="Arial" w:cs="Arial"/>
        </w:rPr>
      </w:pPr>
      <w:proofErr w:type="spellStart"/>
      <w:r w:rsidRPr="0074605C">
        <w:rPr>
          <w:rFonts w:ascii="Arial" w:hAnsi="Arial" w:cs="Arial"/>
        </w:rPr>
        <w:t>LexForti</w:t>
      </w:r>
      <w:proofErr w:type="spellEnd"/>
      <w:r w:rsidRPr="0074605C">
        <w:rPr>
          <w:rFonts w:ascii="Arial" w:hAnsi="Arial" w:cs="Arial"/>
        </w:rPr>
        <w:t xml:space="preserve"> Legal News Network. (2020). </w:t>
      </w:r>
      <w:r w:rsidRPr="0074605C">
        <w:rPr>
          <w:rFonts w:ascii="Arial" w:hAnsi="Arial" w:cs="Arial"/>
          <w:i/>
          <w:iCs/>
        </w:rPr>
        <w:t xml:space="preserve">Golden Rule of Interpretation. </w:t>
      </w:r>
      <w:r w:rsidRPr="0074605C">
        <w:rPr>
          <w:rFonts w:ascii="Arial" w:hAnsi="Arial" w:cs="Arial"/>
        </w:rPr>
        <w:t xml:space="preserve">Available at: </w:t>
      </w:r>
      <w:hyperlink r:id="rId12" w:history="1">
        <w:r w:rsidRPr="0074605C">
          <w:rPr>
            <w:rStyle w:val="Hyperlink"/>
            <w:rFonts w:ascii="Arial" w:hAnsi="Arial" w:cs="Arial"/>
          </w:rPr>
          <w:t>https://lexforti.com/legal-news/golden-rule-of-interpretation/</w:t>
        </w:r>
      </w:hyperlink>
      <w:r w:rsidRPr="0074605C">
        <w:rPr>
          <w:rFonts w:ascii="Arial" w:hAnsi="Arial" w:cs="Arial"/>
        </w:rPr>
        <w:t>. (Accessed: April 21</w:t>
      </w:r>
      <w:r w:rsidRPr="0074605C">
        <w:rPr>
          <w:rFonts w:ascii="Arial" w:hAnsi="Arial" w:cs="Arial"/>
          <w:vertAlign w:val="superscript"/>
        </w:rPr>
        <w:t>st</w:t>
      </w:r>
      <w:proofErr w:type="gramStart"/>
      <w:r w:rsidRPr="0074605C">
        <w:rPr>
          <w:rFonts w:ascii="Arial" w:hAnsi="Arial" w:cs="Arial"/>
        </w:rPr>
        <w:t xml:space="preserve"> 2022</w:t>
      </w:r>
      <w:proofErr w:type="gramEnd"/>
      <w:r w:rsidRPr="0074605C">
        <w:rPr>
          <w:rFonts w:ascii="Arial" w:hAnsi="Arial" w:cs="Arial"/>
        </w:rPr>
        <w:t xml:space="preserve">). </w:t>
      </w:r>
    </w:p>
    <w:p w14:paraId="2E0F36E3" w14:textId="77777777" w:rsidR="0074605C" w:rsidRPr="0074605C" w:rsidRDefault="0074605C" w:rsidP="0074605C">
      <w:pPr>
        <w:rPr>
          <w:rFonts w:ascii="Arial" w:hAnsi="Arial" w:cs="Arial"/>
        </w:rPr>
      </w:pPr>
    </w:p>
    <w:p w14:paraId="5857C4C3" w14:textId="77777777" w:rsidR="0074605C" w:rsidRDefault="0074605C" w:rsidP="0074605C">
      <w:pPr>
        <w:rPr>
          <w:rFonts w:ascii="Arial" w:hAnsi="Arial" w:cs="Arial"/>
        </w:rPr>
      </w:pPr>
      <w:r w:rsidRPr="0074605C">
        <w:rPr>
          <w:rFonts w:ascii="Arial" w:hAnsi="Arial" w:cs="Arial"/>
        </w:rPr>
        <w:t xml:space="preserve">Oxford University Press, (2022). </w:t>
      </w:r>
      <w:r w:rsidRPr="0074605C">
        <w:rPr>
          <w:rFonts w:ascii="Arial" w:hAnsi="Arial" w:cs="Arial"/>
          <w:i/>
          <w:iCs/>
        </w:rPr>
        <w:t xml:space="preserve">Oxford References. </w:t>
      </w:r>
      <w:r w:rsidRPr="0074605C">
        <w:rPr>
          <w:rFonts w:ascii="Arial" w:hAnsi="Arial" w:cs="Arial"/>
        </w:rPr>
        <w:t xml:space="preserve">Available at: </w:t>
      </w:r>
      <w:hyperlink r:id="rId13" w:history="1">
        <w:r w:rsidRPr="0074605C">
          <w:rPr>
            <w:rStyle w:val="Hyperlink"/>
            <w:rFonts w:ascii="Arial" w:hAnsi="Arial" w:cs="Arial"/>
          </w:rPr>
          <w:t>https://www.oxford</w:t>
        </w:r>
        <w:r w:rsidRPr="0074605C">
          <w:rPr>
            <w:rStyle w:val="Hyperlink"/>
            <w:rFonts w:ascii="Arial" w:hAnsi="Arial" w:cs="Arial"/>
          </w:rPr>
          <w:t>r</w:t>
        </w:r>
        <w:r w:rsidRPr="0074605C">
          <w:rPr>
            <w:rStyle w:val="Hyperlink"/>
            <w:rFonts w:ascii="Arial" w:hAnsi="Arial" w:cs="Arial"/>
          </w:rPr>
          <w:t>eference.com/view/10.1093/oi/authority.20110803100008301</w:t>
        </w:r>
      </w:hyperlink>
      <w:r w:rsidRPr="0074605C">
        <w:rPr>
          <w:rFonts w:ascii="Arial" w:hAnsi="Arial" w:cs="Arial"/>
        </w:rPr>
        <w:t>. (Accessed April 21</w:t>
      </w:r>
      <w:r w:rsidRPr="0074605C">
        <w:rPr>
          <w:rFonts w:ascii="Arial" w:hAnsi="Arial" w:cs="Arial"/>
          <w:vertAlign w:val="superscript"/>
        </w:rPr>
        <w:t>st</w:t>
      </w:r>
      <w:proofErr w:type="gramStart"/>
      <w:r w:rsidRPr="0074605C">
        <w:rPr>
          <w:rFonts w:ascii="Arial" w:hAnsi="Arial" w:cs="Arial"/>
        </w:rPr>
        <w:t xml:space="preserve"> 2022</w:t>
      </w:r>
      <w:proofErr w:type="gramEnd"/>
      <w:r w:rsidRPr="0074605C">
        <w:rPr>
          <w:rFonts w:ascii="Arial" w:hAnsi="Arial" w:cs="Arial"/>
        </w:rPr>
        <w:t>).</w:t>
      </w:r>
    </w:p>
    <w:p w14:paraId="527D4E2D" w14:textId="48B4BA31" w:rsidR="0074605C" w:rsidRPr="0074605C" w:rsidRDefault="0074605C" w:rsidP="0074605C">
      <w:pPr>
        <w:rPr>
          <w:rFonts w:ascii="Arial" w:hAnsi="Arial" w:cs="Arial"/>
        </w:rPr>
      </w:pPr>
      <w:r w:rsidRPr="0074605C">
        <w:rPr>
          <w:rFonts w:ascii="Arial" w:hAnsi="Arial" w:cs="Arial"/>
        </w:rPr>
        <w:t xml:space="preserve"> </w:t>
      </w:r>
    </w:p>
    <w:p w14:paraId="03C21BE4" w14:textId="2A6DF7B5" w:rsidR="0074605C" w:rsidRDefault="0074605C" w:rsidP="0074605C">
      <w:pPr>
        <w:rPr>
          <w:rFonts w:ascii="Arial" w:hAnsi="Arial" w:cs="Arial"/>
        </w:rPr>
      </w:pPr>
      <w:r w:rsidRPr="0074605C">
        <w:rPr>
          <w:rFonts w:ascii="Arial" w:hAnsi="Arial" w:cs="Arial"/>
        </w:rPr>
        <w:t xml:space="preserve">Ross, P (2021) ‘Statutory Interpretation Explained.’ </w:t>
      </w:r>
      <w:r w:rsidRPr="0074605C">
        <w:rPr>
          <w:rFonts w:ascii="Arial" w:hAnsi="Arial" w:cs="Arial"/>
          <w:i/>
          <w:iCs/>
        </w:rPr>
        <w:t>Cambridge University Law Society.</w:t>
      </w:r>
      <w:r>
        <w:rPr>
          <w:rFonts w:ascii="Arial" w:hAnsi="Arial" w:cs="Arial"/>
          <w:i/>
          <w:iCs/>
        </w:rPr>
        <w:t xml:space="preserve"> </w:t>
      </w:r>
      <w:r w:rsidRPr="0074605C">
        <w:rPr>
          <w:rFonts w:ascii="Arial" w:hAnsi="Arial" w:cs="Arial"/>
        </w:rPr>
        <w:t xml:space="preserve">Available at: </w:t>
      </w:r>
      <w:hyperlink r:id="rId14" w:history="1">
        <w:r w:rsidRPr="0074605C">
          <w:rPr>
            <w:rStyle w:val="Hyperlink"/>
            <w:rFonts w:ascii="Arial" w:hAnsi="Arial" w:cs="Arial"/>
          </w:rPr>
          <w:t>https://www.culs.org.uk/per-incuriam/statutory-interpretation-explained</w:t>
        </w:r>
      </w:hyperlink>
      <w:r w:rsidRPr="0074605C">
        <w:rPr>
          <w:rFonts w:ascii="Arial" w:hAnsi="Arial" w:cs="Arial"/>
        </w:rPr>
        <w:t xml:space="preserve">. </w:t>
      </w:r>
      <w:r w:rsidRPr="0074605C">
        <w:rPr>
          <w:rFonts w:ascii="Arial" w:hAnsi="Arial" w:cs="Arial"/>
          <w:i/>
          <w:iCs/>
        </w:rPr>
        <w:t>(</w:t>
      </w:r>
      <w:r w:rsidRPr="0074605C">
        <w:rPr>
          <w:rFonts w:ascii="Arial" w:hAnsi="Arial" w:cs="Arial"/>
        </w:rPr>
        <w:t>Accessed April 20</w:t>
      </w:r>
      <w:r w:rsidRPr="0074605C">
        <w:rPr>
          <w:rFonts w:ascii="Arial" w:hAnsi="Arial" w:cs="Arial"/>
          <w:vertAlign w:val="superscript"/>
        </w:rPr>
        <w:t>th</w:t>
      </w:r>
      <w:proofErr w:type="gramStart"/>
      <w:r w:rsidRPr="0074605C">
        <w:rPr>
          <w:rFonts w:ascii="Arial" w:hAnsi="Arial" w:cs="Arial"/>
        </w:rPr>
        <w:t xml:space="preserve"> 2022</w:t>
      </w:r>
      <w:proofErr w:type="gramEnd"/>
      <w:r w:rsidRPr="0074605C">
        <w:rPr>
          <w:rFonts w:ascii="Arial" w:hAnsi="Arial" w:cs="Arial"/>
        </w:rPr>
        <w:t>).</w:t>
      </w:r>
    </w:p>
    <w:p w14:paraId="2C2CF47B" w14:textId="72BE25EE" w:rsidR="0074605C" w:rsidRPr="0074605C" w:rsidRDefault="0074605C" w:rsidP="0074605C">
      <w:pPr>
        <w:rPr>
          <w:rFonts w:ascii="Arial" w:hAnsi="Arial" w:cs="Arial"/>
          <w:i/>
          <w:iCs/>
        </w:rPr>
      </w:pPr>
      <w:r w:rsidRPr="0074605C">
        <w:rPr>
          <w:rFonts w:ascii="Arial" w:hAnsi="Arial" w:cs="Arial"/>
          <w:i/>
          <w:iCs/>
        </w:rPr>
        <w:t xml:space="preserve"> </w:t>
      </w:r>
    </w:p>
    <w:p w14:paraId="53ABEE3F" w14:textId="37932487" w:rsidR="0074605C" w:rsidRDefault="0074605C" w:rsidP="0074605C">
      <w:pPr>
        <w:rPr>
          <w:rFonts w:ascii="Arial" w:hAnsi="Arial" w:cs="Arial"/>
          <w:i/>
          <w:iCs/>
        </w:rPr>
      </w:pPr>
      <w:r w:rsidRPr="0074605C">
        <w:rPr>
          <w:rFonts w:ascii="Arial" w:hAnsi="Arial" w:cs="Arial"/>
        </w:rPr>
        <w:t xml:space="preserve">The Law Commission and The Scottish Law Commission. Paragraph 1 (1969). </w:t>
      </w:r>
      <w:r w:rsidRPr="0074605C">
        <w:rPr>
          <w:rFonts w:ascii="Arial" w:hAnsi="Arial" w:cs="Arial"/>
          <w:i/>
          <w:iCs/>
        </w:rPr>
        <w:t xml:space="preserve">The Interpretation of Statutes. </w:t>
      </w:r>
      <w:hyperlink r:id="rId15" w:history="1">
        <w:r w:rsidRPr="0074605C">
          <w:rPr>
            <w:rStyle w:val="Hyperlink"/>
            <w:rFonts w:ascii="Arial" w:hAnsi="Arial" w:cs="Arial"/>
            <w:i/>
            <w:iCs/>
          </w:rPr>
          <w:t>https://assets.publishing.service.gov.uk/government/uploads/system/uploads/attachment_data/file/228894/0256.pdf</w:t>
        </w:r>
      </w:hyperlink>
      <w:r w:rsidRPr="0074605C">
        <w:rPr>
          <w:rFonts w:ascii="Arial" w:hAnsi="Arial" w:cs="Arial"/>
          <w:i/>
          <w:iCs/>
        </w:rPr>
        <w:t>. (Accessed: April 20</w:t>
      </w:r>
      <w:r w:rsidRPr="0074605C">
        <w:rPr>
          <w:rFonts w:ascii="Arial" w:hAnsi="Arial" w:cs="Arial"/>
          <w:i/>
          <w:iCs/>
          <w:vertAlign w:val="superscript"/>
        </w:rPr>
        <w:t>th</w:t>
      </w:r>
      <w:proofErr w:type="gramStart"/>
      <w:r w:rsidRPr="0074605C">
        <w:rPr>
          <w:rFonts w:ascii="Arial" w:hAnsi="Arial" w:cs="Arial"/>
          <w:i/>
          <w:iCs/>
        </w:rPr>
        <w:t xml:space="preserve"> 2022</w:t>
      </w:r>
      <w:proofErr w:type="gramEnd"/>
      <w:r w:rsidRPr="0074605C">
        <w:rPr>
          <w:rFonts w:ascii="Arial" w:hAnsi="Arial" w:cs="Arial"/>
          <w:i/>
          <w:iCs/>
        </w:rPr>
        <w:t xml:space="preserve">). </w:t>
      </w:r>
    </w:p>
    <w:p w14:paraId="22ED280F" w14:textId="7F269931" w:rsidR="0074605C" w:rsidRDefault="0074605C" w:rsidP="0074605C">
      <w:pPr>
        <w:rPr>
          <w:rFonts w:ascii="Arial" w:hAnsi="Arial" w:cs="Arial"/>
          <w:i/>
          <w:iCs/>
        </w:rPr>
      </w:pPr>
    </w:p>
    <w:p w14:paraId="06CFF387" w14:textId="77777777" w:rsidR="0074605C" w:rsidRPr="0074605C" w:rsidRDefault="0074605C" w:rsidP="0074605C">
      <w:pPr>
        <w:rPr>
          <w:rFonts w:ascii="Arial" w:hAnsi="Arial" w:cs="Arial"/>
          <w:i/>
          <w:iCs/>
        </w:rPr>
      </w:pPr>
    </w:p>
    <w:p w14:paraId="05DFBF62" w14:textId="56D93471" w:rsidR="0074605C" w:rsidRDefault="0074605C" w:rsidP="0074605C">
      <w:pPr>
        <w:rPr>
          <w:rFonts w:ascii="Arial" w:hAnsi="Arial" w:cs="Arial"/>
          <w:i/>
          <w:iCs/>
        </w:rPr>
      </w:pPr>
      <w:r w:rsidRPr="0074605C">
        <w:rPr>
          <w:rFonts w:ascii="Arial" w:hAnsi="Arial" w:cs="Arial"/>
        </w:rPr>
        <w:t xml:space="preserve">The Law Commission and The Scottish Law Commission. Paragraph </w:t>
      </w:r>
      <w:r w:rsidRPr="0074605C">
        <w:rPr>
          <w:rFonts w:ascii="Arial" w:hAnsi="Arial" w:cs="Arial"/>
        </w:rPr>
        <w:t>6</w:t>
      </w:r>
      <w:r w:rsidRPr="0074605C">
        <w:rPr>
          <w:rFonts w:ascii="Arial" w:hAnsi="Arial" w:cs="Arial"/>
        </w:rPr>
        <w:t xml:space="preserve"> (1969). </w:t>
      </w:r>
      <w:r w:rsidRPr="0074605C">
        <w:rPr>
          <w:rFonts w:ascii="Arial" w:hAnsi="Arial" w:cs="Arial"/>
          <w:i/>
          <w:iCs/>
        </w:rPr>
        <w:t xml:space="preserve">The Interpretation of Statutes. </w:t>
      </w:r>
      <w:hyperlink r:id="rId16" w:history="1">
        <w:r w:rsidRPr="0074605C">
          <w:rPr>
            <w:rStyle w:val="Hyperlink"/>
            <w:rFonts w:ascii="Arial" w:hAnsi="Arial" w:cs="Arial"/>
            <w:i/>
            <w:iCs/>
          </w:rPr>
          <w:t>https://assets.publishing.service.gov.uk/government/uploads/system/uploads/attachment_data/file/228894/0256.pdf</w:t>
        </w:r>
      </w:hyperlink>
      <w:r w:rsidRPr="0074605C">
        <w:rPr>
          <w:rFonts w:ascii="Arial" w:hAnsi="Arial" w:cs="Arial"/>
          <w:i/>
          <w:iCs/>
        </w:rPr>
        <w:t xml:space="preserve">. (Accessed: April </w:t>
      </w:r>
      <w:proofErr w:type="gramStart"/>
      <w:r w:rsidRPr="0074605C">
        <w:rPr>
          <w:rFonts w:ascii="Arial" w:hAnsi="Arial" w:cs="Arial"/>
          <w:i/>
          <w:iCs/>
        </w:rPr>
        <w:t>2</w:t>
      </w:r>
      <w:r w:rsidRPr="0074605C">
        <w:rPr>
          <w:rFonts w:ascii="Arial" w:hAnsi="Arial" w:cs="Arial"/>
          <w:i/>
          <w:iCs/>
        </w:rPr>
        <w:t>2</w:t>
      </w:r>
      <w:r w:rsidRPr="0074605C">
        <w:rPr>
          <w:rFonts w:ascii="Arial" w:hAnsi="Arial" w:cs="Arial"/>
          <w:i/>
          <w:iCs/>
          <w:vertAlign w:val="superscript"/>
        </w:rPr>
        <w:t>th</w:t>
      </w:r>
      <w:proofErr w:type="gramEnd"/>
      <w:r w:rsidRPr="0074605C">
        <w:rPr>
          <w:rFonts w:ascii="Arial" w:hAnsi="Arial" w:cs="Arial"/>
          <w:i/>
          <w:iCs/>
        </w:rPr>
        <w:t xml:space="preserve"> 2022). </w:t>
      </w:r>
    </w:p>
    <w:p w14:paraId="65BDA5EB" w14:textId="77777777" w:rsidR="0074605C" w:rsidRPr="0074605C" w:rsidRDefault="0074605C" w:rsidP="0074605C">
      <w:pPr>
        <w:rPr>
          <w:rFonts w:ascii="Arial" w:hAnsi="Arial" w:cs="Arial"/>
          <w:i/>
          <w:iCs/>
        </w:rPr>
      </w:pPr>
    </w:p>
    <w:p w14:paraId="73BDB391" w14:textId="6983222B" w:rsidR="0074605C" w:rsidRDefault="0074605C" w:rsidP="0074605C">
      <w:pPr>
        <w:rPr>
          <w:rFonts w:ascii="Arial" w:hAnsi="Arial" w:cs="Arial"/>
        </w:rPr>
      </w:pPr>
      <w:r w:rsidRPr="0074605C">
        <w:rPr>
          <w:rFonts w:ascii="Arial" w:hAnsi="Arial" w:cs="Arial"/>
        </w:rPr>
        <w:t xml:space="preserve">The Open University (2022). </w:t>
      </w:r>
      <w:r w:rsidRPr="0074605C">
        <w:rPr>
          <w:rFonts w:ascii="Arial" w:hAnsi="Arial" w:cs="Arial"/>
          <w:i/>
          <w:iCs/>
        </w:rPr>
        <w:t xml:space="preserve">Statutory Interpretation. </w:t>
      </w:r>
      <w:r w:rsidRPr="0074605C">
        <w:rPr>
          <w:rFonts w:ascii="Arial" w:hAnsi="Arial" w:cs="Arial"/>
        </w:rPr>
        <w:t xml:space="preserve">Available at: </w:t>
      </w:r>
      <w:hyperlink r:id="rId17" w:history="1">
        <w:r w:rsidRPr="0074605C">
          <w:rPr>
            <w:rStyle w:val="Hyperlink"/>
            <w:rFonts w:ascii="Arial" w:hAnsi="Arial" w:cs="Arial"/>
          </w:rPr>
          <w:t>https://www.open.edu/openlearn/mod/oucontent/view.php?id=68342&amp;section=3</w:t>
        </w:r>
      </w:hyperlink>
      <w:r w:rsidRPr="0074605C">
        <w:rPr>
          <w:rFonts w:ascii="Arial" w:hAnsi="Arial" w:cs="Arial"/>
        </w:rPr>
        <w:t>. (Accessed April 20</w:t>
      </w:r>
      <w:r w:rsidRPr="0074605C">
        <w:rPr>
          <w:rFonts w:ascii="Arial" w:hAnsi="Arial" w:cs="Arial"/>
          <w:vertAlign w:val="superscript"/>
        </w:rPr>
        <w:t>th</w:t>
      </w:r>
      <w:proofErr w:type="gramStart"/>
      <w:r w:rsidRPr="0074605C">
        <w:rPr>
          <w:rFonts w:ascii="Arial" w:hAnsi="Arial" w:cs="Arial"/>
        </w:rPr>
        <w:t xml:space="preserve"> 2022</w:t>
      </w:r>
      <w:proofErr w:type="gramEnd"/>
      <w:r w:rsidRPr="0074605C">
        <w:rPr>
          <w:rFonts w:ascii="Arial" w:hAnsi="Arial" w:cs="Arial"/>
        </w:rPr>
        <w:t xml:space="preserve">). </w:t>
      </w:r>
    </w:p>
    <w:p w14:paraId="66C2B651" w14:textId="77777777" w:rsidR="0074605C" w:rsidRPr="0074605C" w:rsidRDefault="0074605C" w:rsidP="0074605C">
      <w:pPr>
        <w:rPr>
          <w:rFonts w:ascii="Arial" w:hAnsi="Arial" w:cs="Arial"/>
        </w:rPr>
      </w:pPr>
    </w:p>
    <w:p w14:paraId="4F9EBEE1" w14:textId="77777777" w:rsidR="0074605C" w:rsidRPr="0074605C" w:rsidRDefault="0074605C" w:rsidP="0074605C">
      <w:pPr>
        <w:rPr>
          <w:rFonts w:ascii="Arial" w:hAnsi="Arial" w:cs="Arial"/>
        </w:rPr>
      </w:pPr>
      <w:r w:rsidRPr="0074605C">
        <w:rPr>
          <w:rFonts w:ascii="Arial" w:hAnsi="Arial" w:cs="Arial"/>
        </w:rPr>
        <w:t xml:space="preserve">The Open University (2022). </w:t>
      </w:r>
      <w:r w:rsidRPr="0074605C">
        <w:rPr>
          <w:rFonts w:ascii="Arial" w:hAnsi="Arial" w:cs="Arial"/>
          <w:i/>
          <w:iCs/>
        </w:rPr>
        <w:t xml:space="preserve">Statutory Interpretation. </w:t>
      </w:r>
      <w:r w:rsidRPr="0074605C">
        <w:rPr>
          <w:rFonts w:ascii="Arial" w:hAnsi="Arial" w:cs="Arial"/>
        </w:rPr>
        <w:t xml:space="preserve">Available at: </w:t>
      </w:r>
      <w:hyperlink r:id="rId18" w:history="1">
        <w:r w:rsidRPr="0074605C">
          <w:rPr>
            <w:rStyle w:val="Hyperlink"/>
            <w:rFonts w:ascii="Arial" w:hAnsi="Arial" w:cs="Arial"/>
          </w:rPr>
          <w:t>https://www.open.edu/openlearn/mod/oucontent/view.php?id=68342&amp;section=3</w:t>
        </w:r>
      </w:hyperlink>
      <w:r w:rsidRPr="0074605C">
        <w:rPr>
          <w:rFonts w:ascii="Arial" w:hAnsi="Arial" w:cs="Arial"/>
        </w:rPr>
        <w:t>. (Accessed April 20</w:t>
      </w:r>
      <w:r w:rsidRPr="0074605C">
        <w:rPr>
          <w:rFonts w:ascii="Arial" w:hAnsi="Arial" w:cs="Arial"/>
          <w:vertAlign w:val="superscript"/>
        </w:rPr>
        <w:t>th</w:t>
      </w:r>
      <w:proofErr w:type="gramStart"/>
      <w:r w:rsidRPr="0074605C">
        <w:rPr>
          <w:rFonts w:ascii="Arial" w:hAnsi="Arial" w:cs="Arial"/>
        </w:rPr>
        <w:t xml:space="preserve"> 2022</w:t>
      </w:r>
      <w:proofErr w:type="gramEnd"/>
      <w:r w:rsidRPr="0074605C">
        <w:rPr>
          <w:rFonts w:ascii="Arial" w:hAnsi="Arial" w:cs="Arial"/>
        </w:rPr>
        <w:t xml:space="preserve">). </w:t>
      </w:r>
    </w:p>
    <w:p w14:paraId="757178EE" w14:textId="77777777" w:rsidR="003D0385" w:rsidRPr="0074605C" w:rsidRDefault="003D0385" w:rsidP="0074605C">
      <w:pPr>
        <w:rPr>
          <w:rFonts w:ascii="Arial" w:hAnsi="Arial" w:cs="Arial"/>
        </w:rPr>
      </w:pPr>
    </w:p>
    <w:p w14:paraId="48DA2B01" w14:textId="77777777" w:rsidR="00BD37E3" w:rsidRPr="0074605C" w:rsidRDefault="00BD37E3" w:rsidP="0074605C">
      <w:pPr>
        <w:rPr>
          <w:rFonts w:ascii="Arial" w:hAnsi="Arial" w:cs="Arial"/>
        </w:rPr>
      </w:pPr>
    </w:p>
    <w:p w14:paraId="34F2956B" w14:textId="77777777" w:rsidR="00BD37E3" w:rsidRPr="0074605C" w:rsidRDefault="00BD37E3" w:rsidP="0074605C">
      <w:pPr>
        <w:rPr>
          <w:rFonts w:ascii="Arial" w:hAnsi="Arial" w:cs="Arial"/>
        </w:rPr>
      </w:pPr>
    </w:p>
    <w:p w14:paraId="70CA6651" w14:textId="77777777" w:rsidR="00556A20" w:rsidRPr="0074605C" w:rsidRDefault="00556A20" w:rsidP="0074605C">
      <w:pPr>
        <w:rPr>
          <w:rFonts w:ascii="Arial" w:hAnsi="Arial" w:cs="Arial"/>
        </w:rPr>
      </w:pPr>
    </w:p>
    <w:p w14:paraId="43B98A5B" w14:textId="77777777" w:rsidR="00556A20" w:rsidRPr="0074605C" w:rsidRDefault="00556A20" w:rsidP="0074605C">
      <w:pPr>
        <w:rPr>
          <w:rFonts w:ascii="Arial" w:hAnsi="Arial" w:cs="Arial"/>
        </w:rPr>
      </w:pPr>
    </w:p>
    <w:p w14:paraId="611C0FAD" w14:textId="77777777" w:rsidR="00556A20" w:rsidRPr="0074605C" w:rsidRDefault="00556A20">
      <w:pPr>
        <w:rPr>
          <w:rFonts w:ascii="Arial" w:hAnsi="Arial" w:cs="Arial"/>
        </w:rPr>
      </w:pPr>
    </w:p>
    <w:p w14:paraId="63178B73" w14:textId="77777777" w:rsidR="00556A20" w:rsidRPr="0074605C" w:rsidRDefault="00556A20">
      <w:pPr>
        <w:rPr>
          <w:rFonts w:ascii="Arial" w:hAnsi="Arial" w:cs="Arial"/>
        </w:rPr>
      </w:pPr>
    </w:p>
    <w:p w14:paraId="52C3A69E" w14:textId="77777777" w:rsidR="00556A20" w:rsidRPr="0074605C" w:rsidRDefault="00556A20">
      <w:pPr>
        <w:rPr>
          <w:rFonts w:ascii="Arial" w:hAnsi="Arial" w:cs="Arial"/>
        </w:rPr>
      </w:pPr>
    </w:p>
    <w:p w14:paraId="2C9B7F4C" w14:textId="77777777" w:rsidR="00556A20" w:rsidRPr="0074605C" w:rsidRDefault="00556A20">
      <w:pPr>
        <w:rPr>
          <w:rFonts w:ascii="Arial" w:hAnsi="Arial" w:cs="Arial"/>
        </w:rPr>
      </w:pPr>
    </w:p>
    <w:p w14:paraId="1C9812B3" w14:textId="77777777" w:rsidR="00556A20" w:rsidRPr="0074605C" w:rsidRDefault="00556A20">
      <w:pPr>
        <w:rPr>
          <w:rFonts w:ascii="Arial" w:hAnsi="Arial" w:cs="Arial"/>
        </w:rPr>
      </w:pPr>
    </w:p>
    <w:p w14:paraId="7CA2BB72" w14:textId="77777777" w:rsidR="00556A20" w:rsidRPr="0074605C" w:rsidRDefault="00556A20">
      <w:pPr>
        <w:rPr>
          <w:rFonts w:ascii="Arial" w:hAnsi="Arial" w:cs="Arial"/>
        </w:rPr>
      </w:pPr>
    </w:p>
    <w:p w14:paraId="716B6E7D" w14:textId="77777777" w:rsidR="00556A20" w:rsidRDefault="00556A20"/>
    <w:p w14:paraId="16FA7407" w14:textId="77777777" w:rsidR="00556A20" w:rsidRDefault="00556A20"/>
    <w:p w14:paraId="7BDD570F" w14:textId="77777777" w:rsidR="00556A20" w:rsidRDefault="00556A20"/>
    <w:p w14:paraId="42BE107E" w14:textId="77777777" w:rsidR="00556A20" w:rsidRDefault="00556A20"/>
    <w:p w14:paraId="52A06CEA" w14:textId="77777777" w:rsidR="00556A20" w:rsidRDefault="00556A20"/>
    <w:p w14:paraId="7F7D3C69" w14:textId="77777777" w:rsidR="00556A20" w:rsidRDefault="00556A20"/>
    <w:p w14:paraId="0946A4C6" w14:textId="77777777" w:rsidR="00556A20" w:rsidRDefault="00556A20"/>
    <w:p w14:paraId="1133CDC9" w14:textId="77777777" w:rsidR="00556A20" w:rsidRDefault="00556A20"/>
    <w:p w14:paraId="06246CBB" w14:textId="77777777" w:rsidR="00556A20" w:rsidRDefault="00556A20"/>
    <w:p w14:paraId="4C00ADDB" w14:textId="77777777" w:rsidR="00556A20" w:rsidRDefault="00556A20"/>
    <w:p w14:paraId="0002DDFE" w14:textId="77777777" w:rsidR="00556A20" w:rsidRDefault="00556A20"/>
    <w:p w14:paraId="060689AC" w14:textId="77777777" w:rsidR="00556A20" w:rsidRDefault="00556A20"/>
    <w:p w14:paraId="72674C98" w14:textId="77777777" w:rsidR="00556A20" w:rsidRDefault="00556A20"/>
    <w:p w14:paraId="10A93A50" w14:textId="77777777" w:rsidR="00556A20" w:rsidRDefault="00556A20"/>
    <w:p w14:paraId="688532D2" w14:textId="77777777" w:rsidR="00556A20" w:rsidRDefault="00556A20"/>
    <w:p w14:paraId="43E9C33F" w14:textId="77777777" w:rsidR="00556A20" w:rsidRDefault="00556A20"/>
    <w:p w14:paraId="23E183B6" w14:textId="77777777" w:rsidR="00556A20" w:rsidRDefault="00556A20"/>
    <w:p w14:paraId="531D3293" w14:textId="77777777" w:rsidR="00556A20" w:rsidRDefault="00556A20"/>
    <w:p w14:paraId="414063BB" w14:textId="77777777" w:rsidR="00556A20" w:rsidRDefault="00556A20"/>
    <w:p w14:paraId="2C35366E" w14:textId="77777777" w:rsidR="00556A20" w:rsidRDefault="00556A20"/>
    <w:p w14:paraId="1650A595" w14:textId="77777777" w:rsidR="00556A20" w:rsidRDefault="00556A20"/>
    <w:p w14:paraId="53D0A691" w14:textId="77777777" w:rsidR="00556A20" w:rsidRDefault="00556A20"/>
    <w:p w14:paraId="4CD1EA92" w14:textId="77777777" w:rsidR="00556A20" w:rsidRDefault="00556A20"/>
    <w:p w14:paraId="01ACB660" w14:textId="77777777" w:rsidR="00556A20" w:rsidRDefault="00556A20"/>
    <w:p w14:paraId="175EE4AA" w14:textId="77777777" w:rsidR="00556A20" w:rsidRDefault="00556A20"/>
    <w:p w14:paraId="279F3F26" w14:textId="77777777" w:rsidR="00556A20" w:rsidRDefault="00556A20"/>
    <w:p w14:paraId="5F9F66A8" w14:textId="77777777" w:rsidR="00556A20" w:rsidRDefault="00556A20"/>
    <w:p w14:paraId="2BFF2436" w14:textId="77777777" w:rsidR="0074605C" w:rsidRDefault="0074605C"/>
    <w:p w14:paraId="259FA56F" w14:textId="09AF7A9A" w:rsidR="00484FB8" w:rsidRPr="0074605C" w:rsidRDefault="00484FB8">
      <w:pPr>
        <w:rPr>
          <w:rFonts w:ascii="Arial" w:hAnsi="Arial" w:cs="Arial"/>
        </w:rPr>
      </w:pPr>
      <w:r w:rsidRPr="0074605C">
        <w:rPr>
          <w:rFonts w:ascii="Arial" w:hAnsi="Arial" w:cs="Arial"/>
        </w:rPr>
        <w:t xml:space="preserve">Case list </w:t>
      </w:r>
    </w:p>
    <w:p w14:paraId="1722A304" w14:textId="77777777" w:rsidR="0074605C" w:rsidRDefault="0074605C"/>
    <w:p w14:paraId="26D4934B" w14:textId="77777777" w:rsidR="0074605C" w:rsidRPr="0074605C" w:rsidRDefault="0074605C" w:rsidP="0074605C">
      <w:pPr>
        <w:spacing w:line="360" w:lineRule="auto"/>
        <w:rPr>
          <w:rFonts w:ascii="Arial" w:hAnsi="Arial" w:cs="Arial"/>
        </w:rPr>
      </w:pPr>
      <w:r w:rsidRPr="0074605C">
        <w:rPr>
          <w:rFonts w:ascii="Arial" w:hAnsi="Arial" w:cs="Arial"/>
        </w:rPr>
        <w:t xml:space="preserve">Administration of Estates Act (1925). </w:t>
      </w:r>
    </w:p>
    <w:p w14:paraId="4423589F" w14:textId="77777777" w:rsidR="0074605C" w:rsidRPr="0074605C" w:rsidRDefault="0074605C" w:rsidP="0074605C">
      <w:pPr>
        <w:spacing w:line="360" w:lineRule="auto"/>
        <w:rPr>
          <w:rFonts w:ascii="Arial" w:hAnsi="Arial" w:cs="Arial"/>
        </w:rPr>
      </w:pPr>
      <w:r w:rsidRPr="0074605C">
        <w:rPr>
          <w:rFonts w:ascii="Arial" w:hAnsi="Arial" w:cs="Arial"/>
        </w:rPr>
        <w:t>Brock v DPP (1993). ER 225</w:t>
      </w:r>
    </w:p>
    <w:p w14:paraId="1B0BA454" w14:textId="77777777" w:rsidR="0074605C" w:rsidRPr="0074605C" w:rsidRDefault="0074605C" w:rsidP="0074605C">
      <w:pPr>
        <w:spacing w:line="360" w:lineRule="auto"/>
        <w:rPr>
          <w:rFonts w:ascii="Arial" w:hAnsi="Arial" w:cs="Arial"/>
        </w:rPr>
      </w:pPr>
      <w:r w:rsidRPr="0074605C">
        <w:rPr>
          <w:rFonts w:ascii="Arial" w:hAnsi="Arial" w:cs="Arial"/>
        </w:rPr>
        <w:t xml:space="preserve">DPP v Little (1992) 95 Crim App R 28 </w:t>
      </w:r>
    </w:p>
    <w:p w14:paraId="28ABF8D1" w14:textId="77777777" w:rsidR="0074605C" w:rsidRPr="0074605C" w:rsidRDefault="0074605C" w:rsidP="0074605C">
      <w:pPr>
        <w:spacing w:line="360" w:lineRule="auto"/>
        <w:rPr>
          <w:rFonts w:ascii="Arial" w:hAnsi="Arial" w:cs="Arial"/>
        </w:rPr>
      </w:pPr>
      <w:r w:rsidRPr="0074605C">
        <w:rPr>
          <w:rFonts w:ascii="Arial" w:hAnsi="Arial" w:cs="Arial"/>
        </w:rPr>
        <w:t xml:space="preserve">Fisher v Bell (1961) 1 QB  394: (1960) 3 WLR 919 </w:t>
      </w:r>
    </w:p>
    <w:p w14:paraId="68753CA5" w14:textId="77777777" w:rsidR="0074605C" w:rsidRPr="0074605C" w:rsidRDefault="0074605C" w:rsidP="0074605C">
      <w:pPr>
        <w:spacing w:line="360" w:lineRule="auto"/>
        <w:rPr>
          <w:rFonts w:ascii="Arial" w:hAnsi="Arial" w:cs="Arial"/>
        </w:rPr>
      </w:pPr>
      <w:r w:rsidRPr="0074605C">
        <w:rPr>
          <w:rFonts w:ascii="Arial" w:hAnsi="Arial" w:cs="Arial"/>
        </w:rPr>
        <w:t xml:space="preserve"> </w:t>
      </w:r>
      <w:proofErr w:type="spellStart"/>
      <w:r w:rsidRPr="0074605C">
        <w:rPr>
          <w:rFonts w:ascii="Arial" w:hAnsi="Arial" w:cs="Arial"/>
        </w:rPr>
        <w:t>Gorris</w:t>
      </w:r>
      <w:proofErr w:type="spellEnd"/>
      <w:r w:rsidRPr="0074605C">
        <w:rPr>
          <w:rFonts w:ascii="Arial" w:hAnsi="Arial" w:cs="Arial"/>
        </w:rPr>
        <w:t xml:space="preserve"> v Scott (1874) LR 9 </w:t>
      </w:r>
      <w:proofErr w:type="spellStart"/>
      <w:r w:rsidRPr="0074605C">
        <w:rPr>
          <w:rFonts w:ascii="Arial" w:hAnsi="Arial" w:cs="Arial"/>
        </w:rPr>
        <w:t>Exch</w:t>
      </w:r>
      <w:proofErr w:type="spellEnd"/>
      <w:r w:rsidRPr="0074605C">
        <w:rPr>
          <w:rFonts w:ascii="Arial" w:hAnsi="Arial" w:cs="Arial"/>
        </w:rPr>
        <w:t xml:space="preserve"> 125</w:t>
      </w:r>
    </w:p>
    <w:p w14:paraId="74A47428" w14:textId="77777777" w:rsidR="0074605C" w:rsidRPr="0074605C" w:rsidRDefault="0074605C" w:rsidP="0074605C">
      <w:pPr>
        <w:spacing w:line="360" w:lineRule="auto"/>
        <w:rPr>
          <w:rFonts w:ascii="Arial" w:hAnsi="Arial" w:cs="Arial"/>
        </w:rPr>
      </w:pPr>
      <w:proofErr w:type="spellStart"/>
      <w:r w:rsidRPr="0074605C">
        <w:rPr>
          <w:rFonts w:ascii="Arial" w:hAnsi="Arial" w:cs="Arial"/>
        </w:rPr>
        <w:t>Heydons</w:t>
      </w:r>
      <w:proofErr w:type="spellEnd"/>
      <w:r w:rsidRPr="0074605C">
        <w:rPr>
          <w:rFonts w:ascii="Arial" w:hAnsi="Arial" w:cs="Arial"/>
        </w:rPr>
        <w:t xml:space="preserve"> (1584)</w:t>
      </w:r>
      <w:r>
        <w:rPr>
          <w:rFonts w:ascii="Arial" w:hAnsi="Arial" w:cs="Arial"/>
        </w:rPr>
        <w:t xml:space="preserve"> </w:t>
      </w:r>
      <w:r w:rsidRPr="0074605C">
        <w:rPr>
          <w:rFonts w:ascii="Arial" w:hAnsi="Arial" w:cs="Arial"/>
        </w:rPr>
        <w:t>EWEH J36</w:t>
      </w:r>
    </w:p>
    <w:p w14:paraId="64092A26" w14:textId="77777777" w:rsidR="0074605C" w:rsidRPr="0074605C" w:rsidRDefault="0074605C" w:rsidP="0074605C">
      <w:pPr>
        <w:spacing w:line="360" w:lineRule="auto"/>
        <w:rPr>
          <w:rFonts w:ascii="Arial" w:hAnsi="Arial" w:cs="Arial"/>
        </w:rPr>
      </w:pPr>
      <w:r w:rsidRPr="0074605C">
        <w:rPr>
          <w:rFonts w:ascii="Arial" w:hAnsi="Arial" w:cs="Arial"/>
        </w:rPr>
        <w:t xml:space="preserve">London &amp; </w:t>
      </w:r>
      <w:proofErr w:type="gramStart"/>
      <w:r w:rsidRPr="0074605C">
        <w:rPr>
          <w:rFonts w:ascii="Arial" w:hAnsi="Arial" w:cs="Arial"/>
        </w:rPr>
        <w:t>North Eastern</w:t>
      </w:r>
      <w:proofErr w:type="gramEnd"/>
      <w:r w:rsidRPr="0074605C">
        <w:rPr>
          <w:rFonts w:ascii="Arial" w:hAnsi="Arial" w:cs="Arial"/>
        </w:rPr>
        <w:t xml:space="preserve"> Railway Co v Bernman (1946) AC 278</w:t>
      </w:r>
    </w:p>
    <w:p w14:paraId="4EA2EB51" w14:textId="77777777" w:rsidR="0074605C" w:rsidRPr="0074605C" w:rsidRDefault="0074605C" w:rsidP="0074605C">
      <w:pPr>
        <w:spacing w:line="360" w:lineRule="auto"/>
        <w:rPr>
          <w:rFonts w:ascii="Arial" w:hAnsi="Arial" w:cs="Arial"/>
        </w:rPr>
      </w:pPr>
      <w:r w:rsidRPr="0074605C">
        <w:rPr>
          <w:rFonts w:ascii="Arial" w:hAnsi="Arial" w:cs="Arial"/>
        </w:rPr>
        <w:t>of R v City of London Court Judge (1892) CA</w:t>
      </w:r>
    </w:p>
    <w:p w14:paraId="5B2A5166" w14:textId="77777777" w:rsidR="0074605C" w:rsidRPr="0074605C" w:rsidRDefault="0074605C" w:rsidP="0074605C">
      <w:pPr>
        <w:spacing w:line="360" w:lineRule="auto"/>
        <w:rPr>
          <w:rFonts w:ascii="Arial" w:hAnsi="Arial" w:cs="Arial"/>
        </w:rPr>
      </w:pPr>
      <w:r w:rsidRPr="0074605C">
        <w:rPr>
          <w:rFonts w:ascii="Arial" w:hAnsi="Arial" w:cs="Arial"/>
        </w:rPr>
        <w:t>R v Allen (1872) LR 1 CCR 367</w:t>
      </w:r>
    </w:p>
    <w:p w14:paraId="0181A122" w14:textId="77777777" w:rsidR="0074605C" w:rsidRPr="0074605C" w:rsidRDefault="0074605C" w:rsidP="0074605C">
      <w:pPr>
        <w:spacing w:line="360" w:lineRule="auto"/>
        <w:rPr>
          <w:rFonts w:ascii="Arial" w:hAnsi="Arial" w:cs="Arial"/>
        </w:rPr>
      </w:pPr>
      <w:r w:rsidRPr="0074605C">
        <w:rPr>
          <w:rFonts w:ascii="Arial" w:hAnsi="Arial" w:cs="Arial"/>
        </w:rPr>
        <w:t>Re Sigsworth (1935) 1 CH 98</w:t>
      </w:r>
    </w:p>
    <w:p w14:paraId="6A3B4304" w14:textId="77777777" w:rsidR="007F600C" w:rsidRDefault="007F600C"/>
    <w:p w14:paraId="0F307F65" w14:textId="399B2E24" w:rsidR="00B86C59" w:rsidRPr="0070418A" w:rsidRDefault="00B86C59"/>
    <w:sectPr w:rsidR="00B86C59" w:rsidRPr="0070418A" w:rsidSect="00BD37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D1310"/>
    <w:multiLevelType w:val="hybridMultilevel"/>
    <w:tmpl w:val="F4D67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0D5F7E"/>
    <w:multiLevelType w:val="hybridMultilevel"/>
    <w:tmpl w:val="5D167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B3D"/>
    <w:rsid w:val="0004229E"/>
    <w:rsid w:val="000D3918"/>
    <w:rsid w:val="0010529F"/>
    <w:rsid w:val="001252E2"/>
    <w:rsid w:val="0013151B"/>
    <w:rsid w:val="001349A8"/>
    <w:rsid w:val="00135BA9"/>
    <w:rsid w:val="00167A37"/>
    <w:rsid w:val="001B2C13"/>
    <w:rsid w:val="001B60D3"/>
    <w:rsid w:val="001B6524"/>
    <w:rsid w:val="001C044E"/>
    <w:rsid w:val="002148E0"/>
    <w:rsid w:val="00242846"/>
    <w:rsid w:val="00302CA0"/>
    <w:rsid w:val="00351E8B"/>
    <w:rsid w:val="00354F26"/>
    <w:rsid w:val="00356855"/>
    <w:rsid w:val="00391989"/>
    <w:rsid w:val="003A0563"/>
    <w:rsid w:val="003D0385"/>
    <w:rsid w:val="00484FB8"/>
    <w:rsid w:val="004E468B"/>
    <w:rsid w:val="00556A20"/>
    <w:rsid w:val="0056569F"/>
    <w:rsid w:val="00565EF7"/>
    <w:rsid w:val="00567B1C"/>
    <w:rsid w:val="005E49A1"/>
    <w:rsid w:val="00606FFD"/>
    <w:rsid w:val="006610FF"/>
    <w:rsid w:val="00697169"/>
    <w:rsid w:val="00701F0E"/>
    <w:rsid w:val="0070418A"/>
    <w:rsid w:val="0074605C"/>
    <w:rsid w:val="00746243"/>
    <w:rsid w:val="007F600C"/>
    <w:rsid w:val="0086545C"/>
    <w:rsid w:val="00871346"/>
    <w:rsid w:val="008A1EE4"/>
    <w:rsid w:val="008C7D46"/>
    <w:rsid w:val="008D5BEA"/>
    <w:rsid w:val="00925FAA"/>
    <w:rsid w:val="00944CF9"/>
    <w:rsid w:val="009B6247"/>
    <w:rsid w:val="009C22DA"/>
    <w:rsid w:val="00A067B5"/>
    <w:rsid w:val="00A0691D"/>
    <w:rsid w:val="00A34830"/>
    <w:rsid w:val="00A97F6E"/>
    <w:rsid w:val="00AB1026"/>
    <w:rsid w:val="00B10252"/>
    <w:rsid w:val="00B85242"/>
    <w:rsid w:val="00B86C59"/>
    <w:rsid w:val="00BA2FF2"/>
    <w:rsid w:val="00BA579E"/>
    <w:rsid w:val="00BD37E3"/>
    <w:rsid w:val="00C01AEE"/>
    <w:rsid w:val="00CC193C"/>
    <w:rsid w:val="00DF6B3D"/>
    <w:rsid w:val="00E66BAF"/>
    <w:rsid w:val="00EF1CD4"/>
    <w:rsid w:val="00F33DA1"/>
    <w:rsid w:val="00F771F2"/>
    <w:rsid w:val="00FC72CD"/>
    <w:rsid w:val="00FD5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0F000"/>
  <w15:chartTrackingRefBased/>
  <w15:docId w15:val="{502B438C-41E2-734E-8F89-D8A7FFCDF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5BEA"/>
    <w:rPr>
      <w:color w:val="0563C1" w:themeColor="hyperlink"/>
      <w:u w:val="single"/>
    </w:rPr>
  </w:style>
  <w:style w:type="character" w:styleId="UnresolvedMention">
    <w:name w:val="Unresolved Mention"/>
    <w:basedOn w:val="DefaultParagraphFont"/>
    <w:uiPriority w:val="99"/>
    <w:semiHidden/>
    <w:unhideWhenUsed/>
    <w:rsid w:val="008D5BEA"/>
    <w:rPr>
      <w:color w:val="605E5C"/>
      <w:shd w:val="clear" w:color="auto" w:fill="E1DFDD"/>
    </w:rPr>
  </w:style>
  <w:style w:type="paragraph" w:styleId="ListParagraph">
    <w:name w:val="List Paragraph"/>
    <w:basedOn w:val="Normal"/>
    <w:uiPriority w:val="34"/>
    <w:qFormat/>
    <w:rsid w:val="00567B1C"/>
    <w:pPr>
      <w:ind w:left="720"/>
      <w:contextualSpacing/>
    </w:pPr>
  </w:style>
  <w:style w:type="paragraph" w:styleId="NoSpacing">
    <w:name w:val="No Spacing"/>
    <w:link w:val="NoSpacingChar"/>
    <w:uiPriority w:val="1"/>
    <w:qFormat/>
    <w:rsid w:val="00BD37E3"/>
    <w:rPr>
      <w:rFonts w:eastAsiaTheme="minorEastAsia"/>
      <w:sz w:val="22"/>
      <w:szCs w:val="22"/>
      <w:lang w:val="en-US" w:eastAsia="zh-CN"/>
    </w:rPr>
  </w:style>
  <w:style w:type="character" w:customStyle="1" w:styleId="NoSpacingChar">
    <w:name w:val="No Spacing Char"/>
    <w:basedOn w:val="DefaultParagraphFont"/>
    <w:link w:val="NoSpacing"/>
    <w:uiPriority w:val="1"/>
    <w:rsid w:val="00BD37E3"/>
    <w:rPr>
      <w:rFonts w:eastAsiaTheme="minorEastAsia"/>
      <w:sz w:val="22"/>
      <w:szCs w:val="22"/>
      <w:lang w:val="en-US" w:eastAsia="zh-CN"/>
    </w:rPr>
  </w:style>
  <w:style w:type="character" w:styleId="FollowedHyperlink">
    <w:name w:val="FollowedHyperlink"/>
    <w:basedOn w:val="DefaultParagraphFont"/>
    <w:uiPriority w:val="99"/>
    <w:semiHidden/>
    <w:unhideWhenUsed/>
    <w:rsid w:val="004E46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offences-against-person-incorporating-charging-standard" TargetMode="External"/><Relationship Id="rId13" Type="http://schemas.openxmlformats.org/officeDocument/2006/relationships/hyperlink" Target="https://www.oxfordreference.com/view/10.1093/oi/authority.20110803100008301" TargetMode="External"/><Relationship Id="rId18" Type="http://schemas.openxmlformats.org/officeDocument/2006/relationships/hyperlink" Target="https://www.open.edu/openlearn/mod/oucontent/view.php?id=68342&amp;section=3" TargetMode="External"/><Relationship Id="rId3" Type="http://schemas.openxmlformats.org/officeDocument/2006/relationships/numbering" Target="numbering.xml"/><Relationship Id="rId7" Type="http://schemas.openxmlformats.org/officeDocument/2006/relationships/hyperlink" Target="https://www.britannica.com/topic/court-law/Judicial-lawmaking" TargetMode="External"/><Relationship Id="rId12" Type="http://schemas.openxmlformats.org/officeDocument/2006/relationships/hyperlink" Target="https://lexforti.com/legal-news/golden-rule-of-interpretation/" TargetMode="External"/><Relationship Id="rId17" Type="http://schemas.openxmlformats.org/officeDocument/2006/relationships/hyperlink" Target="https://www.open.edu/openlearn/mod/oucontent/view.php?id=68342&amp;section=3"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228894/0256.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awteacher.net/free-law-essays/common-law/law-involves-a-dealing-with-words.php" TargetMode="External"/><Relationship Id="rId5" Type="http://schemas.openxmlformats.org/officeDocument/2006/relationships/settings" Target="settings.xml"/><Relationship Id="rId15" Type="http://schemas.openxmlformats.org/officeDocument/2006/relationships/hyperlink" Target="https://assets.publishing.service.gov.uk/government/uploads/system/uploads/attachment_data/file/228894/0256.pdf" TargetMode="External"/><Relationship Id="rId10" Type="http://schemas.openxmlformats.org/officeDocument/2006/relationships/hyperlink" Target="https://www.inbrief.co.uk/legal-system/statutory-interpretation/"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jusdicere.in/london-and-north-eastern-railway-v-berriman/" TargetMode="External"/><Relationship Id="rId14" Type="http://schemas.openxmlformats.org/officeDocument/2006/relationships/hyperlink" Target="https://www.culs.org.uk/per-incuriam/statutory-interpretation-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780B06-CD6D-1447-93F6-05247EC31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7</Pages>
  <Words>1668</Words>
  <Characters>9510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Processes Assignment</dc:title>
  <dc:subject>BMPL4005 BMLW4003</dc:subject>
  <dc:creator>Oliver Rowe (2100430)</dc:creator>
  <cp:keywords/>
  <dc:description/>
  <cp:lastModifiedBy>Olly Rowe (2100430)</cp:lastModifiedBy>
  <cp:revision>5</cp:revision>
  <dcterms:created xsi:type="dcterms:W3CDTF">2022-04-28T15:30:00Z</dcterms:created>
  <dcterms:modified xsi:type="dcterms:W3CDTF">2022-04-30T17:08:00Z</dcterms:modified>
</cp:coreProperties>
</file>