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8AE78" w14:textId="7A342AF4" w:rsidR="00CE7D2B" w:rsidRDefault="00CE7D2B" w:rsidP="00E822FF">
      <w:pPr>
        <w:pStyle w:val="Heading1"/>
        <w:rPr>
          <w:noProof/>
        </w:rPr>
      </w:pPr>
      <w:bookmarkStart w:id="0" w:name="_i4tm68lm1e0l" w:colFirst="0" w:colLast="0"/>
      <w:bookmarkEnd w:id="0"/>
      <w:r>
        <w:rPr>
          <w:noProof/>
        </w:rPr>
        <w:t xml:space="preserve">                                  </w:t>
      </w:r>
      <w:r w:rsidRPr="00467D62">
        <w:rPr>
          <w:noProof/>
        </w:rPr>
        <w:drawing>
          <wp:inline distT="0" distB="0" distL="0" distR="0" wp14:anchorId="08857FB1" wp14:editId="04805EBB">
            <wp:extent cx="2157211" cy="863432"/>
            <wp:effectExtent l="0" t="0" r="0" b="0"/>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WTSD-Logo-fi.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0C1EDF0" w14:textId="77777777" w:rsidR="00E6114D" w:rsidRDefault="00E6114D" w:rsidP="00E6114D"/>
    <w:p w14:paraId="4CBF1D42" w14:textId="77777777" w:rsidR="00E6114D" w:rsidRDefault="00E6114D" w:rsidP="00E6114D"/>
    <w:p w14:paraId="4FE6A237" w14:textId="77777777" w:rsidR="00E6114D" w:rsidRDefault="00E6114D" w:rsidP="00E6114D"/>
    <w:p w14:paraId="5354BF09" w14:textId="77777777" w:rsidR="00E6114D" w:rsidRDefault="00E6114D" w:rsidP="00E6114D"/>
    <w:p w14:paraId="59C44FFB" w14:textId="43F97044" w:rsidR="00E6114D" w:rsidRPr="00E6114D" w:rsidRDefault="00E6114D" w:rsidP="00E6114D">
      <w:pPr>
        <w:rPr>
          <w:sz w:val="36"/>
          <w:szCs w:val="36"/>
        </w:rPr>
      </w:pPr>
      <w:r w:rsidRPr="00E6114D">
        <w:rPr>
          <w:sz w:val="36"/>
          <w:szCs w:val="36"/>
        </w:rPr>
        <w:t xml:space="preserve"> </w:t>
      </w:r>
      <w:r w:rsidRPr="00E6114D">
        <w:rPr>
          <w:rFonts w:asciiTheme="minorEastAsia" w:eastAsiaTheme="minorEastAsia" w:hAnsiTheme="minorEastAsia"/>
          <w:b/>
          <w:bCs/>
          <w:sz w:val="36"/>
          <w:szCs w:val="36"/>
        </w:rPr>
        <w:t xml:space="preserve">Banking Financial Management and Financial Markets </w:t>
      </w:r>
    </w:p>
    <w:p w14:paraId="02C6948C" w14:textId="1998AA75" w:rsidR="00F87D2A" w:rsidRDefault="00E6114D" w:rsidP="00F87D2A">
      <w:r>
        <w:t xml:space="preserve">                                                                 (</w:t>
      </w:r>
      <w:r w:rsidRPr="00E6114D">
        <w:rPr>
          <w:b/>
          <w:bCs/>
          <w:sz w:val="28"/>
          <w:szCs w:val="28"/>
        </w:rPr>
        <w:t>LCMB7012</w:t>
      </w:r>
      <w:r>
        <w:rPr>
          <w:b/>
          <w:bCs/>
          <w:sz w:val="28"/>
          <w:szCs w:val="28"/>
        </w:rPr>
        <w:t>)</w:t>
      </w:r>
    </w:p>
    <w:p w14:paraId="10D004A7" w14:textId="77777777" w:rsidR="00E6114D" w:rsidRDefault="00E6114D" w:rsidP="00F87D2A"/>
    <w:p w14:paraId="026D2B0E" w14:textId="4FF19AA5" w:rsidR="00F87D2A" w:rsidRPr="00F87D2A" w:rsidRDefault="00F87D2A" w:rsidP="00F87D2A">
      <w:r>
        <w:rPr>
          <w:noProof/>
        </w:rPr>
        <w:drawing>
          <wp:inline distT="0" distB="0" distL="0" distR="0" wp14:anchorId="6B469D86" wp14:editId="727503F3">
            <wp:extent cx="5731510" cy="1687830"/>
            <wp:effectExtent l="0" t="0" r="2540" b="762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687830"/>
                    </a:xfrm>
                    <a:prstGeom prst="rect">
                      <a:avLst/>
                    </a:prstGeom>
                  </pic:spPr>
                </pic:pic>
              </a:graphicData>
            </a:graphic>
          </wp:inline>
        </w:drawing>
      </w:r>
    </w:p>
    <w:p w14:paraId="6B683B09" w14:textId="77777777" w:rsidR="00F87D2A" w:rsidRDefault="00F87D2A" w:rsidP="00E6114D">
      <w:pPr>
        <w:rPr>
          <w:b/>
          <w:sz w:val="28"/>
          <w:szCs w:val="28"/>
        </w:rPr>
      </w:pPr>
    </w:p>
    <w:p w14:paraId="59DA4AC7" w14:textId="77777777" w:rsidR="00F87D2A" w:rsidRDefault="00F87D2A" w:rsidP="00F87D2A">
      <w:pPr>
        <w:jc w:val="center"/>
        <w:rPr>
          <w:b/>
          <w:sz w:val="28"/>
          <w:szCs w:val="28"/>
        </w:rPr>
      </w:pPr>
    </w:p>
    <w:p w14:paraId="5F5CB658" w14:textId="77777777" w:rsidR="00F87D2A" w:rsidRDefault="00F87D2A" w:rsidP="00F87D2A">
      <w:pPr>
        <w:jc w:val="center"/>
        <w:rPr>
          <w:b/>
          <w:sz w:val="28"/>
          <w:szCs w:val="28"/>
        </w:rPr>
      </w:pPr>
    </w:p>
    <w:p w14:paraId="721688B5" w14:textId="77777777" w:rsidR="00F87D2A" w:rsidRDefault="00F87D2A" w:rsidP="00F87D2A">
      <w:pPr>
        <w:jc w:val="center"/>
        <w:rPr>
          <w:b/>
          <w:sz w:val="28"/>
          <w:szCs w:val="28"/>
        </w:rPr>
      </w:pPr>
    </w:p>
    <w:p w14:paraId="18A34B46" w14:textId="77777777" w:rsidR="00F87D2A" w:rsidRPr="00E6114D" w:rsidRDefault="00F87D2A" w:rsidP="00F87D2A">
      <w:pPr>
        <w:jc w:val="center"/>
        <w:rPr>
          <w:b/>
          <w:sz w:val="40"/>
          <w:szCs w:val="40"/>
        </w:rPr>
      </w:pPr>
    </w:p>
    <w:p w14:paraId="7A6CB9A7" w14:textId="48614306" w:rsidR="00F87D2A" w:rsidRPr="00E6114D" w:rsidRDefault="00F87D2A" w:rsidP="00F87D2A">
      <w:pPr>
        <w:jc w:val="center"/>
        <w:rPr>
          <w:rFonts w:ascii="Arial Black" w:hAnsi="Arial Black"/>
          <w:b/>
          <w:sz w:val="40"/>
          <w:szCs w:val="40"/>
        </w:rPr>
      </w:pPr>
      <w:r w:rsidRPr="00E6114D">
        <w:rPr>
          <w:b/>
          <w:sz w:val="40"/>
          <w:szCs w:val="40"/>
        </w:rPr>
        <w:t>Student name:</w:t>
      </w:r>
      <w:r w:rsidRPr="00E6114D">
        <w:rPr>
          <w:b/>
          <w:sz w:val="40"/>
          <w:szCs w:val="40"/>
        </w:rPr>
        <w:t xml:space="preserve"> Samik </w:t>
      </w:r>
      <w:r w:rsidR="00E6114D" w:rsidRPr="00E6114D">
        <w:rPr>
          <w:b/>
          <w:sz w:val="40"/>
          <w:szCs w:val="40"/>
        </w:rPr>
        <w:t>G</w:t>
      </w:r>
      <w:r w:rsidRPr="00E6114D">
        <w:rPr>
          <w:b/>
          <w:sz w:val="40"/>
          <w:szCs w:val="40"/>
        </w:rPr>
        <w:t>ajjar</w:t>
      </w:r>
    </w:p>
    <w:p w14:paraId="381B307B" w14:textId="390C3D8F" w:rsidR="00F87D2A" w:rsidRPr="00E6114D" w:rsidRDefault="00F87D2A" w:rsidP="00F87D2A">
      <w:pPr>
        <w:jc w:val="center"/>
        <w:rPr>
          <w:b/>
          <w:sz w:val="40"/>
          <w:szCs w:val="40"/>
        </w:rPr>
      </w:pPr>
      <w:r w:rsidRPr="00E6114D">
        <w:rPr>
          <w:b/>
          <w:sz w:val="40"/>
          <w:szCs w:val="40"/>
        </w:rPr>
        <w:t>Student Number:</w:t>
      </w:r>
      <w:r w:rsidRPr="00E6114D">
        <w:rPr>
          <w:b/>
          <w:sz w:val="40"/>
          <w:szCs w:val="40"/>
        </w:rPr>
        <w:t xml:space="preserve"> 2208900</w:t>
      </w:r>
    </w:p>
    <w:p w14:paraId="061FBF6B" w14:textId="42240081" w:rsidR="00F87D2A" w:rsidRPr="00E6114D" w:rsidRDefault="00F87D2A" w:rsidP="00F87D2A">
      <w:pPr>
        <w:jc w:val="center"/>
        <w:rPr>
          <w:b/>
          <w:sz w:val="40"/>
          <w:szCs w:val="40"/>
        </w:rPr>
      </w:pPr>
      <w:r w:rsidRPr="00E6114D">
        <w:rPr>
          <w:b/>
          <w:sz w:val="40"/>
          <w:szCs w:val="40"/>
        </w:rPr>
        <w:t>Lecturer:</w:t>
      </w:r>
      <w:r w:rsidRPr="00E6114D">
        <w:rPr>
          <w:b/>
          <w:sz w:val="40"/>
          <w:szCs w:val="40"/>
        </w:rPr>
        <w:t xml:space="preserve"> David </w:t>
      </w:r>
      <w:r w:rsidR="00E6114D" w:rsidRPr="00E6114D">
        <w:rPr>
          <w:b/>
          <w:sz w:val="40"/>
          <w:szCs w:val="40"/>
        </w:rPr>
        <w:t>Coker</w:t>
      </w:r>
    </w:p>
    <w:p w14:paraId="0AFF3275" w14:textId="7E53D7FC" w:rsidR="00F87D2A" w:rsidRPr="00E6114D" w:rsidRDefault="00F87D2A" w:rsidP="00F87D2A">
      <w:pPr>
        <w:jc w:val="center"/>
        <w:rPr>
          <w:b/>
          <w:sz w:val="40"/>
          <w:szCs w:val="40"/>
        </w:rPr>
      </w:pPr>
      <w:r w:rsidRPr="00E6114D">
        <w:rPr>
          <w:b/>
          <w:sz w:val="40"/>
          <w:szCs w:val="40"/>
        </w:rPr>
        <w:t>Word count:</w:t>
      </w:r>
      <w:r w:rsidRPr="00E6114D">
        <w:rPr>
          <w:b/>
          <w:sz w:val="40"/>
          <w:szCs w:val="40"/>
        </w:rPr>
        <w:t xml:space="preserve"> 51</w:t>
      </w:r>
      <w:r w:rsidR="00ED0AE9">
        <w:rPr>
          <w:b/>
          <w:sz w:val="40"/>
          <w:szCs w:val="40"/>
        </w:rPr>
        <w:t>31</w:t>
      </w:r>
    </w:p>
    <w:p w14:paraId="7B3F6A06" w14:textId="36E9DD4A" w:rsidR="00F87D2A" w:rsidRPr="00E6114D" w:rsidRDefault="00F87D2A" w:rsidP="00F87D2A">
      <w:pPr>
        <w:jc w:val="center"/>
        <w:rPr>
          <w:b/>
          <w:sz w:val="40"/>
          <w:szCs w:val="40"/>
        </w:rPr>
      </w:pPr>
      <w:r w:rsidRPr="00E6114D">
        <w:rPr>
          <w:b/>
          <w:sz w:val="40"/>
          <w:szCs w:val="40"/>
        </w:rPr>
        <w:t>Submission Date:</w:t>
      </w:r>
      <w:r w:rsidRPr="00E6114D">
        <w:rPr>
          <w:b/>
          <w:sz w:val="40"/>
          <w:szCs w:val="40"/>
        </w:rPr>
        <w:t xml:space="preserve"> </w:t>
      </w:r>
      <w:r w:rsidR="00E6114D" w:rsidRPr="00E6114D">
        <w:rPr>
          <w:b/>
          <w:sz w:val="40"/>
          <w:szCs w:val="40"/>
        </w:rPr>
        <w:t>03/05/2023</w:t>
      </w:r>
    </w:p>
    <w:p w14:paraId="28DFBB5F" w14:textId="2A23E775" w:rsidR="00F87D2A" w:rsidRPr="00E6114D" w:rsidRDefault="00CE7D2B">
      <w:pPr>
        <w:rPr>
          <w:sz w:val="40"/>
          <w:szCs w:val="40"/>
          <w:lang w:val="en-US"/>
        </w:rPr>
      </w:pPr>
      <w:r w:rsidRPr="00E6114D">
        <w:rPr>
          <w:sz w:val="40"/>
          <w:szCs w:val="40"/>
          <w:lang w:val="en-US"/>
        </w:rPr>
        <w:br w:type="page"/>
      </w:r>
    </w:p>
    <w:p w14:paraId="11831577" w14:textId="77777777" w:rsidR="00E822FF" w:rsidRDefault="00E822FF" w:rsidP="00E822FF">
      <w:pPr>
        <w:pStyle w:val="Heading1"/>
        <w:rPr>
          <w:lang w:val="en-US"/>
        </w:rPr>
      </w:pPr>
    </w:p>
    <w:sdt>
      <w:sdtPr>
        <w:rPr>
          <w:rFonts w:asciiTheme="minorHAnsi" w:eastAsiaTheme="minorHAnsi" w:hAnsiTheme="minorHAnsi" w:cstheme="minorBidi"/>
          <w:b w:val="0"/>
          <w:bCs w:val="0"/>
          <w:color w:val="auto"/>
          <w:sz w:val="24"/>
          <w:szCs w:val="24"/>
          <w:lang w:val="en-GB"/>
        </w:rPr>
        <w:id w:val="-1576744158"/>
        <w:docPartObj>
          <w:docPartGallery w:val="Table of Contents"/>
          <w:docPartUnique/>
        </w:docPartObj>
      </w:sdtPr>
      <w:sdtEndPr>
        <w:rPr>
          <w:noProof/>
        </w:rPr>
      </w:sdtEndPr>
      <w:sdtContent>
        <w:p w14:paraId="46BFF53C" w14:textId="53651637" w:rsidR="00E822FF" w:rsidRDefault="00E822FF">
          <w:pPr>
            <w:pStyle w:val="TOCHeading"/>
          </w:pPr>
          <w:r>
            <w:t xml:space="preserve">Table of </w:t>
          </w:r>
          <w:r w:rsidR="00E6114D">
            <w:t>Contents</w:t>
          </w:r>
        </w:p>
        <w:p w14:paraId="034841C2" w14:textId="408BC2CF" w:rsidR="00E822FF" w:rsidRDefault="00E822FF">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33613055" w:history="1">
            <w:r w:rsidRPr="00153C8F">
              <w:rPr>
                <w:rStyle w:val="Hyperlink"/>
                <w:noProof/>
                <w:lang w:val="en-US"/>
              </w:rPr>
              <w:t>Introduction</w:t>
            </w:r>
            <w:r>
              <w:rPr>
                <w:noProof/>
                <w:webHidden/>
              </w:rPr>
              <w:tab/>
            </w:r>
            <w:r>
              <w:rPr>
                <w:noProof/>
                <w:webHidden/>
              </w:rPr>
              <w:fldChar w:fldCharType="begin"/>
            </w:r>
            <w:r>
              <w:rPr>
                <w:noProof/>
                <w:webHidden/>
              </w:rPr>
              <w:instrText xml:space="preserve"> PAGEREF _Toc133613055 \h </w:instrText>
            </w:r>
            <w:r>
              <w:rPr>
                <w:noProof/>
                <w:webHidden/>
              </w:rPr>
            </w:r>
            <w:r>
              <w:rPr>
                <w:noProof/>
                <w:webHidden/>
              </w:rPr>
              <w:fldChar w:fldCharType="separate"/>
            </w:r>
            <w:r>
              <w:rPr>
                <w:noProof/>
                <w:webHidden/>
              </w:rPr>
              <w:t>1</w:t>
            </w:r>
            <w:r>
              <w:rPr>
                <w:noProof/>
                <w:webHidden/>
              </w:rPr>
              <w:fldChar w:fldCharType="end"/>
            </w:r>
          </w:hyperlink>
        </w:p>
        <w:p w14:paraId="060F7098" w14:textId="6A055B35" w:rsidR="00E822FF" w:rsidRDefault="00000000">
          <w:pPr>
            <w:pStyle w:val="TOC1"/>
            <w:tabs>
              <w:tab w:val="right" w:leader="dot" w:pos="9016"/>
            </w:tabs>
            <w:rPr>
              <w:rFonts w:eastAsiaTheme="minorEastAsia" w:cstheme="minorBidi"/>
              <w:b w:val="0"/>
              <w:bCs w:val="0"/>
              <w:caps w:val="0"/>
              <w:noProof/>
              <w:sz w:val="24"/>
              <w:szCs w:val="24"/>
              <w:lang w:eastAsia="en-GB"/>
            </w:rPr>
          </w:pPr>
          <w:hyperlink w:anchor="_Toc133613056" w:history="1">
            <w:r w:rsidR="00E822FF" w:rsidRPr="00153C8F">
              <w:rPr>
                <w:rStyle w:val="Hyperlink"/>
                <w:noProof/>
                <w:lang w:val="en-US"/>
              </w:rPr>
              <w:t>Overview</w:t>
            </w:r>
            <w:r w:rsidR="00E822FF">
              <w:rPr>
                <w:noProof/>
                <w:webHidden/>
              </w:rPr>
              <w:tab/>
            </w:r>
            <w:r w:rsidR="00E822FF">
              <w:rPr>
                <w:noProof/>
                <w:webHidden/>
              </w:rPr>
              <w:fldChar w:fldCharType="begin"/>
            </w:r>
            <w:r w:rsidR="00E822FF">
              <w:rPr>
                <w:noProof/>
                <w:webHidden/>
              </w:rPr>
              <w:instrText xml:space="preserve"> PAGEREF _Toc133613056 \h </w:instrText>
            </w:r>
            <w:r w:rsidR="00E822FF">
              <w:rPr>
                <w:noProof/>
                <w:webHidden/>
              </w:rPr>
            </w:r>
            <w:r w:rsidR="00E822FF">
              <w:rPr>
                <w:noProof/>
                <w:webHidden/>
              </w:rPr>
              <w:fldChar w:fldCharType="separate"/>
            </w:r>
            <w:r w:rsidR="00E822FF">
              <w:rPr>
                <w:noProof/>
                <w:webHidden/>
              </w:rPr>
              <w:t>2</w:t>
            </w:r>
            <w:r w:rsidR="00E822FF">
              <w:rPr>
                <w:noProof/>
                <w:webHidden/>
              </w:rPr>
              <w:fldChar w:fldCharType="end"/>
            </w:r>
          </w:hyperlink>
        </w:p>
        <w:p w14:paraId="195F24C8" w14:textId="0606BE1D" w:rsidR="00E822FF" w:rsidRDefault="00000000">
          <w:pPr>
            <w:pStyle w:val="TOC1"/>
            <w:tabs>
              <w:tab w:val="right" w:leader="dot" w:pos="9016"/>
            </w:tabs>
            <w:rPr>
              <w:rFonts w:eastAsiaTheme="minorEastAsia" w:cstheme="minorBidi"/>
              <w:b w:val="0"/>
              <w:bCs w:val="0"/>
              <w:caps w:val="0"/>
              <w:noProof/>
              <w:sz w:val="24"/>
              <w:szCs w:val="24"/>
              <w:lang w:eastAsia="en-GB"/>
            </w:rPr>
          </w:pPr>
          <w:hyperlink w:anchor="_Toc133613057" w:history="1">
            <w:r w:rsidR="00E822FF" w:rsidRPr="00153C8F">
              <w:rPr>
                <w:rStyle w:val="Hyperlink"/>
                <w:noProof/>
                <w:lang w:val="en-US"/>
              </w:rPr>
              <w:t>Post-2008 Crisis</w:t>
            </w:r>
            <w:r w:rsidR="00E822FF">
              <w:rPr>
                <w:noProof/>
                <w:webHidden/>
              </w:rPr>
              <w:tab/>
            </w:r>
            <w:r w:rsidR="00E822FF">
              <w:rPr>
                <w:noProof/>
                <w:webHidden/>
              </w:rPr>
              <w:fldChar w:fldCharType="begin"/>
            </w:r>
            <w:r w:rsidR="00E822FF">
              <w:rPr>
                <w:noProof/>
                <w:webHidden/>
              </w:rPr>
              <w:instrText xml:space="preserve"> PAGEREF _Toc133613057 \h </w:instrText>
            </w:r>
            <w:r w:rsidR="00E822FF">
              <w:rPr>
                <w:noProof/>
                <w:webHidden/>
              </w:rPr>
            </w:r>
            <w:r w:rsidR="00E822FF">
              <w:rPr>
                <w:noProof/>
                <w:webHidden/>
              </w:rPr>
              <w:fldChar w:fldCharType="separate"/>
            </w:r>
            <w:r w:rsidR="00E822FF">
              <w:rPr>
                <w:noProof/>
                <w:webHidden/>
              </w:rPr>
              <w:t>3</w:t>
            </w:r>
            <w:r w:rsidR="00E822FF">
              <w:rPr>
                <w:noProof/>
                <w:webHidden/>
              </w:rPr>
              <w:fldChar w:fldCharType="end"/>
            </w:r>
          </w:hyperlink>
        </w:p>
        <w:p w14:paraId="7212C18B" w14:textId="4F12D910" w:rsidR="00E822FF" w:rsidRDefault="00000000">
          <w:pPr>
            <w:pStyle w:val="TOC1"/>
            <w:tabs>
              <w:tab w:val="right" w:leader="dot" w:pos="9016"/>
            </w:tabs>
            <w:rPr>
              <w:rFonts w:eastAsiaTheme="minorEastAsia" w:cstheme="minorBidi"/>
              <w:b w:val="0"/>
              <w:bCs w:val="0"/>
              <w:caps w:val="0"/>
              <w:noProof/>
              <w:sz w:val="24"/>
              <w:szCs w:val="24"/>
              <w:lang w:eastAsia="en-GB"/>
            </w:rPr>
          </w:pPr>
          <w:hyperlink w:anchor="_Toc133613058" w:history="1">
            <w:r w:rsidR="00E822FF" w:rsidRPr="00153C8F">
              <w:rPr>
                <w:rStyle w:val="Hyperlink"/>
                <w:noProof/>
                <w:lang w:val="en-US"/>
              </w:rPr>
              <w:t>Key Decisions post 2008 Crisis</w:t>
            </w:r>
            <w:r w:rsidR="00E822FF">
              <w:rPr>
                <w:noProof/>
                <w:webHidden/>
              </w:rPr>
              <w:tab/>
            </w:r>
            <w:r w:rsidR="00E822FF">
              <w:rPr>
                <w:noProof/>
                <w:webHidden/>
              </w:rPr>
              <w:fldChar w:fldCharType="begin"/>
            </w:r>
            <w:r w:rsidR="00E822FF">
              <w:rPr>
                <w:noProof/>
                <w:webHidden/>
              </w:rPr>
              <w:instrText xml:space="preserve"> PAGEREF _Toc133613058 \h </w:instrText>
            </w:r>
            <w:r w:rsidR="00E822FF">
              <w:rPr>
                <w:noProof/>
                <w:webHidden/>
              </w:rPr>
            </w:r>
            <w:r w:rsidR="00E822FF">
              <w:rPr>
                <w:noProof/>
                <w:webHidden/>
              </w:rPr>
              <w:fldChar w:fldCharType="separate"/>
            </w:r>
            <w:r w:rsidR="00E822FF">
              <w:rPr>
                <w:noProof/>
                <w:webHidden/>
              </w:rPr>
              <w:t>4</w:t>
            </w:r>
            <w:r w:rsidR="00E822FF">
              <w:rPr>
                <w:noProof/>
                <w:webHidden/>
              </w:rPr>
              <w:fldChar w:fldCharType="end"/>
            </w:r>
          </w:hyperlink>
        </w:p>
        <w:p w14:paraId="5497EB97" w14:textId="684CB1DF" w:rsidR="00E822FF" w:rsidRDefault="00000000">
          <w:pPr>
            <w:pStyle w:val="TOC2"/>
            <w:tabs>
              <w:tab w:val="right" w:leader="dot" w:pos="9016"/>
            </w:tabs>
            <w:rPr>
              <w:rFonts w:eastAsiaTheme="minorEastAsia" w:cstheme="minorBidi"/>
              <w:smallCaps w:val="0"/>
              <w:noProof/>
              <w:sz w:val="24"/>
              <w:szCs w:val="24"/>
              <w:lang w:eastAsia="en-GB"/>
            </w:rPr>
          </w:pPr>
          <w:hyperlink w:anchor="_Toc133613059" w:history="1">
            <w:r w:rsidR="00E822FF" w:rsidRPr="00153C8F">
              <w:rPr>
                <w:rStyle w:val="Hyperlink"/>
                <w:rFonts w:ascii="Arial" w:hAnsi="Arial" w:cs="Arial"/>
                <w:noProof/>
                <w:lang w:val="en-US"/>
              </w:rPr>
              <w:t>2010 Financial Services Act</w:t>
            </w:r>
            <w:r w:rsidR="00E822FF">
              <w:rPr>
                <w:noProof/>
                <w:webHidden/>
              </w:rPr>
              <w:tab/>
            </w:r>
            <w:r w:rsidR="00E822FF">
              <w:rPr>
                <w:noProof/>
                <w:webHidden/>
              </w:rPr>
              <w:fldChar w:fldCharType="begin"/>
            </w:r>
            <w:r w:rsidR="00E822FF">
              <w:rPr>
                <w:noProof/>
                <w:webHidden/>
              </w:rPr>
              <w:instrText xml:space="preserve"> PAGEREF _Toc133613059 \h </w:instrText>
            </w:r>
            <w:r w:rsidR="00E822FF">
              <w:rPr>
                <w:noProof/>
                <w:webHidden/>
              </w:rPr>
            </w:r>
            <w:r w:rsidR="00E822FF">
              <w:rPr>
                <w:noProof/>
                <w:webHidden/>
              </w:rPr>
              <w:fldChar w:fldCharType="separate"/>
            </w:r>
            <w:r w:rsidR="00E822FF">
              <w:rPr>
                <w:noProof/>
                <w:webHidden/>
              </w:rPr>
              <w:t>4</w:t>
            </w:r>
            <w:r w:rsidR="00E822FF">
              <w:rPr>
                <w:noProof/>
                <w:webHidden/>
              </w:rPr>
              <w:fldChar w:fldCharType="end"/>
            </w:r>
          </w:hyperlink>
        </w:p>
        <w:p w14:paraId="6335EC46" w14:textId="7DD11461" w:rsidR="00E822FF" w:rsidRDefault="00000000">
          <w:pPr>
            <w:pStyle w:val="TOC2"/>
            <w:tabs>
              <w:tab w:val="right" w:leader="dot" w:pos="9016"/>
            </w:tabs>
            <w:rPr>
              <w:rFonts w:eastAsiaTheme="minorEastAsia" w:cstheme="minorBidi"/>
              <w:smallCaps w:val="0"/>
              <w:noProof/>
              <w:sz w:val="24"/>
              <w:szCs w:val="24"/>
              <w:lang w:eastAsia="en-GB"/>
            </w:rPr>
          </w:pPr>
          <w:hyperlink w:anchor="_Toc133613060" w:history="1">
            <w:r w:rsidR="00E822FF" w:rsidRPr="00153C8F">
              <w:rPr>
                <w:rStyle w:val="Hyperlink"/>
                <w:rFonts w:ascii="Arial" w:hAnsi="Arial" w:cs="Arial"/>
                <w:noProof/>
                <w:lang w:val="en-US"/>
              </w:rPr>
              <w:t>The Basel Committee</w:t>
            </w:r>
            <w:r w:rsidR="00E822FF">
              <w:rPr>
                <w:noProof/>
                <w:webHidden/>
              </w:rPr>
              <w:tab/>
            </w:r>
            <w:r w:rsidR="00E822FF">
              <w:rPr>
                <w:noProof/>
                <w:webHidden/>
              </w:rPr>
              <w:fldChar w:fldCharType="begin"/>
            </w:r>
            <w:r w:rsidR="00E822FF">
              <w:rPr>
                <w:noProof/>
                <w:webHidden/>
              </w:rPr>
              <w:instrText xml:space="preserve"> PAGEREF _Toc133613060 \h </w:instrText>
            </w:r>
            <w:r w:rsidR="00E822FF">
              <w:rPr>
                <w:noProof/>
                <w:webHidden/>
              </w:rPr>
            </w:r>
            <w:r w:rsidR="00E822FF">
              <w:rPr>
                <w:noProof/>
                <w:webHidden/>
              </w:rPr>
              <w:fldChar w:fldCharType="separate"/>
            </w:r>
            <w:r w:rsidR="00E822FF">
              <w:rPr>
                <w:noProof/>
                <w:webHidden/>
              </w:rPr>
              <w:t>5</w:t>
            </w:r>
            <w:r w:rsidR="00E822FF">
              <w:rPr>
                <w:noProof/>
                <w:webHidden/>
              </w:rPr>
              <w:fldChar w:fldCharType="end"/>
            </w:r>
          </w:hyperlink>
        </w:p>
        <w:p w14:paraId="26B63344" w14:textId="528D14D8" w:rsidR="00E822FF" w:rsidRDefault="00000000">
          <w:pPr>
            <w:pStyle w:val="TOC2"/>
            <w:tabs>
              <w:tab w:val="right" w:leader="dot" w:pos="9016"/>
            </w:tabs>
            <w:rPr>
              <w:rFonts w:eastAsiaTheme="minorEastAsia" w:cstheme="minorBidi"/>
              <w:smallCaps w:val="0"/>
              <w:noProof/>
              <w:sz w:val="24"/>
              <w:szCs w:val="24"/>
              <w:lang w:eastAsia="en-GB"/>
            </w:rPr>
          </w:pPr>
          <w:hyperlink w:anchor="_Toc133613061" w:history="1">
            <w:r w:rsidR="00E822FF" w:rsidRPr="00153C8F">
              <w:rPr>
                <w:rStyle w:val="Hyperlink"/>
                <w:rFonts w:ascii="Arial" w:hAnsi="Arial" w:cs="Arial"/>
                <w:noProof/>
                <w:lang w:val="en-US"/>
              </w:rPr>
              <w:t>ISDA Master Agreement</w:t>
            </w:r>
            <w:r w:rsidR="00E822FF">
              <w:rPr>
                <w:noProof/>
                <w:webHidden/>
              </w:rPr>
              <w:tab/>
            </w:r>
            <w:r w:rsidR="00E822FF">
              <w:rPr>
                <w:noProof/>
                <w:webHidden/>
              </w:rPr>
              <w:fldChar w:fldCharType="begin"/>
            </w:r>
            <w:r w:rsidR="00E822FF">
              <w:rPr>
                <w:noProof/>
                <w:webHidden/>
              </w:rPr>
              <w:instrText xml:space="preserve"> PAGEREF _Toc133613061 \h </w:instrText>
            </w:r>
            <w:r w:rsidR="00E822FF">
              <w:rPr>
                <w:noProof/>
                <w:webHidden/>
              </w:rPr>
            </w:r>
            <w:r w:rsidR="00E822FF">
              <w:rPr>
                <w:noProof/>
                <w:webHidden/>
              </w:rPr>
              <w:fldChar w:fldCharType="separate"/>
            </w:r>
            <w:r w:rsidR="00E822FF">
              <w:rPr>
                <w:noProof/>
                <w:webHidden/>
              </w:rPr>
              <w:t>5</w:t>
            </w:r>
            <w:r w:rsidR="00E822FF">
              <w:rPr>
                <w:noProof/>
                <w:webHidden/>
              </w:rPr>
              <w:fldChar w:fldCharType="end"/>
            </w:r>
          </w:hyperlink>
        </w:p>
        <w:p w14:paraId="36D97884" w14:textId="28793FBE" w:rsidR="00E822FF" w:rsidRDefault="00000000">
          <w:pPr>
            <w:pStyle w:val="TOC2"/>
            <w:tabs>
              <w:tab w:val="right" w:leader="dot" w:pos="9016"/>
            </w:tabs>
            <w:rPr>
              <w:rFonts w:eastAsiaTheme="minorEastAsia" w:cstheme="minorBidi"/>
              <w:smallCaps w:val="0"/>
              <w:noProof/>
              <w:sz w:val="24"/>
              <w:szCs w:val="24"/>
              <w:lang w:eastAsia="en-GB"/>
            </w:rPr>
          </w:pPr>
          <w:hyperlink w:anchor="_Toc133613062" w:history="1">
            <w:r w:rsidR="00E822FF" w:rsidRPr="00153C8F">
              <w:rPr>
                <w:rStyle w:val="Hyperlink"/>
                <w:rFonts w:ascii="Arial" w:hAnsi="Arial" w:cs="Arial"/>
                <w:noProof/>
                <w:lang w:val="en-US"/>
              </w:rPr>
              <w:t>Dodd-Frank Consumer Protection and Wall Street Reform Act</w:t>
            </w:r>
            <w:r w:rsidR="00E822FF">
              <w:rPr>
                <w:noProof/>
                <w:webHidden/>
              </w:rPr>
              <w:tab/>
            </w:r>
            <w:r w:rsidR="00E822FF">
              <w:rPr>
                <w:noProof/>
                <w:webHidden/>
              </w:rPr>
              <w:fldChar w:fldCharType="begin"/>
            </w:r>
            <w:r w:rsidR="00E822FF">
              <w:rPr>
                <w:noProof/>
                <w:webHidden/>
              </w:rPr>
              <w:instrText xml:space="preserve"> PAGEREF _Toc133613062 \h </w:instrText>
            </w:r>
            <w:r w:rsidR="00E822FF">
              <w:rPr>
                <w:noProof/>
                <w:webHidden/>
              </w:rPr>
            </w:r>
            <w:r w:rsidR="00E822FF">
              <w:rPr>
                <w:noProof/>
                <w:webHidden/>
              </w:rPr>
              <w:fldChar w:fldCharType="separate"/>
            </w:r>
            <w:r w:rsidR="00E822FF">
              <w:rPr>
                <w:noProof/>
                <w:webHidden/>
              </w:rPr>
              <w:t>5</w:t>
            </w:r>
            <w:r w:rsidR="00E822FF">
              <w:rPr>
                <w:noProof/>
                <w:webHidden/>
              </w:rPr>
              <w:fldChar w:fldCharType="end"/>
            </w:r>
          </w:hyperlink>
        </w:p>
        <w:p w14:paraId="4FF13E5D" w14:textId="30588890" w:rsidR="00E822FF" w:rsidRDefault="00000000">
          <w:pPr>
            <w:pStyle w:val="TOC2"/>
            <w:tabs>
              <w:tab w:val="right" w:leader="dot" w:pos="9016"/>
            </w:tabs>
            <w:rPr>
              <w:rFonts w:eastAsiaTheme="minorEastAsia" w:cstheme="minorBidi"/>
              <w:smallCaps w:val="0"/>
              <w:noProof/>
              <w:sz w:val="24"/>
              <w:szCs w:val="24"/>
              <w:lang w:eastAsia="en-GB"/>
            </w:rPr>
          </w:pPr>
          <w:hyperlink w:anchor="_Toc133613063" w:history="1">
            <w:r w:rsidR="00E822FF" w:rsidRPr="00153C8F">
              <w:rPr>
                <w:rStyle w:val="Hyperlink"/>
                <w:rFonts w:ascii="Arial" w:hAnsi="Arial" w:cs="Arial"/>
                <w:noProof/>
                <w:lang w:val="en-US"/>
              </w:rPr>
              <w:t>Investment Requirements Basel III</w:t>
            </w:r>
            <w:r w:rsidR="00E822FF">
              <w:rPr>
                <w:noProof/>
                <w:webHidden/>
              </w:rPr>
              <w:tab/>
            </w:r>
            <w:r w:rsidR="00E822FF">
              <w:rPr>
                <w:noProof/>
                <w:webHidden/>
              </w:rPr>
              <w:fldChar w:fldCharType="begin"/>
            </w:r>
            <w:r w:rsidR="00E822FF">
              <w:rPr>
                <w:noProof/>
                <w:webHidden/>
              </w:rPr>
              <w:instrText xml:space="preserve"> PAGEREF _Toc133613063 \h </w:instrText>
            </w:r>
            <w:r w:rsidR="00E822FF">
              <w:rPr>
                <w:noProof/>
                <w:webHidden/>
              </w:rPr>
            </w:r>
            <w:r w:rsidR="00E822FF">
              <w:rPr>
                <w:noProof/>
                <w:webHidden/>
              </w:rPr>
              <w:fldChar w:fldCharType="separate"/>
            </w:r>
            <w:r w:rsidR="00E822FF">
              <w:rPr>
                <w:noProof/>
                <w:webHidden/>
              </w:rPr>
              <w:t>6</w:t>
            </w:r>
            <w:r w:rsidR="00E822FF">
              <w:rPr>
                <w:noProof/>
                <w:webHidden/>
              </w:rPr>
              <w:fldChar w:fldCharType="end"/>
            </w:r>
          </w:hyperlink>
        </w:p>
        <w:p w14:paraId="74F24A87" w14:textId="2F8ED04E" w:rsidR="00E822FF" w:rsidRDefault="00000000">
          <w:pPr>
            <w:pStyle w:val="TOC2"/>
            <w:tabs>
              <w:tab w:val="right" w:leader="dot" w:pos="9016"/>
            </w:tabs>
            <w:rPr>
              <w:rFonts w:eastAsiaTheme="minorEastAsia" w:cstheme="minorBidi"/>
              <w:smallCaps w:val="0"/>
              <w:noProof/>
              <w:sz w:val="24"/>
              <w:szCs w:val="24"/>
              <w:lang w:eastAsia="en-GB"/>
            </w:rPr>
          </w:pPr>
          <w:hyperlink w:anchor="_Toc133613064" w:history="1">
            <w:r w:rsidR="00E822FF" w:rsidRPr="00153C8F">
              <w:rPr>
                <w:rStyle w:val="Hyperlink"/>
                <w:rFonts w:ascii="Arial" w:hAnsi="Arial" w:cs="Arial"/>
                <w:noProof/>
                <w:lang w:val="en-US"/>
              </w:rPr>
              <w:t>The European Market Infrastructure Regulation (EMIR)</w:t>
            </w:r>
            <w:r w:rsidR="00E822FF">
              <w:rPr>
                <w:noProof/>
                <w:webHidden/>
              </w:rPr>
              <w:tab/>
            </w:r>
            <w:r w:rsidR="00E822FF">
              <w:rPr>
                <w:noProof/>
                <w:webHidden/>
              </w:rPr>
              <w:fldChar w:fldCharType="begin"/>
            </w:r>
            <w:r w:rsidR="00E822FF">
              <w:rPr>
                <w:noProof/>
                <w:webHidden/>
              </w:rPr>
              <w:instrText xml:space="preserve"> PAGEREF _Toc133613064 \h </w:instrText>
            </w:r>
            <w:r w:rsidR="00E822FF">
              <w:rPr>
                <w:noProof/>
                <w:webHidden/>
              </w:rPr>
            </w:r>
            <w:r w:rsidR="00E822FF">
              <w:rPr>
                <w:noProof/>
                <w:webHidden/>
              </w:rPr>
              <w:fldChar w:fldCharType="separate"/>
            </w:r>
            <w:r w:rsidR="00E822FF">
              <w:rPr>
                <w:noProof/>
                <w:webHidden/>
              </w:rPr>
              <w:t>6</w:t>
            </w:r>
            <w:r w:rsidR="00E822FF">
              <w:rPr>
                <w:noProof/>
                <w:webHidden/>
              </w:rPr>
              <w:fldChar w:fldCharType="end"/>
            </w:r>
          </w:hyperlink>
        </w:p>
        <w:p w14:paraId="0E220798" w14:textId="4EA3A137" w:rsidR="00E822FF" w:rsidRDefault="00000000">
          <w:pPr>
            <w:pStyle w:val="TOC2"/>
            <w:tabs>
              <w:tab w:val="right" w:leader="dot" w:pos="9016"/>
            </w:tabs>
            <w:rPr>
              <w:rFonts w:eastAsiaTheme="minorEastAsia" w:cstheme="minorBidi"/>
              <w:smallCaps w:val="0"/>
              <w:noProof/>
              <w:sz w:val="24"/>
              <w:szCs w:val="24"/>
              <w:lang w:eastAsia="en-GB"/>
            </w:rPr>
          </w:pPr>
          <w:hyperlink w:anchor="_Toc133613065" w:history="1">
            <w:r w:rsidR="00E822FF" w:rsidRPr="00153C8F">
              <w:rPr>
                <w:rStyle w:val="Hyperlink"/>
                <w:rFonts w:ascii="Arial" w:hAnsi="Arial" w:cs="Arial"/>
                <w:noProof/>
                <w:lang w:val="en-US"/>
              </w:rPr>
              <w:t>European structure of Financial Supervision (ESFS)</w:t>
            </w:r>
            <w:r w:rsidR="00E822FF">
              <w:rPr>
                <w:noProof/>
                <w:webHidden/>
              </w:rPr>
              <w:tab/>
            </w:r>
            <w:r w:rsidR="00E822FF">
              <w:rPr>
                <w:noProof/>
                <w:webHidden/>
              </w:rPr>
              <w:fldChar w:fldCharType="begin"/>
            </w:r>
            <w:r w:rsidR="00E822FF">
              <w:rPr>
                <w:noProof/>
                <w:webHidden/>
              </w:rPr>
              <w:instrText xml:space="preserve"> PAGEREF _Toc133613065 \h </w:instrText>
            </w:r>
            <w:r w:rsidR="00E822FF">
              <w:rPr>
                <w:noProof/>
                <w:webHidden/>
              </w:rPr>
            </w:r>
            <w:r w:rsidR="00E822FF">
              <w:rPr>
                <w:noProof/>
                <w:webHidden/>
              </w:rPr>
              <w:fldChar w:fldCharType="separate"/>
            </w:r>
            <w:r w:rsidR="00E822FF">
              <w:rPr>
                <w:noProof/>
                <w:webHidden/>
              </w:rPr>
              <w:t>7</w:t>
            </w:r>
            <w:r w:rsidR="00E822FF">
              <w:rPr>
                <w:noProof/>
                <w:webHidden/>
              </w:rPr>
              <w:fldChar w:fldCharType="end"/>
            </w:r>
          </w:hyperlink>
        </w:p>
        <w:p w14:paraId="4A8A1115" w14:textId="4CFB68C9" w:rsidR="00E822FF" w:rsidRDefault="00000000">
          <w:pPr>
            <w:pStyle w:val="TOC1"/>
            <w:tabs>
              <w:tab w:val="right" w:leader="dot" w:pos="9016"/>
            </w:tabs>
            <w:rPr>
              <w:rFonts w:eastAsiaTheme="minorEastAsia" w:cstheme="minorBidi"/>
              <w:b w:val="0"/>
              <w:bCs w:val="0"/>
              <w:caps w:val="0"/>
              <w:noProof/>
              <w:sz w:val="24"/>
              <w:szCs w:val="24"/>
              <w:lang w:eastAsia="en-GB"/>
            </w:rPr>
          </w:pPr>
          <w:hyperlink w:anchor="_Toc133613066" w:history="1">
            <w:r w:rsidR="00E822FF" w:rsidRPr="00153C8F">
              <w:rPr>
                <w:rStyle w:val="Hyperlink"/>
                <w:noProof/>
                <w:lang w:val="en-US"/>
              </w:rPr>
              <w:t>Towards Stability</w:t>
            </w:r>
            <w:r w:rsidR="00E822FF">
              <w:rPr>
                <w:noProof/>
                <w:webHidden/>
              </w:rPr>
              <w:tab/>
            </w:r>
            <w:r w:rsidR="00E822FF">
              <w:rPr>
                <w:noProof/>
                <w:webHidden/>
              </w:rPr>
              <w:fldChar w:fldCharType="begin"/>
            </w:r>
            <w:r w:rsidR="00E822FF">
              <w:rPr>
                <w:noProof/>
                <w:webHidden/>
              </w:rPr>
              <w:instrText xml:space="preserve"> PAGEREF _Toc133613066 \h </w:instrText>
            </w:r>
            <w:r w:rsidR="00E822FF">
              <w:rPr>
                <w:noProof/>
                <w:webHidden/>
              </w:rPr>
            </w:r>
            <w:r w:rsidR="00E822FF">
              <w:rPr>
                <w:noProof/>
                <w:webHidden/>
              </w:rPr>
              <w:fldChar w:fldCharType="separate"/>
            </w:r>
            <w:r w:rsidR="00E822FF">
              <w:rPr>
                <w:noProof/>
                <w:webHidden/>
              </w:rPr>
              <w:t>8</w:t>
            </w:r>
            <w:r w:rsidR="00E822FF">
              <w:rPr>
                <w:noProof/>
                <w:webHidden/>
              </w:rPr>
              <w:fldChar w:fldCharType="end"/>
            </w:r>
          </w:hyperlink>
        </w:p>
        <w:p w14:paraId="2DBE3BAE" w14:textId="3387EDB9" w:rsidR="00E822FF" w:rsidRDefault="00000000">
          <w:pPr>
            <w:pStyle w:val="TOC2"/>
            <w:tabs>
              <w:tab w:val="right" w:leader="dot" w:pos="9016"/>
            </w:tabs>
            <w:rPr>
              <w:rFonts w:eastAsiaTheme="minorEastAsia" w:cstheme="minorBidi"/>
              <w:smallCaps w:val="0"/>
              <w:noProof/>
              <w:sz w:val="24"/>
              <w:szCs w:val="24"/>
              <w:lang w:eastAsia="en-GB"/>
            </w:rPr>
          </w:pPr>
          <w:hyperlink w:anchor="_Toc133613067" w:history="1">
            <w:r w:rsidR="00E822FF" w:rsidRPr="00153C8F">
              <w:rPr>
                <w:rStyle w:val="Hyperlink"/>
                <w:rFonts w:ascii="Arial" w:hAnsi="Arial" w:cs="Arial"/>
                <w:noProof/>
                <w:lang w:val="en-US"/>
              </w:rPr>
              <w:t>SIFI Framework</w:t>
            </w:r>
            <w:r w:rsidR="00E822FF">
              <w:rPr>
                <w:noProof/>
                <w:webHidden/>
              </w:rPr>
              <w:tab/>
            </w:r>
            <w:r w:rsidR="00E822FF">
              <w:rPr>
                <w:noProof/>
                <w:webHidden/>
              </w:rPr>
              <w:fldChar w:fldCharType="begin"/>
            </w:r>
            <w:r w:rsidR="00E822FF">
              <w:rPr>
                <w:noProof/>
                <w:webHidden/>
              </w:rPr>
              <w:instrText xml:space="preserve"> PAGEREF _Toc133613067 \h </w:instrText>
            </w:r>
            <w:r w:rsidR="00E822FF">
              <w:rPr>
                <w:noProof/>
                <w:webHidden/>
              </w:rPr>
            </w:r>
            <w:r w:rsidR="00E822FF">
              <w:rPr>
                <w:noProof/>
                <w:webHidden/>
              </w:rPr>
              <w:fldChar w:fldCharType="separate"/>
            </w:r>
            <w:r w:rsidR="00E822FF">
              <w:rPr>
                <w:noProof/>
                <w:webHidden/>
              </w:rPr>
              <w:t>8</w:t>
            </w:r>
            <w:r w:rsidR="00E822FF">
              <w:rPr>
                <w:noProof/>
                <w:webHidden/>
              </w:rPr>
              <w:fldChar w:fldCharType="end"/>
            </w:r>
          </w:hyperlink>
        </w:p>
        <w:p w14:paraId="76044F02" w14:textId="51EF7DF2" w:rsidR="00E822FF" w:rsidRDefault="00000000">
          <w:pPr>
            <w:pStyle w:val="TOC2"/>
            <w:tabs>
              <w:tab w:val="right" w:leader="dot" w:pos="9016"/>
            </w:tabs>
            <w:rPr>
              <w:rFonts w:eastAsiaTheme="minorEastAsia" w:cstheme="minorBidi"/>
              <w:smallCaps w:val="0"/>
              <w:noProof/>
              <w:sz w:val="24"/>
              <w:szCs w:val="24"/>
              <w:lang w:eastAsia="en-GB"/>
            </w:rPr>
          </w:pPr>
          <w:hyperlink w:anchor="_Toc133613068" w:history="1">
            <w:r w:rsidR="00E822FF" w:rsidRPr="00153C8F">
              <w:rPr>
                <w:rStyle w:val="Hyperlink"/>
                <w:rFonts w:ascii="Arial" w:hAnsi="Arial" w:cs="Arial"/>
                <w:noProof/>
                <w:lang w:val="en-US"/>
              </w:rPr>
              <w:t>Dodd-Frank legislation</w:t>
            </w:r>
            <w:r w:rsidR="00E822FF">
              <w:rPr>
                <w:noProof/>
                <w:webHidden/>
              </w:rPr>
              <w:tab/>
            </w:r>
            <w:r w:rsidR="00E822FF">
              <w:rPr>
                <w:noProof/>
                <w:webHidden/>
              </w:rPr>
              <w:fldChar w:fldCharType="begin"/>
            </w:r>
            <w:r w:rsidR="00E822FF">
              <w:rPr>
                <w:noProof/>
                <w:webHidden/>
              </w:rPr>
              <w:instrText xml:space="preserve"> PAGEREF _Toc133613068 \h </w:instrText>
            </w:r>
            <w:r w:rsidR="00E822FF">
              <w:rPr>
                <w:noProof/>
                <w:webHidden/>
              </w:rPr>
            </w:r>
            <w:r w:rsidR="00E822FF">
              <w:rPr>
                <w:noProof/>
                <w:webHidden/>
              </w:rPr>
              <w:fldChar w:fldCharType="separate"/>
            </w:r>
            <w:r w:rsidR="00E822FF">
              <w:rPr>
                <w:noProof/>
                <w:webHidden/>
              </w:rPr>
              <w:t>9</w:t>
            </w:r>
            <w:r w:rsidR="00E822FF">
              <w:rPr>
                <w:noProof/>
                <w:webHidden/>
              </w:rPr>
              <w:fldChar w:fldCharType="end"/>
            </w:r>
          </w:hyperlink>
        </w:p>
        <w:p w14:paraId="1E5806E6" w14:textId="71C8509D" w:rsidR="00E822FF" w:rsidRDefault="00000000">
          <w:pPr>
            <w:pStyle w:val="TOC2"/>
            <w:tabs>
              <w:tab w:val="right" w:leader="dot" w:pos="9016"/>
            </w:tabs>
            <w:rPr>
              <w:rFonts w:eastAsiaTheme="minorEastAsia" w:cstheme="minorBidi"/>
              <w:smallCaps w:val="0"/>
              <w:noProof/>
              <w:sz w:val="24"/>
              <w:szCs w:val="24"/>
              <w:lang w:eastAsia="en-GB"/>
            </w:rPr>
          </w:pPr>
          <w:hyperlink w:anchor="_Toc133613069" w:history="1">
            <w:r w:rsidR="00E822FF" w:rsidRPr="00153C8F">
              <w:rPr>
                <w:rStyle w:val="Hyperlink"/>
                <w:rFonts w:ascii="Arial" w:hAnsi="Arial" w:cs="Arial"/>
                <w:noProof/>
                <w:lang w:val="en-US"/>
              </w:rPr>
              <w:t>Basic III Framework</w:t>
            </w:r>
            <w:r w:rsidR="00E822FF">
              <w:rPr>
                <w:noProof/>
                <w:webHidden/>
              </w:rPr>
              <w:tab/>
            </w:r>
            <w:r w:rsidR="00E822FF">
              <w:rPr>
                <w:noProof/>
                <w:webHidden/>
              </w:rPr>
              <w:fldChar w:fldCharType="begin"/>
            </w:r>
            <w:r w:rsidR="00E822FF">
              <w:rPr>
                <w:noProof/>
                <w:webHidden/>
              </w:rPr>
              <w:instrText xml:space="preserve"> PAGEREF _Toc133613069 \h </w:instrText>
            </w:r>
            <w:r w:rsidR="00E822FF">
              <w:rPr>
                <w:noProof/>
                <w:webHidden/>
              </w:rPr>
            </w:r>
            <w:r w:rsidR="00E822FF">
              <w:rPr>
                <w:noProof/>
                <w:webHidden/>
              </w:rPr>
              <w:fldChar w:fldCharType="separate"/>
            </w:r>
            <w:r w:rsidR="00E822FF">
              <w:rPr>
                <w:noProof/>
                <w:webHidden/>
              </w:rPr>
              <w:t>10</w:t>
            </w:r>
            <w:r w:rsidR="00E822FF">
              <w:rPr>
                <w:noProof/>
                <w:webHidden/>
              </w:rPr>
              <w:fldChar w:fldCharType="end"/>
            </w:r>
          </w:hyperlink>
        </w:p>
        <w:p w14:paraId="320D731B" w14:textId="451D0C6C" w:rsidR="00E822FF" w:rsidRDefault="00000000">
          <w:pPr>
            <w:pStyle w:val="TOC1"/>
            <w:tabs>
              <w:tab w:val="right" w:leader="dot" w:pos="9016"/>
            </w:tabs>
            <w:rPr>
              <w:rFonts w:eastAsiaTheme="minorEastAsia" w:cstheme="minorBidi"/>
              <w:b w:val="0"/>
              <w:bCs w:val="0"/>
              <w:caps w:val="0"/>
              <w:noProof/>
              <w:sz w:val="24"/>
              <w:szCs w:val="24"/>
              <w:lang w:eastAsia="en-GB"/>
            </w:rPr>
          </w:pPr>
          <w:hyperlink w:anchor="_Toc133613070" w:history="1">
            <w:r w:rsidR="00E822FF" w:rsidRPr="00153C8F">
              <w:rPr>
                <w:rStyle w:val="Hyperlink"/>
                <w:noProof/>
                <w:lang w:val="en-US"/>
              </w:rPr>
              <w:t>HSBC – 2008 Crisis</w:t>
            </w:r>
            <w:r w:rsidR="00E822FF">
              <w:rPr>
                <w:noProof/>
                <w:webHidden/>
              </w:rPr>
              <w:tab/>
            </w:r>
            <w:r w:rsidR="00E822FF">
              <w:rPr>
                <w:noProof/>
                <w:webHidden/>
              </w:rPr>
              <w:fldChar w:fldCharType="begin"/>
            </w:r>
            <w:r w:rsidR="00E822FF">
              <w:rPr>
                <w:noProof/>
                <w:webHidden/>
              </w:rPr>
              <w:instrText xml:space="preserve"> PAGEREF _Toc133613070 \h </w:instrText>
            </w:r>
            <w:r w:rsidR="00E822FF">
              <w:rPr>
                <w:noProof/>
                <w:webHidden/>
              </w:rPr>
            </w:r>
            <w:r w:rsidR="00E822FF">
              <w:rPr>
                <w:noProof/>
                <w:webHidden/>
              </w:rPr>
              <w:fldChar w:fldCharType="separate"/>
            </w:r>
            <w:r w:rsidR="00E822FF">
              <w:rPr>
                <w:noProof/>
                <w:webHidden/>
              </w:rPr>
              <w:t>11</w:t>
            </w:r>
            <w:r w:rsidR="00E822FF">
              <w:rPr>
                <w:noProof/>
                <w:webHidden/>
              </w:rPr>
              <w:fldChar w:fldCharType="end"/>
            </w:r>
          </w:hyperlink>
        </w:p>
        <w:p w14:paraId="4905AC93" w14:textId="2E198264" w:rsidR="00E822FF" w:rsidRDefault="00000000">
          <w:pPr>
            <w:pStyle w:val="TOC2"/>
            <w:tabs>
              <w:tab w:val="right" w:leader="dot" w:pos="9016"/>
            </w:tabs>
            <w:rPr>
              <w:rFonts w:eastAsiaTheme="minorEastAsia" w:cstheme="minorBidi"/>
              <w:smallCaps w:val="0"/>
              <w:noProof/>
              <w:sz w:val="24"/>
              <w:szCs w:val="24"/>
              <w:lang w:eastAsia="en-GB"/>
            </w:rPr>
          </w:pPr>
          <w:hyperlink w:anchor="_Toc133613071" w:history="1">
            <w:r w:rsidR="00E822FF" w:rsidRPr="00153C8F">
              <w:rPr>
                <w:rStyle w:val="Hyperlink"/>
                <w:rFonts w:ascii="Arial" w:hAnsi="Arial" w:cs="Arial"/>
                <w:noProof/>
                <w:lang w:val="en-US"/>
              </w:rPr>
              <w:t>Act of Dodd-Frank</w:t>
            </w:r>
            <w:r w:rsidR="00E822FF">
              <w:rPr>
                <w:noProof/>
                <w:webHidden/>
              </w:rPr>
              <w:tab/>
            </w:r>
            <w:r w:rsidR="00E822FF">
              <w:rPr>
                <w:noProof/>
                <w:webHidden/>
              </w:rPr>
              <w:fldChar w:fldCharType="begin"/>
            </w:r>
            <w:r w:rsidR="00E822FF">
              <w:rPr>
                <w:noProof/>
                <w:webHidden/>
              </w:rPr>
              <w:instrText xml:space="preserve"> PAGEREF _Toc133613071 \h </w:instrText>
            </w:r>
            <w:r w:rsidR="00E822FF">
              <w:rPr>
                <w:noProof/>
                <w:webHidden/>
              </w:rPr>
            </w:r>
            <w:r w:rsidR="00E822FF">
              <w:rPr>
                <w:noProof/>
                <w:webHidden/>
              </w:rPr>
              <w:fldChar w:fldCharType="separate"/>
            </w:r>
            <w:r w:rsidR="00E822FF">
              <w:rPr>
                <w:noProof/>
                <w:webHidden/>
              </w:rPr>
              <w:t>11</w:t>
            </w:r>
            <w:r w:rsidR="00E822FF">
              <w:rPr>
                <w:noProof/>
                <w:webHidden/>
              </w:rPr>
              <w:fldChar w:fldCharType="end"/>
            </w:r>
          </w:hyperlink>
        </w:p>
        <w:p w14:paraId="79BA4E1A" w14:textId="1E085F71" w:rsidR="00E822FF" w:rsidRDefault="00000000">
          <w:pPr>
            <w:pStyle w:val="TOC2"/>
            <w:tabs>
              <w:tab w:val="right" w:leader="dot" w:pos="9016"/>
            </w:tabs>
            <w:rPr>
              <w:rFonts w:eastAsiaTheme="minorEastAsia" w:cstheme="minorBidi"/>
              <w:smallCaps w:val="0"/>
              <w:noProof/>
              <w:sz w:val="24"/>
              <w:szCs w:val="24"/>
              <w:lang w:eastAsia="en-GB"/>
            </w:rPr>
          </w:pPr>
          <w:hyperlink w:anchor="_Toc133613072" w:history="1">
            <w:r w:rsidR="00E822FF" w:rsidRPr="00153C8F">
              <w:rPr>
                <w:rStyle w:val="Hyperlink"/>
                <w:rFonts w:ascii="Arial" w:hAnsi="Arial" w:cs="Arial"/>
                <w:noProof/>
                <w:lang w:val="en-US"/>
              </w:rPr>
              <w:t>Framework for Basel III</w:t>
            </w:r>
            <w:r w:rsidR="00E822FF">
              <w:rPr>
                <w:noProof/>
                <w:webHidden/>
              </w:rPr>
              <w:tab/>
            </w:r>
            <w:r w:rsidR="00E822FF">
              <w:rPr>
                <w:noProof/>
                <w:webHidden/>
              </w:rPr>
              <w:fldChar w:fldCharType="begin"/>
            </w:r>
            <w:r w:rsidR="00E822FF">
              <w:rPr>
                <w:noProof/>
                <w:webHidden/>
              </w:rPr>
              <w:instrText xml:space="preserve"> PAGEREF _Toc133613072 \h </w:instrText>
            </w:r>
            <w:r w:rsidR="00E822FF">
              <w:rPr>
                <w:noProof/>
                <w:webHidden/>
              </w:rPr>
            </w:r>
            <w:r w:rsidR="00E822FF">
              <w:rPr>
                <w:noProof/>
                <w:webHidden/>
              </w:rPr>
              <w:fldChar w:fldCharType="separate"/>
            </w:r>
            <w:r w:rsidR="00E822FF">
              <w:rPr>
                <w:noProof/>
                <w:webHidden/>
              </w:rPr>
              <w:t>12</w:t>
            </w:r>
            <w:r w:rsidR="00E822FF">
              <w:rPr>
                <w:noProof/>
                <w:webHidden/>
              </w:rPr>
              <w:fldChar w:fldCharType="end"/>
            </w:r>
          </w:hyperlink>
        </w:p>
        <w:p w14:paraId="7B533F51" w14:textId="697AD2E4" w:rsidR="00E822FF" w:rsidRDefault="00000000">
          <w:pPr>
            <w:pStyle w:val="TOC1"/>
            <w:tabs>
              <w:tab w:val="right" w:leader="dot" w:pos="9016"/>
            </w:tabs>
            <w:rPr>
              <w:rFonts w:eastAsiaTheme="minorEastAsia" w:cstheme="minorBidi"/>
              <w:b w:val="0"/>
              <w:bCs w:val="0"/>
              <w:caps w:val="0"/>
              <w:noProof/>
              <w:sz w:val="24"/>
              <w:szCs w:val="24"/>
              <w:lang w:eastAsia="en-GB"/>
            </w:rPr>
          </w:pPr>
          <w:hyperlink w:anchor="_Toc133613073" w:history="1">
            <w:r w:rsidR="00E822FF" w:rsidRPr="00153C8F">
              <w:rPr>
                <w:rStyle w:val="Hyperlink"/>
                <w:noProof/>
                <w:lang w:val="en-US"/>
              </w:rPr>
              <w:t>A decade after the financial crash, What has not changed yet?</w:t>
            </w:r>
            <w:r w:rsidR="00E822FF">
              <w:rPr>
                <w:noProof/>
                <w:webHidden/>
              </w:rPr>
              <w:tab/>
            </w:r>
            <w:r w:rsidR="00E822FF">
              <w:rPr>
                <w:noProof/>
                <w:webHidden/>
              </w:rPr>
              <w:fldChar w:fldCharType="begin"/>
            </w:r>
            <w:r w:rsidR="00E822FF">
              <w:rPr>
                <w:noProof/>
                <w:webHidden/>
              </w:rPr>
              <w:instrText xml:space="preserve"> PAGEREF _Toc133613073 \h </w:instrText>
            </w:r>
            <w:r w:rsidR="00E822FF">
              <w:rPr>
                <w:noProof/>
                <w:webHidden/>
              </w:rPr>
            </w:r>
            <w:r w:rsidR="00E822FF">
              <w:rPr>
                <w:noProof/>
                <w:webHidden/>
              </w:rPr>
              <w:fldChar w:fldCharType="separate"/>
            </w:r>
            <w:r w:rsidR="00E822FF">
              <w:rPr>
                <w:noProof/>
                <w:webHidden/>
              </w:rPr>
              <w:t>13</w:t>
            </w:r>
            <w:r w:rsidR="00E822FF">
              <w:rPr>
                <w:noProof/>
                <w:webHidden/>
              </w:rPr>
              <w:fldChar w:fldCharType="end"/>
            </w:r>
          </w:hyperlink>
        </w:p>
        <w:p w14:paraId="43B0FAA4" w14:textId="6AEC2B64" w:rsidR="00E822FF" w:rsidRDefault="00000000">
          <w:pPr>
            <w:pStyle w:val="TOC1"/>
            <w:tabs>
              <w:tab w:val="right" w:leader="dot" w:pos="9016"/>
            </w:tabs>
            <w:rPr>
              <w:rFonts w:eastAsiaTheme="minorEastAsia" w:cstheme="minorBidi"/>
              <w:b w:val="0"/>
              <w:bCs w:val="0"/>
              <w:caps w:val="0"/>
              <w:noProof/>
              <w:sz w:val="24"/>
              <w:szCs w:val="24"/>
              <w:lang w:eastAsia="en-GB"/>
            </w:rPr>
          </w:pPr>
          <w:hyperlink w:anchor="_Toc133613074" w:history="1">
            <w:r w:rsidR="00E822FF" w:rsidRPr="00153C8F">
              <w:rPr>
                <w:rStyle w:val="Hyperlink"/>
                <w:noProof/>
                <w:lang w:val="en-US"/>
              </w:rPr>
              <w:t>Preventing Another crash</w:t>
            </w:r>
            <w:r w:rsidR="00E822FF">
              <w:rPr>
                <w:noProof/>
                <w:webHidden/>
              </w:rPr>
              <w:tab/>
            </w:r>
            <w:r w:rsidR="00E822FF">
              <w:rPr>
                <w:noProof/>
                <w:webHidden/>
              </w:rPr>
              <w:fldChar w:fldCharType="begin"/>
            </w:r>
            <w:r w:rsidR="00E822FF">
              <w:rPr>
                <w:noProof/>
                <w:webHidden/>
              </w:rPr>
              <w:instrText xml:space="preserve"> PAGEREF _Toc133613074 \h </w:instrText>
            </w:r>
            <w:r w:rsidR="00E822FF">
              <w:rPr>
                <w:noProof/>
                <w:webHidden/>
              </w:rPr>
            </w:r>
            <w:r w:rsidR="00E822FF">
              <w:rPr>
                <w:noProof/>
                <w:webHidden/>
              </w:rPr>
              <w:fldChar w:fldCharType="separate"/>
            </w:r>
            <w:r w:rsidR="00E822FF">
              <w:rPr>
                <w:noProof/>
                <w:webHidden/>
              </w:rPr>
              <w:t>14</w:t>
            </w:r>
            <w:r w:rsidR="00E822FF">
              <w:rPr>
                <w:noProof/>
                <w:webHidden/>
              </w:rPr>
              <w:fldChar w:fldCharType="end"/>
            </w:r>
          </w:hyperlink>
        </w:p>
        <w:p w14:paraId="778C34ED" w14:textId="65514B04" w:rsidR="00E822FF" w:rsidRDefault="00000000">
          <w:pPr>
            <w:pStyle w:val="TOC1"/>
            <w:tabs>
              <w:tab w:val="right" w:leader="dot" w:pos="9016"/>
            </w:tabs>
            <w:rPr>
              <w:rFonts w:eastAsiaTheme="minorEastAsia" w:cstheme="minorBidi"/>
              <w:b w:val="0"/>
              <w:bCs w:val="0"/>
              <w:caps w:val="0"/>
              <w:noProof/>
              <w:sz w:val="24"/>
              <w:szCs w:val="24"/>
              <w:lang w:eastAsia="en-GB"/>
            </w:rPr>
          </w:pPr>
          <w:hyperlink w:anchor="_Toc133613075" w:history="1">
            <w:r w:rsidR="00E822FF" w:rsidRPr="00153C8F">
              <w:rPr>
                <w:rStyle w:val="Hyperlink"/>
                <w:noProof/>
              </w:rPr>
              <w:t>Reference list</w:t>
            </w:r>
            <w:r w:rsidR="00E822FF">
              <w:rPr>
                <w:noProof/>
                <w:webHidden/>
              </w:rPr>
              <w:tab/>
            </w:r>
            <w:r w:rsidR="00E822FF">
              <w:rPr>
                <w:noProof/>
                <w:webHidden/>
              </w:rPr>
              <w:fldChar w:fldCharType="begin"/>
            </w:r>
            <w:r w:rsidR="00E822FF">
              <w:rPr>
                <w:noProof/>
                <w:webHidden/>
              </w:rPr>
              <w:instrText xml:space="preserve"> PAGEREF _Toc133613075 \h </w:instrText>
            </w:r>
            <w:r w:rsidR="00E822FF">
              <w:rPr>
                <w:noProof/>
                <w:webHidden/>
              </w:rPr>
            </w:r>
            <w:r w:rsidR="00E822FF">
              <w:rPr>
                <w:noProof/>
                <w:webHidden/>
              </w:rPr>
              <w:fldChar w:fldCharType="separate"/>
            </w:r>
            <w:r w:rsidR="00E822FF">
              <w:rPr>
                <w:noProof/>
                <w:webHidden/>
              </w:rPr>
              <w:t>16</w:t>
            </w:r>
            <w:r w:rsidR="00E822FF">
              <w:rPr>
                <w:noProof/>
                <w:webHidden/>
              </w:rPr>
              <w:fldChar w:fldCharType="end"/>
            </w:r>
          </w:hyperlink>
        </w:p>
        <w:p w14:paraId="4D2FD69D" w14:textId="58D74FA6" w:rsidR="00E822FF" w:rsidRDefault="00E822FF">
          <w:r>
            <w:rPr>
              <w:b/>
              <w:bCs/>
              <w:noProof/>
            </w:rPr>
            <w:fldChar w:fldCharType="end"/>
          </w:r>
        </w:p>
      </w:sdtContent>
    </w:sdt>
    <w:p w14:paraId="4A40ADEA" w14:textId="77777777" w:rsidR="00E822FF" w:rsidRDefault="00E822FF" w:rsidP="00E822FF">
      <w:pPr>
        <w:pStyle w:val="Heading1"/>
        <w:rPr>
          <w:lang w:val="en-US"/>
        </w:rPr>
      </w:pPr>
    </w:p>
    <w:p w14:paraId="23E2495C" w14:textId="77777777" w:rsidR="00E822FF" w:rsidRDefault="00E822FF" w:rsidP="00E822FF">
      <w:pPr>
        <w:rPr>
          <w:lang w:val="en-US"/>
        </w:rPr>
      </w:pPr>
    </w:p>
    <w:p w14:paraId="190E0077" w14:textId="77777777" w:rsidR="00E822FF" w:rsidRDefault="00E822FF" w:rsidP="00E822FF">
      <w:pPr>
        <w:rPr>
          <w:lang w:val="en-US"/>
        </w:rPr>
      </w:pPr>
    </w:p>
    <w:p w14:paraId="02FF704E" w14:textId="77777777" w:rsidR="00E822FF" w:rsidRDefault="00E822FF" w:rsidP="00E822FF">
      <w:pPr>
        <w:rPr>
          <w:lang w:val="en-US"/>
        </w:rPr>
      </w:pPr>
    </w:p>
    <w:p w14:paraId="10FBEF9F" w14:textId="77777777" w:rsidR="00E822FF" w:rsidRDefault="00E822FF" w:rsidP="00E822FF">
      <w:pPr>
        <w:rPr>
          <w:lang w:val="en-US"/>
        </w:rPr>
      </w:pPr>
    </w:p>
    <w:p w14:paraId="09E3051F" w14:textId="77777777" w:rsidR="00E822FF" w:rsidRDefault="00E822FF" w:rsidP="00E822FF">
      <w:pPr>
        <w:jc w:val="center"/>
        <w:rPr>
          <w:lang w:val="en-US"/>
        </w:rPr>
      </w:pPr>
    </w:p>
    <w:p w14:paraId="1AEC3B0D" w14:textId="77777777" w:rsidR="00E822FF" w:rsidRPr="00E822FF" w:rsidRDefault="00E822FF" w:rsidP="00E822FF">
      <w:pPr>
        <w:rPr>
          <w:lang w:val="en-US"/>
        </w:rPr>
      </w:pPr>
    </w:p>
    <w:p w14:paraId="36B42A56" w14:textId="77777777" w:rsidR="00E822FF" w:rsidRDefault="00E822FF" w:rsidP="00E822FF">
      <w:pPr>
        <w:pStyle w:val="Heading1"/>
        <w:rPr>
          <w:lang w:val="en-US"/>
        </w:rPr>
      </w:pPr>
    </w:p>
    <w:p w14:paraId="0F8D35B9" w14:textId="77777777" w:rsidR="00E822FF" w:rsidRDefault="00E822FF" w:rsidP="00E822FF">
      <w:pPr>
        <w:pStyle w:val="Heading1"/>
        <w:rPr>
          <w:lang w:val="en-US"/>
        </w:rPr>
      </w:pPr>
    </w:p>
    <w:p w14:paraId="77BC5CB4" w14:textId="38C8EF32" w:rsidR="00AD0EF5" w:rsidRPr="00E822FF" w:rsidRDefault="00AD0EF5" w:rsidP="00E822FF">
      <w:pPr>
        <w:pStyle w:val="Heading1"/>
        <w:rPr>
          <w:lang w:val="en-US"/>
        </w:rPr>
      </w:pPr>
      <w:bookmarkStart w:id="1" w:name="_Toc133613055"/>
      <w:r w:rsidRPr="00E822FF">
        <w:rPr>
          <w:lang w:val="en-US"/>
        </w:rPr>
        <w:t>Introduction</w:t>
      </w:r>
      <w:bookmarkEnd w:id="1"/>
      <w:r w:rsidRPr="00E822FF">
        <w:rPr>
          <w:lang w:val="en-US"/>
        </w:rPr>
        <w:t xml:space="preserve"> </w:t>
      </w:r>
    </w:p>
    <w:p w14:paraId="1E4FAB51" w14:textId="77777777" w:rsidR="00AD0EF5" w:rsidRPr="00E822FF" w:rsidRDefault="00AD0EF5" w:rsidP="00E822FF">
      <w:pPr>
        <w:spacing w:line="360" w:lineRule="auto"/>
        <w:jc w:val="both"/>
        <w:rPr>
          <w:rFonts w:ascii="Arial" w:hAnsi="Arial" w:cs="Arial"/>
          <w:sz w:val="22"/>
          <w:szCs w:val="22"/>
          <w:lang w:val="en-US"/>
        </w:rPr>
      </w:pPr>
    </w:p>
    <w:p w14:paraId="7A92BC79" w14:textId="6A6B4E15" w:rsidR="00AD0EF5" w:rsidRPr="00E822FF" w:rsidRDefault="00AD0EF5" w:rsidP="00E822FF">
      <w:pPr>
        <w:spacing w:line="360" w:lineRule="auto"/>
        <w:jc w:val="both"/>
        <w:rPr>
          <w:rFonts w:ascii="Arial" w:hAnsi="Arial" w:cs="Arial"/>
          <w:sz w:val="22"/>
          <w:szCs w:val="22"/>
          <w:lang w:val="en-US"/>
        </w:rPr>
      </w:pPr>
      <w:r w:rsidRPr="00E822FF">
        <w:rPr>
          <w:rFonts w:ascii="Arial" w:hAnsi="Arial" w:cs="Arial"/>
          <w:sz w:val="22"/>
          <w:szCs w:val="22"/>
          <w:lang w:val="en-US"/>
        </w:rPr>
        <w:lastRenderedPageBreak/>
        <w:t xml:space="preserve">One of the most important economic events of the twenty-first century was the global financial crisis of 2008, commonly known as the 2008 Financial Crisis. The implications of it on the world economy were profound and are still being felt today. A number of causes, including the housing bubble, subprime mortgage lending, and the spread of sophisticated financial products, contributed to the crisis. It was made worse by loose regulation, poor risk management procedures, and a lack of financial sector transparency. Many banks failed as a result of the crisis, which also resulted in job losses and a severe recession in many nations. To </w:t>
      </w:r>
      <w:r w:rsidR="00E6114D" w:rsidRPr="00E822FF">
        <w:rPr>
          <w:rFonts w:ascii="Arial" w:hAnsi="Arial" w:cs="Arial"/>
          <w:sz w:val="22"/>
          <w:szCs w:val="22"/>
          <w:lang w:val="en-US"/>
        </w:rPr>
        <w:t>stabilize</w:t>
      </w:r>
      <w:r w:rsidRPr="00E822FF">
        <w:rPr>
          <w:rFonts w:ascii="Arial" w:hAnsi="Arial" w:cs="Arial"/>
          <w:sz w:val="22"/>
          <w:szCs w:val="22"/>
          <w:lang w:val="en-US"/>
        </w:rPr>
        <w:t xml:space="preserve"> the financial system and avert a total collapse, governments and central banks throughout the world intervened with significant stimulus </w:t>
      </w:r>
      <w:r w:rsidR="00ED0AE9" w:rsidRPr="00E822FF">
        <w:rPr>
          <w:rFonts w:ascii="Arial" w:hAnsi="Arial" w:cs="Arial"/>
          <w:sz w:val="22"/>
          <w:szCs w:val="22"/>
          <w:lang w:val="en-US"/>
        </w:rPr>
        <w:t>programs</w:t>
      </w:r>
      <w:r w:rsidRPr="00E822FF">
        <w:rPr>
          <w:rFonts w:ascii="Arial" w:hAnsi="Arial" w:cs="Arial"/>
          <w:sz w:val="22"/>
          <w:szCs w:val="22"/>
          <w:lang w:val="en-US"/>
        </w:rPr>
        <w:t xml:space="preserve"> and monetary policy measures.</w:t>
      </w:r>
    </w:p>
    <w:p w14:paraId="51F168EF" w14:textId="77777777" w:rsidR="00AD0EF5" w:rsidRPr="00E822FF" w:rsidRDefault="00AD0EF5" w:rsidP="00E822FF">
      <w:pPr>
        <w:spacing w:line="360" w:lineRule="auto"/>
        <w:jc w:val="both"/>
        <w:rPr>
          <w:rFonts w:ascii="Arial" w:hAnsi="Arial" w:cs="Arial"/>
          <w:sz w:val="22"/>
          <w:szCs w:val="22"/>
          <w:lang w:val="en-US"/>
        </w:rPr>
      </w:pPr>
    </w:p>
    <w:p w14:paraId="5E31AC1E" w14:textId="7F203FC7" w:rsidR="00AD0EF5" w:rsidRPr="00E822FF" w:rsidRDefault="00AD0EF5" w:rsidP="00E822FF">
      <w:pPr>
        <w:pStyle w:val="Heading1"/>
        <w:rPr>
          <w:lang w:val="en-US"/>
        </w:rPr>
      </w:pPr>
      <w:bookmarkStart w:id="2" w:name="_Toc133613056"/>
      <w:r w:rsidRPr="00E822FF">
        <w:rPr>
          <w:lang w:val="en-US"/>
        </w:rPr>
        <w:t>Overview</w:t>
      </w:r>
      <w:bookmarkEnd w:id="2"/>
    </w:p>
    <w:p w14:paraId="729AD2E2" w14:textId="77777777" w:rsidR="00AD0EF5" w:rsidRPr="00E822FF" w:rsidRDefault="00AD0EF5" w:rsidP="00E822FF">
      <w:pPr>
        <w:spacing w:line="360" w:lineRule="auto"/>
        <w:jc w:val="both"/>
        <w:rPr>
          <w:rFonts w:ascii="Arial" w:hAnsi="Arial" w:cs="Arial"/>
          <w:sz w:val="22"/>
          <w:szCs w:val="22"/>
          <w:lang w:val="en-US"/>
        </w:rPr>
      </w:pPr>
    </w:p>
    <w:p w14:paraId="6236DD80" w14:textId="3BE869CD" w:rsidR="00AD0EF5" w:rsidRPr="00E822FF" w:rsidRDefault="00AD0EF5" w:rsidP="00E822FF">
      <w:pPr>
        <w:spacing w:line="360" w:lineRule="auto"/>
        <w:jc w:val="both"/>
        <w:rPr>
          <w:rFonts w:ascii="Arial" w:hAnsi="Arial" w:cs="Arial"/>
          <w:sz w:val="22"/>
          <w:szCs w:val="22"/>
          <w:lang w:val="en-US"/>
        </w:rPr>
      </w:pPr>
      <w:r w:rsidRPr="00E822FF">
        <w:rPr>
          <w:rFonts w:ascii="Arial" w:hAnsi="Arial" w:cs="Arial"/>
          <w:sz w:val="22"/>
          <w:szCs w:val="22"/>
          <w:lang w:val="en-US"/>
        </w:rPr>
        <w:t>According to The Financial Crisis Inquiry Commission (2011) The global financial crisis of 2008, commonly referred to as the 2008 financial crisis, was a significant economic event that occurred over the course of many years, starting in 2007 and peaking in 2008. A number of interrelated issues, such as the housing bubble, subprime mortgage lending, and the spread of sophisticated financial products, contributed to the crisis. These elements played a part in the fast rise in house foreclosures and the subsequent drop in housing values, which had a domino effect on the whole global financial system.</w:t>
      </w:r>
    </w:p>
    <w:p w14:paraId="1774FE7F" w14:textId="77777777" w:rsidR="00AD0EF5" w:rsidRPr="00E822FF" w:rsidRDefault="00AD0EF5" w:rsidP="00E822FF">
      <w:pPr>
        <w:spacing w:line="360" w:lineRule="auto"/>
        <w:jc w:val="both"/>
        <w:rPr>
          <w:rFonts w:ascii="Arial" w:hAnsi="Arial" w:cs="Arial"/>
          <w:sz w:val="22"/>
          <w:szCs w:val="22"/>
          <w:lang w:val="en-US"/>
        </w:rPr>
      </w:pPr>
    </w:p>
    <w:p w14:paraId="72EBDF58" w14:textId="77777777" w:rsidR="00AD0EF5" w:rsidRPr="00E822FF" w:rsidRDefault="00AD0EF5" w:rsidP="00E822FF">
      <w:pPr>
        <w:spacing w:line="360" w:lineRule="auto"/>
        <w:jc w:val="both"/>
        <w:rPr>
          <w:rFonts w:ascii="Arial" w:hAnsi="Arial" w:cs="Arial"/>
          <w:sz w:val="22"/>
          <w:szCs w:val="22"/>
          <w:lang w:val="en-US"/>
        </w:rPr>
      </w:pPr>
      <w:r w:rsidRPr="00E822FF">
        <w:rPr>
          <w:rFonts w:ascii="Arial" w:hAnsi="Arial" w:cs="Arial"/>
          <w:sz w:val="22"/>
          <w:szCs w:val="22"/>
          <w:lang w:val="en-US"/>
        </w:rPr>
        <w:t>The worldwide economy suffered significant effects from the crisis, including widespread bank collapses, job losses, and severe recessions in many nations. Many individuals lost trust in governments and financial institutions' capacity to properly manage the economy as a result of the crisis, which also had enormous social and political ramifications.</w:t>
      </w:r>
    </w:p>
    <w:p w14:paraId="5DE42E26" w14:textId="77777777" w:rsidR="00AD0EF5" w:rsidRPr="00E822FF" w:rsidRDefault="00AD0EF5" w:rsidP="00E822FF">
      <w:pPr>
        <w:spacing w:line="360" w:lineRule="auto"/>
        <w:jc w:val="both"/>
        <w:rPr>
          <w:rFonts w:ascii="Arial" w:hAnsi="Arial" w:cs="Arial"/>
          <w:sz w:val="22"/>
          <w:szCs w:val="22"/>
          <w:lang w:val="en-US"/>
        </w:rPr>
      </w:pPr>
    </w:p>
    <w:p w14:paraId="7B63AC73" w14:textId="61A9FA58" w:rsidR="00AD0EF5" w:rsidRPr="00E822FF" w:rsidRDefault="00AD0EF5"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Governments and central banks throughout the world responded to the crisis by implementing a variety of interventions, including as significant stimulus </w:t>
      </w:r>
      <w:r w:rsidR="00ED0AE9" w:rsidRPr="00E822FF">
        <w:rPr>
          <w:rFonts w:ascii="Arial" w:hAnsi="Arial" w:cs="Arial"/>
          <w:sz w:val="22"/>
          <w:szCs w:val="22"/>
          <w:lang w:val="en-US"/>
        </w:rPr>
        <w:t>programs</w:t>
      </w:r>
      <w:r w:rsidRPr="00E822FF">
        <w:rPr>
          <w:rFonts w:ascii="Arial" w:hAnsi="Arial" w:cs="Arial"/>
          <w:sz w:val="22"/>
          <w:szCs w:val="22"/>
          <w:lang w:val="en-US"/>
        </w:rPr>
        <w:t xml:space="preserve"> and changes to monetary policy, </w:t>
      </w:r>
      <w:proofErr w:type="gramStart"/>
      <w:r w:rsidRPr="00E822FF">
        <w:rPr>
          <w:rFonts w:ascii="Arial" w:hAnsi="Arial" w:cs="Arial"/>
          <w:sz w:val="22"/>
          <w:szCs w:val="22"/>
          <w:lang w:val="en-US"/>
        </w:rPr>
        <w:t>in an effort to</w:t>
      </w:r>
      <w:proofErr w:type="gramEnd"/>
      <w:r w:rsidRPr="00E822FF">
        <w:rPr>
          <w:rFonts w:ascii="Arial" w:hAnsi="Arial" w:cs="Arial"/>
          <w:sz w:val="22"/>
          <w:szCs w:val="22"/>
          <w:lang w:val="en-US"/>
        </w:rPr>
        <w:t xml:space="preserve"> </w:t>
      </w:r>
      <w:r w:rsidR="00ED0AE9" w:rsidRPr="00E822FF">
        <w:rPr>
          <w:rFonts w:ascii="Arial" w:hAnsi="Arial" w:cs="Arial"/>
          <w:sz w:val="22"/>
          <w:szCs w:val="22"/>
          <w:lang w:val="en-US"/>
        </w:rPr>
        <w:t>stabilize</w:t>
      </w:r>
      <w:r w:rsidRPr="00E822FF">
        <w:rPr>
          <w:rFonts w:ascii="Arial" w:hAnsi="Arial" w:cs="Arial"/>
          <w:sz w:val="22"/>
          <w:szCs w:val="22"/>
          <w:lang w:val="en-US"/>
        </w:rPr>
        <w:t xml:space="preserve"> the financial system and stop a total economic collapse. These actions assisted in reducing the crisis's worst consequences and averting the entire collapse of the world financial system.</w:t>
      </w:r>
    </w:p>
    <w:p w14:paraId="53E79DE0" w14:textId="77777777" w:rsidR="00AD0EF5" w:rsidRPr="00E822FF" w:rsidRDefault="00AD0EF5" w:rsidP="00E822FF">
      <w:pPr>
        <w:spacing w:line="360" w:lineRule="auto"/>
        <w:jc w:val="both"/>
        <w:rPr>
          <w:rFonts w:ascii="Arial" w:hAnsi="Arial" w:cs="Arial"/>
          <w:sz w:val="22"/>
          <w:szCs w:val="22"/>
          <w:lang w:val="en-US"/>
        </w:rPr>
      </w:pPr>
    </w:p>
    <w:p w14:paraId="60582201" w14:textId="4B5C0EB6" w:rsidR="00AD0EF5" w:rsidRPr="00E822FF" w:rsidRDefault="00AD0EF5"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The global economy, as well as the approaches taken by governments and financial institutions to risk management and regulation, have all been significantly impacted by the 2008 financial crisis, which is largely </w:t>
      </w:r>
      <w:r w:rsidR="00ED0AE9" w:rsidRPr="00E822FF">
        <w:rPr>
          <w:rFonts w:ascii="Arial" w:hAnsi="Arial" w:cs="Arial"/>
          <w:sz w:val="22"/>
          <w:szCs w:val="22"/>
          <w:lang w:val="en-US"/>
        </w:rPr>
        <w:t>recognized</w:t>
      </w:r>
      <w:r w:rsidRPr="00E822FF">
        <w:rPr>
          <w:rFonts w:ascii="Arial" w:hAnsi="Arial" w:cs="Arial"/>
          <w:sz w:val="22"/>
          <w:szCs w:val="22"/>
          <w:lang w:val="en-US"/>
        </w:rPr>
        <w:t xml:space="preserve"> as one of the most important economic events </w:t>
      </w:r>
      <w:r w:rsidRPr="00E822FF">
        <w:rPr>
          <w:rFonts w:ascii="Arial" w:hAnsi="Arial" w:cs="Arial"/>
          <w:sz w:val="22"/>
          <w:szCs w:val="22"/>
          <w:lang w:val="en-US"/>
        </w:rPr>
        <w:lastRenderedPageBreak/>
        <w:t>of the 21st century. As a result, it is still the topic of extensive academic research and analysis, with an emphasis on figuring out what caused the crisis and looking into measures to stop it from happening again in the future.</w:t>
      </w:r>
    </w:p>
    <w:p w14:paraId="6718F405" w14:textId="103D64C6" w:rsidR="0056414E" w:rsidRPr="00E822FF" w:rsidRDefault="0037727C" w:rsidP="00E822FF">
      <w:pPr>
        <w:pStyle w:val="Heading1"/>
        <w:rPr>
          <w:lang w:val="en-US"/>
        </w:rPr>
      </w:pPr>
      <w:bookmarkStart w:id="3" w:name="_Toc133613057"/>
      <w:r w:rsidRPr="00E822FF">
        <w:rPr>
          <w:lang w:val="en-US"/>
        </w:rPr>
        <w:t>Post-2008</w:t>
      </w:r>
      <w:r w:rsidR="006D7097" w:rsidRPr="00E822FF">
        <w:rPr>
          <w:lang w:val="en-US"/>
        </w:rPr>
        <w:t xml:space="preserve"> Crisis</w:t>
      </w:r>
      <w:bookmarkEnd w:id="3"/>
      <w:r w:rsidR="006D7097" w:rsidRPr="00E822FF">
        <w:rPr>
          <w:lang w:val="en-US"/>
        </w:rPr>
        <w:t xml:space="preserve"> </w:t>
      </w:r>
    </w:p>
    <w:p w14:paraId="6830A2E1" w14:textId="77777777" w:rsidR="00AD0EF5" w:rsidRPr="00E822FF" w:rsidRDefault="00AD0EF5" w:rsidP="00E822FF">
      <w:pPr>
        <w:spacing w:line="360" w:lineRule="auto"/>
        <w:jc w:val="both"/>
        <w:rPr>
          <w:rFonts w:ascii="Arial" w:hAnsi="Arial" w:cs="Arial"/>
          <w:sz w:val="22"/>
          <w:szCs w:val="22"/>
          <w:lang w:val="en-US"/>
        </w:rPr>
      </w:pPr>
    </w:p>
    <w:p w14:paraId="48470677" w14:textId="091F5BB9" w:rsidR="00AD0EF5" w:rsidRPr="00E822FF" w:rsidRDefault="0007508C"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According to Naqvi (2018), </w:t>
      </w:r>
      <w:r w:rsidR="00AD0EF5" w:rsidRPr="00E822FF">
        <w:rPr>
          <w:rFonts w:ascii="Arial" w:hAnsi="Arial" w:cs="Arial"/>
          <w:sz w:val="22"/>
          <w:szCs w:val="22"/>
          <w:lang w:val="en-US"/>
        </w:rPr>
        <w:t>A sudden decline in economic activity was one of the crisis' most noticeable immediate effects. For instance, the economy in the United States contracted by 8.4% in the first quarter of 2009 and by 4.3% in the fourth quarter of 2008. Other significant economies around the world, such as Japan, the United Kingdom, and Germany, also experienced similar contractions.</w:t>
      </w:r>
    </w:p>
    <w:p w14:paraId="67CFEC5A" w14:textId="77777777" w:rsidR="00AD0EF5" w:rsidRPr="00E822FF" w:rsidRDefault="00AD0EF5" w:rsidP="00E822FF">
      <w:pPr>
        <w:spacing w:line="360" w:lineRule="auto"/>
        <w:jc w:val="both"/>
        <w:rPr>
          <w:rFonts w:ascii="Arial" w:hAnsi="Arial" w:cs="Arial"/>
          <w:sz w:val="22"/>
          <w:szCs w:val="22"/>
          <w:lang w:val="en-US"/>
        </w:rPr>
      </w:pPr>
    </w:p>
    <w:p w14:paraId="7A0EEAE8" w14:textId="2EAB32D4" w:rsidR="00AD0EF5" w:rsidRPr="00E822FF" w:rsidRDefault="00AD0EF5" w:rsidP="00E822FF">
      <w:pPr>
        <w:spacing w:line="360" w:lineRule="auto"/>
        <w:jc w:val="both"/>
        <w:rPr>
          <w:rFonts w:ascii="Arial" w:hAnsi="Arial" w:cs="Arial"/>
          <w:sz w:val="22"/>
          <w:szCs w:val="22"/>
          <w:lang w:val="en-US"/>
        </w:rPr>
      </w:pPr>
      <w:r w:rsidRPr="00E822FF">
        <w:rPr>
          <w:rFonts w:ascii="Arial" w:hAnsi="Arial" w:cs="Arial"/>
          <w:sz w:val="22"/>
          <w:szCs w:val="22"/>
          <w:lang w:val="en-US"/>
        </w:rPr>
        <w:t>Lenders became more risk-averse and reluctant to offer credit to companies and people as a result of the crisis, which also resulted in widespread bank failures and a credit crunch. Due to many businesses cutting back on operations or going out of business entirely, this had a huge negative influence on employment creation.</w:t>
      </w:r>
    </w:p>
    <w:p w14:paraId="70988650" w14:textId="77777777" w:rsidR="00AD0EF5" w:rsidRPr="00E822FF" w:rsidRDefault="00AD0EF5" w:rsidP="00E822FF">
      <w:pPr>
        <w:spacing w:line="360" w:lineRule="auto"/>
        <w:jc w:val="both"/>
        <w:rPr>
          <w:rFonts w:ascii="Arial" w:hAnsi="Arial" w:cs="Arial"/>
          <w:sz w:val="22"/>
          <w:szCs w:val="22"/>
          <w:lang w:val="en-US"/>
        </w:rPr>
      </w:pPr>
    </w:p>
    <w:p w14:paraId="24DE27A9" w14:textId="5404A745" w:rsidR="00AD0EF5" w:rsidRPr="00E822FF" w:rsidRDefault="00AD0EF5"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Globally, governments and central banks responded to the crisis with a </w:t>
      </w:r>
      <w:proofErr w:type="gramStart"/>
      <w:r w:rsidRPr="00E822FF">
        <w:rPr>
          <w:rFonts w:ascii="Arial" w:hAnsi="Arial" w:cs="Arial"/>
          <w:sz w:val="22"/>
          <w:szCs w:val="22"/>
          <w:lang w:val="en-US"/>
        </w:rPr>
        <w:t>variety economic actions</w:t>
      </w:r>
      <w:proofErr w:type="gramEnd"/>
      <w:r w:rsidRPr="00E822FF">
        <w:rPr>
          <w:rFonts w:ascii="Arial" w:hAnsi="Arial" w:cs="Arial"/>
          <w:sz w:val="22"/>
          <w:szCs w:val="22"/>
          <w:lang w:val="en-US"/>
        </w:rPr>
        <w:t xml:space="preserve">, such as substantial stimulus plans and changes to monetary policy. The global financial system was kept from completely collapsing thanks to their attempts to </w:t>
      </w:r>
      <w:proofErr w:type="spellStart"/>
      <w:r w:rsidRPr="00E822FF">
        <w:rPr>
          <w:rFonts w:ascii="Arial" w:hAnsi="Arial" w:cs="Arial"/>
          <w:sz w:val="22"/>
          <w:szCs w:val="22"/>
          <w:lang w:val="en-US"/>
        </w:rPr>
        <w:t>stabilise</w:t>
      </w:r>
      <w:proofErr w:type="spellEnd"/>
      <w:r w:rsidRPr="00E822FF">
        <w:rPr>
          <w:rFonts w:ascii="Arial" w:hAnsi="Arial" w:cs="Arial"/>
          <w:sz w:val="22"/>
          <w:szCs w:val="22"/>
          <w:lang w:val="en-US"/>
        </w:rPr>
        <w:t xml:space="preserve"> the financial markets. But they also had important long-term effects, such as higher public debt levels, more government involvement in the economy, and a reconsideration of conventional economic policy frameworks.</w:t>
      </w:r>
    </w:p>
    <w:p w14:paraId="1AE426CD" w14:textId="77777777" w:rsidR="0037727C" w:rsidRPr="00E822FF" w:rsidRDefault="0037727C" w:rsidP="00E822FF">
      <w:pPr>
        <w:spacing w:line="360" w:lineRule="auto"/>
        <w:jc w:val="both"/>
        <w:rPr>
          <w:rFonts w:ascii="Arial" w:hAnsi="Arial" w:cs="Arial"/>
          <w:sz w:val="22"/>
          <w:szCs w:val="22"/>
          <w:lang w:val="en-US"/>
        </w:rPr>
      </w:pPr>
    </w:p>
    <w:p w14:paraId="17B497D8" w14:textId="77777777" w:rsidR="0037727C" w:rsidRPr="00E822FF" w:rsidRDefault="0037727C" w:rsidP="00E822FF">
      <w:pPr>
        <w:spacing w:line="360" w:lineRule="auto"/>
        <w:jc w:val="both"/>
        <w:rPr>
          <w:rFonts w:ascii="Arial" w:hAnsi="Arial" w:cs="Arial"/>
          <w:sz w:val="22"/>
          <w:szCs w:val="22"/>
          <w:lang w:val="en-US"/>
        </w:rPr>
      </w:pPr>
      <w:r w:rsidRPr="00E822FF">
        <w:rPr>
          <w:rFonts w:ascii="Arial" w:hAnsi="Arial" w:cs="Arial"/>
          <w:sz w:val="22"/>
          <w:szCs w:val="22"/>
          <w:lang w:val="en-US"/>
        </w:rPr>
        <w:t>The global economy was significantly impacted by the financial crisis of 2008, which led to a period of economic contraction and turmoil. The US housing sector, where loose lending rules and an oversupply of subprime mortgages created a bubble that finally burst and resulted in widespread mortgage payment defaults, is where the crisis began.</w:t>
      </w:r>
    </w:p>
    <w:p w14:paraId="0631EE99" w14:textId="77777777" w:rsidR="0037727C" w:rsidRPr="00E822FF" w:rsidRDefault="0037727C" w:rsidP="00E822FF">
      <w:pPr>
        <w:spacing w:line="360" w:lineRule="auto"/>
        <w:jc w:val="both"/>
        <w:rPr>
          <w:rFonts w:ascii="Arial" w:hAnsi="Arial" w:cs="Arial"/>
          <w:sz w:val="22"/>
          <w:szCs w:val="22"/>
          <w:lang w:val="en-US"/>
        </w:rPr>
      </w:pPr>
    </w:p>
    <w:p w14:paraId="5398AA7B" w14:textId="449B0EBE" w:rsidR="0037727C" w:rsidRPr="00E822FF" w:rsidRDefault="0037727C" w:rsidP="00E822FF">
      <w:pPr>
        <w:spacing w:line="360" w:lineRule="auto"/>
        <w:jc w:val="both"/>
        <w:rPr>
          <w:rFonts w:ascii="Arial" w:hAnsi="Arial" w:cs="Arial"/>
          <w:sz w:val="22"/>
          <w:szCs w:val="22"/>
          <w:lang w:val="en-US"/>
        </w:rPr>
      </w:pPr>
      <w:r w:rsidRPr="00E822FF">
        <w:rPr>
          <w:rFonts w:ascii="Arial" w:hAnsi="Arial" w:cs="Arial"/>
          <w:sz w:val="22"/>
          <w:szCs w:val="22"/>
          <w:lang w:val="en-US"/>
        </w:rPr>
        <w:t>Due to this, a chain of occasions occurred that had an impact on the financial system, causing large banks to fail, the credit markets to freeze, and a severe decline in the value of assets like stocks and real estate. The global economy was significantly impacted by the crisis's spillover effects, with several nations facing recessions or poor growth.</w:t>
      </w:r>
    </w:p>
    <w:p w14:paraId="6248D0C9" w14:textId="77777777" w:rsidR="0037727C" w:rsidRPr="00E822FF" w:rsidRDefault="0037727C" w:rsidP="00E822FF">
      <w:pPr>
        <w:spacing w:line="360" w:lineRule="auto"/>
        <w:jc w:val="both"/>
        <w:rPr>
          <w:rFonts w:ascii="Arial" w:hAnsi="Arial" w:cs="Arial"/>
          <w:sz w:val="22"/>
          <w:szCs w:val="22"/>
          <w:lang w:val="en-US"/>
        </w:rPr>
      </w:pPr>
    </w:p>
    <w:p w14:paraId="001DC870" w14:textId="1ECE4CDE" w:rsidR="0007508C" w:rsidRPr="00E822FF" w:rsidRDefault="0007508C" w:rsidP="00E822FF">
      <w:pPr>
        <w:pStyle w:val="Heading1"/>
        <w:rPr>
          <w:lang w:val="en-US"/>
        </w:rPr>
      </w:pPr>
      <w:bookmarkStart w:id="4" w:name="_Toc133613058"/>
      <w:r w:rsidRPr="00E822FF">
        <w:rPr>
          <w:lang w:val="en-US"/>
        </w:rPr>
        <w:lastRenderedPageBreak/>
        <w:t>Key Decisions post 2008 Crisis</w:t>
      </w:r>
      <w:bookmarkEnd w:id="4"/>
    </w:p>
    <w:p w14:paraId="28806153" w14:textId="77777777" w:rsidR="0007508C" w:rsidRPr="00E822FF" w:rsidRDefault="0007508C" w:rsidP="00E822FF">
      <w:pPr>
        <w:spacing w:line="360" w:lineRule="auto"/>
        <w:jc w:val="both"/>
        <w:rPr>
          <w:rFonts w:ascii="Arial" w:hAnsi="Arial" w:cs="Arial"/>
          <w:sz w:val="22"/>
          <w:szCs w:val="22"/>
          <w:lang w:val="en-US"/>
        </w:rPr>
      </w:pPr>
    </w:p>
    <w:p w14:paraId="2BD260A8" w14:textId="77777777" w:rsidR="0007508C" w:rsidRPr="00E822FF" w:rsidRDefault="0007508C" w:rsidP="00E822FF">
      <w:pPr>
        <w:spacing w:line="360" w:lineRule="auto"/>
        <w:jc w:val="both"/>
        <w:rPr>
          <w:rFonts w:ascii="Arial" w:hAnsi="Arial" w:cs="Arial"/>
          <w:sz w:val="22"/>
          <w:szCs w:val="22"/>
          <w:lang w:val="en-US"/>
        </w:rPr>
      </w:pPr>
      <w:r w:rsidRPr="00E822FF">
        <w:rPr>
          <w:rFonts w:ascii="Arial" w:hAnsi="Arial" w:cs="Arial"/>
          <w:sz w:val="22"/>
          <w:szCs w:val="22"/>
          <w:lang w:val="en-US"/>
        </w:rPr>
        <w:t>The crisis revealed significant flaws in the financial system, such as inadequate regulation, reckless lending practices, and a lack of accountability and transparency. In order to improve and stabilize the financial system and avert further crises, several governments and regulatory agencies throughout the world have implemented new policies. enhanced control and regulation of financial institutions, enhanced transaction transparency, and systemic risk reduction were some of these activities.</w:t>
      </w:r>
    </w:p>
    <w:p w14:paraId="24ECCF1D" w14:textId="77777777" w:rsidR="0007508C" w:rsidRPr="00E822FF" w:rsidRDefault="0007508C" w:rsidP="00E822FF">
      <w:pPr>
        <w:spacing w:line="360" w:lineRule="auto"/>
        <w:jc w:val="both"/>
        <w:rPr>
          <w:rFonts w:ascii="Arial" w:hAnsi="Arial" w:cs="Arial"/>
          <w:sz w:val="22"/>
          <w:szCs w:val="22"/>
          <w:lang w:val="en-US"/>
        </w:rPr>
      </w:pPr>
    </w:p>
    <w:p w14:paraId="3CC58414" w14:textId="77777777" w:rsidR="006D7097" w:rsidRPr="00E822FF" w:rsidRDefault="006D7097" w:rsidP="00E822FF">
      <w:pPr>
        <w:spacing w:line="360" w:lineRule="auto"/>
        <w:jc w:val="both"/>
        <w:rPr>
          <w:rFonts w:ascii="Arial" w:hAnsi="Arial" w:cs="Arial"/>
          <w:sz w:val="22"/>
          <w:szCs w:val="22"/>
          <w:lang w:val="en-US"/>
        </w:rPr>
      </w:pPr>
    </w:p>
    <w:p w14:paraId="51630187" w14:textId="40B86016" w:rsidR="006D7097" w:rsidRPr="00E822FF" w:rsidRDefault="006D7097"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UK Authorities </w:t>
      </w:r>
    </w:p>
    <w:p w14:paraId="514FEBEA" w14:textId="77777777" w:rsidR="0037727C" w:rsidRPr="00E822FF" w:rsidRDefault="0037727C" w:rsidP="00E822FF">
      <w:pPr>
        <w:spacing w:line="360" w:lineRule="auto"/>
        <w:jc w:val="both"/>
        <w:rPr>
          <w:rFonts w:ascii="Arial" w:hAnsi="Arial" w:cs="Arial"/>
          <w:sz w:val="22"/>
          <w:szCs w:val="22"/>
          <w:lang w:val="en-US"/>
        </w:rPr>
      </w:pPr>
    </w:p>
    <w:p w14:paraId="5B6F461D" w14:textId="10558DD2" w:rsidR="006D7097"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The global economy was significantly affected by the financial crisis of 2008, which also prompted the creation of a number of new laws, rules, and contracts aimed at bolstering the financial system and averting future disasters. These actions in the UK included:</w:t>
      </w:r>
    </w:p>
    <w:p w14:paraId="3A6347C7" w14:textId="77777777" w:rsidR="00171F65" w:rsidRPr="00E822FF" w:rsidRDefault="00171F65" w:rsidP="00E822FF">
      <w:pPr>
        <w:spacing w:line="360" w:lineRule="auto"/>
        <w:jc w:val="both"/>
        <w:rPr>
          <w:rFonts w:ascii="Arial" w:hAnsi="Arial" w:cs="Arial"/>
          <w:sz w:val="22"/>
          <w:szCs w:val="22"/>
          <w:lang w:val="en-US"/>
        </w:rPr>
      </w:pPr>
    </w:p>
    <w:p w14:paraId="4ED479B3" w14:textId="67AEB7A4" w:rsidR="0007508C" w:rsidRPr="00E822FF" w:rsidRDefault="00171F65" w:rsidP="00E822FF">
      <w:pPr>
        <w:pStyle w:val="Heading2"/>
        <w:spacing w:line="360" w:lineRule="auto"/>
        <w:jc w:val="both"/>
        <w:rPr>
          <w:rFonts w:ascii="Arial" w:hAnsi="Arial" w:cs="Arial"/>
          <w:sz w:val="22"/>
          <w:szCs w:val="22"/>
          <w:lang w:val="en-US"/>
        </w:rPr>
      </w:pPr>
      <w:bookmarkStart w:id="5" w:name="_Toc133613059"/>
      <w:r w:rsidRPr="00E822FF">
        <w:rPr>
          <w:rFonts w:ascii="Arial" w:hAnsi="Arial" w:cs="Arial"/>
          <w:sz w:val="22"/>
          <w:szCs w:val="22"/>
          <w:lang w:val="en-US"/>
        </w:rPr>
        <w:t>2010 Financial Services Act</w:t>
      </w:r>
      <w:bookmarkEnd w:id="5"/>
    </w:p>
    <w:p w14:paraId="6A6CD10C" w14:textId="7843EC5B"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The Financial Conduct Authority (FCA) and the Prudential Regulation Authority (PRA), which were established as the major regulators of the financial services industry in the UK, took the role of the Financial Services Authority (FSA). With an emphasis on consumer protection, market integrity, and competition, the FCA was created to oversee the behavior of financial businesses. In order to ensure the health and stability of financial institutions, the PRA was created to supervise the prudential regulation of such institutions. The Financial Policy Committee (FPC), a unit of the Bank of England that is in charge of keeping an eye on and managing systemic threats to the financial system, was also formed by the Act</w:t>
      </w:r>
      <w:r w:rsidR="0007508C" w:rsidRPr="00E822FF">
        <w:rPr>
          <w:rFonts w:ascii="Arial" w:hAnsi="Arial" w:cs="Arial"/>
          <w:sz w:val="22"/>
          <w:szCs w:val="22"/>
          <w:lang w:val="en-US"/>
        </w:rPr>
        <w:t xml:space="preserve"> (Legislation of UK, 2023)</w:t>
      </w:r>
      <w:r w:rsidRPr="00E822FF">
        <w:rPr>
          <w:rFonts w:ascii="Arial" w:hAnsi="Arial" w:cs="Arial"/>
          <w:sz w:val="22"/>
          <w:szCs w:val="22"/>
          <w:lang w:val="en-US"/>
        </w:rPr>
        <w:t>.</w:t>
      </w:r>
    </w:p>
    <w:p w14:paraId="54F6561F" w14:textId="77777777" w:rsidR="00171F65" w:rsidRPr="00E822FF" w:rsidRDefault="00171F65" w:rsidP="00E822FF">
      <w:pPr>
        <w:spacing w:line="360" w:lineRule="auto"/>
        <w:jc w:val="both"/>
        <w:rPr>
          <w:rFonts w:ascii="Arial" w:hAnsi="Arial" w:cs="Arial"/>
          <w:sz w:val="22"/>
          <w:szCs w:val="22"/>
          <w:lang w:val="en-US"/>
        </w:rPr>
      </w:pPr>
    </w:p>
    <w:p w14:paraId="45F9A272" w14:textId="17B3CA1D"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By giving the government unprecedented authority to deal with failing banks, the Banking Act of 2009 sought to rectify flaws in the regulatory structure for the banking industry. The Special Resolution Regime (SRR), which was created by the Act, provided the government the authority to take control of and successfully resolve failing banks. The Financial Services Compensation Scheme (FSCS), which protects consumers if their bank fails, and requirements for banks to hold more capital as a buffer against future losses were also introduced by the Act as measures to improve regulation and oversight of the banking sector.</w:t>
      </w:r>
    </w:p>
    <w:p w14:paraId="055B05E3" w14:textId="77777777" w:rsidR="00171F65" w:rsidRPr="00E822FF" w:rsidRDefault="00171F65" w:rsidP="00E822FF">
      <w:pPr>
        <w:spacing w:line="360" w:lineRule="auto"/>
        <w:jc w:val="both"/>
        <w:rPr>
          <w:rFonts w:ascii="Arial" w:hAnsi="Arial" w:cs="Arial"/>
          <w:sz w:val="22"/>
          <w:szCs w:val="22"/>
          <w:lang w:val="en-US"/>
        </w:rPr>
      </w:pPr>
    </w:p>
    <w:p w14:paraId="0B4A8456" w14:textId="792F0F53" w:rsidR="0007508C" w:rsidRPr="00E822FF" w:rsidRDefault="0007508C" w:rsidP="00E822FF">
      <w:pPr>
        <w:pStyle w:val="Heading2"/>
        <w:spacing w:line="360" w:lineRule="auto"/>
        <w:jc w:val="both"/>
        <w:rPr>
          <w:rFonts w:ascii="Arial" w:hAnsi="Arial" w:cs="Arial"/>
          <w:sz w:val="22"/>
          <w:szCs w:val="22"/>
          <w:lang w:val="en-US"/>
        </w:rPr>
      </w:pPr>
      <w:bookmarkStart w:id="6" w:name="_Toc133613060"/>
      <w:r w:rsidRPr="00E822FF">
        <w:rPr>
          <w:rFonts w:ascii="Arial" w:hAnsi="Arial" w:cs="Arial"/>
          <w:sz w:val="22"/>
          <w:szCs w:val="22"/>
          <w:lang w:val="en-US"/>
        </w:rPr>
        <w:lastRenderedPageBreak/>
        <w:t>The Basel Committee</w:t>
      </w:r>
      <w:bookmarkEnd w:id="6"/>
    </w:p>
    <w:p w14:paraId="54F4C699" w14:textId="77777777" w:rsidR="0007508C" w:rsidRPr="00E822FF" w:rsidRDefault="0007508C" w:rsidP="00E822FF">
      <w:pPr>
        <w:spacing w:line="360" w:lineRule="auto"/>
        <w:jc w:val="both"/>
        <w:rPr>
          <w:rFonts w:ascii="Arial" w:hAnsi="Arial" w:cs="Arial"/>
          <w:sz w:val="22"/>
          <w:szCs w:val="22"/>
          <w:lang w:val="en-US"/>
        </w:rPr>
      </w:pPr>
    </w:p>
    <w:p w14:paraId="0DC8C839" w14:textId="265959AC"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The Basel Committee on Banking Supervision, which is made up of officials from central banks and regulatory agencies from all around the globe, created Basel III, a set of global banking standards. The laws increase the quantity and caliber of capital that banks must retain as well as include additional liquidity requirements in an effort to bolster the banking sector. Through the PRA, the UK has put these regulations into effect.</w:t>
      </w:r>
    </w:p>
    <w:p w14:paraId="3CED3C69" w14:textId="77777777" w:rsidR="00171F65" w:rsidRPr="00E822FF" w:rsidRDefault="00171F65" w:rsidP="00E822FF">
      <w:pPr>
        <w:spacing w:line="360" w:lineRule="auto"/>
        <w:jc w:val="both"/>
        <w:rPr>
          <w:rFonts w:ascii="Arial" w:hAnsi="Arial" w:cs="Arial"/>
          <w:sz w:val="22"/>
          <w:szCs w:val="22"/>
          <w:lang w:val="en-US"/>
        </w:rPr>
      </w:pPr>
    </w:p>
    <w:p w14:paraId="7145DD99" w14:textId="79E0B7F2"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Basel III is being implemented across the EU with the help of the EU Capital Requirements Directive IV. The laws impose additional limitations on leverage and the use of derivatives, as well as new capital and liquidity requirements on banks. Through the PRA, the UK put these regulations into effect</w:t>
      </w:r>
      <w:r w:rsidR="0007508C" w:rsidRPr="00E822FF">
        <w:rPr>
          <w:rFonts w:ascii="Arial" w:hAnsi="Arial" w:cs="Arial"/>
          <w:sz w:val="22"/>
          <w:szCs w:val="22"/>
          <w:lang w:val="en-US"/>
        </w:rPr>
        <w:t xml:space="preserve"> (Basel Committee, 2011)</w:t>
      </w:r>
      <w:r w:rsidRPr="00E822FF">
        <w:rPr>
          <w:rFonts w:ascii="Arial" w:hAnsi="Arial" w:cs="Arial"/>
          <w:sz w:val="22"/>
          <w:szCs w:val="22"/>
          <w:lang w:val="en-US"/>
        </w:rPr>
        <w:t>.</w:t>
      </w:r>
    </w:p>
    <w:p w14:paraId="5044C8EA" w14:textId="7388673D" w:rsidR="00171F65" w:rsidRPr="00E822FF" w:rsidRDefault="00171F65" w:rsidP="00E822FF">
      <w:pPr>
        <w:spacing w:line="360" w:lineRule="auto"/>
        <w:jc w:val="both"/>
        <w:rPr>
          <w:rFonts w:ascii="Arial" w:hAnsi="Arial" w:cs="Arial"/>
          <w:sz w:val="22"/>
          <w:szCs w:val="22"/>
          <w:lang w:val="en-US"/>
        </w:rPr>
      </w:pPr>
    </w:p>
    <w:p w14:paraId="37B9B7FD" w14:textId="77777777" w:rsidR="0007508C" w:rsidRPr="00E822FF" w:rsidRDefault="00171F65" w:rsidP="00E822FF">
      <w:pPr>
        <w:pStyle w:val="Heading2"/>
        <w:spacing w:line="360" w:lineRule="auto"/>
        <w:jc w:val="both"/>
        <w:rPr>
          <w:rFonts w:ascii="Arial" w:hAnsi="Arial" w:cs="Arial"/>
          <w:sz w:val="22"/>
          <w:szCs w:val="22"/>
          <w:lang w:val="en-US"/>
        </w:rPr>
      </w:pPr>
      <w:bookmarkStart w:id="7" w:name="_Toc133613061"/>
      <w:r w:rsidRPr="00E822FF">
        <w:rPr>
          <w:rFonts w:ascii="Arial" w:hAnsi="Arial" w:cs="Arial"/>
          <w:sz w:val="22"/>
          <w:szCs w:val="22"/>
          <w:lang w:val="en-US"/>
        </w:rPr>
        <w:t>ISDA Master Agreement</w:t>
      </w:r>
      <w:bookmarkEnd w:id="7"/>
    </w:p>
    <w:p w14:paraId="7F2E8E1E" w14:textId="77777777" w:rsidR="0007508C" w:rsidRPr="00E822FF" w:rsidRDefault="0007508C" w:rsidP="00E822FF">
      <w:pPr>
        <w:spacing w:line="360" w:lineRule="auto"/>
        <w:jc w:val="both"/>
        <w:rPr>
          <w:rFonts w:ascii="Arial" w:hAnsi="Arial" w:cs="Arial"/>
          <w:sz w:val="22"/>
          <w:szCs w:val="22"/>
          <w:lang w:val="en-US"/>
        </w:rPr>
      </w:pPr>
    </w:p>
    <w:p w14:paraId="1F7B8F2D" w14:textId="5EE79C4C"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International Swaps and Derivatives Association The terms and conditions for trading between counterparties are outlined in this common contract, which is utilized in the derivatives market. The ISDA implemented a number of additional requirements in reaction to the financial crisis of 2008 with the goal of lowering systemic risk in the derivatives market. New guidelines for collateralization and margin requirements are included in these clauses, which reduce the risk of counterparty default</w:t>
      </w:r>
      <w:r w:rsidR="0007508C" w:rsidRPr="00E822FF">
        <w:rPr>
          <w:rFonts w:ascii="Arial" w:hAnsi="Arial" w:cs="Arial"/>
          <w:sz w:val="22"/>
          <w:szCs w:val="22"/>
          <w:lang w:val="en-US"/>
        </w:rPr>
        <w:t xml:space="preserve"> (ISDA, 2023)</w:t>
      </w:r>
      <w:r w:rsidRPr="00E822FF">
        <w:rPr>
          <w:rFonts w:ascii="Arial" w:hAnsi="Arial" w:cs="Arial"/>
          <w:sz w:val="22"/>
          <w:szCs w:val="22"/>
          <w:lang w:val="en-US"/>
        </w:rPr>
        <w:t>.</w:t>
      </w:r>
    </w:p>
    <w:p w14:paraId="6BC69E72" w14:textId="77777777" w:rsidR="00171F65" w:rsidRPr="00E822FF" w:rsidRDefault="00171F65" w:rsidP="00E822FF">
      <w:pPr>
        <w:spacing w:line="360" w:lineRule="auto"/>
        <w:jc w:val="both"/>
        <w:rPr>
          <w:rFonts w:ascii="Arial" w:hAnsi="Arial" w:cs="Arial"/>
          <w:sz w:val="22"/>
          <w:szCs w:val="22"/>
          <w:lang w:val="en-US"/>
        </w:rPr>
      </w:pPr>
    </w:p>
    <w:p w14:paraId="58EFBD9D" w14:textId="77777777"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US:</w:t>
      </w:r>
    </w:p>
    <w:p w14:paraId="004A2561" w14:textId="77777777" w:rsidR="00171F65" w:rsidRPr="00E822FF" w:rsidRDefault="00171F65" w:rsidP="00E822FF">
      <w:pPr>
        <w:spacing w:line="360" w:lineRule="auto"/>
        <w:jc w:val="both"/>
        <w:rPr>
          <w:rFonts w:ascii="Arial" w:hAnsi="Arial" w:cs="Arial"/>
          <w:sz w:val="22"/>
          <w:szCs w:val="22"/>
          <w:lang w:val="en-US"/>
        </w:rPr>
      </w:pPr>
    </w:p>
    <w:p w14:paraId="756F4ADF" w14:textId="77777777" w:rsidR="0007508C" w:rsidRPr="00E822FF" w:rsidRDefault="0007508C" w:rsidP="00E822FF">
      <w:pPr>
        <w:spacing w:line="360" w:lineRule="auto"/>
        <w:jc w:val="both"/>
        <w:rPr>
          <w:rFonts w:ascii="Arial" w:hAnsi="Arial" w:cs="Arial"/>
          <w:sz w:val="22"/>
          <w:szCs w:val="22"/>
          <w:lang w:val="en-US"/>
        </w:rPr>
      </w:pPr>
    </w:p>
    <w:p w14:paraId="2EF7EBE2" w14:textId="77777777" w:rsidR="0007508C" w:rsidRPr="00E822FF" w:rsidRDefault="00171F65" w:rsidP="00E822FF">
      <w:pPr>
        <w:pStyle w:val="Heading2"/>
        <w:spacing w:line="360" w:lineRule="auto"/>
        <w:jc w:val="both"/>
        <w:rPr>
          <w:rFonts w:ascii="Arial" w:hAnsi="Arial" w:cs="Arial"/>
          <w:sz w:val="22"/>
          <w:szCs w:val="22"/>
          <w:lang w:val="en-US"/>
        </w:rPr>
      </w:pPr>
      <w:bookmarkStart w:id="8" w:name="_Toc133613062"/>
      <w:r w:rsidRPr="00E822FF">
        <w:rPr>
          <w:rFonts w:ascii="Arial" w:hAnsi="Arial" w:cs="Arial"/>
          <w:sz w:val="22"/>
          <w:szCs w:val="22"/>
          <w:lang w:val="en-US"/>
        </w:rPr>
        <w:t>Dodd-Frank Consumer Protection and Wall Street Reform Act</w:t>
      </w:r>
      <w:bookmarkEnd w:id="8"/>
    </w:p>
    <w:p w14:paraId="7E485370" w14:textId="77777777" w:rsidR="0007508C" w:rsidRPr="00E822FF" w:rsidRDefault="0007508C" w:rsidP="00E822FF">
      <w:pPr>
        <w:spacing w:line="360" w:lineRule="auto"/>
        <w:jc w:val="both"/>
        <w:rPr>
          <w:rFonts w:ascii="Arial" w:hAnsi="Arial" w:cs="Arial"/>
          <w:sz w:val="22"/>
          <w:szCs w:val="22"/>
          <w:lang w:val="en-US"/>
        </w:rPr>
      </w:pPr>
    </w:p>
    <w:p w14:paraId="0AC627D4" w14:textId="25972E76"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This Act, which was presented in 2010, sought to tighten oversight of the US financial sector. It implemented a number of reforms, including the establishment of the Financial Stability Oversight Council (FSOC) and the Consumer Financial Protection Bureau (CFPB), which are in charge of monitoring systemic risks to the financial system and consumer protection.</w:t>
      </w:r>
    </w:p>
    <w:p w14:paraId="0D5D75C8" w14:textId="77777777" w:rsidR="00171F65" w:rsidRPr="00E822FF" w:rsidRDefault="00171F65" w:rsidP="00E822FF">
      <w:pPr>
        <w:spacing w:line="360" w:lineRule="auto"/>
        <w:jc w:val="both"/>
        <w:rPr>
          <w:rFonts w:ascii="Arial" w:hAnsi="Arial" w:cs="Arial"/>
          <w:sz w:val="22"/>
          <w:szCs w:val="22"/>
          <w:lang w:val="en-US"/>
        </w:rPr>
      </w:pPr>
    </w:p>
    <w:p w14:paraId="6D5B8D58" w14:textId="77777777"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The Dodd-Frank Act's Volcker Rule forbids banks from participating in proprietary trading and places restrictions on their capacity to engage in hedge funds and private equity firms.</w:t>
      </w:r>
    </w:p>
    <w:p w14:paraId="6C4A5B9B" w14:textId="77777777" w:rsidR="00171F65" w:rsidRPr="00E822FF" w:rsidRDefault="00171F65" w:rsidP="00E822FF">
      <w:pPr>
        <w:spacing w:line="360" w:lineRule="auto"/>
        <w:jc w:val="both"/>
        <w:rPr>
          <w:rFonts w:ascii="Arial" w:hAnsi="Arial" w:cs="Arial"/>
          <w:sz w:val="22"/>
          <w:szCs w:val="22"/>
          <w:lang w:val="en-US"/>
        </w:rPr>
      </w:pPr>
    </w:p>
    <w:p w14:paraId="16D0EF0E" w14:textId="0495B240"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lastRenderedPageBreak/>
        <w:t>The Financial Stability Act created the Office of Financial Research, which is tasked with gathering and examining information on the financial system in order to spot any possible dangers or weaknesses</w:t>
      </w:r>
      <w:r w:rsidR="0007508C" w:rsidRPr="00E822FF">
        <w:rPr>
          <w:rFonts w:ascii="Arial" w:hAnsi="Arial" w:cs="Arial"/>
          <w:sz w:val="22"/>
          <w:szCs w:val="22"/>
          <w:lang w:val="en-US"/>
        </w:rPr>
        <w:t xml:space="preserve"> (Dodd-Frank, 2010)</w:t>
      </w:r>
      <w:r w:rsidRPr="00E822FF">
        <w:rPr>
          <w:rFonts w:ascii="Arial" w:hAnsi="Arial" w:cs="Arial"/>
          <w:sz w:val="22"/>
          <w:szCs w:val="22"/>
          <w:lang w:val="en-US"/>
        </w:rPr>
        <w:t>.</w:t>
      </w:r>
    </w:p>
    <w:p w14:paraId="5CAAA87C" w14:textId="77777777" w:rsidR="00171F65" w:rsidRPr="00E822FF" w:rsidRDefault="00171F65" w:rsidP="00E822FF">
      <w:pPr>
        <w:spacing w:line="360" w:lineRule="auto"/>
        <w:jc w:val="both"/>
        <w:rPr>
          <w:rFonts w:ascii="Arial" w:hAnsi="Arial" w:cs="Arial"/>
          <w:sz w:val="22"/>
          <w:szCs w:val="22"/>
          <w:lang w:val="en-US"/>
        </w:rPr>
      </w:pPr>
    </w:p>
    <w:p w14:paraId="06DCF89F" w14:textId="77777777"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EU:</w:t>
      </w:r>
    </w:p>
    <w:p w14:paraId="663A9B0A" w14:textId="77777777" w:rsidR="00171F65" w:rsidRPr="00E822FF" w:rsidRDefault="00171F65" w:rsidP="00E822FF">
      <w:pPr>
        <w:spacing w:line="360" w:lineRule="auto"/>
        <w:jc w:val="both"/>
        <w:rPr>
          <w:rFonts w:ascii="Arial" w:hAnsi="Arial" w:cs="Arial"/>
          <w:sz w:val="22"/>
          <w:szCs w:val="22"/>
          <w:lang w:val="en-US"/>
        </w:rPr>
      </w:pPr>
    </w:p>
    <w:p w14:paraId="256E5922" w14:textId="155E3510" w:rsidR="0007508C" w:rsidRPr="00E822FF" w:rsidRDefault="0007508C" w:rsidP="00E822FF">
      <w:pPr>
        <w:pStyle w:val="Heading2"/>
        <w:spacing w:line="360" w:lineRule="auto"/>
        <w:jc w:val="both"/>
        <w:rPr>
          <w:rFonts w:ascii="Arial" w:hAnsi="Arial" w:cs="Arial"/>
          <w:sz w:val="22"/>
          <w:szCs w:val="22"/>
          <w:lang w:val="en-US"/>
        </w:rPr>
      </w:pPr>
      <w:bookmarkStart w:id="9" w:name="_Toc133613063"/>
      <w:r w:rsidRPr="00E822FF">
        <w:rPr>
          <w:rFonts w:ascii="Arial" w:hAnsi="Arial" w:cs="Arial"/>
          <w:sz w:val="22"/>
          <w:szCs w:val="22"/>
          <w:lang w:val="en-US"/>
        </w:rPr>
        <w:t>Investment Requirements Basel III</w:t>
      </w:r>
      <w:bookmarkEnd w:id="9"/>
    </w:p>
    <w:p w14:paraId="715AC012" w14:textId="33AD7B29"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Investment Requirements Basel III is implemented in the EU via Directive IV, a set of rules that apply to the whole EU. The laws impose additional limitations on leverage and the use of derivatives, as well as new capital and liquidity requirements on banks</w:t>
      </w:r>
      <w:r w:rsidR="0007508C" w:rsidRPr="00E822FF">
        <w:rPr>
          <w:rFonts w:ascii="Arial" w:hAnsi="Arial" w:cs="Arial"/>
          <w:sz w:val="22"/>
          <w:szCs w:val="22"/>
          <w:lang w:val="en-US"/>
        </w:rPr>
        <w:t xml:space="preserve"> (</w:t>
      </w:r>
      <w:proofErr w:type="spellStart"/>
      <w:r w:rsidR="0007508C" w:rsidRPr="00E822FF">
        <w:rPr>
          <w:rFonts w:ascii="Arial" w:hAnsi="Arial" w:cs="Arial"/>
          <w:sz w:val="22"/>
          <w:szCs w:val="22"/>
          <w:lang w:val="en-US"/>
        </w:rPr>
        <w:t>Härle</w:t>
      </w:r>
      <w:proofErr w:type="spellEnd"/>
      <w:r w:rsidR="0007508C" w:rsidRPr="00E822FF">
        <w:rPr>
          <w:rFonts w:ascii="Arial" w:hAnsi="Arial" w:cs="Arial"/>
          <w:sz w:val="22"/>
          <w:szCs w:val="22"/>
          <w:lang w:val="en-US"/>
        </w:rPr>
        <w:t xml:space="preserve"> et al., 2010)</w:t>
      </w:r>
      <w:r w:rsidRPr="00E822FF">
        <w:rPr>
          <w:rFonts w:ascii="Arial" w:hAnsi="Arial" w:cs="Arial"/>
          <w:sz w:val="22"/>
          <w:szCs w:val="22"/>
          <w:lang w:val="en-US"/>
        </w:rPr>
        <w:t>.</w:t>
      </w:r>
    </w:p>
    <w:p w14:paraId="2B4F9EEF" w14:textId="77777777" w:rsidR="0007508C" w:rsidRPr="00E822FF" w:rsidRDefault="0007508C" w:rsidP="00E822FF">
      <w:pPr>
        <w:spacing w:line="360" w:lineRule="auto"/>
        <w:jc w:val="both"/>
        <w:rPr>
          <w:rFonts w:ascii="Arial" w:hAnsi="Arial" w:cs="Arial"/>
          <w:sz w:val="22"/>
          <w:szCs w:val="22"/>
          <w:lang w:val="en-US"/>
        </w:rPr>
      </w:pPr>
    </w:p>
    <w:p w14:paraId="5B84B19E" w14:textId="560F6BBD" w:rsidR="0007508C"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The Capital standards Directive (CRD) and the Capital Requirements Regulation (CRR), which went into force in 2013, transformed the Basel III standards into European Union legislation. The CRD and CRR outline specific guidelines for how EU banks must adhere to the Basel III framework, including minimum standards for capital, liquidity, and leverage.</w:t>
      </w:r>
    </w:p>
    <w:p w14:paraId="5DE8087B" w14:textId="77777777" w:rsidR="00717074" w:rsidRPr="00E822FF" w:rsidRDefault="00717074" w:rsidP="00E822FF">
      <w:pPr>
        <w:spacing w:line="360" w:lineRule="auto"/>
        <w:jc w:val="both"/>
        <w:rPr>
          <w:rFonts w:ascii="Arial" w:hAnsi="Arial" w:cs="Arial"/>
          <w:sz w:val="22"/>
          <w:szCs w:val="22"/>
          <w:lang w:val="en-US"/>
        </w:rPr>
      </w:pPr>
    </w:p>
    <w:p w14:paraId="1F6BE681" w14:textId="04997362" w:rsidR="00717074"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Banks are required to maintain a minimum amount of Tier 1 and Tier 2 capital under the Basel III framework, and this capital must be of a sufficient </w:t>
      </w:r>
      <w:r w:rsidR="00ED0AE9" w:rsidRPr="00E822FF">
        <w:rPr>
          <w:rFonts w:ascii="Arial" w:hAnsi="Arial" w:cs="Arial"/>
          <w:sz w:val="22"/>
          <w:szCs w:val="22"/>
          <w:lang w:val="en-US"/>
        </w:rPr>
        <w:t>caliber</w:t>
      </w:r>
      <w:r w:rsidRPr="00E822FF">
        <w:rPr>
          <w:rFonts w:ascii="Arial" w:hAnsi="Arial" w:cs="Arial"/>
          <w:sz w:val="22"/>
          <w:szCs w:val="22"/>
          <w:lang w:val="en-US"/>
        </w:rPr>
        <w:t xml:space="preserve"> to absorb losses during periods of financial crisis. In order to give another layer of protection against unforeseen losses, the CRR also lays forth guidelines for the computation of risk-weighted assets and capital buffers.</w:t>
      </w:r>
    </w:p>
    <w:p w14:paraId="418772E4" w14:textId="77777777" w:rsidR="00171F65" w:rsidRPr="00E822FF" w:rsidRDefault="00171F65" w:rsidP="00E822FF">
      <w:pPr>
        <w:spacing w:line="360" w:lineRule="auto"/>
        <w:jc w:val="both"/>
        <w:rPr>
          <w:rFonts w:ascii="Arial" w:hAnsi="Arial" w:cs="Arial"/>
          <w:sz w:val="22"/>
          <w:szCs w:val="22"/>
          <w:lang w:val="en-US"/>
        </w:rPr>
      </w:pPr>
    </w:p>
    <w:p w14:paraId="27C6FEBF" w14:textId="1827AEAB" w:rsidR="0007508C" w:rsidRPr="00E822FF" w:rsidRDefault="0007508C" w:rsidP="00E822FF">
      <w:pPr>
        <w:pStyle w:val="Heading2"/>
        <w:spacing w:line="360" w:lineRule="auto"/>
        <w:jc w:val="both"/>
        <w:rPr>
          <w:rFonts w:ascii="Arial" w:hAnsi="Arial" w:cs="Arial"/>
          <w:sz w:val="22"/>
          <w:szCs w:val="22"/>
          <w:lang w:val="en-US"/>
        </w:rPr>
      </w:pPr>
      <w:bookmarkStart w:id="10" w:name="_Toc133613064"/>
      <w:r w:rsidRPr="00E822FF">
        <w:rPr>
          <w:rFonts w:ascii="Arial" w:hAnsi="Arial" w:cs="Arial"/>
          <w:sz w:val="22"/>
          <w:szCs w:val="22"/>
          <w:lang w:val="en-US"/>
        </w:rPr>
        <w:t>The European Market Infrastructure Regulation (EMIR)</w:t>
      </w:r>
      <w:bookmarkEnd w:id="10"/>
    </w:p>
    <w:p w14:paraId="044F7484" w14:textId="77777777"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The European Market Infrastructure Regulation (EMIR) changed the regulations for over-the-counter (OTC) derivatives by requiring central clearing and trade reporting.</w:t>
      </w:r>
    </w:p>
    <w:p w14:paraId="6C411AA8" w14:textId="77777777" w:rsidR="00717074" w:rsidRPr="00E822FF" w:rsidRDefault="00717074" w:rsidP="00E822FF">
      <w:pPr>
        <w:spacing w:line="360" w:lineRule="auto"/>
        <w:jc w:val="both"/>
        <w:rPr>
          <w:rFonts w:ascii="Arial" w:hAnsi="Arial" w:cs="Arial"/>
          <w:sz w:val="22"/>
          <w:szCs w:val="22"/>
          <w:lang w:val="en-US"/>
        </w:rPr>
      </w:pPr>
    </w:p>
    <w:p w14:paraId="181CB0AE" w14:textId="4535D743" w:rsidR="00717074"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All EU financial institutions, including banks, asset managers, hedge funds, and other financial institutions, that transact in OTC derivatives are subject to EMIR. These companies must disclose </w:t>
      </w:r>
      <w:proofErr w:type="gramStart"/>
      <w:r w:rsidRPr="00E822FF">
        <w:rPr>
          <w:rFonts w:ascii="Arial" w:hAnsi="Arial" w:cs="Arial"/>
          <w:sz w:val="22"/>
          <w:szCs w:val="22"/>
          <w:lang w:val="en-US"/>
        </w:rPr>
        <w:t>all of</w:t>
      </w:r>
      <w:proofErr w:type="gramEnd"/>
      <w:r w:rsidRPr="00E822FF">
        <w:rPr>
          <w:rFonts w:ascii="Arial" w:hAnsi="Arial" w:cs="Arial"/>
          <w:sz w:val="22"/>
          <w:szCs w:val="22"/>
          <w:lang w:val="en-US"/>
        </w:rPr>
        <w:t xml:space="preserve"> their OTC derivatives dealings under EMIR to trade repositories, which are </w:t>
      </w:r>
      <w:r w:rsidR="00ED0AE9" w:rsidRPr="00E822FF">
        <w:rPr>
          <w:rFonts w:ascii="Arial" w:hAnsi="Arial" w:cs="Arial"/>
          <w:sz w:val="22"/>
          <w:szCs w:val="22"/>
          <w:lang w:val="en-US"/>
        </w:rPr>
        <w:t>organizations</w:t>
      </w:r>
      <w:r w:rsidRPr="00E822FF">
        <w:rPr>
          <w:rFonts w:ascii="Arial" w:hAnsi="Arial" w:cs="Arial"/>
          <w:sz w:val="22"/>
          <w:szCs w:val="22"/>
          <w:lang w:val="en-US"/>
        </w:rPr>
        <w:t xml:space="preserve"> in charge of gathering and preserving data on all OTC derivative deals. Regulators can then </w:t>
      </w:r>
      <w:r w:rsidR="00ED0AE9" w:rsidRPr="00E822FF">
        <w:rPr>
          <w:rFonts w:ascii="Arial" w:hAnsi="Arial" w:cs="Arial"/>
          <w:sz w:val="22"/>
          <w:szCs w:val="22"/>
          <w:lang w:val="en-US"/>
        </w:rPr>
        <w:t>utilize</w:t>
      </w:r>
      <w:r w:rsidRPr="00E822FF">
        <w:rPr>
          <w:rFonts w:ascii="Arial" w:hAnsi="Arial" w:cs="Arial"/>
          <w:sz w:val="22"/>
          <w:szCs w:val="22"/>
          <w:lang w:val="en-US"/>
        </w:rPr>
        <w:t xml:space="preserve"> this information to monitor market activity and spot possible dangers by having it available to them.</w:t>
      </w:r>
    </w:p>
    <w:p w14:paraId="59DE59F9" w14:textId="77777777" w:rsidR="00717074" w:rsidRPr="00E822FF" w:rsidRDefault="00717074" w:rsidP="00E822FF">
      <w:pPr>
        <w:spacing w:line="360" w:lineRule="auto"/>
        <w:jc w:val="both"/>
        <w:rPr>
          <w:rFonts w:ascii="Arial" w:hAnsi="Arial" w:cs="Arial"/>
          <w:sz w:val="22"/>
          <w:szCs w:val="22"/>
          <w:lang w:val="en-US"/>
        </w:rPr>
      </w:pPr>
    </w:p>
    <w:p w14:paraId="6018A654" w14:textId="77777777" w:rsidR="00717074"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In addition to the reporting requirement, the EMIR imposes a number of other requirements on financial institutions, such as the need to have risk management policies in place to control counterparty credit risk and the need to clear specific classes of OTC derivatives through central counterparties (CCPs).</w:t>
      </w:r>
    </w:p>
    <w:p w14:paraId="0C4C5E7E" w14:textId="77777777" w:rsidR="00717074" w:rsidRPr="00E822FF" w:rsidRDefault="00717074" w:rsidP="00E822FF">
      <w:pPr>
        <w:spacing w:line="360" w:lineRule="auto"/>
        <w:jc w:val="both"/>
        <w:rPr>
          <w:rFonts w:ascii="Arial" w:hAnsi="Arial" w:cs="Arial"/>
          <w:sz w:val="22"/>
          <w:szCs w:val="22"/>
          <w:lang w:val="en-US"/>
        </w:rPr>
      </w:pPr>
    </w:p>
    <w:p w14:paraId="77359DB4" w14:textId="77777777" w:rsidR="00171F65" w:rsidRPr="00E822FF" w:rsidRDefault="00171F65" w:rsidP="00E822FF">
      <w:pPr>
        <w:spacing w:line="360" w:lineRule="auto"/>
        <w:jc w:val="both"/>
        <w:rPr>
          <w:rFonts w:ascii="Arial" w:hAnsi="Arial" w:cs="Arial"/>
          <w:sz w:val="22"/>
          <w:szCs w:val="22"/>
          <w:lang w:val="en-US"/>
        </w:rPr>
      </w:pPr>
    </w:p>
    <w:p w14:paraId="0AB726A8" w14:textId="2F52AC09" w:rsidR="0007508C" w:rsidRPr="00E822FF" w:rsidRDefault="0007508C" w:rsidP="00E822FF">
      <w:pPr>
        <w:pStyle w:val="Heading2"/>
        <w:spacing w:line="360" w:lineRule="auto"/>
        <w:jc w:val="both"/>
        <w:rPr>
          <w:rFonts w:ascii="Arial" w:hAnsi="Arial" w:cs="Arial"/>
          <w:sz w:val="22"/>
          <w:szCs w:val="22"/>
          <w:lang w:val="en-US"/>
        </w:rPr>
      </w:pPr>
      <w:bookmarkStart w:id="11" w:name="_Toc133613065"/>
      <w:r w:rsidRPr="00E822FF">
        <w:rPr>
          <w:rFonts w:ascii="Arial" w:hAnsi="Arial" w:cs="Arial"/>
          <w:sz w:val="22"/>
          <w:szCs w:val="22"/>
          <w:lang w:val="en-US"/>
        </w:rPr>
        <w:t>European structure of Financial Supervision (ESFS)</w:t>
      </w:r>
      <w:bookmarkEnd w:id="11"/>
    </w:p>
    <w:p w14:paraId="368E6F0B" w14:textId="77777777" w:rsidR="00717074" w:rsidRPr="00E822FF" w:rsidRDefault="00717074" w:rsidP="00E822FF">
      <w:pPr>
        <w:spacing w:line="360" w:lineRule="auto"/>
        <w:jc w:val="both"/>
        <w:rPr>
          <w:rFonts w:ascii="Arial" w:hAnsi="Arial" w:cs="Arial"/>
          <w:sz w:val="22"/>
          <w:szCs w:val="22"/>
          <w:lang w:val="en-US"/>
        </w:rPr>
      </w:pPr>
    </w:p>
    <w:p w14:paraId="39EABD81" w14:textId="458E9A02" w:rsidR="00171F65" w:rsidRPr="00E822FF" w:rsidRDefault="00171F65" w:rsidP="00E822FF">
      <w:pPr>
        <w:spacing w:line="360" w:lineRule="auto"/>
        <w:jc w:val="both"/>
        <w:rPr>
          <w:rFonts w:ascii="Arial" w:hAnsi="Arial" w:cs="Arial"/>
          <w:sz w:val="22"/>
          <w:szCs w:val="22"/>
          <w:lang w:val="en-US"/>
        </w:rPr>
      </w:pPr>
      <w:r w:rsidRPr="00E822FF">
        <w:rPr>
          <w:rFonts w:ascii="Arial" w:hAnsi="Arial" w:cs="Arial"/>
          <w:sz w:val="22"/>
          <w:szCs w:val="22"/>
          <w:lang w:val="en-US"/>
        </w:rPr>
        <w:t>The European Union (EU) set up the European structure of Financial Supervision (ESFS) as a structure of regulatory agencies in response to the financial crisis. The European Insurance and Occupational Pensions Authority, the European Securities and Markets Authority, and the European Banking Authority are all part of the system.</w:t>
      </w:r>
    </w:p>
    <w:p w14:paraId="3409F4B7" w14:textId="77777777" w:rsidR="00717074" w:rsidRPr="00E822FF" w:rsidRDefault="00717074" w:rsidP="00E822FF">
      <w:pPr>
        <w:spacing w:line="360" w:lineRule="auto"/>
        <w:jc w:val="both"/>
        <w:rPr>
          <w:rFonts w:ascii="Arial" w:hAnsi="Arial" w:cs="Arial"/>
          <w:sz w:val="22"/>
          <w:szCs w:val="22"/>
          <w:lang w:val="en-US"/>
        </w:rPr>
      </w:pPr>
    </w:p>
    <w:p w14:paraId="0062A9E4" w14:textId="1E642BDE" w:rsidR="00717074"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The ESFS was financed by a combination of bonds and guarantees from eurozone member states and was created to function as a temporary crisis resolution tool. It gave loans to nations in need of money on the condition that they carry out stringent budgetary and structural changes to address the root causes of their economic problems (</w:t>
      </w:r>
      <w:proofErr w:type="spellStart"/>
      <w:r w:rsidRPr="00E822FF">
        <w:rPr>
          <w:rFonts w:ascii="Arial" w:hAnsi="Arial" w:cs="Arial"/>
          <w:sz w:val="22"/>
          <w:szCs w:val="22"/>
          <w:lang w:val="en-US"/>
        </w:rPr>
        <w:t>esfs</w:t>
      </w:r>
      <w:proofErr w:type="spellEnd"/>
      <w:r w:rsidRPr="00E822FF">
        <w:rPr>
          <w:rFonts w:ascii="Arial" w:hAnsi="Arial" w:cs="Arial"/>
          <w:sz w:val="22"/>
          <w:szCs w:val="22"/>
          <w:lang w:val="en-US"/>
        </w:rPr>
        <w:t>, 2010).</w:t>
      </w:r>
    </w:p>
    <w:p w14:paraId="7BC315C8" w14:textId="77777777" w:rsidR="00717074" w:rsidRPr="00E822FF" w:rsidRDefault="00717074" w:rsidP="00E822FF">
      <w:pPr>
        <w:spacing w:line="360" w:lineRule="auto"/>
        <w:jc w:val="both"/>
        <w:rPr>
          <w:rFonts w:ascii="Arial" w:hAnsi="Arial" w:cs="Arial"/>
          <w:sz w:val="22"/>
          <w:szCs w:val="22"/>
          <w:lang w:val="en-US"/>
        </w:rPr>
      </w:pPr>
    </w:p>
    <w:p w14:paraId="3754E988" w14:textId="179AB312" w:rsidR="00717074"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In order to address the systemic risks created by the sovereign debt crisis and to ensure the stability of the eurozone, the ESFS and ESM were established. However, there has been debate over the use of these mechanisms, with some detractors claiming that the stringent requirements for receiving financial aid have made the economic and social issues in recipient nations worse. However, the ESFS and ESM continue to be crucial instruments for combating financial instability in the eurozone and fostering greater economic integration and stability in the region.</w:t>
      </w:r>
    </w:p>
    <w:p w14:paraId="323E928B" w14:textId="77777777" w:rsidR="00717074" w:rsidRPr="00E822FF" w:rsidRDefault="00717074" w:rsidP="00E822FF">
      <w:pPr>
        <w:spacing w:line="360" w:lineRule="auto"/>
        <w:jc w:val="both"/>
        <w:rPr>
          <w:rFonts w:ascii="Arial" w:hAnsi="Arial" w:cs="Arial"/>
          <w:sz w:val="22"/>
          <w:szCs w:val="22"/>
          <w:lang w:val="en-US"/>
        </w:rPr>
      </w:pPr>
    </w:p>
    <w:p w14:paraId="2C518D5F" w14:textId="472738BA" w:rsidR="00717074"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In addition to the ESFS, the European Stability Mechanism (ESM) was created in 2012 to offer eurozone nations longer-term financial support. The ESM is a permanent institution that has the responsibility of lending money to nations who are having serious financial problems. It is financed by a combination of callable and paid-in capital.</w:t>
      </w:r>
    </w:p>
    <w:p w14:paraId="5298F3F4" w14:textId="77777777" w:rsidR="00171F65" w:rsidRPr="00E822FF" w:rsidRDefault="00171F65" w:rsidP="00E822FF">
      <w:pPr>
        <w:spacing w:line="360" w:lineRule="auto"/>
        <w:jc w:val="both"/>
        <w:rPr>
          <w:rFonts w:ascii="Arial" w:hAnsi="Arial" w:cs="Arial"/>
          <w:sz w:val="22"/>
          <w:szCs w:val="22"/>
          <w:lang w:val="en-US"/>
        </w:rPr>
      </w:pPr>
    </w:p>
    <w:p w14:paraId="67F5A331" w14:textId="77777777" w:rsidR="00171F65" w:rsidRPr="00E822FF" w:rsidRDefault="00171F65" w:rsidP="00E822FF">
      <w:pPr>
        <w:spacing w:line="360" w:lineRule="auto"/>
        <w:jc w:val="both"/>
        <w:rPr>
          <w:rFonts w:ascii="Arial" w:hAnsi="Arial" w:cs="Arial"/>
          <w:sz w:val="22"/>
          <w:szCs w:val="22"/>
          <w:lang w:val="en-US"/>
        </w:rPr>
      </w:pPr>
    </w:p>
    <w:p w14:paraId="204C68B8" w14:textId="77777777" w:rsidR="00065588" w:rsidRPr="00E822FF" w:rsidRDefault="00065588" w:rsidP="00E822FF">
      <w:pPr>
        <w:spacing w:line="360" w:lineRule="auto"/>
        <w:jc w:val="both"/>
        <w:rPr>
          <w:rFonts w:ascii="Arial" w:hAnsi="Arial" w:cs="Arial"/>
          <w:sz w:val="22"/>
          <w:szCs w:val="22"/>
          <w:lang w:val="en-US"/>
        </w:rPr>
      </w:pPr>
    </w:p>
    <w:p w14:paraId="58EFED0A" w14:textId="6D8F51A7" w:rsidR="00065588" w:rsidRPr="00E822FF" w:rsidRDefault="00065588"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The global economy was severely impacted by the 2008 financial crisis, which was a serious incident. The housing bubble, loose lending guidelines, and the widespread use of sophisticated financial products that were mispriced and poorly understood were some of the reasons that contributed to the crisis. Policymakers responded to the crisis by enacting a number of changes that were meant to </w:t>
      </w:r>
      <w:r w:rsidR="0007508C" w:rsidRPr="00E822FF">
        <w:rPr>
          <w:rFonts w:ascii="Arial" w:hAnsi="Arial" w:cs="Arial"/>
          <w:sz w:val="22"/>
          <w:szCs w:val="22"/>
          <w:lang w:val="en-US"/>
        </w:rPr>
        <w:t>stabilize</w:t>
      </w:r>
      <w:r w:rsidRPr="00E822FF">
        <w:rPr>
          <w:rFonts w:ascii="Arial" w:hAnsi="Arial" w:cs="Arial"/>
          <w:sz w:val="22"/>
          <w:szCs w:val="22"/>
          <w:lang w:val="en-US"/>
        </w:rPr>
        <w:t xml:space="preserve"> the financial system and lessen the possibility of future crises. The Basel III framework and the Dodd-Frank Wall Street Reform and Consumer Protection Act were the two most important of these changes.</w:t>
      </w:r>
    </w:p>
    <w:p w14:paraId="076573E6" w14:textId="77777777" w:rsidR="00065588" w:rsidRPr="00E822FF" w:rsidRDefault="00065588" w:rsidP="00E822FF">
      <w:pPr>
        <w:spacing w:line="360" w:lineRule="auto"/>
        <w:jc w:val="both"/>
        <w:rPr>
          <w:rFonts w:ascii="Arial" w:hAnsi="Arial" w:cs="Arial"/>
          <w:sz w:val="22"/>
          <w:szCs w:val="22"/>
          <w:lang w:val="en-US"/>
        </w:rPr>
      </w:pPr>
    </w:p>
    <w:p w14:paraId="54D4F88E" w14:textId="3A64BC6A" w:rsidR="00065588" w:rsidRPr="00E822FF" w:rsidRDefault="00717074" w:rsidP="00E822FF">
      <w:pPr>
        <w:pStyle w:val="Heading1"/>
        <w:rPr>
          <w:lang w:val="en-US"/>
        </w:rPr>
      </w:pPr>
      <w:bookmarkStart w:id="12" w:name="_Toc133613066"/>
      <w:r w:rsidRPr="00E822FF">
        <w:rPr>
          <w:lang w:val="en-US"/>
        </w:rPr>
        <w:lastRenderedPageBreak/>
        <w:t>Towards Stability</w:t>
      </w:r>
      <w:bookmarkEnd w:id="12"/>
      <w:r w:rsidRPr="00E822FF">
        <w:rPr>
          <w:lang w:val="en-US"/>
        </w:rPr>
        <w:t xml:space="preserve"> </w:t>
      </w:r>
    </w:p>
    <w:p w14:paraId="4B8BE001" w14:textId="77777777" w:rsidR="00717074" w:rsidRPr="00E822FF" w:rsidRDefault="00717074" w:rsidP="00E822FF">
      <w:pPr>
        <w:spacing w:line="360" w:lineRule="auto"/>
        <w:jc w:val="both"/>
        <w:rPr>
          <w:rFonts w:ascii="Arial" w:hAnsi="Arial" w:cs="Arial"/>
          <w:sz w:val="22"/>
          <w:szCs w:val="22"/>
          <w:lang w:val="en-US"/>
        </w:rPr>
      </w:pPr>
    </w:p>
    <w:p w14:paraId="6D95B7C6" w14:textId="77777777" w:rsidR="00717074"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The global economy saw a considerable fall in activity as a result of the 2008 financial crisis, which also sparked a wave of financial instability that put the stability of the global financial system in jeopardy. In response, governments and central banks adopted a variety of legislative initiatives designed to encourage economic growth and financial market stability.</w:t>
      </w:r>
    </w:p>
    <w:p w14:paraId="23B81C58" w14:textId="77777777" w:rsidR="00717074" w:rsidRPr="00E822FF" w:rsidRDefault="00717074" w:rsidP="00E822FF">
      <w:pPr>
        <w:spacing w:line="360" w:lineRule="auto"/>
        <w:jc w:val="both"/>
        <w:rPr>
          <w:rFonts w:ascii="Arial" w:hAnsi="Arial" w:cs="Arial"/>
          <w:sz w:val="22"/>
          <w:szCs w:val="22"/>
          <w:lang w:val="en-US"/>
        </w:rPr>
      </w:pPr>
    </w:p>
    <w:p w14:paraId="1502D9E8" w14:textId="5931AE64" w:rsidR="00717074"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The Dodd-Frank Wall Street Reform and Consumer Protection Act, passed in the US in 2010, was one significant response to the crisis. In order to guard against another catastrophe of this nature, this bill was created to improve financial monitoring and regulation in the US. Dodd-Frank created new regulatory </w:t>
      </w:r>
      <w:r w:rsidR="00ED0AE9" w:rsidRPr="00E822FF">
        <w:rPr>
          <w:rFonts w:ascii="Arial" w:hAnsi="Arial" w:cs="Arial"/>
          <w:sz w:val="22"/>
          <w:szCs w:val="22"/>
          <w:lang w:val="en-US"/>
        </w:rPr>
        <w:t>organizations</w:t>
      </w:r>
      <w:r w:rsidRPr="00E822FF">
        <w:rPr>
          <w:rFonts w:ascii="Arial" w:hAnsi="Arial" w:cs="Arial"/>
          <w:sz w:val="22"/>
          <w:szCs w:val="22"/>
          <w:lang w:val="en-US"/>
        </w:rPr>
        <w:t>, like the Consumer Financial Protection Bureau and the Financial Stability Oversight Council, and unveiled new rules intended to reduce systemic risk (</w:t>
      </w:r>
      <w:proofErr w:type="spellStart"/>
      <w:r w:rsidRPr="00E822FF">
        <w:rPr>
          <w:rFonts w:ascii="Arial" w:hAnsi="Arial" w:cs="Arial"/>
          <w:sz w:val="22"/>
          <w:szCs w:val="22"/>
          <w:lang w:val="en-US"/>
        </w:rPr>
        <w:t>Mor</w:t>
      </w:r>
      <w:proofErr w:type="spellEnd"/>
      <w:r w:rsidRPr="00E822FF">
        <w:rPr>
          <w:rFonts w:ascii="Arial" w:hAnsi="Arial" w:cs="Arial"/>
          <w:sz w:val="22"/>
          <w:szCs w:val="22"/>
          <w:lang w:val="en-US"/>
        </w:rPr>
        <w:t xml:space="preserve">, 2018). </w:t>
      </w:r>
    </w:p>
    <w:p w14:paraId="15807AD9" w14:textId="77777777" w:rsidR="00717074" w:rsidRPr="00E822FF" w:rsidRDefault="00717074" w:rsidP="00E822FF">
      <w:pPr>
        <w:spacing w:line="360" w:lineRule="auto"/>
        <w:jc w:val="both"/>
        <w:rPr>
          <w:rFonts w:ascii="Arial" w:hAnsi="Arial" w:cs="Arial"/>
          <w:sz w:val="22"/>
          <w:szCs w:val="22"/>
          <w:lang w:val="en-US"/>
        </w:rPr>
      </w:pPr>
    </w:p>
    <w:p w14:paraId="717A595F" w14:textId="564E1461" w:rsidR="00717074"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International efforts were made to address the causes of the crisis in addition to domestic regulatory improvements. The Basel III framework was created in response to the financial crisis by the Basel Committee on Banking Supervision, which establishes worldwide standards for banking regulation and supervision. To strengthen the financial system's ability to withstand future crises, Basel III increased the capital requirements, liquidity rules, and risk management procedures for banks</w:t>
      </w:r>
      <w:r w:rsidR="001136D6" w:rsidRPr="00E822FF">
        <w:rPr>
          <w:rFonts w:ascii="Arial" w:hAnsi="Arial" w:cs="Arial"/>
          <w:sz w:val="22"/>
          <w:szCs w:val="22"/>
          <w:lang w:val="en-US"/>
        </w:rPr>
        <w:t xml:space="preserve"> (IMF, 2010)</w:t>
      </w:r>
      <w:r w:rsidRPr="00E822FF">
        <w:rPr>
          <w:rFonts w:ascii="Arial" w:hAnsi="Arial" w:cs="Arial"/>
          <w:sz w:val="22"/>
          <w:szCs w:val="22"/>
          <w:lang w:val="en-US"/>
        </w:rPr>
        <w:t>.</w:t>
      </w:r>
    </w:p>
    <w:p w14:paraId="12B8E226" w14:textId="77777777" w:rsidR="00717074" w:rsidRPr="00E822FF" w:rsidRDefault="00717074" w:rsidP="00E822FF">
      <w:pPr>
        <w:spacing w:line="360" w:lineRule="auto"/>
        <w:jc w:val="both"/>
        <w:rPr>
          <w:rFonts w:ascii="Arial" w:hAnsi="Arial" w:cs="Arial"/>
          <w:sz w:val="22"/>
          <w:szCs w:val="22"/>
          <w:lang w:val="en-US"/>
        </w:rPr>
      </w:pPr>
    </w:p>
    <w:p w14:paraId="0C2F3592" w14:textId="4B760786" w:rsidR="00717074" w:rsidRPr="00E822FF" w:rsidRDefault="00717074" w:rsidP="00E822FF">
      <w:pPr>
        <w:spacing w:line="360" w:lineRule="auto"/>
        <w:jc w:val="both"/>
        <w:rPr>
          <w:rFonts w:ascii="Arial" w:hAnsi="Arial" w:cs="Arial"/>
          <w:sz w:val="22"/>
          <w:szCs w:val="22"/>
          <w:lang w:val="en-US"/>
        </w:rPr>
      </w:pPr>
      <w:r w:rsidRPr="00E822FF">
        <w:rPr>
          <w:rFonts w:ascii="Arial" w:hAnsi="Arial" w:cs="Arial"/>
          <w:sz w:val="22"/>
          <w:szCs w:val="22"/>
          <w:lang w:val="en-US"/>
        </w:rPr>
        <w:t>Additionally, central banks were crucial in preserving financial market stability and promoting economic growth. For instance, the US Federal Reserve adopted a number of unconventional monetary policy tools, such as large-scale asset purchases and interest rate forward guidance, to reduce borrowing costs and promote economic development. Similar to this, the European Central Bank put in place a number of measures designed to aid the European banking sector and encourage eurozone economic expansion</w:t>
      </w:r>
      <w:r w:rsidR="001136D6" w:rsidRPr="00E822FF">
        <w:rPr>
          <w:rFonts w:ascii="Arial" w:hAnsi="Arial" w:cs="Arial"/>
          <w:sz w:val="22"/>
          <w:szCs w:val="22"/>
          <w:lang w:val="en-US"/>
        </w:rPr>
        <w:t xml:space="preserve"> (Bank, 2011)</w:t>
      </w:r>
      <w:r w:rsidRPr="00E822FF">
        <w:rPr>
          <w:rFonts w:ascii="Arial" w:hAnsi="Arial" w:cs="Arial"/>
          <w:sz w:val="22"/>
          <w:szCs w:val="22"/>
          <w:lang w:val="en-US"/>
        </w:rPr>
        <w:t>.</w:t>
      </w:r>
    </w:p>
    <w:p w14:paraId="20D75867" w14:textId="77777777" w:rsidR="001B03EF" w:rsidRPr="00E822FF" w:rsidRDefault="001B03EF" w:rsidP="00E822FF">
      <w:pPr>
        <w:spacing w:line="360" w:lineRule="auto"/>
        <w:jc w:val="both"/>
        <w:rPr>
          <w:rFonts w:ascii="Arial" w:hAnsi="Arial" w:cs="Arial"/>
          <w:sz w:val="22"/>
          <w:szCs w:val="22"/>
          <w:lang w:val="en-US"/>
        </w:rPr>
      </w:pPr>
    </w:p>
    <w:p w14:paraId="02201B2D" w14:textId="6FFB0525" w:rsidR="00A87161" w:rsidRPr="00E822FF" w:rsidRDefault="00A87161" w:rsidP="00E822FF">
      <w:pPr>
        <w:pStyle w:val="Heading2"/>
        <w:spacing w:line="360" w:lineRule="auto"/>
        <w:jc w:val="both"/>
        <w:rPr>
          <w:rFonts w:ascii="Arial" w:hAnsi="Arial" w:cs="Arial"/>
          <w:sz w:val="22"/>
          <w:szCs w:val="22"/>
          <w:lang w:val="en-US"/>
        </w:rPr>
      </w:pPr>
      <w:bookmarkStart w:id="13" w:name="_Toc133613067"/>
      <w:r w:rsidRPr="00E822FF">
        <w:rPr>
          <w:rFonts w:ascii="Arial" w:hAnsi="Arial" w:cs="Arial"/>
          <w:sz w:val="22"/>
          <w:szCs w:val="22"/>
          <w:lang w:val="en-US"/>
        </w:rPr>
        <w:t>SIFI Framework</w:t>
      </w:r>
      <w:bookmarkEnd w:id="13"/>
      <w:r w:rsidRPr="00E822FF">
        <w:rPr>
          <w:rFonts w:ascii="Arial" w:hAnsi="Arial" w:cs="Arial"/>
          <w:sz w:val="22"/>
          <w:szCs w:val="22"/>
          <w:lang w:val="en-US"/>
        </w:rPr>
        <w:t xml:space="preserve"> </w:t>
      </w:r>
    </w:p>
    <w:p w14:paraId="55F9096A" w14:textId="77777777" w:rsidR="00A87161" w:rsidRPr="00E822FF" w:rsidRDefault="00A87161" w:rsidP="00E822FF">
      <w:pPr>
        <w:spacing w:line="360" w:lineRule="auto"/>
        <w:jc w:val="both"/>
        <w:rPr>
          <w:rFonts w:ascii="Arial" w:hAnsi="Arial" w:cs="Arial"/>
          <w:sz w:val="22"/>
          <w:szCs w:val="22"/>
          <w:lang w:val="en-US"/>
        </w:rPr>
      </w:pPr>
    </w:p>
    <w:p w14:paraId="0F378C97" w14:textId="24BF324A" w:rsidR="001B03EF" w:rsidRPr="00E822FF" w:rsidRDefault="00A87161"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According </w:t>
      </w:r>
      <w:proofErr w:type="gramStart"/>
      <w:r w:rsidRPr="00E822FF">
        <w:rPr>
          <w:rFonts w:ascii="Arial" w:hAnsi="Arial" w:cs="Arial"/>
          <w:sz w:val="22"/>
          <w:szCs w:val="22"/>
          <w:lang w:val="en-US"/>
        </w:rPr>
        <w:t xml:space="preserve">to  </w:t>
      </w:r>
      <w:r w:rsidR="001B03EF" w:rsidRPr="00E822FF">
        <w:rPr>
          <w:rFonts w:ascii="Arial" w:hAnsi="Arial" w:cs="Arial"/>
          <w:sz w:val="22"/>
          <w:szCs w:val="22"/>
          <w:lang w:val="en-US"/>
        </w:rPr>
        <w:t>FSB</w:t>
      </w:r>
      <w:proofErr w:type="gramEnd"/>
      <w:r w:rsidR="001B03EF" w:rsidRPr="00E822FF">
        <w:rPr>
          <w:rFonts w:ascii="Arial" w:hAnsi="Arial" w:cs="Arial"/>
          <w:sz w:val="22"/>
          <w:szCs w:val="22"/>
          <w:lang w:val="en-US"/>
        </w:rPr>
        <w:t xml:space="preserve"> (2016)</w:t>
      </w:r>
      <w:r w:rsidRPr="00E822FF">
        <w:rPr>
          <w:rFonts w:ascii="Arial" w:hAnsi="Arial" w:cs="Arial"/>
          <w:sz w:val="22"/>
          <w:szCs w:val="22"/>
          <w:lang w:val="en-US"/>
        </w:rPr>
        <w:t>, The global financial system as well as the overall economy may be severely harmed by the failure of major financial institutions, as the 2008 financial crisis demonstrated. The international community responded by creating a framework to deal with the problem of systemically significant financial institutions (SIFIs).</w:t>
      </w:r>
    </w:p>
    <w:p w14:paraId="1BFF8D3B" w14:textId="77777777" w:rsidR="00A87161" w:rsidRPr="00E822FF" w:rsidRDefault="00A87161" w:rsidP="00E822FF">
      <w:pPr>
        <w:spacing w:line="360" w:lineRule="auto"/>
        <w:jc w:val="both"/>
        <w:rPr>
          <w:rFonts w:ascii="Arial" w:hAnsi="Arial" w:cs="Arial"/>
          <w:sz w:val="22"/>
          <w:szCs w:val="22"/>
          <w:lang w:val="en-US"/>
        </w:rPr>
      </w:pPr>
    </w:p>
    <w:p w14:paraId="01D849CF" w14:textId="64C76803" w:rsidR="00A87161" w:rsidRPr="00E822FF" w:rsidRDefault="00A87161" w:rsidP="00E822FF">
      <w:pPr>
        <w:spacing w:line="360" w:lineRule="auto"/>
        <w:jc w:val="both"/>
        <w:rPr>
          <w:rFonts w:ascii="Arial" w:hAnsi="Arial" w:cs="Arial"/>
          <w:sz w:val="22"/>
          <w:szCs w:val="22"/>
          <w:lang w:val="en-US"/>
        </w:rPr>
      </w:pPr>
      <w:r w:rsidRPr="00E822FF">
        <w:rPr>
          <w:rFonts w:ascii="Arial" w:hAnsi="Arial" w:cs="Arial"/>
          <w:sz w:val="22"/>
          <w:szCs w:val="22"/>
          <w:lang w:val="en-US"/>
        </w:rPr>
        <w:lastRenderedPageBreak/>
        <w:t>The global financial system as well as the overall economy may be severely harmed by the failure of major financial institutions, as the 2008 financial crisis demonstrated. The international community responded by creating a framework to deal with the problem of systemically significant financial institutions (SIFIs).</w:t>
      </w:r>
    </w:p>
    <w:p w14:paraId="5BAAFD58" w14:textId="77777777" w:rsidR="00A87161" w:rsidRPr="00E822FF" w:rsidRDefault="00A87161" w:rsidP="00E822FF">
      <w:pPr>
        <w:spacing w:line="360" w:lineRule="auto"/>
        <w:jc w:val="both"/>
        <w:rPr>
          <w:rFonts w:ascii="Arial" w:hAnsi="Arial" w:cs="Arial"/>
          <w:sz w:val="22"/>
          <w:szCs w:val="22"/>
          <w:lang w:val="en-US"/>
        </w:rPr>
      </w:pPr>
    </w:p>
    <w:p w14:paraId="5AA3B607" w14:textId="77777777" w:rsidR="00A87161" w:rsidRPr="00E822FF" w:rsidRDefault="00A87161" w:rsidP="00E822FF">
      <w:pPr>
        <w:spacing w:line="360" w:lineRule="auto"/>
        <w:jc w:val="both"/>
        <w:rPr>
          <w:rFonts w:ascii="Arial" w:hAnsi="Arial" w:cs="Arial"/>
          <w:sz w:val="22"/>
          <w:szCs w:val="22"/>
          <w:lang w:val="en-US"/>
        </w:rPr>
      </w:pPr>
      <w:r w:rsidRPr="00E822FF">
        <w:rPr>
          <w:rFonts w:ascii="Arial" w:hAnsi="Arial" w:cs="Arial"/>
          <w:sz w:val="22"/>
          <w:szCs w:val="22"/>
          <w:lang w:val="en-US"/>
        </w:rPr>
        <w:t>G-SIBs are required by the SIFI framework to maintain higher capital and liquidity levels than other banks in order to lower the risk of failure and lessen the possible impact on the larger financial system. Additionally, G-SIBs are required to create recovery and resolution plans outlining how they would handle a crisis situation and are subject to increased supervisory oversight.</w:t>
      </w:r>
    </w:p>
    <w:p w14:paraId="558B062E" w14:textId="77777777" w:rsidR="00A87161" w:rsidRPr="00E822FF" w:rsidRDefault="00A87161" w:rsidP="00E822FF">
      <w:pPr>
        <w:spacing w:line="360" w:lineRule="auto"/>
        <w:jc w:val="both"/>
        <w:rPr>
          <w:rFonts w:ascii="Arial" w:hAnsi="Arial" w:cs="Arial"/>
          <w:sz w:val="22"/>
          <w:szCs w:val="22"/>
          <w:lang w:val="en-US"/>
        </w:rPr>
      </w:pPr>
    </w:p>
    <w:p w14:paraId="4A87DACB" w14:textId="52B6A79E" w:rsidR="00A87161" w:rsidRPr="00E822FF" w:rsidRDefault="00A87161"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National regulatory agencies in several nations, including those in the United States, Europe, and Japan, have put the framework into </w:t>
      </w:r>
      <w:r w:rsidR="00ED0AE9" w:rsidRPr="00E822FF">
        <w:rPr>
          <w:rFonts w:ascii="Arial" w:hAnsi="Arial" w:cs="Arial"/>
          <w:sz w:val="22"/>
          <w:szCs w:val="22"/>
          <w:lang w:val="en-US"/>
        </w:rPr>
        <w:t>practice</w:t>
      </w:r>
      <w:r w:rsidRPr="00E822FF">
        <w:rPr>
          <w:rFonts w:ascii="Arial" w:hAnsi="Arial" w:cs="Arial"/>
          <w:sz w:val="22"/>
          <w:szCs w:val="22"/>
          <w:lang w:val="en-US"/>
        </w:rPr>
        <w:t>. Additional requirements for G-SIBs under the Basel III regulatory framework include increased capital buffers, leverage caps, and liquidity requirements.</w:t>
      </w:r>
    </w:p>
    <w:p w14:paraId="0F32DFAB" w14:textId="77777777" w:rsidR="00717074" w:rsidRPr="00E822FF" w:rsidRDefault="00717074" w:rsidP="00E822FF">
      <w:pPr>
        <w:spacing w:line="360" w:lineRule="auto"/>
        <w:jc w:val="both"/>
        <w:rPr>
          <w:rStyle w:val="Heading1Char"/>
          <w:rFonts w:ascii="Arial" w:hAnsi="Arial" w:cs="Arial"/>
          <w:sz w:val="22"/>
          <w:szCs w:val="22"/>
        </w:rPr>
      </w:pPr>
    </w:p>
    <w:p w14:paraId="08886B27" w14:textId="77777777" w:rsidR="00717074" w:rsidRPr="00E822FF" w:rsidRDefault="00717074" w:rsidP="00E822FF">
      <w:pPr>
        <w:spacing w:line="360" w:lineRule="auto"/>
        <w:jc w:val="both"/>
        <w:rPr>
          <w:rFonts w:ascii="Arial" w:hAnsi="Arial" w:cs="Arial"/>
          <w:sz w:val="22"/>
          <w:szCs w:val="22"/>
          <w:lang w:val="en-US"/>
        </w:rPr>
      </w:pPr>
    </w:p>
    <w:p w14:paraId="6B313BE5" w14:textId="77777777" w:rsidR="006015AB" w:rsidRPr="00E822FF" w:rsidRDefault="006015AB" w:rsidP="00E822FF">
      <w:pPr>
        <w:pStyle w:val="Heading2"/>
        <w:spacing w:line="360" w:lineRule="auto"/>
        <w:jc w:val="both"/>
        <w:rPr>
          <w:rFonts w:ascii="Arial" w:hAnsi="Arial" w:cs="Arial"/>
          <w:sz w:val="22"/>
          <w:szCs w:val="22"/>
          <w:lang w:val="en-US"/>
        </w:rPr>
      </w:pPr>
      <w:bookmarkStart w:id="14" w:name="_Toc133613068"/>
      <w:r w:rsidRPr="00E822FF">
        <w:rPr>
          <w:rFonts w:ascii="Arial" w:hAnsi="Arial" w:cs="Arial"/>
          <w:sz w:val="22"/>
          <w:szCs w:val="22"/>
          <w:lang w:val="en-US"/>
        </w:rPr>
        <w:t>Dodd-Frank legislation</w:t>
      </w:r>
      <w:bookmarkEnd w:id="14"/>
    </w:p>
    <w:p w14:paraId="5AD3A1D2" w14:textId="77777777" w:rsidR="006015AB" w:rsidRPr="00E822FF" w:rsidRDefault="006015AB" w:rsidP="00E822FF">
      <w:pPr>
        <w:spacing w:line="360" w:lineRule="auto"/>
        <w:jc w:val="both"/>
        <w:rPr>
          <w:rFonts w:ascii="Arial" w:hAnsi="Arial" w:cs="Arial"/>
          <w:sz w:val="22"/>
          <w:szCs w:val="22"/>
          <w:lang w:val="en-US"/>
        </w:rPr>
      </w:pPr>
    </w:p>
    <w:p w14:paraId="7E7F9ECC" w14:textId="470220DE" w:rsidR="00065588"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One of the most important changes made following the financial crisis of 2008 is the Dodd-Frank Wall Street Reform and Consumer Protection Act. The Volcker Rule, which forbids banks from engaging in proprietary trading and investing in hedge funds and private equity funds, was one of several regulations established by the act to address the problems that caused the crisis. The Consumer Financial Protection Bureau, which strives to safeguard customers from unfair financial </w:t>
      </w:r>
      <w:r w:rsidR="00ED0AE9" w:rsidRPr="00E822FF">
        <w:rPr>
          <w:rFonts w:ascii="Arial" w:hAnsi="Arial" w:cs="Arial"/>
          <w:sz w:val="22"/>
          <w:szCs w:val="22"/>
          <w:lang w:val="en-US"/>
        </w:rPr>
        <w:t>practices</w:t>
      </w:r>
      <w:r w:rsidRPr="00E822FF">
        <w:rPr>
          <w:rFonts w:ascii="Arial" w:hAnsi="Arial" w:cs="Arial"/>
          <w:sz w:val="22"/>
          <w:szCs w:val="22"/>
          <w:lang w:val="en-US"/>
        </w:rPr>
        <w:t>, was also established under the legislation.</w:t>
      </w:r>
    </w:p>
    <w:p w14:paraId="06847CBD" w14:textId="77777777" w:rsidR="006015AB" w:rsidRPr="00E822FF" w:rsidRDefault="006015AB" w:rsidP="00E822FF">
      <w:pPr>
        <w:spacing w:line="360" w:lineRule="auto"/>
        <w:jc w:val="both"/>
        <w:rPr>
          <w:rFonts w:ascii="Arial" w:hAnsi="Arial" w:cs="Arial"/>
          <w:sz w:val="22"/>
          <w:szCs w:val="22"/>
          <w:lang w:val="en-US"/>
        </w:rPr>
      </w:pPr>
    </w:p>
    <w:p w14:paraId="01FB740E" w14:textId="04BF5D2C" w:rsidR="006015AB"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By lowering systemic risk, the Dodd-Frank Act has improved the stability of the financial system. The Volcker Rule has lessened the possibility of a new financial catastrophe being brought on by hazardous trading methods by preventing banks from engaging in proprietary trading. </w:t>
      </w:r>
      <w:proofErr w:type="gramStart"/>
      <w:r w:rsidRPr="00E822FF">
        <w:rPr>
          <w:rFonts w:ascii="Arial" w:hAnsi="Arial" w:cs="Arial"/>
          <w:sz w:val="22"/>
          <w:szCs w:val="22"/>
          <w:lang w:val="en-US"/>
        </w:rPr>
        <w:t>Similar to</w:t>
      </w:r>
      <w:proofErr w:type="gramEnd"/>
      <w:r w:rsidRPr="00E822FF">
        <w:rPr>
          <w:rFonts w:ascii="Arial" w:hAnsi="Arial" w:cs="Arial"/>
          <w:sz w:val="22"/>
          <w:szCs w:val="22"/>
          <w:lang w:val="en-US"/>
        </w:rPr>
        <w:t xml:space="preserve"> how it has protected customers from unfair financial </w:t>
      </w:r>
      <w:r w:rsidR="00ED0AE9" w:rsidRPr="00E822FF">
        <w:rPr>
          <w:rFonts w:ascii="Arial" w:hAnsi="Arial" w:cs="Arial"/>
          <w:sz w:val="22"/>
          <w:szCs w:val="22"/>
          <w:lang w:val="en-US"/>
        </w:rPr>
        <w:t>practices</w:t>
      </w:r>
      <w:r w:rsidRPr="00E822FF">
        <w:rPr>
          <w:rFonts w:ascii="Arial" w:hAnsi="Arial" w:cs="Arial"/>
          <w:sz w:val="22"/>
          <w:szCs w:val="22"/>
          <w:lang w:val="en-US"/>
        </w:rPr>
        <w:t>, the establishment of the Consumer Financial Protection Bureau has decreased the probability of another crisis brought on by predatory lending.</w:t>
      </w:r>
    </w:p>
    <w:p w14:paraId="482AF6D0" w14:textId="77777777" w:rsidR="006015AB" w:rsidRPr="00E822FF" w:rsidRDefault="006015AB" w:rsidP="00E822FF">
      <w:pPr>
        <w:spacing w:line="360" w:lineRule="auto"/>
        <w:jc w:val="both"/>
        <w:rPr>
          <w:rFonts w:ascii="Arial" w:hAnsi="Arial" w:cs="Arial"/>
          <w:sz w:val="22"/>
          <w:szCs w:val="22"/>
          <w:lang w:val="en-US"/>
        </w:rPr>
      </w:pPr>
    </w:p>
    <w:p w14:paraId="0C343847" w14:textId="77777777" w:rsidR="006015AB"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The Dodd-Frank Act, particularly for small and medium-sized banks, has drawn criticism for being overly onerous. Some claim that because of the act's stricter regulations, their ability to lend money and promote economic growth has been hampered. Additionally, some of the act's </w:t>
      </w:r>
      <w:r w:rsidRPr="00E822FF">
        <w:rPr>
          <w:rFonts w:ascii="Arial" w:hAnsi="Arial" w:cs="Arial"/>
          <w:sz w:val="22"/>
          <w:szCs w:val="22"/>
          <w:lang w:val="en-US"/>
        </w:rPr>
        <w:lastRenderedPageBreak/>
        <w:t>reforms, like the Volcker Rule, have been softened or delayed, which lessens their efficacy in lowering systemic risk.</w:t>
      </w:r>
    </w:p>
    <w:p w14:paraId="4A5FC55F" w14:textId="77777777" w:rsidR="006015AB" w:rsidRPr="00E822FF" w:rsidRDefault="006015AB" w:rsidP="00E822FF">
      <w:pPr>
        <w:spacing w:line="360" w:lineRule="auto"/>
        <w:jc w:val="both"/>
        <w:rPr>
          <w:rFonts w:ascii="Arial" w:hAnsi="Arial" w:cs="Arial"/>
          <w:sz w:val="22"/>
          <w:szCs w:val="22"/>
          <w:lang w:val="en-US"/>
        </w:rPr>
      </w:pPr>
    </w:p>
    <w:p w14:paraId="6C626CE9" w14:textId="5723B596" w:rsidR="006015AB"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Lack of enforcement resources available to regulatory agencies is one of the Dodd-Frank Act's biggest problems. The legislation included a number of new laws and regulations, but implementing them takes substantial manpower, technological, and financial resources. It has been challenging to enforce due to the regulatory authorities' inadequate resources.</w:t>
      </w:r>
    </w:p>
    <w:p w14:paraId="09C8FBC4" w14:textId="77777777" w:rsidR="006015AB" w:rsidRPr="00E822FF" w:rsidRDefault="006015AB" w:rsidP="00E822FF">
      <w:pPr>
        <w:spacing w:line="360" w:lineRule="auto"/>
        <w:jc w:val="both"/>
        <w:rPr>
          <w:rFonts w:ascii="Arial" w:hAnsi="Arial" w:cs="Arial"/>
          <w:sz w:val="22"/>
          <w:szCs w:val="22"/>
          <w:lang w:val="en-US"/>
        </w:rPr>
      </w:pPr>
    </w:p>
    <w:p w14:paraId="22B58BAB" w14:textId="77777777" w:rsidR="006015AB" w:rsidRPr="00E822FF" w:rsidRDefault="006015AB" w:rsidP="00E822FF">
      <w:pPr>
        <w:pStyle w:val="Heading2"/>
        <w:spacing w:line="360" w:lineRule="auto"/>
        <w:jc w:val="both"/>
        <w:rPr>
          <w:rFonts w:ascii="Arial" w:hAnsi="Arial" w:cs="Arial"/>
          <w:sz w:val="22"/>
          <w:szCs w:val="22"/>
          <w:lang w:val="en-US"/>
        </w:rPr>
      </w:pPr>
      <w:bookmarkStart w:id="15" w:name="_Toc133613069"/>
      <w:r w:rsidRPr="00E822FF">
        <w:rPr>
          <w:rFonts w:ascii="Arial" w:hAnsi="Arial" w:cs="Arial"/>
          <w:sz w:val="22"/>
          <w:szCs w:val="22"/>
          <w:lang w:val="en-US"/>
        </w:rPr>
        <w:t>Basic III Framework</w:t>
      </w:r>
      <w:bookmarkEnd w:id="15"/>
    </w:p>
    <w:p w14:paraId="29BBD7FE" w14:textId="77777777" w:rsidR="006015AB" w:rsidRPr="00E822FF" w:rsidRDefault="006015AB" w:rsidP="00E822FF">
      <w:pPr>
        <w:spacing w:line="360" w:lineRule="auto"/>
        <w:jc w:val="both"/>
        <w:rPr>
          <w:rFonts w:ascii="Arial" w:hAnsi="Arial" w:cs="Arial"/>
          <w:sz w:val="22"/>
          <w:szCs w:val="22"/>
          <w:lang w:val="en-US"/>
        </w:rPr>
      </w:pPr>
    </w:p>
    <w:p w14:paraId="1064FD49" w14:textId="2659FFF2" w:rsidR="006015AB"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The Basel III framework is yet another key change adopted following the financial crisis of 2008. The framework tightened bank capital regulations, forcing them to store more capital to cover probable losses and preserve their viability. As a result, the chance of a new crisis has decreased and banks have become more robust.</w:t>
      </w:r>
    </w:p>
    <w:p w14:paraId="10F16F31" w14:textId="77777777" w:rsidR="006015AB" w:rsidRPr="00E822FF" w:rsidRDefault="006015AB" w:rsidP="00E822FF">
      <w:pPr>
        <w:spacing w:line="360" w:lineRule="auto"/>
        <w:jc w:val="both"/>
        <w:rPr>
          <w:rFonts w:ascii="Arial" w:hAnsi="Arial" w:cs="Arial"/>
          <w:sz w:val="22"/>
          <w:szCs w:val="22"/>
          <w:lang w:val="en-US"/>
        </w:rPr>
      </w:pPr>
    </w:p>
    <w:p w14:paraId="43981B0C" w14:textId="77777777" w:rsidR="006015AB"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By decreasing the chance of bank failure owing to inadequate capital, the Basel III framework has improved the stability of the financial system. The framework has made banks more robust to economic shocks and less likely to experience another financial crisis by forcing banks to retain greater capital.</w:t>
      </w:r>
    </w:p>
    <w:p w14:paraId="3D528708" w14:textId="77777777" w:rsidR="006015AB" w:rsidRPr="00E822FF" w:rsidRDefault="006015AB" w:rsidP="00E822FF">
      <w:pPr>
        <w:spacing w:line="360" w:lineRule="auto"/>
        <w:jc w:val="both"/>
        <w:rPr>
          <w:rFonts w:ascii="Arial" w:hAnsi="Arial" w:cs="Arial"/>
          <w:sz w:val="22"/>
          <w:szCs w:val="22"/>
          <w:lang w:val="en-US"/>
        </w:rPr>
      </w:pPr>
    </w:p>
    <w:p w14:paraId="48A719EA" w14:textId="2213186C" w:rsidR="006015AB"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The Basel III framework has, however, come under fire for not doing enough to address the dangers connected to shadow banking. The supply of financial services by non-bank financial entities, such as hedge funds and money market funds, is referred to as "shadow banking." Critics contend that the framework needs to include actions to address the dangers of shadow banking, like regulating money market funds.</w:t>
      </w:r>
    </w:p>
    <w:p w14:paraId="0254EDDC" w14:textId="77777777" w:rsidR="006015AB" w:rsidRPr="00E822FF" w:rsidRDefault="006015AB" w:rsidP="00E822FF">
      <w:pPr>
        <w:spacing w:line="360" w:lineRule="auto"/>
        <w:jc w:val="both"/>
        <w:rPr>
          <w:rFonts w:ascii="Arial" w:hAnsi="Arial" w:cs="Arial"/>
          <w:sz w:val="22"/>
          <w:szCs w:val="22"/>
          <w:lang w:val="en-US"/>
        </w:rPr>
      </w:pPr>
    </w:p>
    <w:p w14:paraId="1B801CF5" w14:textId="389BCB80" w:rsidR="006015AB"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The Basel III framework has also come under fire for lacking international uniformity. The Basel Committee on Banking Supervision, which is made up of officials from central banks and regulatory agencies from many nations, established the framework as a set of global banking standards. Although the framework is intended to be a universal standard, how it has been applied varies across various nations.</w:t>
      </w:r>
    </w:p>
    <w:p w14:paraId="1FFF0A3B" w14:textId="77777777" w:rsidR="006015AB" w:rsidRPr="00E822FF" w:rsidRDefault="006015AB" w:rsidP="00E822FF">
      <w:pPr>
        <w:spacing w:line="360" w:lineRule="auto"/>
        <w:jc w:val="both"/>
        <w:rPr>
          <w:rFonts w:ascii="Arial" w:hAnsi="Arial" w:cs="Arial"/>
          <w:sz w:val="22"/>
          <w:szCs w:val="22"/>
          <w:lang w:val="en-US"/>
        </w:rPr>
      </w:pPr>
    </w:p>
    <w:p w14:paraId="0904FFEF" w14:textId="35482C3A" w:rsidR="006015AB"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There are worries that some banks may be at a disadvantage relative to their counterparts in other nations as a result of this lack of </w:t>
      </w:r>
      <w:r w:rsidR="00ED0AE9" w:rsidRPr="00E822FF">
        <w:rPr>
          <w:rFonts w:ascii="Arial" w:hAnsi="Arial" w:cs="Arial"/>
          <w:sz w:val="22"/>
          <w:szCs w:val="22"/>
          <w:lang w:val="en-US"/>
        </w:rPr>
        <w:t>harmonization</w:t>
      </w:r>
      <w:r w:rsidRPr="00E822FF">
        <w:rPr>
          <w:rFonts w:ascii="Arial" w:hAnsi="Arial" w:cs="Arial"/>
          <w:sz w:val="22"/>
          <w:szCs w:val="22"/>
          <w:lang w:val="en-US"/>
        </w:rPr>
        <w:t>. For instance, varying levels of capital requirements for banks operating in several nations emerge from varied levels of Basel III framework implementation in various countries. This has raised worries about a potential competitive disadvantage for banks in nations that adopt the framework more strictly.</w:t>
      </w:r>
    </w:p>
    <w:p w14:paraId="1F7BFAD1" w14:textId="77777777" w:rsidR="006015AB" w:rsidRPr="00E822FF" w:rsidRDefault="006015AB" w:rsidP="00E822FF">
      <w:pPr>
        <w:spacing w:line="360" w:lineRule="auto"/>
        <w:jc w:val="both"/>
        <w:rPr>
          <w:rFonts w:ascii="Arial" w:hAnsi="Arial" w:cs="Arial"/>
          <w:sz w:val="22"/>
          <w:szCs w:val="22"/>
          <w:lang w:val="en-US"/>
        </w:rPr>
      </w:pPr>
    </w:p>
    <w:p w14:paraId="491A7815" w14:textId="1574B807" w:rsidR="006015AB"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The Basel III framework has also been </w:t>
      </w:r>
      <w:r w:rsidR="00ED0AE9" w:rsidRPr="00E822FF">
        <w:rPr>
          <w:rFonts w:ascii="Arial" w:hAnsi="Arial" w:cs="Arial"/>
          <w:sz w:val="22"/>
          <w:szCs w:val="22"/>
          <w:lang w:val="en-US"/>
        </w:rPr>
        <w:t>criticized</w:t>
      </w:r>
      <w:r w:rsidRPr="00E822FF">
        <w:rPr>
          <w:rFonts w:ascii="Arial" w:hAnsi="Arial" w:cs="Arial"/>
          <w:sz w:val="22"/>
          <w:szCs w:val="22"/>
          <w:lang w:val="en-US"/>
        </w:rPr>
        <w:t xml:space="preserve"> for being unable to manage the risks connected with new and emerging financial technologies like blockchain and cryptocurrencies. These innovations might upend the conventional banking industry and introduce fresh dangers that the Basel III framework might not be able to handle.</w:t>
      </w:r>
    </w:p>
    <w:p w14:paraId="2B65B817" w14:textId="77777777" w:rsidR="006015AB" w:rsidRPr="00E822FF" w:rsidRDefault="006015AB" w:rsidP="00E822FF">
      <w:pPr>
        <w:spacing w:line="360" w:lineRule="auto"/>
        <w:jc w:val="both"/>
        <w:rPr>
          <w:rFonts w:ascii="Arial" w:hAnsi="Arial" w:cs="Arial"/>
          <w:sz w:val="22"/>
          <w:szCs w:val="22"/>
          <w:lang w:val="en-US"/>
        </w:rPr>
      </w:pPr>
    </w:p>
    <w:p w14:paraId="4D681612" w14:textId="77777777" w:rsidR="006015AB" w:rsidRPr="00E822FF" w:rsidRDefault="006015AB" w:rsidP="00E822FF">
      <w:pPr>
        <w:spacing w:line="360" w:lineRule="auto"/>
        <w:jc w:val="both"/>
        <w:rPr>
          <w:rFonts w:ascii="Arial" w:hAnsi="Arial" w:cs="Arial"/>
          <w:sz w:val="22"/>
          <w:szCs w:val="22"/>
          <w:lang w:val="en-US"/>
        </w:rPr>
      </w:pPr>
    </w:p>
    <w:p w14:paraId="4849B3DB" w14:textId="5D3BE20D" w:rsidR="006015AB" w:rsidRPr="00E822FF" w:rsidRDefault="006015AB"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A reaction to the subprime mortgage crisis was the Emergency Economic </w:t>
      </w:r>
      <w:r w:rsidR="00ED0AE9" w:rsidRPr="00E822FF">
        <w:rPr>
          <w:rFonts w:ascii="Arial" w:hAnsi="Arial" w:cs="Arial"/>
          <w:sz w:val="22"/>
          <w:szCs w:val="22"/>
          <w:lang w:val="en-US"/>
        </w:rPr>
        <w:t>Stabilization</w:t>
      </w:r>
      <w:r w:rsidRPr="00E822FF">
        <w:rPr>
          <w:rFonts w:ascii="Arial" w:hAnsi="Arial" w:cs="Arial"/>
          <w:sz w:val="22"/>
          <w:szCs w:val="22"/>
          <w:lang w:val="en-US"/>
        </w:rPr>
        <w:t xml:space="preserve"> Act (EESA) of 2008, which was enacted by Congress. The Act gave the Treasury Secretary the power to purchase problematic assets for up to $700 billion in order to provide market liquidity. The EESA </w:t>
      </w:r>
      <w:r w:rsidR="00ED0AE9" w:rsidRPr="00E822FF">
        <w:rPr>
          <w:rFonts w:ascii="Arial" w:hAnsi="Arial" w:cs="Arial"/>
          <w:sz w:val="22"/>
          <w:szCs w:val="22"/>
          <w:lang w:val="en-US"/>
        </w:rPr>
        <w:t>stabilized</w:t>
      </w:r>
      <w:r w:rsidRPr="00E822FF">
        <w:rPr>
          <w:rFonts w:ascii="Arial" w:hAnsi="Arial" w:cs="Arial"/>
          <w:sz w:val="22"/>
          <w:szCs w:val="22"/>
          <w:lang w:val="en-US"/>
        </w:rPr>
        <w:t xml:space="preserve"> the economy and avoided economic upheaval, which helped combat the financial crisis. It is largely </w:t>
      </w:r>
      <w:r w:rsidR="00ED0AE9" w:rsidRPr="00E822FF">
        <w:rPr>
          <w:rFonts w:ascii="Arial" w:hAnsi="Arial" w:cs="Arial"/>
          <w:sz w:val="22"/>
          <w:szCs w:val="22"/>
          <w:lang w:val="en-US"/>
        </w:rPr>
        <w:t>recognized</w:t>
      </w:r>
      <w:r w:rsidRPr="00E822FF">
        <w:rPr>
          <w:rFonts w:ascii="Arial" w:hAnsi="Arial" w:cs="Arial"/>
          <w:sz w:val="22"/>
          <w:szCs w:val="22"/>
          <w:lang w:val="en-US"/>
        </w:rPr>
        <w:t xml:space="preserve"> with reviving stability and liquidity in the financial sector, thawing out the credit and capital markets, and bringing down the cost of borrowing for individuals and companies. Since the 2008 financial crisis, the majority of security markets and major financial institutions have experienced significant improvements, and large banks' borrowing costs have gone down. The Troubled Asset Relief </w:t>
      </w:r>
      <w:r w:rsidR="00ED0AE9" w:rsidRPr="00E822FF">
        <w:rPr>
          <w:rFonts w:ascii="Arial" w:hAnsi="Arial" w:cs="Arial"/>
          <w:sz w:val="22"/>
          <w:szCs w:val="22"/>
          <w:lang w:val="en-US"/>
        </w:rPr>
        <w:t>Program</w:t>
      </w:r>
      <w:r w:rsidRPr="00E822FF">
        <w:rPr>
          <w:rFonts w:ascii="Arial" w:hAnsi="Arial" w:cs="Arial"/>
          <w:sz w:val="22"/>
          <w:szCs w:val="22"/>
          <w:lang w:val="en-US"/>
        </w:rPr>
        <w:t xml:space="preserve"> (TARP) was established by the EESA to buy toxic assets from banks, which aided in preventing the financial system's collapse during the subprime mortgage crisis. The Act also includes steps to reduce federally held mortgage foreclosures and recoup any future losses from the government's continued financial system degradation.</w:t>
      </w:r>
    </w:p>
    <w:p w14:paraId="0FEA9ECB" w14:textId="77777777" w:rsidR="006015AB" w:rsidRPr="00E822FF" w:rsidRDefault="006015AB" w:rsidP="00E822FF">
      <w:pPr>
        <w:spacing w:line="360" w:lineRule="auto"/>
        <w:jc w:val="both"/>
        <w:rPr>
          <w:rFonts w:ascii="Arial" w:hAnsi="Arial" w:cs="Arial"/>
          <w:sz w:val="22"/>
          <w:szCs w:val="22"/>
          <w:lang w:val="en-US"/>
        </w:rPr>
      </w:pPr>
    </w:p>
    <w:p w14:paraId="2C3FEB14" w14:textId="6FD9A243" w:rsidR="001136D6" w:rsidRPr="00E822FF" w:rsidRDefault="001136D6" w:rsidP="00E822FF">
      <w:pPr>
        <w:pStyle w:val="Heading1"/>
        <w:rPr>
          <w:lang w:val="en-US"/>
        </w:rPr>
      </w:pPr>
      <w:bookmarkStart w:id="16" w:name="_Toc133613070"/>
      <w:r w:rsidRPr="00E822FF">
        <w:rPr>
          <w:lang w:val="en-US"/>
        </w:rPr>
        <w:t>HSBC – 2008 Crisis</w:t>
      </w:r>
      <w:bookmarkEnd w:id="16"/>
    </w:p>
    <w:p w14:paraId="0DA8D621" w14:textId="77777777" w:rsidR="001136D6" w:rsidRPr="00E822FF" w:rsidRDefault="001136D6" w:rsidP="00E822FF">
      <w:pPr>
        <w:spacing w:line="360" w:lineRule="auto"/>
        <w:jc w:val="both"/>
        <w:rPr>
          <w:rFonts w:ascii="Arial" w:hAnsi="Arial" w:cs="Arial"/>
          <w:sz w:val="22"/>
          <w:szCs w:val="22"/>
          <w:lang w:val="en-US"/>
        </w:rPr>
      </w:pPr>
    </w:p>
    <w:p w14:paraId="78B147D1" w14:textId="74DCAC83" w:rsidR="006015AB" w:rsidRPr="00E822FF" w:rsidRDefault="00306D78" w:rsidP="00E822FF">
      <w:pPr>
        <w:spacing w:line="360" w:lineRule="auto"/>
        <w:jc w:val="both"/>
        <w:rPr>
          <w:rFonts w:ascii="Arial" w:hAnsi="Arial" w:cs="Arial"/>
          <w:sz w:val="22"/>
          <w:szCs w:val="22"/>
          <w:lang w:val="en-US"/>
        </w:rPr>
      </w:pPr>
      <w:r w:rsidRPr="00E822FF">
        <w:rPr>
          <w:rFonts w:ascii="Arial" w:hAnsi="Arial" w:cs="Arial"/>
          <w:sz w:val="22"/>
          <w:szCs w:val="22"/>
          <w:lang w:val="en-US"/>
        </w:rPr>
        <w:t>A global provider of banking and financial services, HSBC Holdings plc (HSBC) has its global headquarters in London, United Kingdom. With operations in more than 70 nations and total assets of more than $2.9 trillion as of December 2021, HSBC is one of the biggest banks in the world. In this paper, I will examine the effect that the Dodd-Frank Act and Basel III framework have had on the business model of HSBC as well as the extent to which it complies or does not comply with these changes</w:t>
      </w:r>
      <w:r w:rsidR="001136D6" w:rsidRPr="00E822FF">
        <w:rPr>
          <w:rFonts w:ascii="Arial" w:hAnsi="Arial" w:cs="Arial"/>
          <w:sz w:val="22"/>
          <w:szCs w:val="22"/>
          <w:lang w:val="en-US"/>
        </w:rPr>
        <w:t xml:space="preserve"> (</w:t>
      </w:r>
      <w:proofErr w:type="spellStart"/>
      <w:r w:rsidR="001136D6" w:rsidRPr="00E822FF">
        <w:rPr>
          <w:rFonts w:ascii="Arial" w:hAnsi="Arial" w:cs="Arial"/>
          <w:sz w:val="22"/>
          <w:szCs w:val="22"/>
          <w:lang w:val="en-US"/>
        </w:rPr>
        <w:t>Neate</w:t>
      </w:r>
      <w:proofErr w:type="spellEnd"/>
      <w:r w:rsidR="001136D6" w:rsidRPr="00E822FF">
        <w:rPr>
          <w:rFonts w:ascii="Arial" w:hAnsi="Arial" w:cs="Arial"/>
          <w:sz w:val="22"/>
          <w:szCs w:val="22"/>
          <w:lang w:val="en-US"/>
        </w:rPr>
        <w:t>, 2016)</w:t>
      </w:r>
      <w:r w:rsidRPr="00E822FF">
        <w:rPr>
          <w:rFonts w:ascii="Arial" w:hAnsi="Arial" w:cs="Arial"/>
          <w:sz w:val="22"/>
          <w:szCs w:val="22"/>
          <w:lang w:val="en-US"/>
        </w:rPr>
        <w:t>.</w:t>
      </w:r>
    </w:p>
    <w:p w14:paraId="28BCC9D1" w14:textId="77777777" w:rsidR="00306D78" w:rsidRPr="00E822FF" w:rsidRDefault="00306D78" w:rsidP="00E822FF">
      <w:pPr>
        <w:spacing w:line="360" w:lineRule="auto"/>
        <w:jc w:val="both"/>
        <w:rPr>
          <w:rFonts w:ascii="Arial" w:hAnsi="Arial" w:cs="Arial"/>
          <w:sz w:val="22"/>
          <w:szCs w:val="22"/>
          <w:lang w:val="en-US"/>
        </w:rPr>
      </w:pPr>
    </w:p>
    <w:p w14:paraId="1BE74565" w14:textId="77777777" w:rsidR="00306D78" w:rsidRPr="00E822FF" w:rsidRDefault="00306D78" w:rsidP="00E822FF">
      <w:pPr>
        <w:pStyle w:val="Heading2"/>
        <w:spacing w:line="360" w:lineRule="auto"/>
        <w:jc w:val="both"/>
        <w:rPr>
          <w:rFonts w:ascii="Arial" w:hAnsi="Arial" w:cs="Arial"/>
          <w:sz w:val="22"/>
          <w:szCs w:val="22"/>
          <w:lang w:val="en-US"/>
        </w:rPr>
      </w:pPr>
      <w:bookmarkStart w:id="17" w:name="_Toc133613071"/>
      <w:r w:rsidRPr="00E822FF">
        <w:rPr>
          <w:rFonts w:ascii="Arial" w:hAnsi="Arial" w:cs="Arial"/>
          <w:sz w:val="22"/>
          <w:szCs w:val="22"/>
          <w:lang w:val="en-US"/>
        </w:rPr>
        <w:t>Act of Dodd-Frank</w:t>
      </w:r>
      <w:bookmarkEnd w:id="17"/>
    </w:p>
    <w:p w14:paraId="125DF82E" w14:textId="77777777" w:rsidR="00306D78" w:rsidRPr="00E822FF" w:rsidRDefault="00306D78" w:rsidP="00E822FF">
      <w:pPr>
        <w:spacing w:line="360" w:lineRule="auto"/>
        <w:jc w:val="both"/>
        <w:rPr>
          <w:rFonts w:ascii="Arial" w:hAnsi="Arial" w:cs="Arial"/>
          <w:sz w:val="22"/>
          <w:szCs w:val="22"/>
          <w:lang w:val="en-US"/>
        </w:rPr>
      </w:pPr>
    </w:p>
    <w:p w14:paraId="3A06B0F0" w14:textId="77777777" w:rsidR="00306D78" w:rsidRPr="00E822FF" w:rsidRDefault="00306D78"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The Dodd-Frank Act's rules pertaining to risk management, capital requirements, and liquidity requirements have all been adhered to by HSBC. In order to comply with the higher minimum capital requirements imposed by the Dodd-Frank Act, the bank has considerably raised its </w:t>
      </w:r>
      <w:r w:rsidRPr="00E822FF">
        <w:rPr>
          <w:rFonts w:ascii="Arial" w:hAnsi="Arial" w:cs="Arial"/>
          <w:sz w:val="22"/>
          <w:szCs w:val="22"/>
          <w:lang w:val="en-US"/>
        </w:rPr>
        <w:lastRenderedPageBreak/>
        <w:t>capital levels. To satisfy the increased liquidity standards mandated by the Dodd-Frank Act, HSBC has also improved its capacity for stress testing and liquidity management.</w:t>
      </w:r>
    </w:p>
    <w:p w14:paraId="2DBEB1D1" w14:textId="77777777" w:rsidR="00306D78" w:rsidRPr="00E822FF" w:rsidRDefault="00306D78" w:rsidP="00E822FF">
      <w:pPr>
        <w:spacing w:line="360" w:lineRule="auto"/>
        <w:jc w:val="both"/>
        <w:rPr>
          <w:rFonts w:ascii="Arial" w:hAnsi="Arial" w:cs="Arial"/>
          <w:sz w:val="22"/>
          <w:szCs w:val="22"/>
          <w:lang w:val="en-US"/>
        </w:rPr>
      </w:pPr>
    </w:p>
    <w:p w14:paraId="5B116E11" w14:textId="13ACB901" w:rsidR="00306D78" w:rsidRPr="00E822FF" w:rsidRDefault="00306D78" w:rsidP="00E822FF">
      <w:pPr>
        <w:spacing w:line="360" w:lineRule="auto"/>
        <w:jc w:val="both"/>
        <w:rPr>
          <w:rFonts w:ascii="Arial" w:hAnsi="Arial" w:cs="Arial"/>
          <w:sz w:val="22"/>
          <w:szCs w:val="22"/>
          <w:lang w:val="en-US"/>
        </w:rPr>
      </w:pPr>
      <w:r w:rsidRPr="00E822FF">
        <w:rPr>
          <w:rFonts w:ascii="Arial" w:hAnsi="Arial" w:cs="Arial"/>
          <w:sz w:val="22"/>
          <w:szCs w:val="22"/>
          <w:lang w:val="en-US"/>
        </w:rPr>
        <w:t>In order to comply with the Dodd-Frank Act's anti-money laundering (AML) and anti-terrorism financing (ATF) rules, HSBC has also taken the necessary steps. The bank has boosted personnel AML and ATF training while also enhancing its client due diligence procedures and putting in place new transaction monitoring tools</w:t>
      </w:r>
      <w:r w:rsidR="001136D6" w:rsidRPr="00E822FF">
        <w:rPr>
          <w:rFonts w:ascii="Arial" w:hAnsi="Arial" w:cs="Arial"/>
          <w:sz w:val="22"/>
          <w:szCs w:val="22"/>
          <w:lang w:val="en-US"/>
        </w:rPr>
        <w:t xml:space="preserve"> (</w:t>
      </w:r>
      <w:proofErr w:type="gramStart"/>
      <w:r w:rsidR="001136D6" w:rsidRPr="00E822FF">
        <w:rPr>
          <w:rFonts w:ascii="Arial" w:hAnsi="Arial" w:cs="Arial"/>
          <w:sz w:val="22"/>
          <w:szCs w:val="22"/>
          <w:lang w:val="en-US"/>
        </w:rPr>
        <w:t>HSBC ,</w:t>
      </w:r>
      <w:proofErr w:type="gramEnd"/>
      <w:r w:rsidR="001136D6" w:rsidRPr="00E822FF">
        <w:rPr>
          <w:rFonts w:ascii="Arial" w:hAnsi="Arial" w:cs="Arial"/>
          <w:sz w:val="22"/>
          <w:szCs w:val="22"/>
          <w:lang w:val="en-US"/>
        </w:rPr>
        <w:t xml:space="preserve"> 2010)</w:t>
      </w:r>
      <w:r w:rsidRPr="00E822FF">
        <w:rPr>
          <w:rFonts w:ascii="Arial" w:hAnsi="Arial" w:cs="Arial"/>
          <w:sz w:val="22"/>
          <w:szCs w:val="22"/>
          <w:lang w:val="en-US"/>
        </w:rPr>
        <w:t>.</w:t>
      </w:r>
    </w:p>
    <w:p w14:paraId="10F5DF94" w14:textId="77777777" w:rsidR="00306D78" w:rsidRPr="00E822FF" w:rsidRDefault="00306D78" w:rsidP="00E822FF">
      <w:pPr>
        <w:spacing w:line="360" w:lineRule="auto"/>
        <w:jc w:val="both"/>
        <w:rPr>
          <w:rFonts w:ascii="Arial" w:hAnsi="Arial" w:cs="Arial"/>
          <w:sz w:val="22"/>
          <w:szCs w:val="22"/>
          <w:lang w:val="en-US"/>
        </w:rPr>
      </w:pPr>
    </w:p>
    <w:p w14:paraId="357B931C" w14:textId="77777777" w:rsidR="00306D78" w:rsidRPr="00E822FF" w:rsidRDefault="00306D78" w:rsidP="00E822FF">
      <w:pPr>
        <w:spacing w:line="360" w:lineRule="auto"/>
        <w:jc w:val="both"/>
        <w:rPr>
          <w:rFonts w:ascii="Arial" w:hAnsi="Arial" w:cs="Arial"/>
          <w:sz w:val="22"/>
          <w:szCs w:val="22"/>
          <w:lang w:val="en-US"/>
        </w:rPr>
      </w:pPr>
      <w:r w:rsidRPr="00E822FF">
        <w:rPr>
          <w:rFonts w:ascii="Arial" w:hAnsi="Arial" w:cs="Arial"/>
          <w:sz w:val="22"/>
          <w:szCs w:val="22"/>
          <w:lang w:val="en-US"/>
        </w:rPr>
        <w:t>However, HSBC has had trouble adhering to some of the Volcker Rule-related provisions of the Dodd-Frank Act. Due to the Volcker Rule, banks are not allowed to invest in hedge funds or private equity funds or engage in proprietary trading. Following the implementation of the Volcker Rule, HSBC was forced to drastically cut back on its proprietary trading activities, which had an effect on the bank's revenue and profitability.</w:t>
      </w:r>
    </w:p>
    <w:p w14:paraId="60C75975" w14:textId="77777777" w:rsidR="00306D78" w:rsidRPr="00E822FF" w:rsidRDefault="00306D78" w:rsidP="00E822FF">
      <w:pPr>
        <w:spacing w:line="360" w:lineRule="auto"/>
        <w:jc w:val="both"/>
        <w:rPr>
          <w:rFonts w:ascii="Arial" w:hAnsi="Arial" w:cs="Arial"/>
          <w:sz w:val="22"/>
          <w:szCs w:val="22"/>
          <w:lang w:val="en-US"/>
        </w:rPr>
      </w:pPr>
    </w:p>
    <w:p w14:paraId="499DCA8B" w14:textId="77777777" w:rsidR="00306D78" w:rsidRPr="00E822FF" w:rsidRDefault="00306D78" w:rsidP="00E822FF">
      <w:pPr>
        <w:pStyle w:val="Heading2"/>
        <w:spacing w:line="360" w:lineRule="auto"/>
        <w:jc w:val="both"/>
        <w:rPr>
          <w:rFonts w:ascii="Arial" w:hAnsi="Arial" w:cs="Arial"/>
          <w:sz w:val="22"/>
          <w:szCs w:val="22"/>
          <w:lang w:val="en-US"/>
        </w:rPr>
      </w:pPr>
      <w:bookmarkStart w:id="18" w:name="_Toc133613072"/>
      <w:r w:rsidRPr="00E822FF">
        <w:rPr>
          <w:rFonts w:ascii="Arial" w:hAnsi="Arial" w:cs="Arial"/>
          <w:sz w:val="22"/>
          <w:szCs w:val="22"/>
          <w:lang w:val="en-US"/>
        </w:rPr>
        <w:t>Framework for Basel III</w:t>
      </w:r>
      <w:bookmarkEnd w:id="18"/>
    </w:p>
    <w:p w14:paraId="45700086" w14:textId="77777777" w:rsidR="00306D78" w:rsidRPr="00E822FF" w:rsidRDefault="00306D78" w:rsidP="00E822FF">
      <w:pPr>
        <w:spacing w:line="360" w:lineRule="auto"/>
        <w:jc w:val="both"/>
        <w:rPr>
          <w:rFonts w:ascii="Arial" w:hAnsi="Arial" w:cs="Arial"/>
          <w:sz w:val="22"/>
          <w:szCs w:val="22"/>
          <w:lang w:val="en-US"/>
        </w:rPr>
      </w:pPr>
    </w:p>
    <w:p w14:paraId="74D10033" w14:textId="02EEEE37" w:rsidR="00306D78" w:rsidRPr="00E822FF" w:rsidRDefault="00306D78" w:rsidP="00E822FF">
      <w:pPr>
        <w:spacing w:line="360" w:lineRule="auto"/>
        <w:jc w:val="both"/>
        <w:rPr>
          <w:rFonts w:ascii="Arial" w:hAnsi="Arial" w:cs="Arial"/>
          <w:sz w:val="22"/>
          <w:szCs w:val="22"/>
          <w:lang w:val="en-US"/>
        </w:rPr>
      </w:pPr>
      <w:r w:rsidRPr="00E822FF">
        <w:rPr>
          <w:rFonts w:ascii="Arial" w:hAnsi="Arial" w:cs="Arial"/>
          <w:sz w:val="22"/>
          <w:szCs w:val="22"/>
          <w:lang w:val="en-US"/>
        </w:rPr>
        <w:t>By raising its capital levels and enhancing its risk management procedures, HSBC has conformed with the Basel III framework. In accordance with the Basel III framework, the bank has considerably raised its Common Equity Tier 1 (CET1) capital ratio, which is a crucial indicator of capital adequacy. By expanding its stress testing capabilities and introducing new risk management tools and procedures, HSBC has also enhanced its risk management procedures</w:t>
      </w:r>
      <w:r w:rsidR="001136D6" w:rsidRPr="00E822FF">
        <w:rPr>
          <w:rFonts w:ascii="Arial" w:hAnsi="Arial" w:cs="Arial"/>
          <w:sz w:val="22"/>
          <w:szCs w:val="22"/>
          <w:lang w:val="en-US"/>
        </w:rPr>
        <w:t xml:space="preserve"> (Basel Committee on Banking Supervision, 2016)</w:t>
      </w:r>
      <w:r w:rsidRPr="00E822FF">
        <w:rPr>
          <w:rFonts w:ascii="Arial" w:hAnsi="Arial" w:cs="Arial"/>
          <w:sz w:val="22"/>
          <w:szCs w:val="22"/>
          <w:lang w:val="en-US"/>
        </w:rPr>
        <w:t>.</w:t>
      </w:r>
    </w:p>
    <w:p w14:paraId="11019778" w14:textId="77777777" w:rsidR="00306D78" w:rsidRPr="00E822FF" w:rsidRDefault="00306D78" w:rsidP="00E822FF">
      <w:pPr>
        <w:spacing w:line="360" w:lineRule="auto"/>
        <w:jc w:val="both"/>
        <w:rPr>
          <w:rFonts w:ascii="Arial" w:hAnsi="Arial" w:cs="Arial"/>
          <w:sz w:val="22"/>
          <w:szCs w:val="22"/>
          <w:lang w:val="en-US"/>
        </w:rPr>
      </w:pPr>
    </w:p>
    <w:p w14:paraId="38108852" w14:textId="77777777" w:rsidR="00306D78" w:rsidRPr="00E822FF" w:rsidRDefault="00306D78" w:rsidP="00E822FF">
      <w:pPr>
        <w:spacing w:line="360" w:lineRule="auto"/>
        <w:jc w:val="both"/>
        <w:rPr>
          <w:rFonts w:ascii="Arial" w:hAnsi="Arial" w:cs="Arial"/>
          <w:sz w:val="22"/>
          <w:szCs w:val="22"/>
          <w:lang w:val="en-US"/>
        </w:rPr>
      </w:pPr>
    </w:p>
    <w:p w14:paraId="1EC5376F" w14:textId="77777777" w:rsidR="00306D78" w:rsidRPr="00E822FF" w:rsidRDefault="00306D78" w:rsidP="00E822FF">
      <w:pPr>
        <w:spacing w:line="360" w:lineRule="auto"/>
        <w:jc w:val="both"/>
        <w:rPr>
          <w:rFonts w:ascii="Arial" w:hAnsi="Arial" w:cs="Arial"/>
          <w:sz w:val="22"/>
          <w:szCs w:val="22"/>
          <w:lang w:val="en-US"/>
        </w:rPr>
      </w:pPr>
      <w:r w:rsidRPr="00E822FF">
        <w:rPr>
          <w:rFonts w:ascii="Arial" w:hAnsi="Arial" w:cs="Arial"/>
          <w:sz w:val="22"/>
          <w:szCs w:val="22"/>
          <w:lang w:val="en-US"/>
        </w:rPr>
        <w:t>Additionally, HSBC has had trouble adhering to some of the Basel III framework's requirements regarding the leverage ratio. The leverage ratio, which compares a bank's capital to all of its assets, aims to prevent the banking industry from using excessive leverage. Following the implementation of the Basel III framework, HSBC was forced to significantly lower its leverage ratio, which had an effect on the bank's lending operations and profitability.</w:t>
      </w:r>
    </w:p>
    <w:p w14:paraId="0EEC6B67" w14:textId="77777777" w:rsidR="00306D78" w:rsidRPr="00E822FF" w:rsidRDefault="00306D78" w:rsidP="00E822FF">
      <w:pPr>
        <w:spacing w:line="360" w:lineRule="auto"/>
        <w:jc w:val="both"/>
        <w:rPr>
          <w:rFonts w:ascii="Arial" w:hAnsi="Arial" w:cs="Arial"/>
          <w:sz w:val="22"/>
          <w:szCs w:val="22"/>
          <w:lang w:val="en-US"/>
        </w:rPr>
      </w:pPr>
    </w:p>
    <w:p w14:paraId="1EE10C3C" w14:textId="77777777" w:rsidR="00306D78" w:rsidRPr="00E822FF" w:rsidRDefault="00306D78" w:rsidP="00E822FF">
      <w:pPr>
        <w:spacing w:line="360" w:lineRule="auto"/>
        <w:jc w:val="both"/>
        <w:rPr>
          <w:rFonts w:ascii="Arial" w:hAnsi="Arial" w:cs="Arial"/>
          <w:sz w:val="22"/>
          <w:szCs w:val="22"/>
          <w:lang w:val="en-US"/>
        </w:rPr>
      </w:pPr>
      <w:r w:rsidRPr="00E822FF">
        <w:rPr>
          <w:rFonts w:ascii="Arial" w:hAnsi="Arial" w:cs="Arial"/>
          <w:sz w:val="22"/>
          <w:szCs w:val="22"/>
          <w:lang w:val="en-US"/>
        </w:rPr>
        <w:t>Conclusion</w:t>
      </w:r>
    </w:p>
    <w:p w14:paraId="3A9F2E04" w14:textId="77777777" w:rsidR="00306D78" w:rsidRPr="00E822FF" w:rsidRDefault="00306D78" w:rsidP="00E822FF">
      <w:pPr>
        <w:spacing w:line="360" w:lineRule="auto"/>
        <w:jc w:val="both"/>
        <w:rPr>
          <w:rFonts w:ascii="Arial" w:hAnsi="Arial" w:cs="Arial"/>
          <w:sz w:val="22"/>
          <w:szCs w:val="22"/>
          <w:lang w:val="en-US"/>
        </w:rPr>
      </w:pPr>
    </w:p>
    <w:p w14:paraId="36987BCB" w14:textId="77777777" w:rsidR="00306D78" w:rsidRPr="00E822FF" w:rsidRDefault="00306D78" w:rsidP="00E822FF">
      <w:pPr>
        <w:spacing w:line="360" w:lineRule="auto"/>
        <w:jc w:val="both"/>
        <w:rPr>
          <w:rFonts w:ascii="Arial" w:hAnsi="Arial" w:cs="Arial"/>
          <w:sz w:val="22"/>
          <w:szCs w:val="22"/>
          <w:lang w:val="en-US"/>
        </w:rPr>
      </w:pPr>
    </w:p>
    <w:p w14:paraId="4CEF690E" w14:textId="38D70D8C" w:rsidR="00306D78" w:rsidRPr="00E822FF" w:rsidRDefault="00306D78"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HSBC's business model and level of compliance or non-compliance with these changes have been significantly impacted by the Dodd-Frank Act and the Basel III framework, to say the least. The terms of these reforms pertaining to risk management, capital requirements, and liquidity requirements have all been met by the bank. Additionally, HSBC has taken action to </w:t>
      </w:r>
      <w:r w:rsidRPr="00E822FF">
        <w:rPr>
          <w:rFonts w:ascii="Arial" w:hAnsi="Arial" w:cs="Arial"/>
          <w:sz w:val="22"/>
          <w:szCs w:val="22"/>
          <w:lang w:val="en-US"/>
        </w:rPr>
        <w:lastRenderedPageBreak/>
        <w:t>comply with the AML and ATF rules. However, some of the Volcker Rule's and the leverage ratio's requirements have proven difficult for HSBC to follow, which has had an effect on the bank's revenue and profitability. In order to safeguard the stability of the financial system, HSBC has taken considerable efforts to comply with these changes and enhance its risk management procedures.</w:t>
      </w:r>
    </w:p>
    <w:p w14:paraId="105F6B9D" w14:textId="77777777" w:rsidR="00306D78" w:rsidRPr="00E822FF" w:rsidRDefault="00306D78" w:rsidP="00E822FF">
      <w:pPr>
        <w:spacing w:line="360" w:lineRule="auto"/>
        <w:jc w:val="both"/>
        <w:rPr>
          <w:rFonts w:ascii="Arial" w:hAnsi="Arial" w:cs="Arial"/>
          <w:sz w:val="22"/>
          <w:szCs w:val="22"/>
          <w:lang w:val="en-US"/>
        </w:rPr>
      </w:pPr>
    </w:p>
    <w:p w14:paraId="7A84A01C" w14:textId="07864D90" w:rsidR="00306D78" w:rsidRPr="00E822FF" w:rsidRDefault="00A87161" w:rsidP="00E822FF">
      <w:pPr>
        <w:pStyle w:val="Heading1"/>
        <w:rPr>
          <w:lang w:val="en-US"/>
        </w:rPr>
      </w:pPr>
      <w:bookmarkStart w:id="19" w:name="_Toc133613073"/>
      <w:r w:rsidRPr="00E822FF">
        <w:rPr>
          <w:lang w:val="en-US"/>
        </w:rPr>
        <w:t xml:space="preserve">A decade after the financial crash, </w:t>
      </w:r>
      <w:proofErr w:type="gramStart"/>
      <w:r w:rsidRPr="00E822FF">
        <w:rPr>
          <w:lang w:val="en-US"/>
        </w:rPr>
        <w:t>What</w:t>
      </w:r>
      <w:proofErr w:type="gramEnd"/>
      <w:r w:rsidRPr="00E822FF">
        <w:rPr>
          <w:lang w:val="en-US"/>
        </w:rPr>
        <w:t xml:space="preserve"> has not changed yet?</w:t>
      </w:r>
      <w:bookmarkEnd w:id="19"/>
      <w:r w:rsidRPr="00E822FF">
        <w:rPr>
          <w:lang w:val="en-US"/>
        </w:rPr>
        <w:t xml:space="preserve"> </w:t>
      </w:r>
    </w:p>
    <w:p w14:paraId="0E71A2B3" w14:textId="77777777" w:rsidR="00A87161" w:rsidRPr="00E822FF" w:rsidRDefault="00A87161" w:rsidP="00E822FF">
      <w:pPr>
        <w:spacing w:line="360" w:lineRule="auto"/>
        <w:jc w:val="both"/>
        <w:rPr>
          <w:rFonts w:ascii="Arial" w:hAnsi="Arial" w:cs="Arial"/>
          <w:sz w:val="22"/>
          <w:szCs w:val="22"/>
          <w:lang w:val="en-US"/>
        </w:rPr>
      </w:pPr>
    </w:p>
    <w:p w14:paraId="48116B69" w14:textId="77777777" w:rsidR="00A87161" w:rsidRPr="00E822FF" w:rsidRDefault="00A87161" w:rsidP="00E822FF">
      <w:pPr>
        <w:spacing w:line="360" w:lineRule="auto"/>
        <w:jc w:val="both"/>
        <w:rPr>
          <w:rFonts w:ascii="Arial" w:hAnsi="Arial" w:cs="Arial"/>
          <w:sz w:val="22"/>
          <w:szCs w:val="22"/>
          <w:lang w:val="en-US"/>
        </w:rPr>
      </w:pPr>
      <w:r w:rsidRPr="00E822FF">
        <w:rPr>
          <w:rFonts w:ascii="Arial" w:hAnsi="Arial" w:cs="Arial"/>
          <w:sz w:val="22"/>
          <w:szCs w:val="22"/>
          <w:lang w:val="en-US"/>
        </w:rPr>
        <w:t>A paper entitled "A Decade After the Global Financial Crisis: What Has (and Hasn't) Changed" was released by the McKinsey Global Institute (MGI) in 2018. The study offers a thorough review of the changes that have occurred since the financial crisis of 2008 and identifies the areas where advancements have been achieved and problems remain.</w:t>
      </w:r>
    </w:p>
    <w:p w14:paraId="5F527B0D" w14:textId="77777777" w:rsidR="00A87161" w:rsidRPr="00E822FF" w:rsidRDefault="00A87161" w:rsidP="00E822FF">
      <w:pPr>
        <w:spacing w:line="360" w:lineRule="auto"/>
        <w:jc w:val="both"/>
        <w:rPr>
          <w:rFonts w:ascii="Arial" w:hAnsi="Arial" w:cs="Arial"/>
          <w:sz w:val="22"/>
          <w:szCs w:val="22"/>
          <w:lang w:val="en-US"/>
        </w:rPr>
      </w:pPr>
    </w:p>
    <w:p w14:paraId="6E381D4B" w14:textId="7A478EBD" w:rsidR="00A87161" w:rsidRPr="00E822FF" w:rsidRDefault="00A87161" w:rsidP="00E822FF">
      <w:pPr>
        <w:spacing w:line="360" w:lineRule="auto"/>
        <w:jc w:val="both"/>
        <w:rPr>
          <w:rFonts w:ascii="Arial" w:hAnsi="Arial" w:cs="Arial"/>
          <w:sz w:val="22"/>
          <w:szCs w:val="22"/>
          <w:lang w:val="en-US"/>
        </w:rPr>
      </w:pPr>
      <w:r w:rsidRPr="00E822FF">
        <w:rPr>
          <w:rFonts w:ascii="Arial" w:hAnsi="Arial" w:cs="Arial"/>
          <w:sz w:val="22"/>
          <w:szCs w:val="22"/>
          <w:lang w:val="en-US"/>
        </w:rPr>
        <w:t>The research identifies stronger risk management procedures, higher capital and liquidity requirements, and the banking sector's increased resilience as some of the major developments that have occurred. The average Tier 1 capital ratio of big banks increased from 6.1% in 2008 to 13.3% in 2017, according to the research, showing that the global banking sector has considerably increased its capitalization since the crisis.</w:t>
      </w:r>
    </w:p>
    <w:p w14:paraId="6507C518" w14:textId="77777777" w:rsidR="00A87161" w:rsidRPr="00E822FF" w:rsidRDefault="00A87161" w:rsidP="00E822FF">
      <w:pPr>
        <w:spacing w:line="360" w:lineRule="auto"/>
        <w:jc w:val="both"/>
        <w:rPr>
          <w:rFonts w:ascii="Arial" w:hAnsi="Arial" w:cs="Arial"/>
          <w:sz w:val="22"/>
          <w:szCs w:val="22"/>
          <w:lang w:val="en-US"/>
        </w:rPr>
      </w:pPr>
    </w:p>
    <w:p w14:paraId="194DA306" w14:textId="77777777" w:rsidR="00A87161" w:rsidRPr="00E822FF" w:rsidRDefault="00A87161" w:rsidP="00E822FF">
      <w:pPr>
        <w:spacing w:line="360" w:lineRule="auto"/>
        <w:jc w:val="both"/>
        <w:rPr>
          <w:rFonts w:ascii="Arial" w:hAnsi="Arial" w:cs="Arial"/>
          <w:sz w:val="22"/>
          <w:szCs w:val="22"/>
          <w:lang w:val="en-US"/>
        </w:rPr>
      </w:pPr>
      <w:r w:rsidRPr="00E822FF">
        <w:rPr>
          <w:rFonts w:ascii="Arial" w:hAnsi="Arial" w:cs="Arial"/>
          <w:sz w:val="22"/>
          <w:szCs w:val="22"/>
          <w:lang w:val="en-US"/>
        </w:rPr>
        <w:t>The research also stresses the problems that still exist, notably in the non-banking industry. For instance, the shadow banking sector has expanded, with assets managed rising from $36 trillion in 2008 to $45 trillion in 2016. The research makes notice of the threat to financial stability posed by the absence of control and transparency in this industry.</w:t>
      </w:r>
    </w:p>
    <w:p w14:paraId="5273D8F9" w14:textId="77777777" w:rsidR="00A87161" w:rsidRPr="00E822FF" w:rsidRDefault="00A87161" w:rsidP="00E822FF">
      <w:pPr>
        <w:spacing w:line="360" w:lineRule="auto"/>
        <w:jc w:val="both"/>
        <w:rPr>
          <w:rFonts w:ascii="Arial" w:hAnsi="Arial" w:cs="Arial"/>
          <w:sz w:val="22"/>
          <w:szCs w:val="22"/>
          <w:lang w:val="en-US"/>
        </w:rPr>
      </w:pPr>
    </w:p>
    <w:p w14:paraId="6ECB5181" w14:textId="4157A059" w:rsidR="00A87161" w:rsidRPr="00E822FF" w:rsidRDefault="00A87161" w:rsidP="00E822FF">
      <w:pPr>
        <w:spacing w:line="360" w:lineRule="auto"/>
        <w:jc w:val="both"/>
        <w:rPr>
          <w:rFonts w:ascii="Arial" w:hAnsi="Arial" w:cs="Arial"/>
          <w:sz w:val="22"/>
          <w:szCs w:val="22"/>
          <w:lang w:val="en-US"/>
        </w:rPr>
      </w:pPr>
      <w:r w:rsidRPr="00E822FF">
        <w:rPr>
          <w:rFonts w:ascii="Arial" w:hAnsi="Arial" w:cs="Arial"/>
          <w:sz w:val="22"/>
          <w:szCs w:val="22"/>
          <w:lang w:val="en-US"/>
        </w:rPr>
        <w:t>The regulatory environment is another area where development has taken place. The research points out that since the crisis, there have been a considerable number of new rules and regulatory frameworks, notably in the areas of capital and liquidity requirements. For instance, the Basel III framework has included additional guidelines for risk management and market discipline, as well as greater capital and liquidity requirements.</w:t>
      </w:r>
    </w:p>
    <w:p w14:paraId="36025564" w14:textId="77777777" w:rsidR="00A87161" w:rsidRPr="00E822FF" w:rsidRDefault="00A87161" w:rsidP="00E822FF">
      <w:pPr>
        <w:spacing w:line="360" w:lineRule="auto"/>
        <w:jc w:val="both"/>
        <w:rPr>
          <w:rFonts w:ascii="Arial" w:hAnsi="Arial" w:cs="Arial"/>
          <w:sz w:val="22"/>
          <w:szCs w:val="22"/>
          <w:lang w:val="en-US"/>
        </w:rPr>
      </w:pPr>
    </w:p>
    <w:p w14:paraId="0D91153D" w14:textId="77777777" w:rsidR="00A87161" w:rsidRPr="00E822FF" w:rsidRDefault="00A87161"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The paper, however, also </w:t>
      </w:r>
      <w:proofErr w:type="spellStart"/>
      <w:r w:rsidRPr="00E822FF">
        <w:rPr>
          <w:rFonts w:ascii="Arial" w:hAnsi="Arial" w:cs="Arial"/>
          <w:sz w:val="22"/>
          <w:szCs w:val="22"/>
          <w:lang w:val="en-US"/>
        </w:rPr>
        <w:t>emphasises</w:t>
      </w:r>
      <w:proofErr w:type="spellEnd"/>
      <w:r w:rsidRPr="00E822FF">
        <w:rPr>
          <w:rFonts w:ascii="Arial" w:hAnsi="Arial" w:cs="Arial"/>
          <w:sz w:val="22"/>
          <w:szCs w:val="22"/>
          <w:lang w:val="en-US"/>
        </w:rPr>
        <w:t xml:space="preserve"> the difficulties caused by regulatory fragmentation and disparities among various jurisdictions. This may reduce the efficiency of international regulation and open the door for regulatory arbitrage.</w:t>
      </w:r>
    </w:p>
    <w:p w14:paraId="11E88C7F" w14:textId="77777777" w:rsidR="00A87161" w:rsidRPr="00E822FF" w:rsidRDefault="00A87161" w:rsidP="00E822FF">
      <w:pPr>
        <w:spacing w:line="360" w:lineRule="auto"/>
        <w:jc w:val="both"/>
        <w:rPr>
          <w:rFonts w:ascii="Arial" w:hAnsi="Arial" w:cs="Arial"/>
          <w:sz w:val="22"/>
          <w:szCs w:val="22"/>
          <w:lang w:val="en-US"/>
        </w:rPr>
      </w:pPr>
    </w:p>
    <w:p w14:paraId="1E568327" w14:textId="2162949E" w:rsidR="00A87161" w:rsidRPr="00E822FF" w:rsidRDefault="00A87161" w:rsidP="00E822FF">
      <w:pPr>
        <w:spacing w:line="360" w:lineRule="auto"/>
        <w:jc w:val="both"/>
        <w:rPr>
          <w:rFonts w:ascii="Arial" w:hAnsi="Arial" w:cs="Arial"/>
          <w:sz w:val="22"/>
          <w:szCs w:val="22"/>
          <w:lang w:val="en-US"/>
        </w:rPr>
      </w:pPr>
      <w:r w:rsidRPr="00E822FF">
        <w:rPr>
          <w:rFonts w:ascii="Arial" w:hAnsi="Arial" w:cs="Arial"/>
          <w:sz w:val="22"/>
          <w:szCs w:val="22"/>
          <w:lang w:val="en-US"/>
        </w:rPr>
        <w:lastRenderedPageBreak/>
        <w:t>The research also draws attention to the rising concern over income disparity, which has been made worse by the crisis and the ensuing recovery. Although many countries' GDP per capita has returned to its pre-crisis levels, the report points out that median household income has not yet fully recovered. In addition to causing social and political unrest, this has raised questions about the sustainability of long-term economic development.</w:t>
      </w:r>
    </w:p>
    <w:p w14:paraId="4A4EF484" w14:textId="77777777" w:rsidR="00A87161" w:rsidRPr="00E822FF" w:rsidRDefault="00A87161" w:rsidP="00E822FF">
      <w:pPr>
        <w:spacing w:line="360" w:lineRule="auto"/>
        <w:jc w:val="both"/>
        <w:rPr>
          <w:rFonts w:ascii="Arial" w:hAnsi="Arial" w:cs="Arial"/>
          <w:sz w:val="22"/>
          <w:szCs w:val="22"/>
          <w:lang w:val="en-US"/>
        </w:rPr>
      </w:pPr>
    </w:p>
    <w:p w14:paraId="7DD09A1C" w14:textId="77777777" w:rsidR="00A87161" w:rsidRPr="00E822FF" w:rsidRDefault="00A87161" w:rsidP="00E822FF">
      <w:pPr>
        <w:spacing w:line="360" w:lineRule="auto"/>
        <w:jc w:val="both"/>
        <w:rPr>
          <w:rFonts w:ascii="Arial" w:hAnsi="Arial" w:cs="Arial"/>
          <w:sz w:val="22"/>
          <w:szCs w:val="22"/>
          <w:lang w:val="en-US"/>
        </w:rPr>
      </w:pPr>
    </w:p>
    <w:p w14:paraId="2EF6608D" w14:textId="77777777" w:rsidR="00A87161" w:rsidRPr="00E822FF" w:rsidRDefault="00A87161" w:rsidP="00E822FF">
      <w:pPr>
        <w:spacing w:line="360" w:lineRule="auto"/>
        <w:jc w:val="both"/>
        <w:rPr>
          <w:rFonts w:ascii="Arial" w:hAnsi="Arial" w:cs="Arial"/>
          <w:sz w:val="22"/>
          <w:szCs w:val="22"/>
          <w:lang w:val="en-US"/>
        </w:rPr>
      </w:pPr>
    </w:p>
    <w:p w14:paraId="63968207" w14:textId="77777777" w:rsidR="00A87161" w:rsidRPr="00E822FF" w:rsidRDefault="00A87161" w:rsidP="00E822FF">
      <w:pPr>
        <w:spacing w:line="360" w:lineRule="auto"/>
        <w:jc w:val="both"/>
        <w:rPr>
          <w:rFonts w:ascii="Arial" w:hAnsi="Arial" w:cs="Arial"/>
          <w:sz w:val="22"/>
          <w:szCs w:val="22"/>
          <w:lang w:val="en-US"/>
        </w:rPr>
      </w:pPr>
    </w:p>
    <w:p w14:paraId="517147B9" w14:textId="77777777" w:rsidR="00A87161" w:rsidRPr="00E822FF" w:rsidRDefault="00A87161" w:rsidP="00E822FF">
      <w:pPr>
        <w:spacing w:line="360" w:lineRule="auto"/>
        <w:jc w:val="both"/>
        <w:rPr>
          <w:rFonts w:ascii="Arial" w:hAnsi="Arial" w:cs="Arial"/>
          <w:sz w:val="22"/>
          <w:szCs w:val="22"/>
          <w:lang w:val="en-US"/>
        </w:rPr>
      </w:pPr>
    </w:p>
    <w:p w14:paraId="0C0AD7C0" w14:textId="77777777" w:rsidR="00A87161" w:rsidRPr="00E822FF" w:rsidRDefault="00A87161" w:rsidP="00E822FF">
      <w:pPr>
        <w:spacing w:line="360" w:lineRule="auto"/>
        <w:jc w:val="both"/>
        <w:rPr>
          <w:rFonts w:ascii="Arial" w:hAnsi="Arial" w:cs="Arial"/>
          <w:sz w:val="22"/>
          <w:szCs w:val="22"/>
          <w:lang w:val="en-US"/>
        </w:rPr>
      </w:pPr>
    </w:p>
    <w:p w14:paraId="7E1B4C16" w14:textId="77777777" w:rsidR="00A87161" w:rsidRPr="00E822FF" w:rsidRDefault="00A87161" w:rsidP="00E822FF">
      <w:pPr>
        <w:spacing w:line="360" w:lineRule="auto"/>
        <w:jc w:val="both"/>
        <w:rPr>
          <w:rFonts w:ascii="Arial" w:hAnsi="Arial" w:cs="Arial"/>
          <w:sz w:val="22"/>
          <w:szCs w:val="22"/>
          <w:lang w:val="en-US"/>
        </w:rPr>
      </w:pPr>
    </w:p>
    <w:p w14:paraId="3B6C3572" w14:textId="77777777" w:rsidR="00A87161" w:rsidRPr="00E822FF" w:rsidRDefault="00A87161" w:rsidP="00E822FF">
      <w:pPr>
        <w:spacing w:line="360" w:lineRule="auto"/>
        <w:jc w:val="both"/>
        <w:rPr>
          <w:rFonts w:ascii="Arial" w:hAnsi="Arial" w:cs="Arial"/>
          <w:sz w:val="22"/>
          <w:szCs w:val="22"/>
          <w:lang w:val="en-US"/>
        </w:rPr>
      </w:pPr>
    </w:p>
    <w:p w14:paraId="7B398E49" w14:textId="77777777" w:rsidR="00A87161" w:rsidRPr="00E822FF" w:rsidRDefault="00A87161" w:rsidP="00E822FF">
      <w:pPr>
        <w:spacing w:line="360" w:lineRule="auto"/>
        <w:jc w:val="both"/>
        <w:rPr>
          <w:rFonts w:ascii="Arial" w:hAnsi="Arial" w:cs="Arial"/>
          <w:sz w:val="22"/>
          <w:szCs w:val="22"/>
          <w:lang w:val="en-US"/>
        </w:rPr>
      </w:pPr>
    </w:p>
    <w:p w14:paraId="2D569D6D" w14:textId="77777777" w:rsidR="00A87161" w:rsidRPr="00E822FF" w:rsidRDefault="00A87161" w:rsidP="00E822FF">
      <w:pPr>
        <w:spacing w:line="360" w:lineRule="auto"/>
        <w:jc w:val="both"/>
        <w:rPr>
          <w:rFonts w:ascii="Arial" w:hAnsi="Arial" w:cs="Arial"/>
          <w:sz w:val="22"/>
          <w:szCs w:val="22"/>
          <w:lang w:val="en-US"/>
        </w:rPr>
      </w:pPr>
    </w:p>
    <w:p w14:paraId="748575EC" w14:textId="77777777" w:rsidR="00A87161" w:rsidRPr="00E822FF" w:rsidRDefault="00A87161" w:rsidP="00E822FF">
      <w:pPr>
        <w:spacing w:line="360" w:lineRule="auto"/>
        <w:jc w:val="both"/>
        <w:rPr>
          <w:rFonts w:ascii="Arial" w:hAnsi="Arial" w:cs="Arial"/>
          <w:sz w:val="22"/>
          <w:szCs w:val="22"/>
          <w:lang w:val="en-US"/>
        </w:rPr>
      </w:pPr>
    </w:p>
    <w:p w14:paraId="76088DF8" w14:textId="77777777" w:rsidR="00A87161" w:rsidRPr="00E822FF" w:rsidRDefault="00A87161" w:rsidP="00E822FF">
      <w:pPr>
        <w:spacing w:line="360" w:lineRule="auto"/>
        <w:jc w:val="both"/>
        <w:rPr>
          <w:rFonts w:ascii="Arial" w:hAnsi="Arial" w:cs="Arial"/>
          <w:sz w:val="22"/>
          <w:szCs w:val="22"/>
          <w:lang w:val="en-US"/>
        </w:rPr>
      </w:pPr>
    </w:p>
    <w:p w14:paraId="1E154FAB" w14:textId="77777777" w:rsidR="00A87161" w:rsidRPr="00E822FF" w:rsidRDefault="00A87161" w:rsidP="00E822FF">
      <w:pPr>
        <w:spacing w:line="360" w:lineRule="auto"/>
        <w:jc w:val="both"/>
        <w:rPr>
          <w:rFonts w:ascii="Arial" w:hAnsi="Arial" w:cs="Arial"/>
          <w:sz w:val="22"/>
          <w:szCs w:val="22"/>
          <w:lang w:val="en-US"/>
        </w:rPr>
      </w:pPr>
    </w:p>
    <w:p w14:paraId="73A68ACB" w14:textId="77777777" w:rsidR="00A87161" w:rsidRPr="00E822FF" w:rsidRDefault="00A87161" w:rsidP="00E822FF">
      <w:pPr>
        <w:spacing w:line="360" w:lineRule="auto"/>
        <w:jc w:val="both"/>
        <w:rPr>
          <w:rFonts w:ascii="Arial" w:hAnsi="Arial" w:cs="Arial"/>
          <w:sz w:val="22"/>
          <w:szCs w:val="22"/>
          <w:lang w:val="en-US"/>
        </w:rPr>
      </w:pPr>
    </w:p>
    <w:p w14:paraId="232FD871" w14:textId="77777777" w:rsidR="00A87161" w:rsidRPr="00E822FF" w:rsidRDefault="00A87161" w:rsidP="00E822FF">
      <w:pPr>
        <w:spacing w:line="360" w:lineRule="auto"/>
        <w:jc w:val="both"/>
        <w:rPr>
          <w:rFonts w:ascii="Arial" w:hAnsi="Arial" w:cs="Arial"/>
          <w:sz w:val="22"/>
          <w:szCs w:val="22"/>
          <w:lang w:val="en-US"/>
        </w:rPr>
      </w:pPr>
    </w:p>
    <w:p w14:paraId="7B1563DE" w14:textId="77777777" w:rsidR="00A87161" w:rsidRPr="00E822FF" w:rsidRDefault="00A87161" w:rsidP="00E822FF">
      <w:pPr>
        <w:spacing w:line="360" w:lineRule="auto"/>
        <w:jc w:val="both"/>
        <w:rPr>
          <w:rFonts w:ascii="Arial" w:hAnsi="Arial" w:cs="Arial"/>
          <w:sz w:val="22"/>
          <w:szCs w:val="22"/>
          <w:lang w:val="en-US"/>
        </w:rPr>
      </w:pPr>
    </w:p>
    <w:p w14:paraId="249CA471" w14:textId="77777777" w:rsidR="00A87161" w:rsidRPr="00E822FF" w:rsidRDefault="00A87161" w:rsidP="00E822FF">
      <w:pPr>
        <w:spacing w:line="360" w:lineRule="auto"/>
        <w:jc w:val="both"/>
        <w:rPr>
          <w:rFonts w:ascii="Arial" w:hAnsi="Arial" w:cs="Arial"/>
          <w:sz w:val="22"/>
          <w:szCs w:val="22"/>
          <w:lang w:val="en-US"/>
        </w:rPr>
      </w:pPr>
    </w:p>
    <w:p w14:paraId="206B2C62" w14:textId="77777777" w:rsidR="00A87161" w:rsidRPr="00E822FF" w:rsidRDefault="00A87161" w:rsidP="00E822FF">
      <w:pPr>
        <w:spacing w:line="360" w:lineRule="auto"/>
        <w:jc w:val="both"/>
        <w:rPr>
          <w:rFonts w:ascii="Arial" w:hAnsi="Arial" w:cs="Arial"/>
          <w:sz w:val="22"/>
          <w:szCs w:val="22"/>
          <w:lang w:val="en-US"/>
        </w:rPr>
      </w:pPr>
    </w:p>
    <w:p w14:paraId="6D8CC5F8" w14:textId="77777777" w:rsidR="00A87161" w:rsidRPr="00E822FF" w:rsidRDefault="00A87161" w:rsidP="00E822FF">
      <w:pPr>
        <w:spacing w:line="360" w:lineRule="auto"/>
        <w:jc w:val="both"/>
        <w:rPr>
          <w:rFonts w:ascii="Arial" w:hAnsi="Arial" w:cs="Arial"/>
          <w:sz w:val="22"/>
          <w:szCs w:val="22"/>
          <w:lang w:val="en-US"/>
        </w:rPr>
      </w:pPr>
    </w:p>
    <w:p w14:paraId="56FE8CF7" w14:textId="352523C1" w:rsidR="00A87161" w:rsidRPr="00E822FF" w:rsidRDefault="00227801" w:rsidP="00E822FF">
      <w:pPr>
        <w:pStyle w:val="Heading1"/>
        <w:rPr>
          <w:lang w:val="en-US"/>
        </w:rPr>
      </w:pPr>
      <w:bookmarkStart w:id="20" w:name="_Toc133613074"/>
      <w:r w:rsidRPr="00E822FF">
        <w:rPr>
          <w:lang w:val="en-US"/>
        </w:rPr>
        <w:t>Preventing Another crash</w:t>
      </w:r>
      <w:bookmarkEnd w:id="20"/>
    </w:p>
    <w:p w14:paraId="54B975E0" w14:textId="77777777" w:rsidR="00227801" w:rsidRPr="00E822FF" w:rsidRDefault="00227801" w:rsidP="00E822FF">
      <w:pPr>
        <w:spacing w:line="360" w:lineRule="auto"/>
        <w:jc w:val="both"/>
        <w:rPr>
          <w:rFonts w:ascii="Arial" w:hAnsi="Arial" w:cs="Arial"/>
          <w:sz w:val="22"/>
          <w:szCs w:val="22"/>
          <w:lang w:val="en-US"/>
        </w:rPr>
      </w:pPr>
    </w:p>
    <w:p w14:paraId="3C601F21" w14:textId="77777777" w:rsidR="00227801" w:rsidRPr="00E822FF" w:rsidRDefault="00227801" w:rsidP="00E822FF">
      <w:pPr>
        <w:spacing w:line="360" w:lineRule="auto"/>
        <w:jc w:val="both"/>
        <w:rPr>
          <w:rFonts w:ascii="Arial" w:hAnsi="Arial" w:cs="Arial"/>
          <w:sz w:val="22"/>
          <w:szCs w:val="22"/>
          <w:lang w:val="en-US"/>
        </w:rPr>
      </w:pPr>
      <w:r w:rsidRPr="00E822FF">
        <w:rPr>
          <w:rFonts w:ascii="Arial" w:hAnsi="Arial" w:cs="Arial"/>
          <w:sz w:val="22"/>
          <w:szCs w:val="22"/>
          <w:lang w:val="en-US"/>
        </w:rPr>
        <w:t>For the world economy to remain stable, it is imperative to avert another financial catastrophe such to the one that occurred in 2008. Many steps have been taken in the wake of the 2008 crisis to avert another one. Here are a few instances:</w:t>
      </w:r>
    </w:p>
    <w:p w14:paraId="4E97187E" w14:textId="77777777" w:rsidR="00227801" w:rsidRPr="00E822FF" w:rsidRDefault="00227801" w:rsidP="00E822FF">
      <w:pPr>
        <w:spacing w:line="360" w:lineRule="auto"/>
        <w:jc w:val="both"/>
        <w:rPr>
          <w:rFonts w:ascii="Arial" w:hAnsi="Arial" w:cs="Arial"/>
          <w:sz w:val="22"/>
          <w:szCs w:val="22"/>
          <w:lang w:val="en-US"/>
        </w:rPr>
      </w:pPr>
    </w:p>
    <w:p w14:paraId="1CFF7291" w14:textId="15937C02" w:rsidR="00227801" w:rsidRPr="00E822FF" w:rsidRDefault="00227801"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Regulations that are more stringent were put in place for financial institutions as one of the major reactions to the 2008 financial crisis. In accordance with the Basel III framework, which was put in place as a reaction to the crisis, banks must maintain higher levels of capital and liquidity as well as submit to more stringent stress tests. Additionally, new regulatory agencies </w:t>
      </w:r>
      <w:r w:rsidRPr="00E822FF">
        <w:rPr>
          <w:rFonts w:ascii="Arial" w:hAnsi="Arial" w:cs="Arial"/>
          <w:sz w:val="22"/>
          <w:szCs w:val="22"/>
          <w:lang w:val="en-US"/>
        </w:rPr>
        <w:lastRenderedPageBreak/>
        <w:t>and specifications for financial institutions were established by the Dodd-Frank Wall Street Reform and Consumer Protection Act, which was passed in the United States in 2010.</w:t>
      </w:r>
    </w:p>
    <w:p w14:paraId="34E68FE6" w14:textId="77777777" w:rsidR="00227801" w:rsidRPr="00E822FF" w:rsidRDefault="00227801" w:rsidP="00E822FF">
      <w:pPr>
        <w:spacing w:line="360" w:lineRule="auto"/>
        <w:jc w:val="both"/>
        <w:rPr>
          <w:rFonts w:ascii="Arial" w:hAnsi="Arial" w:cs="Arial"/>
          <w:sz w:val="22"/>
          <w:szCs w:val="22"/>
          <w:lang w:val="en-US"/>
        </w:rPr>
      </w:pPr>
    </w:p>
    <w:p w14:paraId="71B81633" w14:textId="1D0415FD" w:rsidR="00227801" w:rsidRPr="00E822FF" w:rsidRDefault="00227801" w:rsidP="00E822FF">
      <w:pPr>
        <w:spacing w:line="360" w:lineRule="auto"/>
        <w:jc w:val="both"/>
        <w:rPr>
          <w:rFonts w:ascii="Arial" w:hAnsi="Arial" w:cs="Arial"/>
          <w:sz w:val="22"/>
          <w:szCs w:val="22"/>
          <w:lang w:val="en-US"/>
        </w:rPr>
      </w:pPr>
      <w:r w:rsidRPr="00E822FF">
        <w:rPr>
          <w:rFonts w:ascii="Arial" w:hAnsi="Arial" w:cs="Arial"/>
          <w:sz w:val="22"/>
          <w:szCs w:val="22"/>
          <w:lang w:val="en-US"/>
        </w:rPr>
        <w:t>Better risk management: In the aftermath of the 2008 financial crisis, banks and other financial institutions have also made efforts to enhance their risk management procedures. To better absorb losses in the case of a crisis, many banks, for instance, have put in place tougher risk assessment procedures and boosted their capital buffers.</w:t>
      </w:r>
    </w:p>
    <w:p w14:paraId="7B0B7963" w14:textId="77777777" w:rsidR="00227801" w:rsidRPr="00E822FF" w:rsidRDefault="00227801" w:rsidP="00E822FF">
      <w:pPr>
        <w:spacing w:line="360" w:lineRule="auto"/>
        <w:jc w:val="both"/>
        <w:rPr>
          <w:rFonts w:ascii="Arial" w:hAnsi="Arial" w:cs="Arial"/>
          <w:sz w:val="22"/>
          <w:szCs w:val="22"/>
          <w:lang w:val="en-US"/>
        </w:rPr>
      </w:pPr>
    </w:p>
    <w:p w14:paraId="17F4AD1E" w14:textId="77777777" w:rsidR="00227801" w:rsidRPr="00E822FF" w:rsidRDefault="00227801" w:rsidP="00E822FF">
      <w:pPr>
        <w:spacing w:line="360" w:lineRule="auto"/>
        <w:jc w:val="both"/>
        <w:rPr>
          <w:rFonts w:ascii="Arial" w:hAnsi="Arial" w:cs="Arial"/>
          <w:sz w:val="22"/>
          <w:szCs w:val="22"/>
          <w:lang w:val="en-US"/>
        </w:rPr>
      </w:pPr>
      <w:r w:rsidRPr="00E822FF">
        <w:rPr>
          <w:rFonts w:ascii="Arial" w:hAnsi="Arial" w:cs="Arial"/>
          <w:sz w:val="22"/>
          <w:szCs w:val="22"/>
          <w:lang w:val="en-US"/>
        </w:rPr>
        <w:t>Transparency improvement: Transparency improvements in financial transactions may help avert future crises. Greater transparency in over-the-counter derivatives trading is required by the EU's European Market Infrastructure Regulation (EMIR), which was implemented in the wake of the 2008 financial crisis. Similar to this, the Dodd-Frank Act in the US required increased openness in the trading of financial goods and derivatives.</w:t>
      </w:r>
    </w:p>
    <w:p w14:paraId="20A20622" w14:textId="77777777" w:rsidR="00227801" w:rsidRPr="00E822FF" w:rsidRDefault="00227801" w:rsidP="00E822FF">
      <w:pPr>
        <w:spacing w:line="360" w:lineRule="auto"/>
        <w:jc w:val="both"/>
        <w:rPr>
          <w:rFonts w:ascii="Arial" w:hAnsi="Arial" w:cs="Arial"/>
          <w:sz w:val="22"/>
          <w:szCs w:val="22"/>
          <w:lang w:val="en-US"/>
        </w:rPr>
      </w:pPr>
    </w:p>
    <w:p w14:paraId="6EEF5D86" w14:textId="02D1FC9B" w:rsidR="00227801" w:rsidRPr="00E822FF" w:rsidRDefault="00227801" w:rsidP="00E822FF">
      <w:pPr>
        <w:spacing w:line="360" w:lineRule="auto"/>
        <w:jc w:val="both"/>
        <w:rPr>
          <w:rFonts w:ascii="Arial" w:hAnsi="Arial" w:cs="Arial"/>
          <w:sz w:val="22"/>
          <w:szCs w:val="22"/>
          <w:lang w:val="en-US"/>
        </w:rPr>
      </w:pPr>
      <w:r w:rsidRPr="00E822FF">
        <w:rPr>
          <w:rFonts w:ascii="Arial" w:hAnsi="Arial" w:cs="Arial"/>
          <w:sz w:val="22"/>
          <w:szCs w:val="22"/>
          <w:lang w:val="en-US"/>
        </w:rPr>
        <w:t>Enhanced international cooperation: The 2008 crisis was a global crisis, and preventing future crises requires increased international cooperation. International collaboration on financial regulation and stability is encouraged through the Financial Stability Board, which was set up in response to the crisis.</w:t>
      </w:r>
    </w:p>
    <w:p w14:paraId="0B7C864A" w14:textId="77777777" w:rsidR="00227801" w:rsidRPr="00E822FF" w:rsidRDefault="00227801" w:rsidP="00E822FF">
      <w:pPr>
        <w:spacing w:line="360" w:lineRule="auto"/>
        <w:jc w:val="both"/>
        <w:rPr>
          <w:rFonts w:ascii="Arial" w:hAnsi="Arial" w:cs="Arial"/>
          <w:sz w:val="22"/>
          <w:szCs w:val="22"/>
          <w:lang w:val="en-US"/>
        </w:rPr>
      </w:pPr>
    </w:p>
    <w:p w14:paraId="71DAF266" w14:textId="77777777" w:rsidR="00227801" w:rsidRPr="00E822FF" w:rsidRDefault="00227801" w:rsidP="00E822FF">
      <w:pPr>
        <w:spacing w:line="360" w:lineRule="auto"/>
        <w:jc w:val="both"/>
        <w:rPr>
          <w:rFonts w:ascii="Arial" w:hAnsi="Arial" w:cs="Arial"/>
          <w:sz w:val="22"/>
          <w:szCs w:val="22"/>
          <w:lang w:val="en-US"/>
        </w:rPr>
      </w:pPr>
      <w:r w:rsidRPr="00E822FF">
        <w:rPr>
          <w:rFonts w:ascii="Arial" w:hAnsi="Arial" w:cs="Arial"/>
          <w:sz w:val="22"/>
          <w:szCs w:val="22"/>
          <w:lang w:val="en-US"/>
        </w:rPr>
        <w:t xml:space="preserve">However, despite these precautions, the global financial system is still vulnerable. For instance, concerns have been voiced regarding the possible effects of the fast expansion of cryptocurrencies and other digital assets on financial stability. The COVID-19 epidemic has also </w:t>
      </w:r>
      <w:proofErr w:type="spellStart"/>
      <w:r w:rsidRPr="00E822FF">
        <w:rPr>
          <w:rFonts w:ascii="Arial" w:hAnsi="Arial" w:cs="Arial"/>
          <w:sz w:val="22"/>
          <w:szCs w:val="22"/>
          <w:lang w:val="en-US"/>
        </w:rPr>
        <w:t>emphasised</w:t>
      </w:r>
      <w:proofErr w:type="spellEnd"/>
      <w:r w:rsidRPr="00E822FF">
        <w:rPr>
          <w:rFonts w:ascii="Arial" w:hAnsi="Arial" w:cs="Arial"/>
          <w:sz w:val="22"/>
          <w:szCs w:val="22"/>
          <w:lang w:val="en-US"/>
        </w:rPr>
        <w:t xml:space="preserve"> the necessity for ongoing attention in monitoring and managing risks and revealed vulnerabilities in the global financial system.</w:t>
      </w:r>
    </w:p>
    <w:p w14:paraId="7792247E" w14:textId="77777777" w:rsidR="00227801" w:rsidRPr="00E822FF" w:rsidRDefault="00227801" w:rsidP="00E822FF">
      <w:pPr>
        <w:spacing w:line="360" w:lineRule="auto"/>
        <w:jc w:val="both"/>
        <w:rPr>
          <w:rFonts w:ascii="Arial" w:hAnsi="Arial" w:cs="Arial"/>
          <w:sz w:val="22"/>
          <w:szCs w:val="22"/>
          <w:lang w:val="en-US"/>
        </w:rPr>
      </w:pPr>
    </w:p>
    <w:p w14:paraId="667729B9" w14:textId="3C8EF647" w:rsidR="00227801" w:rsidRPr="00E822FF" w:rsidRDefault="00227801" w:rsidP="00E822FF">
      <w:pPr>
        <w:spacing w:line="360" w:lineRule="auto"/>
        <w:jc w:val="both"/>
        <w:rPr>
          <w:rFonts w:ascii="Arial" w:hAnsi="Arial" w:cs="Arial"/>
          <w:sz w:val="22"/>
          <w:szCs w:val="22"/>
          <w:lang w:val="en-US"/>
        </w:rPr>
      </w:pPr>
      <w:r w:rsidRPr="00E822FF">
        <w:rPr>
          <w:rFonts w:ascii="Arial" w:hAnsi="Arial" w:cs="Arial"/>
          <w:sz w:val="22"/>
          <w:szCs w:val="22"/>
          <w:lang w:val="en-US"/>
        </w:rPr>
        <w:t>In conclusion, continued efforts to strengthen rules, enhance risk management procedures, raise transparency, and foster international collaboration are necessary to avert a financial catastrophe similar to the one that occurred in 2008. While there is no foolproof method to avoid a crisis, these steps can lessen its likelihood and impact while fostering world economic stability.</w:t>
      </w:r>
    </w:p>
    <w:p w14:paraId="0E4FC799" w14:textId="77777777" w:rsidR="00227801" w:rsidRPr="00E822FF" w:rsidRDefault="00227801" w:rsidP="00E822FF">
      <w:pPr>
        <w:spacing w:line="360" w:lineRule="auto"/>
        <w:jc w:val="both"/>
        <w:rPr>
          <w:rFonts w:ascii="Arial" w:hAnsi="Arial" w:cs="Arial"/>
          <w:sz w:val="22"/>
          <w:szCs w:val="22"/>
          <w:lang w:val="en-US"/>
        </w:rPr>
      </w:pPr>
    </w:p>
    <w:p w14:paraId="6012637A" w14:textId="77777777" w:rsidR="00227801" w:rsidRPr="00E822FF" w:rsidRDefault="00227801" w:rsidP="00E822FF">
      <w:pPr>
        <w:spacing w:line="360" w:lineRule="auto"/>
        <w:jc w:val="both"/>
        <w:rPr>
          <w:rFonts w:ascii="Arial" w:hAnsi="Arial" w:cs="Arial"/>
          <w:sz w:val="22"/>
          <w:szCs w:val="22"/>
          <w:lang w:val="en-US"/>
        </w:rPr>
      </w:pPr>
    </w:p>
    <w:p w14:paraId="05BF93EB" w14:textId="77777777" w:rsidR="00055821" w:rsidRPr="00E822FF" w:rsidRDefault="00055821" w:rsidP="00E822FF">
      <w:pPr>
        <w:spacing w:line="360" w:lineRule="auto"/>
        <w:jc w:val="both"/>
        <w:rPr>
          <w:rFonts w:ascii="Arial" w:hAnsi="Arial" w:cs="Arial"/>
          <w:sz w:val="22"/>
          <w:szCs w:val="22"/>
          <w:lang w:val="en-US"/>
        </w:rPr>
      </w:pPr>
    </w:p>
    <w:p w14:paraId="39F1F01B" w14:textId="77777777" w:rsidR="00055821" w:rsidRPr="00E822FF" w:rsidRDefault="00055821" w:rsidP="00E822FF">
      <w:pPr>
        <w:spacing w:line="360" w:lineRule="auto"/>
        <w:jc w:val="both"/>
        <w:rPr>
          <w:rFonts w:ascii="Arial" w:hAnsi="Arial" w:cs="Arial"/>
          <w:sz w:val="22"/>
          <w:szCs w:val="22"/>
          <w:lang w:val="en-US"/>
        </w:rPr>
      </w:pPr>
    </w:p>
    <w:p w14:paraId="1EB45B41" w14:textId="77777777" w:rsidR="00055821" w:rsidRPr="00E822FF" w:rsidRDefault="00055821" w:rsidP="00E822FF">
      <w:pPr>
        <w:spacing w:line="360" w:lineRule="auto"/>
        <w:jc w:val="both"/>
        <w:rPr>
          <w:rFonts w:ascii="Arial" w:hAnsi="Arial" w:cs="Arial"/>
          <w:sz w:val="22"/>
          <w:szCs w:val="22"/>
          <w:lang w:val="en-US"/>
        </w:rPr>
      </w:pPr>
    </w:p>
    <w:p w14:paraId="73BE4ADD" w14:textId="77777777" w:rsidR="00055821" w:rsidRPr="00E822FF" w:rsidRDefault="00055821" w:rsidP="00E822FF">
      <w:pPr>
        <w:spacing w:line="360" w:lineRule="auto"/>
        <w:jc w:val="both"/>
        <w:rPr>
          <w:rFonts w:ascii="Arial" w:hAnsi="Arial" w:cs="Arial"/>
          <w:sz w:val="22"/>
          <w:szCs w:val="22"/>
          <w:lang w:val="en-US"/>
        </w:rPr>
      </w:pPr>
    </w:p>
    <w:p w14:paraId="51A7697A" w14:textId="77777777" w:rsidR="00055821" w:rsidRPr="00E822FF" w:rsidRDefault="00055821" w:rsidP="00E822FF">
      <w:pPr>
        <w:pStyle w:val="Heading1"/>
      </w:pPr>
      <w:bookmarkStart w:id="21" w:name="_Toc133613075"/>
      <w:r w:rsidRPr="00E822FF">
        <w:lastRenderedPageBreak/>
        <w:t>Reference list</w:t>
      </w:r>
      <w:bookmarkEnd w:id="21"/>
    </w:p>
    <w:p w14:paraId="403FC33B" w14:textId="77777777" w:rsidR="00055821" w:rsidRPr="00E822FF" w:rsidRDefault="00055821" w:rsidP="00E822FF">
      <w:pPr>
        <w:spacing w:line="360" w:lineRule="auto"/>
        <w:jc w:val="both"/>
        <w:rPr>
          <w:rFonts w:ascii="Arial" w:hAnsi="Arial" w:cs="Arial"/>
          <w:sz w:val="22"/>
          <w:szCs w:val="22"/>
        </w:rPr>
      </w:pPr>
    </w:p>
    <w:p w14:paraId="1E86424B" w14:textId="77777777" w:rsidR="00055821" w:rsidRPr="00E822FF" w:rsidRDefault="00055821"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Bank, E.C. (2011). </w:t>
      </w:r>
      <w:r w:rsidRPr="00E822FF">
        <w:rPr>
          <w:rFonts w:ascii="Arial" w:hAnsi="Arial" w:cs="Arial"/>
          <w:i/>
          <w:iCs/>
          <w:sz w:val="22"/>
          <w:szCs w:val="22"/>
        </w:rPr>
        <w:t>The global financial crisis and the role of central banking</w:t>
      </w:r>
      <w:r w:rsidRPr="00E822FF">
        <w:rPr>
          <w:rFonts w:ascii="Arial" w:hAnsi="Arial" w:cs="Arial"/>
          <w:sz w:val="22"/>
          <w:szCs w:val="22"/>
        </w:rPr>
        <w:t>. [online] European Central Bank. Available at: https://www.ecb.europa.eu/press/key/date/2011/html/sp110412.en.html.</w:t>
      </w:r>
    </w:p>
    <w:p w14:paraId="1FA9E9FA" w14:textId="77777777" w:rsidR="00055821" w:rsidRPr="00E822FF" w:rsidRDefault="00055821"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Basel Committee on Banking Supervision (2016). </w:t>
      </w:r>
      <w:r w:rsidRPr="00E822FF">
        <w:rPr>
          <w:rFonts w:ascii="Arial" w:hAnsi="Arial" w:cs="Arial"/>
          <w:i/>
          <w:iCs/>
          <w:sz w:val="22"/>
          <w:szCs w:val="22"/>
        </w:rPr>
        <w:t>Basel Committee on Banking Supervision STANDARDS Minimum capital requirements for market risk</w:t>
      </w:r>
      <w:r w:rsidRPr="00E822FF">
        <w:rPr>
          <w:rFonts w:ascii="Arial" w:hAnsi="Arial" w:cs="Arial"/>
          <w:sz w:val="22"/>
          <w:szCs w:val="22"/>
        </w:rPr>
        <w:t>. [online] Available at: https://www.bis.org/bcbs/publ/d352.pdf.</w:t>
      </w:r>
    </w:p>
    <w:p w14:paraId="5481CE2C" w14:textId="77777777" w:rsidR="00055821" w:rsidRPr="00E822FF" w:rsidRDefault="00055821"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EMIR (2022). </w:t>
      </w:r>
      <w:r w:rsidRPr="00E822FF">
        <w:rPr>
          <w:rFonts w:ascii="Arial" w:hAnsi="Arial" w:cs="Arial"/>
          <w:i/>
          <w:iCs/>
          <w:sz w:val="22"/>
          <w:szCs w:val="22"/>
        </w:rPr>
        <w:t>Derivatives / EMIR</w:t>
      </w:r>
      <w:r w:rsidRPr="00E822FF">
        <w:rPr>
          <w:rFonts w:ascii="Arial" w:hAnsi="Arial" w:cs="Arial"/>
          <w:sz w:val="22"/>
          <w:szCs w:val="22"/>
        </w:rPr>
        <w:t>. [online] finance.ec.europa.eu. Available at: https://finance.ec.europa.eu/capital-markets-union-and-financial-markets/financial-markets/post-trade-services/derivatives-emir_en#:~:text=The%20European%20Market%20Infrastructure%20Regulation [Accessed 28 Apr. 2023].</w:t>
      </w:r>
    </w:p>
    <w:p w14:paraId="12CF4A39" w14:textId="77777777" w:rsidR="00055821" w:rsidRPr="00E822FF" w:rsidRDefault="00055821" w:rsidP="00E822FF">
      <w:pPr>
        <w:pStyle w:val="NormalWeb"/>
        <w:spacing w:before="0" w:beforeAutospacing="0" w:after="240" w:afterAutospacing="0" w:line="360" w:lineRule="auto"/>
        <w:jc w:val="both"/>
        <w:rPr>
          <w:rFonts w:ascii="Arial" w:hAnsi="Arial" w:cs="Arial"/>
          <w:sz w:val="22"/>
          <w:szCs w:val="22"/>
        </w:rPr>
      </w:pPr>
      <w:proofErr w:type="spellStart"/>
      <w:r w:rsidRPr="00E822FF">
        <w:rPr>
          <w:rFonts w:ascii="Arial" w:hAnsi="Arial" w:cs="Arial"/>
          <w:sz w:val="22"/>
          <w:szCs w:val="22"/>
        </w:rPr>
        <w:t>esfs</w:t>
      </w:r>
      <w:proofErr w:type="spellEnd"/>
      <w:r w:rsidRPr="00E822FF">
        <w:rPr>
          <w:rFonts w:ascii="Arial" w:hAnsi="Arial" w:cs="Arial"/>
          <w:sz w:val="22"/>
          <w:szCs w:val="22"/>
        </w:rPr>
        <w:t xml:space="preserve"> (2010). </w:t>
      </w:r>
      <w:r w:rsidRPr="00E822FF">
        <w:rPr>
          <w:rFonts w:ascii="Arial" w:hAnsi="Arial" w:cs="Arial"/>
          <w:i/>
          <w:iCs/>
          <w:sz w:val="22"/>
          <w:szCs w:val="22"/>
        </w:rPr>
        <w:t>European System of Financial Supervision (ESFS) | Fact Sheets on the European Union | European Parliament</w:t>
      </w:r>
      <w:r w:rsidRPr="00E822FF">
        <w:rPr>
          <w:rFonts w:ascii="Arial" w:hAnsi="Arial" w:cs="Arial"/>
          <w:sz w:val="22"/>
          <w:szCs w:val="22"/>
        </w:rPr>
        <w:t>. [online] www.europarl.europa.eu. Available at: https://www.europarl.europa.eu/factsheets/en/sheet/84/european-system-of-financial-supervision-esfs- [Accessed 28 Apr. 2023].</w:t>
      </w:r>
    </w:p>
    <w:p w14:paraId="355F3730" w14:textId="77777777" w:rsidR="00055821" w:rsidRPr="00E822FF" w:rsidRDefault="00055821"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FSB (2016). </w:t>
      </w:r>
      <w:r w:rsidRPr="00E822FF">
        <w:rPr>
          <w:rFonts w:ascii="Arial" w:hAnsi="Arial" w:cs="Arial"/>
          <w:i/>
          <w:iCs/>
          <w:sz w:val="22"/>
          <w:szCs w:val="22"/>
        </w:rPr>
        <w:t>Ending too-big-to-fail</w:t>
      </w:r>
      <w:r w:rsidRPr="00E822FF">
        <w:rPr>
          <w:rFonts w:ascii="Arial" w:hAnsi="Arial" w:cs="Arial"/>
          <w:sz w:val="22"/>
          <w:szCs w:val="22"/>
        </w:rPr>
        <w:t>. [online] www.fsb.org. Available at: https://www.fsb.org/work-of-the-fsb/market-and-institutional-resilience/post-2008-financial-crisis-reforms/ending-too-big-to-fail/ [Accessed 28 Apr. 2023].</w:t>
      </w:r>
    </w:p>
    <w:p w14:paraId="20D4F50C" w14:textId="77777777" w:rsidR="00055821" w:rsidRPr="00E822FF" w:rsidRDefault="00055821"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HSBC (2010). </w:t>
      </w:r>
      <w:r w:rsidRPr="00E822FF">
        <w:rPr>
          <w:rFonts w:ascii="Arial" w:hAnsi="Arial" w:cs="Arial"/>
          <w:i/>
          <w:iCs/>
          <w:sz w:val="22"/>
          <w:szCs w:val="22"/>
        </w:rPr>
        <w:t>Financial regulation | HSBC Global Banking and Markets</w:t>
      </w:r>
      <w:r w:rsidRPr="00E822FF">
        <w:rPr>
          <w:rFonts w:ascii="Arial" w:hAnsi="Arial" w:cs="Arial"/>
          <w:sz w:val="22"/>
          <w:szCs w:val="22"/>
        </w:rPr>
        <w:t>. [online] www.gbm.hsbc.com. Available at: https://www.gbm.hsbc.com/financial-regulation#:~:text=OTC)%20derivatives%20market.- [Accessed 28 Apr. 2023].</w:t>
      </w:r>
    </w:p>
    <w:p w14:paraId="24C98136" w14:textId="77777777" w:rsidR="00055821" w:rsidRPr="00E822FF" w:rsidRDefault="00055821"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IMF (2010). </w:t>
      </w:r>
      <w:r w:rsidRPr="00E822FF">
        <w:rPr>
          <w:rFonts w:ascii="Arial" w:hAnsi="Arial" w:cs="Arial"/>
          <w:i/>
          <w:iCs/>
          <w:sz w:val="22"/>
          <w:szCs w:val="22"/>
        </w:rPr>
        <w:t>The IMF Response to the Global Crisis: Meeting the Needs of Low-Income Countries -- Background Note</w:t>
      </w:r>
      <w:r w:rsidRPr="00E822FF">
        <w:rPr>
          <w:rFonts w:ascii="Arial" w:hAnsi="Arial" w:cs="Arial"/>
          <w:sz w:val="22"/>
          <w:szCs w:val="22"/>
        </w:rPr>
        <w:t>. [online] www.imf.org. Available at: https://www.imf.org/external/np/lic/2009/072909.htm [Accessed 28 Apr. 2023].</w:t>
      </w:r>
    </w:p>
    <w:p w14:paraId="616EC2C4" w14:textId="77777777" w:rsidR="00055821" w:rsidRPr="00E822FF" w:rsidRDefault="00055821"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Lund, S., Mehta, A., Manyika, J. and </w:t>
      </w:r>
      <w:proofErr w:type="spellStart"/>
      <w:r w:rsidRPr="00E822FF">
        <w:rPr>
          <w:rFonts w:ascii="Arial" w:hAnsi="Arial" w:cs="Arial"/>
          <w:sz w:val="22"/>
          <w:szCs w:val="22"/>
        </w:rPr>
        <w:t>Goldshtein</w:t>
      </w:r>
      <w:proofErr w:type="spellEnd"/>
      <w:r w:rsidRPr="00E822FF">
        <w:rPr>
          <w:rFonts w:ascii="Arial" w:hAnsi="Arial" w:cs="Arial"/>
          <w:sz w:val="22"/>
          <w:szCs w:val="22"/>
        </w:rPr>
        <w:t xml:space="preserve">, D. (2018). </w:t>
      </w:r>
      <w:r w:rsidRPr="00E822FF">
        <w:rPr>
          <w:rFonts w:ascii="Arial" w:hAnsi="Arial" w:cs="Arial"/>
          <w:i/>
          <w:iCs/>
          <w:sz w:val="22"/>
          <w:szCs w:val="22"/>
        </w:rPr>
        <w:t>A decade after the global financial crisis: What has (and hasn’t) changed?</w:t>
      </w:r>
      <w:r w:rsidRPr="00E822FF">
        <w:rPr>
          <w:rFonts w:ascii="Arial" w:hAnsi="Arial" w:cs="Arial"/>
          <w:sz w:val="22"/>
          <w:szCs w:val="22"/>
        </w:rPr>
        <w:t xml:space="preserve"> [online] McKinsey &amp; Company. Available at: https://www.mckinsey.com/industries/financial-services/our-insights/a-decade-after-the-global-financial-crisis-what-has-and-hasnt-changed.</w:t>
      </w:r>
    </w:p>
    <w:p w14:paraId="7132C459" w14:textId="77777777" w:rsidR="00055821" w:rsidRPr="00E822FF" w:rsidRDefault="00055821" w:rsidP="00E822FF">
      <w:pPr>
        <w:pStyle w:val="NormalWeb"/>
        <w:spacing w:before="0" w:beforeAutospacing="0" w:after="240" w:afterAutospacing="0" w:line="360" w:lineRule="auto"/>
        <w:jc w:val="both"/>
        <w:rPr>
          <w:rFonts w:ascii="Arial" w:hAnsi="Arial" w:cs="Arial"/>
          <w:sz w:val="22"/>
          <w:szCs w:val="22"/>
        </w:rPr>
      </w:pPr>
      <w:proofErr w:type="spellStart"/>
      <w:r w:rsidRPr="00E822FF">
        <w:rPr>
          <w:rFonts w:ascii="Arial" w:hAnsi="Arial" w:cs="Arial"/>
          <w:sz w:val="22"/>
          <w:szCs w:val="22"/>
        </w:rPr>
        <w:lastRenderedPageBreak/>
        <w:t>Mor</w:t>
      </w:r>
      <w:proofErr w:type="spellEnd"/>
      <w:r w:rsidRPr="00E822FF">
        <w:rPr>
          <w:rFonts w:ascii="Arial" w:hAnsi="Arial" w:cs="Arial"/>
          <w:sz w:val="22"/>
          <w:szCs w:val="22"/>
        </w:rPr>
        <w:t xml:space="preserve">, F. (2018). Bank rescues of 2007-09: outcomes and cost. </w:t>
      </w:r>
      <w:r w:rsidRPr="00E822FF">
        <w:rPr>
          <w:rFonts w:ascii="Arial" w:hAnsi="Arial" w:cs="Arial"/>
          <w:i/>
          <w:iCs/>
          <w:sz w:val="22"/>
          <w:szCs w:val="22"/>
        </w:rPr>
        <w:t>commonslibrary.parliament.uk</w:t>
      </w:r>
      <w:r w:rsidRPr="00E822FF">
        <w:rPr>
          <w:rFonts w:ascii="Arial" w:hAnsi="Arial" w:cs="Arial"/>
          <w:sz w:val="22"/>
          <w:szCs w:val="22"/>
        </w:rPr>
        <w:t>. [online] Available at: https://commonslibrary.parliament.uk/research-briefings/sn05748/.</w:t>
      </w:r>
    </w:p>
    <w:p w14:paraId="43A380CB" w14:textId="77777777" w:rsidR="00055821" w:rsidRPr="00E822FF" w:rsidRDefault="00055821" w:rsidP="00E822FF">
      <w:pPr>
        <w:pStyle w:val="NormalWeb"/>
        <w:spacing w:before="0" w:beforeAutospacing="0" w:after="240" w:afterAutospacing="0" w:line="360" w:lineRule="auto"/>
        <w:jc w:val="both"/>
        <w:rPr>
          <w:rFonts w:ascii="Arial" w:hAnsi="Arial" w:cs="Arial"/>
          <w:sz w:val="22"/>
          <w:szCs w:val="22"/>
        </w:rPr>
      </w:pPr>
      <w:proofErr w:type="spellStart"/>
      <w:r w:rsidRPr="00E822FF">
        <w:rPr>
          <w:rFonts w:ascii="Arial" w:hAnsi="Arial" w:cs="Arial"/>
          <w:sz w:val="22"/>
          <w:szCs w:val="22"/>
        </w:rPr>
        <w:t>Neate</w:t>
      </w:r>
      <w:proofErr w:type="spellEnd"/>
      <w:r w:rsidRPr="00E822FF">
        <w:rPr>
          <w:rFonts w:ascii="Arial" w:hAnsi="Arial" w:cs="Arial"/>
          <w:sz w:val="22"/>
          <w:szCs w:val="22"/>
        </w:rPr>
        <w:t xml:space="preserve">, R. (2016). HSBC fined $470m for ‘abusive mortgage practices’ during 2008 crisis. </w:t>
      </w:r>
      <w:r w:rsidRPr="00E822FF">
        <w:rPr>
          <w:rFonts w:ascii="Arial" w:hAnsi="Arial" w:cs="Arial"/>
          <w:i/>
          <w:iCs/>
          <w:sz w:val="22"/>
          <w:szCs w:val="22"/>
        </w:rPr>
        <w:t>The Guardian</w:t>
      </w:r>
      <w:r w:rsidRPr="00E822FF">
        <w:rPr>
          <w:rFonts w:ascii="Arial" w:hAnsi="Arial" w:cs="Arial"/>
          <w:sz w:val="22"/>
          <w:szCs w:val="22"/>
        </w:rPr>
        <w:t>. [online] 5 Feb. Available at: https://www.theguardian.com/business/2016/feb/05/hsbc-fined-morgage-practices-financial-crisis#:~:text=HSBC%20fined%20%24470m%20for%20.</w:t>
      </w:r>
    </w:p>
    <w:p w14:paraId="638A2DBF" w14:textId="77777777" w:rsidR="00055821" w:rsidRPr="00E822FF" w:rsidRDefault="00055821" w:rsidP="00E822FF">
      <w:pPr>
        <w:spacing w:line="360" w:lineRule="auto"/>
        <w:jc w:val="both"/>
        <w:rPr>
          <w:rFonts w:ascii="Arial" w:hAnsi="Arial" w:cs="Arial"/>
          <w:sz w:val="22"/>
          <w:szCs w:val="22"/>
          <w:lang w:val="en-US"/>
        </w:rPr>
      </w:pPr>
    </w:p>
    <w:p w14:paraId="1D99B8F6" w14:textId="77777777" w:rsidR="006015AB" w:rsidRPr="00E822FF" w:rsidRDefault="006015AB" w:rsidP="00E822FF">
      <w:pPr>
        <w:spacing w:line="360" w:lineRule="auto"/>
        <w:jc w:val="both"/>
        <w:rPr>
          <w:rFonts w:ascii="Arial" w:hAnsi="Arial" w:cs="Arial"/>
          <w:sz w:val="22"/>
          <w:szCs w:val="22"/>
          <w:lang w:val="en-US"/>
        </w:rPr>
      </w:pPr>
    </w:p>
    <w:p w14:paraId="5CA651E9" w14:textId="77777777" w:rsidR="00717074" w:rsidRPr="00E822FF" w:rsidRDefault="00717074"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Basel Committee (2011). </w:t>
      </w:r>
      <w:r w:rsidRPr="00E822FF">
        <w:rPr>
          <w:rFonts w:ascii="Arial" w:hAnsi="Arial" w:cs="Arial"/>
          <w:i/>
          <w:iCs/>
          <w:sz w:val="22"/>
          <w:szCs w:val="22"/>
        </w:rPr>
        <w:t>The Basel Committee - overview</w:t>
      </w:r>
      <w:r w:rsidRPr="00E822FF">
        <w:rPr>
          <w:rFonts w:ascii="Arial" w:hAnsi="Arial" w:cs="Arial"/>
          <w:sz w:val="22"/>
          <w:szCs w:val="22"/>
        </w:rPr>
        <w:t>. [online] Bis.org. Available at: https://www.bis.org/bcbs/ [Accessed 28 Apr. 2023].</w:t>
      </w:r>
    </w:p>
    <w:p w14:paraId="73A14ACE" w14:textId="77777777" w:rsidR="00717074" w:rsidRPr="00E822FF" w:rsidRDefault="00717074"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Dodd-Frank (2010). </w:t>
      </w:r>
      <w:r w:rsidRPr="00E822FF">
        <w:rPr>
          <w:rFonts w:ascii="Arial" w:hAnsi="Arial" w:cs="Arial"/>
          <w:i/>
          <w:iCs/>
          <w:sz w:val="22"/>
          <w:szCs w:val="22"/>
        </w:rPr>
        <w:t>DODD-FRANK WALL STREET REFORM AND CONSUMER PROTECTION ACT</w:t>
      </w:r>
      <w:r w:rsidRPr="00E822FF">
        <w:rPr>
          <w:rFonts w:ascii="Arial" w:hAnsi="Arial" w:cs="Arial"/>
          <w:sz w:val="22"/>
          <w:szCs w:val="22"/>
        </w:rPr>
        <w:t>. [online] Available at: https://www.congress.gov/111/plaws/publ203/PLAW-111publ203.pdf.</w:t>
      </w:r>
    </w:p>
    <w:p w14:paraId="0DBFC803" w14:textId="77777777" w:rsidR="00717074" w:rsidRPr="00E822FF" w:rsidRDefault="00717074" w:rsidP="00E822FF">
      <w:pPr>
        <w:pStyle w:val="NormalWeb"/>
        <w:spacing w:before="0" w:beforeAutospacing="0" w:after="240" w:afterAutospacing="0" w:line="360" w:lineRule="auto"/>
        <w:jc w:val="both"/>
        <w:rPr>
          <w:rFonts w:ascii="Arial" w:hAnsi="Arial" w:cs="Arial"/>
          <w:sz w:val="22"/>
          <w:szCs w:val="22"/>
        </w:rPr>
      </w:pPr>
      <w:proofErr w:type="spellStart"/>
      <w:r w:rsidRPr="00E822FF">
        <w:rPr>
          <w:rFonts w:ascii="Arial" w:hAnsi="Arial" w:cs="Arial"/>
          <w:sz w:val="22"/>
          <w:szCs w:val="22"/>
        </w:rPr>
        <w:t>Härle</w:t>
      </w:r>
      <w:proofErr w:type="spellEnd"/>
      <w:r w:rsidRPr="00E822FF">
        <w:rPr>
          <w:rFonts w:ascii="Arial" w:hAnsi="Arial" w:cs="Arial"/>
          <w:sz w:val="22"/>
          <w:szCs w:val="22"/>
        </w:rPr>
        <w:t xml:space="preserve">, P., </w:t>
      </w:r>
      <w:proofErr w:type="spellStart"/>
      <w:r w:rsidRPr="00E822FF">
        <w:rPr>
          <w:rFonts w:ascii="Arial" w:hAnsi="Arial" w:cs="Arial"/>
          <w:sz w:val="22"/>
          <w:szCs w:val="22"/>
        </w:rPr>
        <w:t>Lüders</w:t>
      </w:r>
      <w:proofErr w:type="spellEnd"/>
      <w:r w:rsidRPr="00E822FF">
        <w:rPr>
          <w:rFonts w:ascii="Arial" w:hAnsi="Arial" w:cs="Arial"/>
          <w:sz w:val="22"/>
          <w:szCs w:val="22"/>
        </w:rPr>
        <w:t xml:space="preserve">, E., </w:t>
      </w:r>
      <w:proofErr w:type="spellStart"/>
      <w:r w:rsidRPr="00E822FF">
        <w:rPr>
          <w:rFonts w:ascii="Arial" w:hAnsi="Arial" w:cs="Arial"/>
          <w:sz w:val="22"/>
          <w:szCs w:val="22"/>
        </w:rPr>
        <w:t>Pepanides</w:t>
      </w:r>
      <w:proofErr w:type="spellEnd"/>
      <w:r w:rsidRPr="00E822FF">
        <w:rPr>
          <w:rFonts w:ascii="Arial" w:hAnsi="Arial" w:cs="Arial"/>
          <w:sz w:val="22"/>
          <w:szCs w:val="22"/>
        </w:rPr>
        <w:t xml:space="preserve">, T., </w:t>
      </w:r>
      <w:proofErr w:type="spellStart"/>
      <w:r w:rsidRPr="00E822FF">
        <w:rPr>
          <w:rFonts w:ascii="Arial" w:hAnsi="Arial" w:cs="Arial"/>
          <w:sz w:val="22"/>
          <w:szCs w:val="22"/>
        </w:rPr>
        <w:t>Pfetsch</w:t>
      </w:r>
      <w:proofErr w:type="spellEnd"/>
      <w:r w:rsidRPr="00E822FF">
        <w:rPr>
          <w:rFonts w:ascii="Arial" w:hAnsi="Arial" w:cs="Arial"/>
          <w:sz w:val="22"/>
          <w:szCs w:val="22"/>
        </w:rPr>
        <w:t xml:space="preserve">, S., </w:t>
      </w:r>
      <w:proofErr w:type="spellStart"/>
      <w:r w:rsidRPr="00E822FF">
        <w:rPr>
          <w:rFonts w:ascii="Arial" w:hAnsi="Arial" w:cs="Arial"/>
          <w:sz w:val="22"/>
          <w:szCs w:val="22"/>
        </w:rPr>
        <w:t>Poppensieker</w:t>
      </w:r>
      <w:proofErr w:type="spellEnd"/>
      <w:r w:rsidRPr="00E822FF">
        <w:rPr>
          <w:rFonts w:ascii="Arial" w:hAnsi="Arial" w:cs="Arial"/>
          <w:sz w:val="22"/>
          <w:szCs w:val="22"/>
        </w:rPr>
        <w:t xml:space="preserve">, T. and </w:t>
      </w:r>
      <w:proofErr w:type="spellStart"/>
      <w:r w:rsidRPr="00E822FF">
        <w:rPr>
          <w:rFonts w:ascii="Arial" w:hAnsi="Arial" w:cs="Arial"/>
          <w:sz w:val="22"/>
          <w:szCs w:val="22"/>
        </w:rPr>
        <w:t>Stegemann</w:t>
      </w:r>
      <w:proofErr w:type="spellEnd"/>
      <w:r w:rsidRPr="00E822FF">
        <w:rPr>
          <w:rFonts w:ascii="Arial" w:hAnsi="Arial" w:cs="Arial"/>
          <w:sz w:val="22"/>
          <w:szCs w:val="22"/>
        </w:rPr>
        <w:t xml:space="preserve">, U. (2010). </w:t>
      </w:r>
      <w:r w:rsidRPr="00E822FF">
        <w:rPr>
          <w:rFonts w:ascii="Arial" w:hAnsi="Arial" w:cs="Arial"/>
          <w:i/>
          <w:iCs/>
          <w:sz w:val="22"/>
          <w:szCs w:val="22"/>
        </w:rPr>
        <w:t>Basel III and European banking: Its impact, how banks might respond, and the challenges of implementation McKinsey Working Papers on Risk, Number 26</w:t>
      </w:r>
      <w:r w:rsidRPr="00E822FF">
        <w:rPr>
          <w:rFonts w:ascii="Arial" w:hAnsi="Arial" w:cs="Arial"/>
          <w:sz w:val="22"/>
          <w:szCs w:val="22"/>
        </w:rPr>
        <w:t>. [online] Available at: https://www.mckinsey.com/~/media/mckinsey/industries/financial%20services/our%20insights/basel%20iii%20now%20the%20hard%20part%20for%20european%20banks/26_basel_iii_and_european_banking.ashx#:~:text=Basel%20III [Accessed 28 Apr. 2023].</w:t>
      </w:r>
    </w:p>
    <w:p w14:paraId="1168C248" w14:textId="77777777" w:rsidR="00717074" w:rsidRPr="00E822FF" w:rsidRDefault="00717074"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ISDA (2023). </w:t>
      </w:r>
      <w:r w:rsidRPr="00E822FF">
        <w:rPr>
          <w:rFonts w:ascii="Arial" w:hAnsi="Arial" w:cs="Arial"/>
          <w:i/>
          <w:iCs/>
          <w:sz w:val="22"/>
          <w:szCs w:val="22"/>
        </w:rPr>
        <w:t>ISDA Master Agreement – International Swaps and Derivatives Association</w:t>
      </w:r>
      <w:r w:rsidRPr="00E822FF">
        <w:rPr>
          <w:rFonts w:ascii="Arial" w:hAnsi="Arial" w:cs="Arial"/>
          <w:sz w:val="22"/>
          <w:szCs w:val="22"/>
        </w:rPr>
        <w:t>. [online] www.isda.org. Available at: https://www.isda.org/tag/master-agreement/ [Accessed 28 Apr. 2023].</w:t>
      </w:r>
    </w:p>
    <w:p w14:paraId="7AF1F78E" w14:textId="77777777" w:rsidR="00717074" w:rsidRPr="00E822FF" w:rsidRDefault="00717074" w:rsidP="00E822FF">
      <w:pPr>
        <w:pStyle w:val="NormalWeb"/>
        <w:spacing w:before="0" w:beforeAutospacing="0" w:after="240" w:afterAutospacing="0" w:line="360" w:lineRule="auto"/>
        <w:jc w:val="both"/>
        <w:rPr>
          <w:rFonts w:ascii="Arial" w:hAnsi="Arial" w:cs="Arial"/>
          <w:sz w:val="22"/>
          <w:szCs w:val="22"/>
        </w:rPr>
      </w:pPr>
      <w:proofErr w:type="spellStart"/>
      <w:r w:rsidRPr="00E822FF">
        <w:rPr>
          <w:rFonts w:ascii="Arial" w:hAnsi="Arial" w:cs="Arial"/>
          <w:sz w:val="22"/>
          <w:szCs w:val="22"/>
        </w:rPr>
        <w:t>Ishare</w:t>
      </w:r>
      <w:proofErr w:type="spellEnd"/>
      <w:r w:rsidRPr="00E822FF">
        <w:rPr>
          <w:rFonts w:ascii="Arial" w:hAnsi="Arial" w:cs="Arial"/>
          <w:sz w:val="22"/>
          <w:szCs w:val="22"/>
        </w:rPr>
        <w:t xml:space="preserve"> (2020). </w:t>
      </w:r>
      <w:r w:rsidRPr="00E822FF">
        <w:rPr>
          <w:rFonts w:ascii="Arial" w:hAnsi="Arial" w:cs="Arial"/>
          <w:i/>
          <w:iCs/>
          <w:sz w:val="22"/>
          <w:szCs w:val="22"/>
        </w:rPr>
        <w:t xml:space="preserve">iShares U.S. Aerospace &amp; </w:t>
      </w:r>
      <w:proofErr w:type="spellStart"/>
      <w:r w:rsidRPr="00E822FF">
        <w:rPr>
          <w:rFonts w:ascii="Arial" w:hAnsi="Arial" w:cs="Arial"/>
          <w:i/>
          <w:iCs/>
          <w:sz w:val="22"/>
          <w:szCs w:val="22"/>
        </w:rPr>
        <w:t>Defense</w:t>
      </w:r>
      <w:proofErr w:type="spellEnd"/>
      <w:r w:rsidRPr="00E822FF">
        <w:rPr>
          <w:rFonts w:ascii="Arial" w:hAnsi="Arial" w:cs="Arial"/>
          <w:i/>
          <w:iCs/>
          <w:sz w:val="22"/>
          <w:szCs w:val="22"/>
        </w:rPr>
        <w:t xml:space="preserve"> ETF | ITA</w:t>
      </w:r>
      <w:r w:rsidRPr="00E822FF">
        <w:rPr>
          <w:rFonts w:ascii="Arial" w:hAnsi="Arial" w:cs="Arial"/>
          <w:sz w:val="22"/>
          <w:szCs w:val="22"/>
        </w:rPr>
        <w:t>. [online] BlackRock. Available at: https://www.ishares.com/us/products/239502/ishares-us-aerospace-defense-etf [Accessed 28 Apr. 2023].</w:t>
      </w:r>
    </w:p>
    <w:p w14:paraId="2FB2F3A7" w14:textId="77777777" w:rsidR="00717074" w:rsidRPr="00E822FF" w:rsidRDefault="00717074"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Legislation of UK (2023). </w:t>
      </w:r>
      <w:r w:rsidRPr="00E822FF">
        <w:rPr>
          <w:rFonts w:ascii="Arial" w:hAnsi="Arial" w:cs="Arial"/>
          <w:i/>
          <w:iCs/>
          <w:sz w:val="22"/>
          <w:szCs w:val="22"/>
        </w:rPr>
        <w:t>Financial Services Act 2010</w:t>
      </w:r>
      <w:r w:rsidRPr="00E822FF">
        <w:rPr>
          <w:rFonts w:ascii="Arial" w:hAnsi="Arial" w:cs="Arial"/>
          <w:sz w:val="22"/>
          <w:szCs w:val="22"/>
        </w:rPr>
        <w:t>. [online] Legislation.gov.uk. Available at: https://www.legislation.gov.uk/ukpga/2010/28/contents [Accessed 28 Apr. 2023].</w:t>
      </w:r>
    </w:p>
    <w:p w14:paraId="7F3A2B40" w14:textId="77777777" w:rsidR="00717074" w:rsidRPr="00E822FF" w:rsidRDefault="00717074"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t xml:space="preserve">Naqvi, N. (2018). Manias, Panics and Crashes in Emerging Markets: An Empirical Investigation of the Post-2008 Crisis Period. </w:t>
      </w:r>
      <w:r w:rsidRPr="00E822FF">
        <w:rPr>
          <w:rFonts w:ascii="Arial" w:hAnsi="Arial" w:cs="Arial"/>
          <w:i/>
          <w:iCs/>
          <w:sz w:val="22"/>
          <w:szCs w:val="22"/>
        </w:rPr>
        <w:t>New Political Economy</w:t>
      </w:r>
      <w:r w:rsidRPr="00E822FF">
        <w:rPr>
          <w:rFonts w:ascii="Arial" w:hAnsi="Arial" w:cs="Arial"/>
          <w:sz w:val="22"/>
          <w:szCs w:val="22"/>
        </w:rPr>
        <w:t xml:space="preserve">, pp.1–21. </w:t>
      </w:r>
      <w:proofErr w:type="spellStart"/>
      <w:proofErr w:type="gramStart"/>
      <w:r w:rsidRPr="00E822FF">
        <w:rPr>
          <w:rFonts w:ascii="Arial" w:hAnsi="Arial" w:cs="Arial"/>
          <w:sz w:val="22"/>
          <w:szCs w:val="22"/>
        </w:rPr>
        <w:t>doi:https</w:t>
      </w:r>
      <w:proofErr w:type="spellEnd"/>
      <w:r w:rsidRPr="00E822FF">
        <w:rPr>
          <w:rFonts w:ascii="Arial" w:hAnsi="Arial" w:cs="Arial"/>
          <w:sz w:val="22"/>
          <w:szCs w:val="22"/>
        </w:rPr>
        <w:t>://doi.org/10.1080/13563467.2018.1526263</w:t>
      </w:r>
      <w:proofErr w:type="gramEnd"/>
      <w:r w:rsidRPr="00E822FF">
        <w:rPr>
          <w:rFonts w:ascii="Arial" w:hAnsi="Arial" w:cs="Arial"/>
          <w:sz w:val="22"/>
          <w:szCs w:val="22"/>
        </w:rPr>
        <w:t>.</w:t>
      </w:r>
    </w:p>
    <w:p w14:paraId="759A316E" w14:textId="77777777" w:rsidR="00717074" w:rsidRPr="00E822FF" w:rsidRDefault="00717074" w:rsidP="00E822FF">
      <w:pPr>
        <w:pStyle w:val="NormalWeb"/>
        <w:spacing w:before="0" w:beforeAutospacing="0" w:after="240" w:afterAutospacing="0" w:line="360" w:lineRule="auto"/>
        <w:jc w:val="both"/>
        <w:rPr>
          <w:rFonts w:ascii="Arial" w:hAnsi="Arial" w:cs="Arial"/>
          <w:sz w:val="22"/>
          <w:szCs w:val="22"/>
        </w:rPr>
      </w:pPr>
      <w:r w:rsidRPr="00E822FF">
        <w:rPr>
          <w:rFonts w:ascii="Arial" w:hAnsi="Arial" w:cs="Arial"/>
          <w:sz w:val="22"/>
          <w:szCs w:val="22"/>
        </w:rPr>
        <w:lastRenderedPageBreak/>
        <w:t xml:space="preserve">The Financial Crisis Inquiry Commission (2011). The financial crisis inquiry report: final report of the National Commission on the Causes of the Financial and Economic Crisis in the United States. </w:t>
      </w:r>
      <w:r w:rsidRPr="00E822FF">
        <w:rPr>
          <w:rFonts w:ascii="Arial" w:hAnsi="Arial" w:cs="Arial"/>
          <w:i/>
          <w:iCs/>
          <w:sz w:val="22"/>
          <w:szCs w:val="22"/>
        </w:rPr>
        <w:t>Choice Reviews Online</w:t>
      </w:r>
      <w:r w:rsidRPr="00E822FF">
        <w:rPr>
          <w:rFonts w:ascii="Arial" w:hAnsi="Arial" w:cs="Arial"/>
          <w:sz w:val="22"/>
          <w:szCs w:val="22"/>
        </w:rPr>
        <w:t xml:space="preserve">, [online] 48(12), pp.48–703448–7034. </w:t>
      </w:r>
      <w:proofErr w:type="spellStart"/>
      <w:proofErr w:type="gramStart"/>
      <w:r w:rsidRPr="00E822FF">
        <w:rPr>
          <w:rFonts w:ascii="Arial" w:hAnsi="Arial" w:cs="Arial"/>
          <w:sz w:val="22"/>
          <w:szCs w:val="22"/>
        </w:rPr>
        <w:t>doi:https</w:t>
      </w:r>
      <w:proofErr w:type="spellEnd"/>
      <w:r w:rsidRPr="00E822FF">
        <w:rPr>
          <w:rFonts w:ascii="Arial" w:hAnsi="Arial" w:cs="Arial"/>
          <w:sz w:val="22"/>
          <w:szCs w:val="22"/>
        </w:rPr>
        <w:t>://doi.org/10.5860/choice.48-7034</w:t>
      </w:r>
      <w:proofErr w:type="gramEnd"/>
      <w:r w:rsidRPr="00E822FF">
        <w:rPr>
          <w:rFonts w:ascii="Arial" w:hAnsi="Arial" w:cs="Arial"/>
          <w:sz w:val="22"/>
          <w:szCs w:val="22"/>
        </w:rPr>
        <w:t>.</w:t>
      </w:r>
    </w:p>
    <w:p w14:paraId="5B936711" w14:textId="77777777" w:rsidR="006015AB" w:rsidRPr="00E822FF" w:rsidRDefault="006015AB" w:rsidP="00E822FF">
      <w:pPr>
        <w:spacing w:line="360" w:lineRule="auto"/>
        <w:jc w:val="both"/>
        <w:rPr>
          <w:rFonts w:ascii="Arial" w:hAnsi="Arial" w:cs="Arial"/>
          <w:sz w:val="22"/>
          <w:szCs w:val="22"/>
          <w:lang w:val="en-US"/>
        </w:rPr>
      </w:pPr>
    </w:p>
    <w:sectPr w:rsidR="006015AB" w:rsidRPr="00E822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84708"/>
    <w:multiLevelType w:val="multilevel"/>
    <w:tmpl w:val="5E82F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7096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476"/>
    <w:rsid w:val="00055821"/>
    <w:rsid w:val="00065588"/>
    <w:rsid w:val="0007508C"/>
    <w:rsid w:val="001136D6"/>
    <w:rsid w:val="00171F65"/>
    <w:rsid w:val="001B03EF"/>
    <w:rsid w:val="00227801"/>
    <w:rsid w:val="00306D78"/>
    <w:rsid w:val="0037727C"/>
    <w:rsid w:val="0056414E"/>
    <w:rsid w:val="005C4FC4"/>
    <w:rsid w:val="006015AB"/>
    <w:rsid w:val="006D7097"/>
    <w:rsid w:val="00717074"/>
    <w:rsid w:val="00A87161"/>
    <w:rsid w:val="00AD0EF5"/>
    <w:rsid w:val="00CE7D2B"/>
    <w:rsid w:val="00D21960"/>
    <w:rsid w:val="00DB6476"/>
    <w:rsid w:val="00E6114D"/>
    <w:rsid w:val="00E822FF"/>
    <w:rsid w:val="00ED0AE9"/>
    <w:rsid w:val="00F87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FA74C"/>
  <w15:chartTrackingRefBased/>
  <w15:docId w15:val="{49E2A9DE-0CB7-F94A-8394-A46AC30CA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822FF"/>
    <w:pPr>
      <w:keepNext/>
      <w:keepLines/>
      <w:spacing w:before="240" w:line="360" w:lineRule="auto"/>
      <w:jc w:val="both"/>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07508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2FF"/>
    <w:rPr>
      <w:rFonts w:asciiTheme="majorHAnsi" w:eastAsiaTheme="majorEastAsia" w:hAnsiTheme="majorHAnsi" w:cstheme="majorBidi"/>
      <w:b/>
      <w:color w:val="000000" w:themeColor="text1"/>
      <w:sz w:val="32"/>
      <w:szCs w:val="32"/>
    </w:rPr>
  </w:style>
  <w:style w:type="paragraph" w:styleId="NormalWeb">
    <w:name w:val="Normal (Web)"/>
    <w:basedOn w:val="Normal"/>
    <w:uiPriority w:val="99"/>
    <w:semiHidden/>
    <w:unhideWhenUsed/>
    <w:rsid w:val="0037727C"/>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07508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822FF"/>
    <w:pPr>
      <w:spacing w:before="480" w:line="276" w:lineRule="auto"/>
      <w:jc w:val="left"/>
      <w:outlineLvl w:val="9"/>
    </w:pPr>
    <w:rPr>
      <w:bCs/>
      <w:color w:val="2F5496" w:themeColor="accent1" w:themeShade="BF"/>
      <w:sz w:val="28"/>
      <w:szCs w:val="28"/>
      <w:lang w:val="en-US"/>
    </w:rPr>
  </w:style>
  <w:style w:type="paragraph" w:styleId="TOC1">
    <w:name w:val="toc 1"/>
    <w:basedOn w:val="Normal"/>
    <w:next w:val="Normal"/>
    <w:autoRedefine/>
    <w:uiPriority w:val="39"/>
    <w:unhideWhenUsed/>
    <w:rsid w:val="00E822FF"/>
    <w:pPr>
      <w:spacing w:before="120" w:after="120"/>
    </w:pPr>
    <w:rPr>
      <w:rFonts w:cstheme="minorHAnsi"/>
      <w:b/>
      <w:bCs/>
      <w:caps/>
      <w:sz w:val="20"/>
      <w:szCs w:val="20"/>
    </w:rPr>
  </w:style>
  <w:style w:type="paragraph" w:styleId="TOC2">
    <w:name w:val="toc 2"/>
    <w:basedOn w:val="Normal"/>
    <w:next w:val="Normal"/>
    <w:autoRedefine/>
    <w:uiPriority w:val="39"/>
    <w:unhideWhenUsed/>
    <w:rsid w:val="00E822FF"/>
    <w:pPr>
      <w:ind w:left="240"/>
    </w:pPr>
    <w:rPr>
      <w:rFonts w:cstheme="minorHAnsi"/>
      <w:smallCaps/>
      <w:sz w:val="20"/>
      <w:szCs w:val="20"/>
    </w:rPr>
  </w:style>
  <w:style w:type="character" w:styleId="Hyperlink">
    <w:name w:val="Hyperlink"/>
    <w:basedOn w:val="DefaultParagraphFont"/>
    <w:uiPriority w:val="99"/>
    <w:unhideWhenUsed/>
    <w:rsid w:val="00E822FF"/>
    <w:rPr>
      <w:color w:val="0563C1" w:themeColor="hyperlink"/>
      <w:u w:val="single"/>
    </w:rPr>
  </w:style>
  <w:style w:type="paragraph" w:styleId="TOC3">
    <w:name w:val="toc 3"/>
    <w:basedOn w:val="Normal"/>
    <w:next w:val="Normal"/>
    <w:autoRedefine/>
    <w:uiPriority w:val="39"/>
    <w:semiHidden/>
    <w:unhideWhenUsed/>
    <w:rsid w:val="00E822FF"/>
    <w:pPr>
      <w:ind w:left="480"/>
    </w:pPr>
    <w:rPr>
      <w:rFonts w:cstheme="minorHAnsi"/>
      <w:i/>
      <w:iCs/>
      <w:sz w:val="20"/>
      <w:szCs w:val="20"/>
    </w:rPr>
  </w:style>
  <w:style w:type="paragraph" w:styleId="TOC4">
    <w:name w:val="toc 4"/>
    <w:basedOn w:val="Normal"/>
    <w:next w:val="Normal"/>
    <w:autoRedefine/>
    <w:uiPriority w:val="39"/>
    <w:semiHidden/>
    <w:unhideWhenUsed/>
    <w:rsid w:val="00E822FF"/>
    <w:pPr>
      <w:ind w:left="720"/>
    </w:pPr>
    <w:rPr>
      <w:rFonts w:cstheme="minorHAnsi"/>
      <w:sz w:val="18"/>
      <w:szCs w:val="18"/>
    </w:rPr>
  </w:style>
  <w:style w:type="paragraph" w:styleId="TOC5">
    <w:name w:val="toc 5"/>
    <w:basedOn w:val="Normal"/>
    <w:next w:val="Normal"/>
    <w:autoRedefine/>
    <w:uiPriority w:val="39"/>
    <w:semiHidden/>
    <w:unhideWhenUsed/>
    <w:rsid w:val="00E822FF"/>
    <w:pPr>
      <w:ind w:left="960"/>
    </w:pPr>
    <w:rPr>
      <w:rFonts w:cstheme="minorHAnsi"/>
      <w:sz w:val="18"/>
      <w:szCs w:val="18"/>
    </w:rPr>
  </w:style>
  <w:style w:type="paragraph" w:styleId="TOC6">
    <w:name w:val="toc 6"/>
    <w:basedOn w:val="Normal"/>
    <w:next w:val="Normal"/>
    <w:autoRedefine/>
    <w:uiPriority w:val="39"/>
    <w:semiHidden/>
    <w:unhideWhenUsed/>
    <w:rsid w:val="00E822FF"/>
    <w:pPr>
      <w:ind w:left="1200"/>
    </w:pPr>
    <w:rPr>
      <w:rFonts w:cstheme="minorHAnsi"/>
      <w:sz w:val="18"/>
      <w:szCs w:val="18"/>
    </w:rPr>
  </w:style>
  <w:style w:type="paragraph" w:styleId="TOC7">
    <w:name w:val="toc 7"/>
    <w:basedOn w:val="Normal"/>
    <w:next w:val="Normal"/>
    <w:autoRedefine/>
    <w:uiPriority w:val="39"/>
    <w:semiHidden/>
    <w:unhideWhenUsed/>
    <w:rsid w:val="00E822FF"/>
    <w:pPr>
      <w:ind w:left="1440"/>
    </w:pPr>
    <w:rPr>
      <w:rFonts w:cstheme="minorHAnsi"/>
      <w:sz w:val="18"/>
      <w:szCs w:val="18"/>
    </w:rPr>
  </w:style>
  <w:style w:type="paragraph" w:styleId="TOC8">
    <w:name w:val="toc 8"/>
    <w:basedOn w:val="Normal"/>
    <w:next w:val="Normal"/>
    <w:autoRedefine/>
    <w:uiPriority w:val="39"/>
    <w:semiHidden/>
    <w:unhideWhenUsed/>
    <w:rsid w:val="00E822FF"/>
    <w:pPr>
      <w:ind w:left="1680"/>
    </w:pPr>
    <w:rPr>
      <w:rFonts w:cstheme="minorHAnsi"/>
      <w:sz w:val="18"/>
      <w:szCs w:val="18"/>
    </w:rPr>
  </w:style>
  <w:style w:type="paragraph" w:styleId="TOC9">
    <w:name w:val="toc 9"/>
    <w:basedOn w:val="Normal"/>
    <w:next w:val="Normal"/>
    <w:autoRedefine/>
    <w:uiPriority w:val="39"/>
    <w:semiHidden/>
    <w:unhideWhenUsed/>
    <w:rsid w:val="00E822FF"/>
    <w:pPr>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782436">
      <w:bodyDiv w:val="1"/>
      <w:marLeft w:val="0"/>
      <w:marRight w:val="0"/>
      <w:marTop w:val="0"/>
      <w:marBottom w:val="0"/>
      <w:divBdr>
        <w:top w:val="none" w:sz="0" w:space="0" w:color="auto"/>
        <w:left w:val="none" w:sz="0" w:space="0" w:color="auto"/>
        <w:bottom w:val="none" w:sz="0" w:space="0" w:color="auto"/>
        <w:right w:val="none" w:sz="0" w:space="0" w:color="auto"/>
      </w:divBdr>
      <w:divsChild>
        <w:div w:id="1406761236">
          <w:marLeft w:val="0"/>
          <w:marRight w:val="0"/>
          <w:marTop w:val="0"/>
          <w:marBottom w:val="0"/>
          <w:divBdr>
            <w:top w:val="none" w:sz="0" w:space="0" w:color="auto"/>
            <w:left w:val="none" w:sz="0" w:space="0" w:color="auto"/>
            <w:bottom w:val="none" w:sz="0" w:space="0" w:color="auto"/>
            <w:right w:val="none" w:sz="0" w:space="0" w:color="auto"/>
          </w:divBdr>
        </w:div>
      </w:divsChild>
    </w:div>
    <w:div w:id="887306321">
      <w:bodyDiv w:val="1"/>
      <w:marLeft w:val="0"/>
      <w:marRight w:val="0"/>
      <w:marTop w:val="0"/>
      <w:marBottom w:val="0"/>
      <w:divBdr>
        <w:top w:val="none" w:sz="0" w:space="0" w:color="auto"/>
        <w:left w:val="none" w:sz="0" w:space="0" w:color="auto"/>
        <w:bottom w:val="none" w:sz="0" w:space="0" w:color="auto"/>
        <w:right w:val="none" w:sz="0" w:space="0" w:color="auto"/>
      </w:divBdr>
      <w:divsChild>
        <w:div w:id="221871585">
          <w:marLeft w:val="0"/>
          <w:marRight w:val="0"/>
          <w:marTop w:val="0"/>
          <w:marBottom w:val="0"/>
          <w:divBdr>
            <w:top w:val="none" w:sz="0" w:space="0" w:color="auto"/>
            <w:left w:val="none" w:sz="0" w:space="0" w:color="auto"/>
            <w:bottom w:val="none" w:sz="0" w:space="0" w:color="auto"/>
            <w:right w:val="none" w:sz="0" w:space="0" w:color="auto"/>
          </w:divBdr>
        </w:div>
        <w:div w:id="1276711650">
          <w:marLeft w:val="0"/>
          <w:marRight w:val="0"/>
          <w:marTop w:val="0"/>
          <w:marBottom w:val="0"/>
          <w:divBdr>
            <w:top w:val="none" w:sz="0" w:space="0" w:color="auto"/>
            <w:left w:val="none" w:sz="0" w:space="0" w:color="auto"/>
            <w:bottom w:val="none" w:sz="0" w:space="0" w:color="auto"/>
            <w:right w:val="none" w:sz="0" w:space="0" w:color="auto"/>
          </w:divBdr>
        </w:div>
        <w:div w:id="1742942570">
          <w:marLeft w:val="0"/>
          <w:marRight w:val="0"/>
          <w:marTop w:val="0"/>
          <w:marBottom w:val="0"/>
          <w:divBdr>
            <w:top w:val="none" w:sz="0" w:space="0" w:color="auto"/>
            <w:left w:val="none" w:sz="0" w:space="0" w:color="auto"/>
            <w:bottom w:val="none" w:sz="0" w:space="0" w:color="auto"/>
            <w:right w:val="none" w:sz="0" w:space="0" w:color="auto"/>
          </w:divBdr>
        </w:div>
      </w:divsChild>
    </w:div>
    <w:div w:id="1134715853">
      <w:bodyDiv w:val="1"/>
      <w:marLeft w:val="0"/>
      <w:marRight w:val="0"/>
      <w:marTop w:val="0"/>
      <w:marBottom w:val="0"/>
      <w:divBdr>
        <w:top w:val="none" w:sz="0" w:space="0" w:color="auto"/>
        <w:left w:val="none" w:sz="0" w:space="0" w:color="auto"/>
        <w:bottom w:val="none" w:sz="0" w:space="0" w:color="auto"/>
        <w:right w:val="none" w:sz="0" w:space="0" w:color="auto"/>
      </w:divBdr>
    </w:div>
    <w:div w:id="1865509569">
      <w:bodyDiv w:val="1"/>
      <w:marLeft w:val="0"/>
      <w:marRight w:val="0"/>
      <w:marTop w:val="0"/>
      <w:marBottom w:val="0"/>
      <w:divBdr>
        <w:top w:val="none" w:sz="0" w:space="0" w:color="auto"/>
        <w:left w:val="none" w:sz="0" w:space="0" w:color="auto"/>
        <w:bottom w:val="none" w:sz="0" w:space="0" w:color="auto"/>
        <w:right w:val="none" w:sz="0" w:space="0" w:color="auto"/>
      </w:divBdr>
      <w:divsChild>
        <w:div w:id="717045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353FD7-B2BA-A443-A823-F03A058EB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5521</Words>
  <Characters>31475</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Sunny Panchal(UST,IN)</dc:creator>
  <cp:keywords/>
  <dc:description/>
  <cp:lastModifiedBy>Samik Gajjar (2208900)</cp:lastModifiedBy>
  <cp:revision>2</cp:revision>
  <dcterms:created xsi:type="dcterms:W3CDTF">2023-05-03T09:52:00Z</dcterms:created>
  <dcterms:modified xsi:type="dcterms:W3CDTF">2023-05-03T09:52:00Z</dcterms:modified>
</cp:coreProperties>
</file>