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E8C5A" w14:textId="77777777" w:rsidR="00BB7E7B" w:rsidRDefault="00731FC0">
      <w:pPr>
        <w:spacing w:before="200" w:after="200" w:line="360" w:lineRule="auto"/>
        <w:jc w:val="center"/>
        <w:rPr>
          <w:rFonts w:ascii="Calibri" w:eastAsia="Calibri" w:hAnsi="Calibri" w:cs="Calibri"/>
          <w:b/>
          <w:bCs/>
          <w:sz w:val="44"/>
          <w:szCs w:val="44"/>
        </w:rPr>
      </w:pPr>
      <w:r>
        <w:rPr>
          <w:rFonts w:ascii="Calibri" w:eastAsia="Calibri" w:hAnsi="Calibri" w:cs="Calibri"/>
          <w:b/>
          <w:bCs/>
          <w:sz w:val="44"/>
          <w:szCs w:val="44"/>
        </w:rPr>
        <w:t>LCBB4014</w:t>
      </w:r>
    </w:p>
    <w:p w14:paraId="786B6196" w14:textId="77777777" w:rsidR="00BB7E7B" w:rsidRDefault="00731FC0">
      <w:pPr>
        <w:spacing w:before="200" w:after="200" w:line="360" w:lineRule="auto"/>
        <w:jc w:val="center"/>
        <w:rPr>
          <w:rFonts w:ascii="Calibri" w:eastAsia="Calibri" w:hAnsi="Calibri" w:cs="Calibri"/>
          <w:b/>
          <w:bCs/>
          <w:sz w:val="44"/>
          <w:szCs w:val="44"/>
        </w:rPr>
      </w:pPr>
      <w:r>
        <w:rPr>
          <w:rFonts w:ascii="Calibri" w:eastAsia="Calibri" w:hAnsi="Calibri" w:cs="Calibri"/>
          <w:b/>
          <w:bCs/>
          <w:sz w:val="44"/>
          <w:szCs w:val="44"/>
        </w:rPr>
        <w:t>INTRODUCTION TO BUSINESS</w:t>
      </w:r>
    </w:p>
    <w:p w14:paraId="4A8BB24D" w14:textId="77777777" w:rsidR="00BB7E7B" w:rsidRDefault="00731FC0">
      <w:pPr>
        <w:spacing w:before="200" w:after="200" w:line="360" w:lineRule="auto"/>
        <w:jc w:val="center"/>
        <w:rPr>
          <w:rFonts w:ascii="Calibri" w:eastAsia="Calibri" w:hAnsi="Calibri" w:cs="Calibri"/>
          <w:b/>
          <w:bCs/>
          <w:sz w:val="44"/>
          <w:szCs w:val="44"/>
        </w:rPr>
      </w:pPr>
      <w:r>
        <w:rPr>
          <w:rFonts w:ascii="Calibri" w:eastAsia="Calibri" w:hAnsi="Calibri" w:cs="Calibri"/>
          <w:b/>
          <w:bCs/>
          <w:sz w:val="44"/>
          <w:szCs w:val="44"/>
        </w:rPr>
        <w:t>COMPONENT 2:  ESSAY</w:t>
      </w:r>
    </w:p>
    <w:p w14:paraId="6C4402B8" w14:textId="77777777" w:rsidR="00BB7E7B" w:rsidRDefault="00BB7E7B">
      <w:pPr>
        <w:spacing w:before="200" w:after="200" w:line="360" w:lineRule="auto"/>
        <w:jc w:val="center"/>
        <w:rPr>
          <w:rFonts w:ascii="Calibri" w:eastAsia="Calibri" w:hAnsi="Calibri" w:cs="Calibri"/>
          <w:b/>
          <w:bCs/>
          <w:color w:val="1F1F1F"/>
          <w:sz w:val="44"/>
          <w:szCs w:val="44"/>
        </w:rPr>
      </w:pPr>
    </w:p>
    <w:p w14:paraId="08294961" w14:textId="77777777" w:rsidR="00BB7E7B" w:rsidRDefault="00BB7E7B">
      <w:pPr>
        <w:spacing w:before="200" w:after="200" w:line="360" w:lineRule="auto"/>
        <w:jc w:val="center"/>
        <w:rPr>
          <w:rFonts w:ascii="Calibri" w:eastAsia="Calibri" w:hAnsi="Calibri" w:cs="Calibri"/>
          <w:b/>
          <w:bCs/>
          <w:color w:val="1F1F1F"/>
          <w:sz w:val="44"/>
          <w:szCs w:val="44"/>
        </w:rPr>
      </w:pPr>
    </w:p>
    <w:p w14:paraId="32F0BD5F" w14:textId="77777777" w:rsidR="00BB7E7B" w:rsidRDefault="00BB7E7B">
      <w:pPr>
        <w:spacing w:before="200" w:after="200" w:line="360" w:lineRule="auto"/>
        <w:jc w:val="center"/>
        <w:rPr>
          <w:rFonts w:ascii="Calibri" w:eastAsia="Calibri" w:hAnsi="Calibri" w:cs="Calibri"/>
          <w:b/>
          <w:bCs/>
          <w:color w:val="1F1F1F"/>
          <w:sz w:val="44"/>
          <w:szCs w:val="44"/>
        </w:rPr>
      </w:pPr>
    </w:p>
    <w:p w14:paraId="589DA2A7" w14:textId="77777777" w:rsidR="00BB7E7B" w:rsidRDefault="00BB7E7B">
      <w:pPr>
        <w:spacing w:before="200" w:after="200" w:line="360" w:lineRule="auto"/>
        <w:jc w:val="center"/>
        <w:rPr>
          <w:rFonts w:ascii="Calibri" w:eastAsia="Calibri" w:hAnsi="Calibri" w:cs="Calibri"/>
          <w:b/>
          <w:bCs/>
          <w:color w:val="1F1F1F"/>
          <w:sz w:val="44"/>
          <w:szCs w:val="44"/>
        </w:rPr>
      </w:pPr>
    </w:p>
    <w:p w14:paraId="3275C2E6" w14:textId="77777777" w:rsidR="00BB7E7B" w:rsidRDefault="00BB7E7B">
      <w:pPr>
        <w:spacing w:before="200" w:after="200" w:line="360" w:lineRule="auto"/>
        <w:jc w:val="center"/>
        <w:rPr>
          <w:rFonts w:ascii="Calibri" w:eastAsia="Calibri" w:hAnsi="Calibri" w:cs="Calibri"/>
          <w:b/>
          <w:bCs/>
          <w:color w:val="1F1F1F"/>
          <w:sz w:val="44"/>
          <w:szCs w:val="44"/>
        </w:rPr>
      </w:pPr>
    </w:p>
    <w:p w14:paraId="6AC2D069" w14:textId="1575E5D7" w:rsidR="00BB7E7B" w:rsidRDefault="00731FC0">
      <w:pPr>
        <w:spacing w:before="200" w:after="200" w:line="360" w:lineRule="auto"/>
        <w:jc w:val="center"/>
        <w:rPr>
          <w:rFonts w:ascii="Calibri" w:eastAsia="Calibri" w:hAnsi="Calibri" w:cs="Calibri"/>
          <w:b/>
          <w:bCs/>
          <w:color w:val="1F1F1F"/>
          <w:sz w:val="44"/>
          <w:szCs w:val="44"/>
        </w:rPr>
      </w:pPr>
      <w:r>
        <w:rPr>
          <w:rFonts w:ascii="Calibri" w:eastAsia="Calibri" w:hAnsi="Calibri" w:cs="Calibri"/>
          <w:b/>
          <w:bCs/>
          <w:color w:val="1F1F1F"/>
          <w:sz w:val="44"/>
          <w:szCs w:val="44"/>
        </w:rPr>
        <w:t>STUDENT NAME:</w:t>
      </w:r>
      <w:r w:rsidR="00AB796D">
        <w:rPr>
          <w:rFonts w:ascii="Calibri" w:eastAsia="Calibri" w:hAnsi="Calibri" w:cs="Calibri"/>
          <w:b/>
          <w:bCs/>
          <w:color w:val="1F1F1F"/>
          <w:sz w:val="44"/>
          <w:szCs w:val="44"/>
        </w:rPr>
        <w:t xml:space="preserve"> Mariana </w:t>
      </w:r>
      <w:proofErr w:type="spellStart"/>
      <w:r w:rsidR="00AB796D">
        <w:rPr>
          <w:rFonts w:ascii="Calibri" w:eastAsia="Calibri" w:hAnsi="Calibri" w:cs="Calibri"/>
          <w:b/>
          <w:bCs/>
          <w:color w:val="1F1F1F"/>
          <w:sz w:val="44"/>
          <w:szCs w:val="44"/>
        </w:rPr>
        <w:t>Cijmaru</w:t>
      </w:r>
      <w:proofErr w:type="spellEnd"/>
    </w:p>
    <w:p w14:paraId="4EC24AB3" w14:textId="5DE07F72" w:rsidR="00BB7E7B" w:rsidRDefault="00731FC0">
      <w:pPr>
        <w:spacing w:before="200" w:after="200" w:line="360" w:lineRule="auto"/>
        <w:jc w:val="center"/>
        <w:rPr>
          <w:rFonts w:ascii="Calibri" w:eastAsia="Calibri" w:hAnsi="Calibri" w:cs="Calibri"/>
          <w:color w:val="1F1F1F"/>
          <w:sz w:val="24"/>
          <w:szCs w:val="24"/>
        </w:rPr>
      </w:pPr>
      <w:r>
        <w:rPr>
          <w:rFonts w:ascii="Calibri" w:eastAsia="Calibri" w:hAnsi="Calibri" w:cs="Calibri"/>
          <w:b/>
          <w:bCs/>
          <w:color w:val="1F1F1F"/>
          <w:sz w:val="44"/>
          <w:szCs w:val="44"/>
        </w:rPr>
        <w:t>STUDENT ID:</w:t>
      </w:r>
      <w:r w:rsidR="00AB796D">
        <w:rPr>
          <w:rFonts w:ascii="Calibri" w:eastAsia="Calibri" w:hAnsi="Calibri" w:cs="Calibri"/>
          <w:b/>
          <w:bCs/>
          <w:color w:val="1F1F1F"/>
          <w:sz w:val="44"/>
          <w:szCs w:val="44"/>
        </w:rPr>
        <w:t xml:space="preserve"> 252</w:t>
      </w:r>
      <w:r w:rsidR="00AF5EC6">
        <w:rPr>
          <w:rFonts w:ascii="Calibri" w:eastAsia="Calibri" w:hAnsi="Calibri" w:cs="Calibri"/>
          <w:b/>
          <w:bCs/>
          <w:color w:val="1F1F1F"/>
          <w:sz w:val="44"/>
          <w:szCs w:val="44"/>
        </w:rPr>
        <w:t>6357</w:t>
      </w:r>
    </w:p>
    <w:p w14:paraId="0EB886DA" w14:textId="77777777" w:rsidR="00BB7E7B" w:rsidRDefault="00BB7E7B">
      <w:pPr>
        <w:spacing w:before="200" w:after="200" w:line="360" w:lineRule="auto"/>
        <w:jc w:val="both"/>
      </w:pPr>
    </w:p>
    <w:p w14:paraId="581A1A28" w14:textId="77777777" w:rsidR="00BB7E7B" w:rsidRDefault="00731FC0">
      <w:pPr>
        <w:spacing w:before="200" w:after="200" w:line="360" w:lineRule="auto"/>
        <w:jc w:val="both"/>
        <w:rPr>
          <w:rFonts w:ascii="Calibri" w:eastAsia="Calibri" w:hAnsi="Calibri" w:cs="Calibri"/>
          <w:sz w:val="24"/>
          <w:szCs w:val="24"/>
        </w:rPr>
      </w:pPr>
      <w:r>
        <w:br w:type="page"/>
      </w:r>
    </w:p>
    <w:sdt>
      <w:sdtPr>
        <w:id w:val="2033038303"/>
        <w:docPartObj>
          <w:docPartGallery w:val="Table of Contents"/>
          <w:docPartUnique/>
        </w:docPartObj>
      </w:sdtPr>
      <w:sdtEndPr/>
      <w:sdtContent>
        <w:p w14:paraId="7C6A5CE0" w14:textId="77777777" w:rsidR="00BB7E7B" w:rsidRDefault="00731FC0">
          <w:pPr>
            <w:widowControl w:val="0"/>
            <w:tabs>
              <w:tab w:val="right" w:pos="9360"/>
            </w:tabs>
            <w:spacing w:before="60" w:after="200" w:line="360" w:lineRule="auto"/>
            <w:jc w:val="center"/>
            <w:rPr>
              <w:rFonts w:ascii="Calibri" w:eastAsia="Calibri" w:hAnsi="Calibri" w:cs="Calibri"/>
              <w:b/>
              <w:bCs/>
              <w:sz w:val="28"/>
              <w:szCs w:val="28"/>
            </w:rPr>
          </w:pPr>
          <w:r>
            <w:fldChar w:fldCharType="begin"/>
          </w:r>
          <w:r>
            <w:instrText xml:space="preserve"> TOC \h \u \z \t "Heading 1,1,Heading 2,2,Heading 3,3,Heading 4,4,Heading 5,5,Heading 6,6,"</w:instrText>
          </w:r>
          <w:r>
            <w:fldChar w:fldCharType="separate"/>
          </w:r>
          <w:r>
            <w:rPr>
              <w:rFonts w:ascii="Calibri" w:eastAsia="Calibri" w:hAnsi="Calibri" w:cs="Calibri"/>
              <w:b/>
              <w:bCs/>
              <w:sz w:val="28"/>
              <w:szCs w:val="28"/>
            </w:rPr>
            <w:t>Table of Contents</w:t>
          </w:r>
        </w:p>
        <w:p w14:paraId="1779F03E" w14:textId="77777777" w:rsidR="00BB7E7B" w:rsidRDefault="00731FC0">
          <w:pPr>
            <w:widowControl w:val="0"/>
            <w:tabs>
              <w:tab w:val="right" w:pos="9360"/>
            </w:tabs>
            <w:spacing w:before="60" w:after="200" w:line="360" w:lineRule="auto"/>
            <w:jc w:val="both"/>
            <w:rPr>
              <w:rFonts w:ascii="Calibri" w:eastAsia="Calibri" w:hAnsi="Calibri" w:cs="Calibri"/>
              <w:color w:val="000000"/>
              <w:sz w:val="24"/>
              <w:szCs w:val="24"/>
            </w:rPr>
          </w:pPr>
          <w:hyperlink w:anchor="_oyzlhxjkenke">
            <w:r>
              <w:rPr>
                <w:rFonts w:ascii="Calibri" w:eastAsia="Calibri" w:hAnsi="Calibri" w:cs="Calibri"/>
                <w:color w:val="000000"/>
                <w:sz w:val="24"/>
                <w:szCs w:val="24"/>
              </w:rPr>
              <w:t>Introduction</w:t>
            </w:r>
            <w:r>
              <w:rPr>
                <w:rFonts w:ascii="Calibri" w:eastAsia="Calibri" w:hAnsi="Calibri" w:cs="Calibri"/>
                <w:color w:val="000000"/>
                <w:sz w:val="24"/>
                <w:szCs w:val="24"/>
              </w:rPr>
              <w:tab/>
            </w:r>
          </w:hyperlink>
          <w:r>
            <w:fldChar w:fldCharType="begin"/>
          </w:r>
          <w:r>
            <w:instrText xml:space="preserve"> PAGEREF _oyzlhxjkenke \h </w:instrText>
          </w:r>
          <w:r>
            <w:fldChar w:fldCharType="separate"/>
          </w:r>
          <w:r>
            <w:rPr>
              <w:rFonts w:ascii="Calibri" w:eastAsia="Calibri" w:hAnsi="Calibri" w:cs="Calibri"/>
              <w:sz w:val="24"/>
              <w:szCs w:val="24"/>
            </w:rPr>
            <w:t>1</w:t>
          </w:r>
          <w:hyperlink w:anchor="_oyzlhxjkenke" w:history="1"/>
        </w:p>
        <w:p w14:paraId="3C023F88" w14:textId="77777777" w:rsidR="00BB7E7B" w:rsidRDefault="00731FC0">
          <w:pPr>
            <w:widowControl w:val="0"/>
            <w:tabs>
              <w:tab w:val="right" w:pos="9360"/>
            </w:tabs>
            <w:spacing w:before="60" w:after="200" w:line="360" w:lineRule="auto"/>
            <w:jc w:val="both"/>
            <w:rPr>
              <w:rFonts w:ascii="Calibri" w:eastAsia="Calibri" w:hAnsi="Calibri" w:cs="Calibri"/>
              <w:color w:val="000000"/>
              <w:sz w:val="24"/>
              <w:szCs w:val="24"/>
            </w:rPr>
          </w:pPr>
          <w:r>
            <w:fldChar w:fldCharType="end"/>
          </w:r>
          <w:hyperlink w:anchor="_wm6p3fb0sobc">
            <w:r>
              <w:rPr>
                <w:rFonts w:ascii="Calibri" w:eastAsia="Calibri" w:hAnsi="Calibri" w:cs="Calibri"/>
                <w:color w:val="000000"/>
                <w:sz w:val="24"/>
                <w:szCs w:val="24"/>
              </w:rPr>
              <w:t>Main Body</w:t>
            </w:r>
            <w:r>
              <w:rPr>
                <w:rFonts w:ascii="Calibri" w:eastAsia="Calibri" w:hAnsi="Calibri" w:cs="Calibri"/>
                <w:color w:val="000000"/>
                <w:sz w:val="24"/>
                <w:szCs w:val="24"/>
              </w:rPr>
              <w:tab/>
            </w:r>
          </w:hyperlink>
          <w:r>
            <w:fldChar w:fldCharType="begin"/>
          </w:r>
          <w:r>
            <w:instrText xml:space="preserve"> PAGEREF _wm6p3fb0sobc \h </w:instrText>
          </w:r>
          <w:r>
            <w:fldChar w:fldCharType="separate"/>
          </w:r>
          <w:r>
            <w:rPr>
              <w:rFonts w:ascii="Calibri" w:eastAsia="Calibri" w:hAnsi="Calibri" w:cs="Calibri"/>
              <w:sz w:val="24"/>
              <w:szCs w:val="24"/>
            </w:rPr>
            <w:t>1</w:t>
          </w:r>
          <w:hyperlink w:anchor="_wm6p3fb0sobc" w:history="1"/>
        </w:p>
        <w:p w14:paraId="3D4C2969" w14:textId="77777777" w:rsidR="00BB7E7B" w:rsidRDefault="00731FC0">
          <w:pPr>
            <w:widowControl w:val="0"/>
            <w:tabs>
              <w:tab w:val="right" w:pos="9360"/>
            </w:tabs>
            <w:spacing w:before="60" w:after="200" w:line="360" w:lineRule="auto"/>
            <w:jc w:val="both"/>
            <w:rPr>
              <w:rFonts w:ascii="Calibri" w:eastAsia="Calibri" w:hAnsi="Calibri" w:cs="Calibri"/>
              <w:color w:val="000000"/>
              <w:sz w:val="24"/>
              <w:szCs w:val="24"/>
            </w:rPr>
          </w:pPr>
          <w:r>
            <w:fldChar w:fldCharType="end"/>
          </w:r>
          <w:hyperlink w:anchor="_g5tw4gb0p2nh">
            <w:r>
              <w:rPr>
                <w:rFonts w:ascii="Calibri" w:eastAsia="Calibri" w:hAnsi="Calibri" w:cs="Calibri"/>
                <w:color w:val="000000"/>
                <w:sz w:val="24"/>
                <w:szCs w:val="24"/>
              </w:rPr>
              <w:t>Conclusion</w:t>
            </w:r>
            <w:r>
              <w:rPr>
                <w:rFonts w:ascii="Calibri" w:eastAsia="Calibri" w:hAnsi="Calibri" w:cs="Calibri"/>
                <w:color w:val="000000"/>
                <w:sz w:val="24"/>
                <w:szCs w:val="24"/>
              </w:rPr>
              <w:tab/>
            </w:r>
          </w:hyperlink>
          <w:r>
            <w:fldChar w:fldCharType="begin"/>
          </w:r>
          <w:r>
            <w:instrText xml:space="preserve"> PAGEREF _g5tw4gb0p2nh \h </w:instrText>
          </w:r>
          <w:r>
            <w:fldChar w:fldCharType="separate"/>
          </w:r>
          <w:r>
            <w:rPr>
              <w:rFonts w:ascii="Calibri" w:eastAsia="Calibri" w:hAnsi="Calibri" w:cs="Calibri"/>
              <w:sz w:val="24"/>
              <w:szCs w:val="24"/>
            </w:rPr>
            <w:t>3</w:t>
          </w:r>
          <w:hyperlink w:anchor="_g5tw4gb0p2nh" w:history="1"/>
        </w:p>
        <w:p w14:paraId="2DDD754A" w14:textId="77777777" w:rsidR="00BB7E7B" w:rsidRDefault="00731FC0">
          <w:pPr>
            <w:widowControl w:val="0"/>
            <w:tabs>
              <w:tab w:val="right" w:pos="9360"/>
            </w:tabs>
            <w:spacing w:before="60" w:after="200" w:line="360" w:lineRule="auto"/>
            <w:jc w:val="both"/>
            <w:rPr>
              <w:rFonts w:ascii="Calibri" w:eastAsia="Calibri" w:hAnsi="Calibri" w:cs="Calibri"/>
              <w:color w:val="000000"/>
              <w:sz w:val="24"/>
              <w:szCs w:val="24"/>
            </w:rPr>
          </w:pPr>
          <w:r>
            <w:fldChar w:fldCharType="end"/>
          </w:r>
          <w:hyperlink w:anchor="_cptrl0hbzuor">
            <w:r>
              <w:rPr>
                <w:rFonts w:ascii="Calibri" w:eastAsia="Calibri" w:hAnsi="Calibri" w:cs="Calibri"/>
                <w:color w:val="000000"/>
                <w:sz w:val="24"/>
                <w:szCs w:val="24"/>
              </w:rPr>
              <w:t>Reference List</w:t>
            </w:r>
            <w:r>
              <w:rPr>
                <w:rFonts w:ascii="Calibri" w:eastAsia="Calibri" w:hAnsi="Calibri" w:cs="Calibri"/>
                <w:color w:val="000000"/>
                <w:sz w:val="24"/>
                <w:szCs w:val="24"/>
              </w:rPr>
              <w:tab/>
            </w:r>
          </w:hyperlink>
          <w:r>
            <w:fldChar w:fldCharType="begin"/>
          </w:r>
          <w:r>
            <w:instrText xml:space="preserve"> PAGEREF _cptrl0hbzuor \h </w:instrText>
          </w:r>
          <w:r>
            <w:fldChar w:fldCharType="separate"/>
          </w:r>
          <w:r>
            <w:rPr>
              <w:rFonts w:ascii="Calibri" w:eastAsia="Calibri" w:hAnsi="Calibri" w:cs="Calibri"/>
              <w:sz w:val="24"/>
              <w:szCs w:val="24"/>
            </w:rPr>
            <w:t>5</w:t>
          </w:r>
          <w:r>
            <w:fldChar w:fldCharType="end"/>
          </w:r>
          <w:r>
            <w:fldChar w:fldCharType="end"/>
          </w:r>
        </w:p>
      </w:sdtContent>
    </w:sdt>
    <w:p w14:paraId="23E9710D" w14:textId="77777777" w:rsidR="00BB7E7B" w:rsidRDefault="00731FC0">
      <w:pPr>
        <w:pStyle w:val="Heading1"/>
      </w:pPr>
      <w:bookmarkStart w:id="0" w:name="_uh736j19oh4y" w:colFirst="0" w:colLast="0"/>
      <w:bookmarkEnd w:id="0"/>
      <w:r>
        <w:br w:type="page"/>
      </w:r>
    </w:p>
    <w:p w14:paraId="4DA2B90B" w14:textId="77777777" w:rsidR="00BB7E7B" w:rsidRDefault="00731FC0">
      <w:pPr>
        <w:pStyle w:val="Heading1"/>
      </w:pPr>
      <w:bookmarkStart w:id="1" w:name="_oyzlhxjkenke" w:colFirst="0" w:colLast="0"/>
      <w:bookmarkEnd w:id="1"/>
      <w:r>
        <w:t>Introduction</w:t>
      </w:r>
    </w:p>
    <w:p w14:paraId="76A1B31C"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 xml:space="preserve">In today's </w:t>
      </w:r>
      <w:proofErr w:type="spellStart"/>
      <w:r>
        <w:rPr>
          <w:rFonts w:ascii="Calibri" w:eastAsia="Calibri" w:hAnsi="Calibri" w:cs="Calibri"/>
          <w:color w:val="1F1F1F"/>
          <w:sz w:val="24"/>
          <w:szCs w:val="24"/>
        </w:rPr>
        <w:t>globalised</w:t>
      </w:r>
      <w:proofErr w:type="spellEnd"/>
      <w:r>
        <w:rPr>
          <w:rFonts w:ascii="Calibri" w:eastAsia="Calibri" w:hAnsi="Calibri" w:cs="Calibri"/>
          <w:color w:val="1F1F1F"/>
          <w:sz w:val="24"/>
          <w:szCs w:val="24"/>
        </w:rPr>
        <w:t xml:space="preserve"> economy, business ethics and corporate social responsibility (CSR) are increasingly embedded within the strategic foundation of businesses. This critical integration is intended to promote rigorous transparency, sustainability and accountability to a broad spectrum of stakeholders, which ultimately includes communities and the environment (Porter &amp; Kramer, 2006). The main goal of this essay is to extensively examine the crucial concepts of business ethics and CSR through academic </w:t>
      </w:r>
      <w:proofErr w:type="spellStart"/>
      <w:r>
        <w:rPr>
          <w:rFonts w:ascii="Calibri" w:eastAsia="Calibri" w:hAnsi="Calibri" w:cs="Calibri"/>
          <w:color w:val="1F1F1F"/>
          <w:sz w:val="24"/>
          <w:szCs w:val="24"/>
        </w:rPr>
        <w:t>theorisation</w:t>
      </w:r>
      <w:proofErr w:type="spellEnd"/>
      <w:r>
        <w:rPr>
          <w:rFonts w:ascii="Calibri" w:eastAsia="Calibri" w:hAnsi="Calibri" w:cs="Calibri"/>
          <w:color w:val="1F1F1F"/>
          <w:sz w:val="24"/>
          <w:szCs w:val="24"/>
        </w:rPr>
        <w:t>. After this theoretical groundwork, the essay will subsequently apply each of these key concepts to the practical aspects of corporate strategies, to illustrate their significant impact on 21st century corporate success. To help concentrate the analysis, this essay will focus on the modern automobile industry as a case study, with particular emphasis on the strategic activities of three major global players: Tesla, Ford and Volkswagen. Using the well-developed CSR Pyramid model proposed by Carroll, as well as the all-encompassing Triple Bottom Line (TBL) model, this essay will critically evaluate the management of their complex EV transition, challenges faced in sourcing battery components and stringent regulatory adherence.</w:t>
      </w:r>
    </w:p>
    <w:p w14:paraId="34612A64" w14:textId="77777777" w:rsidR="00BB7E7B" w:rsidRDefault="00731FC0">
      <w:pPr>
        <w:pStyle w:val="Heading1"/>
      </w:pPr>
      <w:bookmarkStart w:id="2" w:name="_wm6p3fb0sobc" w:colFirst="0" w:colLast="0"/>
      <w:bookmarkEnd w:id="2"/>
      <w:r>
        <w:t>Main Body</w:t>
      </w:r>
    </w:p>
    <w:p w14:paraId="0EA4037E"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Business ethics is the moral compass, principles and standards that guide decision making in the business environment, ensuring that corporations act with integrity, equity and openness when faced with complex issues (Crane and Matten, 2007). It serves as the conscience of the decision-making process, and impacts how the business engages with employees, customers and competitors (</w:t>
      </w:r>
      <w:proofErr w:type="spellStart"/>
      <w:r>
        <w:rPr>
          <w:rFonts w:ascii="Calibri" w:eastAsia="Calibri" w:hAnsi="Calibri" w:cs="Calibri"/>
          <w:color w:val="1F1F1F"/>
          <w:sz w:val="24"/>
          <w:szCs w:val="24"/>
        </w:rPr>
        <w:t>Ugoani</w:t>
      </w:r>
      <w:proofErr w:type="spellEnd"/>
      <w:r>
        <w:rPr>
          <w:rFonts w:ascii="Calibri" w:eastAsia="Calibri" w:hAnsi="Calibri" w:cs="Calibri"/>
          <w:color w:val="1F1F1F"/>
          <w:sz w:val="24"/>
          <w:szCs w:val="24"/>
        </w:rPr>
        <w:t>, 2023). Corporate Social Responsibility (CSR), however, is the external and ongoing commitment by business to operate ethically and contribute to economic growth while also enhancing the quality of life of the employees, their families, the local communities and the society as a whole (</w:t>
      </w:r>
      <w:proofErr w:type="spellStart"/>
      <w:r>
        <w:rPr>
          <w:rFonts w:ascii="Calibri" w:eastAsia="Calibri" w:hAnsi="Calibri" w:cs="Calibri"/>
          <w:color w:val="1F1F1F"/>
          <w:sz w:val="24"/>
          <w:szCs w:val="24"/>
        </w:rPr>
        <w:t>Aguinis</w:t>
      </w:r>
      <w:proofErr w:type="spellEnd"/>
      <w:r>
        <w:rPr>
          <w:rFonts w:ascii="Calibri" w:eastAsia="Calibri" w:hAnsi="Calibri" w:cs="Calibri"/>
          <w:color w:val="1F1F1F"/>
          <w:sz w:val="24"/>
          <w:szCs w:val="24"/>
        </w:rPr>
        <w:t xml:space="preserve">, 2011). Taken together, these principles </w:t>
      </w:r>
      <w:proofErr w:type="spellStart"/>
      <w:r>
        <w:rPr>
          <w:rFonts w:ascii="Calibri" w:eastAsia="Calibri" w:hAnsi="Calibri" w:cs="Calibri"/>
          <w:color w:val="1F1F1F"/>
          <w:sz w:val="24"/>
          <w:szCs w:val="24"/>
        </w:rPr>
        <w:t>recognise</w:t>
      </w:r>
      <w:proofErr w:type="spellEnd"/>
      <w:r>
        <w:rPr>
          <w:rFonts w:ascii="Calibri" w:eastAsia="Calibri" w:hAnsi="Calibri" w:cs="Calibri"/>
          <w:color w:val="1F1F1F"/>
          <w:sz w:val="24"/>
          <w:szCs w:val="24"/>
        </w:rPr>
        <w:t xml:space="preserve"> that there are obligations beyond shareholder value </w:t>
      </w:r>
      <w:proofErr w:type="spellStart"/>
      <w:r>
        <w:rPr>
          <w:rFonts w:ascii="Calibri" w:eastAsia="Calibri" w:hAnsi="Calibri" w:cs="Calibri"/>
          <w:color w:val="1F1F1F"/>
          <w:sz w:val="24"/>
          <w:szCs w:val="24"/>
        </w:rPr>
        <w:t>maximisation</w:t>
      </w:r>
      <w:proofErr w:type="spellEnd"/>
      <w:r>
        <w:rPr>
          <w:rFonts w:ascii="Calibri" w:eastAsia="Calibri" w:hAnsi="Calibri" w:cs="Calibri"/>
          <w:color w:val="1F1F1F"/>
          <w:sz w:val="24"/>
          <w:szCs w:val="24"/>
        </w:rPr>
        <w:t>.</w:t>
      </w:r>
    </w:p>
    <w:p w14:paraId="45269EFD"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A useful basic model to assess the application of these concepts is Carroll's CSR Pyramid (Carroll, 1991). It breaks down a firm's responsibilities into four levels. These include Economic responsibilities (the need to be profitable), Legal responsibilities (the need to comply with the law and regulations), the next layer is Ethical responsibilities (the obligation to do what is right, just and fair in addition to the law) and at the top are Philanthropic responsibilities (the aspiration to be a good corporate citizen through voluntary contributions to the community). A socially responsible company is required to meet all four levels of responsibility (Martens and Kleinfeld, 2022).</w:t>
      </w:r>
    </w:p>
    <w:p w14:paraId="75AE1BCF" w14:textId="77777777" w:rsidR="00BB7E7B" w:rsidRDefault="00731FC0">
      <w:pPr>
        <w:spacing w:before="200" w:after="200" w:line="360" w:lineRule="auto"/>
        <w:jc w:val="both"/>
        <w:rPr>
          <w:rFonts w:ascii="Calibri" w:eastAsia="Calibri" w:hAnsi="Calibri" w:cs="Calibri"/>
          <w:b/>
          <w:bCs/>
          <w:i/>
          <w:iCs/>
          <w:color w:val="1F1F1F"/>
          <w:sz w:val="24"/>
          <w:szCs w:val="24"/>
        </w:rPr>
      </w:pPr>
      <w:r>
        <w:rPr>
          <w:rFonts w:ascii="Calibri" w:eastAsia="Calibri" w:hAnsi="Calibri" w:cs="Calibri"/>
          <w:color w:val="1F1F1F"/>
          <w:sz w:val="24"/>
          <w:szCs w:val="24"/>
        </w:rPr>
        <w:t xml:space="preserve">A further important concept is John </w:t>
      </w:r>
      <w:proofErr w:type="spellStart"/>
      <w:r>
        <w:rPr>
          <w:rFonts w:ascii="Calibri" w:eastAsia="Calibri" w:hAnsi="Calibri" w:cs="Calibri"/>
          <w:color w:val="1F1F1F"/>
          <w:sz w:val="24"/>
          <w:szCs w:val="24"/>
        </w:rPr>
        <w:t>Elkington's</w:t>
      </w:r>
      <w:proofErr w:type="spellEnd"/>
      <w:r>
        <w:rPr>
          <w:rFonts w:ascii="Calibri" w:eastAsia="Calibri" w:hAnsi="Calibri" w:cs="Calibri"/>
          <w:color w:val="1F1F1F"/>
          <w:sz w:val="24"/>
          <w:szCs w:val="24"/>
        </w:rPr>
        <w:t xml:space="preserve"> Triple Bottom Line (TBL). The TBL goes against conventional corporate practice of only evaluating financial performance and suggests firms should take a three-fold approach to performance measurement: "Profit, People, and Planet"  (</w:t>
      </w:r>
      <w:proofErr w:type="spellStart"/>
      <w:r>
        <w:rPr>
          <w:rFonts w:ascii="Calibri" w:eastAsia="Calibri" w:hAnsi="Calibri" w:cs="Calibri"/>
          <w:color w:val="1F1F1F"/>
          <w:sz w:val="24"/>
          <w:szCs w:val="24"/>
        </w:rPr>
        <w:t>Elkington</w:t>
      </w:r>
      <w:proofErr w:type="spellEnd"/>
      <w:r>
        <w:rPr>
          <w:rFonts w:ascii="Calibri" w:eastAsia="Calibri" w:hAnsi="Calibri" w:cs="Calibri"/>
          <w:color w:val="1F1F1F"/>
          <w:sz w:val="24"/>
          <w:szCs w:val="24"/>
        </w:rPr>
        <w:t xml:space="preserve"> and Rowlands, 1999). This includes the economic (Profit), social (People) and environmental (Planet) aspects. These models offer a comprehensive, multidimensional framework to </w:t>
      </w:r>
      <w:proofErr w:type="spellStart"/>
      <w:r>
        <w:rPr>
          <w:rFonts w:ascii="Calibri" w:eastAsia="Calibri" w:hAnsi="Calibri" w:cs="Calibri"/>
          <w:color w:val="1F1F1F"/>
          <w:sz w:val="24"/>
          <w:szCs w:val="24"/>
        </w:rPr>
        <w:t>analyse</w:t>
      </w:r>
      <w:proofErr w:type="spellEnd"/>
      <w:r>
        <w:rPr>
          <w:rFonts w:ascii="Calibri" w:eastAsia="Calibri" w:hAnsi="Calibri" w:cs="Calibri"/>
          <w:color w:val="1F1F1F"/>
          <w:sz w:val="24"/>
          <w:szCs w:val="24"/>
        </w:rPr>
        <w:t xml:space="preserve"> the operations and strategies of the automotive industry.</w:t>
      </w:r>
    </w:p>
    <w:p w14:paraId="336DD47A"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Tesla's core purpose of accelerating the world's transition to sustainable energy is an excellent example of environmental CSR. Their ambitious stance on carbon neutrality and the scale-up of electric vehicle production aligns with the "Planet" dimension of the TBL model, as it helps to curb fossil fuel dependence (Tesla, 2024). In addition, in Carroll's Pyramid, Tesla's operations showcase the "Ethical" and potentially "Philanthropic" levels by taking action to combat climate change. Indeed, by adopting sustainability not as a sideline but as their economic lifeblood, Tesla integrates their "Economic" and "Ethical" duties.</w:t>
      </w:r>
    </w:p>
    <w:p w14:paraId="177D24F7" w14:textId="77777777" w:rsidR="00BB7E7B" w:rsidRDefault="00731FC0">
      <w:pPr>
        <w:spacing w:before="200" w:after="200" w:line="360" w:lineRule="auto"/>
        <w:jc w:val="both"/>
        <w:rPr>
          <w:rFonts w:ascii="Calibri" w:eastAsia="Calibri" w:hAnsi="Calibri" w:cs="Calibri"/>
          <w:b/>
          <w:bCs/>
          <w:i/>
          <w:iCs/>
          <w:color w:val="1F1F1F"/>
          <w:sz w:val="24"/>
          <w:szCs w:val="24"/>
        </w:rPr>
      </w:pPr>
      <w:r>
        <w:rPr>
          <w:rFonts w:ascii="Calibri" w:eastAsia="Calibri" w:hAnsi="Calibri" w:cs="Calibri"/>
          <w:color w:val="1F1F1F"/>
          <w:sz w:val="24"/>
          <w:szCs w:val="24"/>
        </w:rPr>
        <w:t>In contrast, a sustainability transition in the automotive industry shows deep ethical issues, especially in global battery production. Ford's dependence on minerals such as cobalt and lithium to produce batteries for their growing electric vehicle (EV) portfolio points to a significant gap between "Profit" and "People" in the TBL (Ford Corporate, 2026). The extraction of these critical minerals can lead to unsafe working conditions, environmental impacts and human rights violations in developing countries. Although Ford aims for economic viability and environmental advancement (Planet), transparent supply chains to safeguard workers (People) becomes an ethical imperative. Without ethical supply chains, the underlying "Ethical" level of Carroll's Pyramid could be compromised.</w:t>
      </w:r>
    </w:p>
    <w:p w14:paraId="36FFC6A3"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The importance of the regulatory compliance-ethics nexus is clearly demonstrated in Volkswagen’s 2015 "</w:t>
      </w:r>
      <w:proofErr w:type="spellStart"/>
      <w:r>
        <w:rPr>
          <w:rFonts w:ascii="Calibri" w:eastAsia="Calibri" w:hAnsi="Calibri" w:cs="Calibri"/>
          <w:color w:val="1F1F1F"/>
          <w:sz w:val="24"/>
          <w:szCs w:val="24"/>
        </w:rPr>
        <w:t>Dieselgate</w:t>
      </w:r>
      <w:proofErr w:type="spellEnd"/>
      <w:r>
        <w:rPr>
          <w:rFonts w:ascii="Calibri" w:eastAsia="Calibri" w:hAnsi="Calibri" w:cs="Calibri"/>
          <w:color w:val="1F1F1F"/>
          <w:sz w:val="24"/>
          <w:szCs w:val="24"/>
        </w:rPr>
        <w:t>" emissions cheating scandal (</w:t>
      </w:r>
      <w:proofErr w:type="spellStart"/>
      <w:r>
        <w:rPr>
          <w:rFonts w:ascii="Calibri" w:eastAsia="Calibri" w:hAnsi="Calibri" w:cs="Calibri"/>
          <w:color w:val="1F1F1F"/>
          <w:sz w:val="24"/>
          <w:szCs w:val="24"/>
        </w:rPr>
        <w:t>Kell</w:t>
      </w:r>
      <w:proofErr w:type="spellEnd"/>
      <w:r>
        <w:rPr>
          <w:rFonts w:ascii="Calibri" w:eastAsia="Calibri" w:hAnsi="Calibri" w:cs="Calibri"/>
          <w:color w:val="1F1F1F"/>
          <w:sz w:val="24"/>
          <w:szCs w:val="24"/>
        </w:rPr>
        <w:t>, 2022). The installation by VW of defeat-device software in millions of their diesel vehicles to deceive emission regulations was a major and premeditated breach of the "Legal" and "Ethical" dimensions of Carroll’s Pyramid. In placing short-term financial and competitive concerns ("Profit") ahead of environmental and human health concerns ("Planet" and "People"), VW completely disregarded the TBL. This ethical misconduct led to billions of dollars worth of fines, environmental damage and an irrevocable erosion of stakeholder trust, highlighting the devastating impact of unethical corporate management.</w:t>
      </w:r>
    </w:p>
    <w:p w14:paraId="0D7429D1"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On the other hand, Toyota's past recall practices offer an alternative ethical view on legal and consumer safety. In response to the unintended acceleration problem, Toyota eventually launched large-scale and expensive recalls to protect the safety of consumers, despite the short-term financial loss (</w:t>
      </w:r>
      <w:proofErr w:type="spellStart"/>
      <w:r>
        <w:rPr>
          <w:rFonts w:ascii="Calibri" w:eastAsia="Calibri" w:hAnsi="Calibri" w:cs="Calibri"/>
          <w:color w:val="1F1F1F"/>
          <w:sz w:val="24"/>
          <w:szCs w:val="24"/>
        </w:rPr>
        <w:t>Bowenn</w:t>
      </w:r>
      <w:proofErr w:type="spellEnd"/>
      <w:r>
        <w:rPr>
          <w:rFonts w:ascii="Calibri" w:eastAsia="Calibri" w:hAnsi="Calibri" w:cs="Calibri"/>
          <w:color w:val="1F1F1F"/>
          <w:sz w:val="24"/>
          <w:szCs w:val="24"/>
        </w:rPr>
        <w:t xml:space="preserve"> and Zheng, 2015). Although their initial response was </w:t>
      </w:r>
      <w:proofErr w:type="spellStart"/>
      <w:r>
        <w:rPr>
          <w:rFonts w:ascii="Calibri" w:eastAsia="Calibri" w:hAnsi="Calibri" w:cs="Calibri"/>
          <w:color w:val="1F1F1F"/>
          <w:sz w:val="24"/>
          <w:szCs w:val="24"/>
        </w:rPr>
        <w:t>criticised</w:t>
      </w:r>
      <w:proofErr w:type="spellEnd"/>
      <w:r>
        <w:rPr>
          <w:rFonts w:ascii="Calibri" w:eastAsia="Calibri" w:hAnsi="Calibri" w:cs="Calibri"/>
          <w:color w:val="1F1F1F"/>
          <w:sz w:val="24"/>
          <w:szCs w:val="24"/>
        </w:rPr>
        <w:t xml:space="preserve"> for being too slow, their eventual massive response met the "Legal" and "Ethical" responsibilities of Carroll’s model. Through open communication of safety flaws and willingness to incur enormous costs to safeguard the "People" dimension of the TBL, Toyota succeeded in winning back customers. This is in stark contrast to the Volkswagen deception, and demonstrates the benefits of </w:t>
      </w:r>
      <w:proofErr w:type="spellStart"/>
      <w:r>
        <w:rPr>
          <w:rFonts w:ascii="Calibri" w:eastAsia="Calibri" w:hAnsi="Calibri" w:cs="Calibri"/>
          <w:color w:val="1F1F1F"/>
          <w:sz w:val="24"/>
          <w:szCs w:val="24"/>
        </w:rPr>
        <w:t>prioritising</w:t>
      </w:r>
      <w:proofErr w:type="spellEnd"/>
      <w:r>
        <w:rPr>
          <w:rFonts w:ascii="Calibri" w:eastAsia="Calibri" w:hAnsi="Calibri" w:cs="Calibri"/>
          <w:color w:val="1F1F1F"/>
          <w:sz w:val="24"/>
          <w:szCs w:val="24"/>
        </w:rPr>
        <w:t xml:space="preserve"> long-term ethics over short-term profits.</w:t>
      </w:r>
    </w:p>
    <w:p w14:paraId="3C74FF28" w14:textId="77777777" w:rsidR="00BB7E7B" w:rsidRDefault="00731FC0">
      <w:pPr>
        <w:pStyle w:val="Heading1"/>
      </w:pPr>
      <w:bookmarkStart w:id="3" w:name="_g5tw4gb0p2nh" w:colFirst="0" w:colLast="0"/>
      <w:bookmarkEnd w:id="3"/>
      <w:r>
        <w:t>Conclusion</w:t>
      </w:r>
    </w:p>
    <w:p w14:paraId="6F6D7F44"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 xml:space="preserve">Therefore, this essay has shown the critical importance of business ethics and corporate social responsibility within the automobile industry. Using Carroll's CSR Pyramid and the Triple Bottom Line model, it is clear that businesses cannot consider economic goals in isolation from their social and environmental responsibilities. This is evident in the case studies. The Volkswagen emissions scandal demonstrates that when short-term profits take precedence over legal and ethical obligations, not only is trust lost, but a devastating financial blow is administered. On the other hand, Toyota's focus on consumer safety and Tesla's inclusion of environmental responsibility into its business model demonstrate that </w:t>
      </w:r>
      <w:proofErr w:type="spellStart"/>
      <w:r>
        <w:rPr>
          <w:rFonts w:ascii="Calibri" w:eastAsia="Calibri" w:hAnsi="Calibri" w:cs="Calibri"/>
          <w:color w:val="1F1F1F"/>
          <w:sz w:val="24"/>
          <w:szCs w:val="24"/>
        </w:rPr>
        <w:t>prioritising</w:t>
      </w:r>
      <w:proofErr w:type="spellEnd"/>
      <w:r>
        <w:rPr>
          <w:rFonts w:ascii="Calibri" w:eastAsia="Calibri" w:hAnsi="Calibri" w:cs="Calibri"/>
          <w:color w:val="1F1F1F"/>
          <w:sz w:val="24"/>
          <w:szCs w:val="24"/>
        </w:rPr>
        <w:t xml:space="preserve"> the "People" and "Planet" dimensions over the long term enhances sustainability and creates competitive advantage. Moreover, as demonstrated by Ford's struggles with battery sourcing, managing a global supply chain demands continuous awareness of ensuring human and ecological progress go hand in hand. Finally, as Porter and Kramer argue, corporate success in the 21st  century demands that ethics and social responsibility are not viewed as "costly corporate social responsibilities", but rather as an inherent part of company strategy.</w:t>
      </w:r>
    </w:p>
    <w:p w14:paraId="56B83675" w14:textId="77777777" w:rsidR="00BB7E7B" w:rsidRDefault="00731FC0">
      <w:pPr>
        <w:pStyle w:val="Heading1"/>
      </w:pPr>
      <w:bookmarkStart w:id="4" w:name="_n006vwjzlacm" w:colFirst="0" w:colLast="0"/>
      <w:bookmarkEnd w:id="4"/>
      <w:r>
        <w:br w:type="page"/>
      </w:r>
    </w:p>
    <w:p w14:paraId="740E0FC6" w14:textId="77777777" w:rsidR="00BB7E7B" w:rsidRDefault="00731FC0">
      <w:pPr>
        <w:pStyle w:val="Heading1"/>
      </w:pPr>
      <w:bookmarkStart w:id="5" w:name="_cptrl0hbzuor" w:colFirst="0" w:colLast="0"/>
      <w:bookmarkEnd w:id="5"/>
      <w:r>
        <w:t>Reference List</w:t>
      </w:r>
    </w:p>
    <w:p w14:paraId="5A802700" w14:textId="77777777" w:rsidR="00BB7E7B" w:rsidRDefault="00731FC0">
      <w:pPr>
        <w:spacing w:before="200" w:after="200" w:line="360" w:lineRule="auto"/>
        <w:jc w:val="both"/>
        <w:rPr>
          <w:rFonts w:ascii="Calibri" w:eastAsia="Calibri" w:hAnsi="Calibri" w:cs="Calibri"/>
          <w:color w:val="1F1F1F"/>
          <w:sz w:val="24"/>
          <w:szCs w:val="24"/>
        </w:rPr>
      </w:pPr>
      <w:proofErr w:type="spellStart"/>
      <w:r>
        <w:rPr>
          <w:rFonts w:ascii="Calibri" w:eastAsia="Calibri" w:hAnsi="Calibri" w:cs="Calibri"/>
          <w:color w:val="1F1F1F"/>
          <w:sz w:val="24"/>
          <w:szCs w:val="24"/>
        </w:rPr>
        <w:t>Aguinis</w:t>
      </w:r>
      <w:proofErr w:type="spellEnd"/>
      <w:r>
        <w:rPr>
          <w:rFonts w:ascii="Calibri" w:eastAsia="Calibri" w:hAnsi="Calibri" w:cs="Calibri"/>
          <w:color w:val="1F1F1F"/>
          <w:sz w:val="24"/>
          <w:szCs w:val="24"/>
        </w:rPr>
        <w:t>, H., (2011). Organizational responsibility: Doing good and doing well. In APA handbook of industrial and organizational psychology, Vol 3: Maintaining, expanding, and contracting the organization. (pp. 855-879). American Psychological Association.</w:t>
      </w:r>
    </w:p>
    <w:p w14:paraId="0164FF73" w14:textId="77777777" w:rsidR="00BB7E7B" w:rsidRDefault="00731FC0">
      <w:pPr>
        <w:spacing w:before="200" w:after="200" w:line="360" w:lineRule="auto"/>
        <w:jc w:val="both"/>
        <w:rPr>
          <w:rFonts w:ascii="Calibri" w:eastAsia="Calibri" w:hAnsi="Calibri" w:cs="Calibri"/>
          <w:sz w:val="24"/>
          <w:szCs w:val="24"/>
        </w:rPr>
      </w:pPr>
      <w:r>
        <w:rPr>
          <w:rFonts w:ascii="Calibri" w:eastAsia="Calibri" w:hAnsi="Calibri" w:cs="Calibri"/>
          <w:sz w:val="24"/>
          <w:szCs w:val="24"/>
        </w:rPr>
        <w:t xml:space="preserve">Bowen, S.A. and Zheng, Y. (2015). Auto recall crisis, framing, and ethical response: Toyota’s missteps. Public Relations Review, 41(1), pp.40–49. </w:t>
      </w:r>
      <w:proofErr w:type="spellStart"/>
      <w:r>
        <w:rPr>
          <w:rFonts w:ascii="Calibri" w:eastAsia="Calibri" w:hAnsi="Calibri" w:cs="Calibri"/>
          <w:sz w:val="24"/>
          <w:szCs w:val="24"/>
        </w:rPr>
        <w:t>doi:https</w:t>
      </w:r>
      <w:proofErr w:type="spellEnd"/>
      <w:r>
        <w:rPr>
          <w:rFonts w:ascii="Calibri" w:eastAsia="Calibri" w:hAnsi="Calibri" w:cs="Calibri"/>
          <w:sz w:val="24"/>
          <w:szCs w:val="24"/>
        </w:rPr>
        <w:t>://doi.org/10.1016/j.pubrev.2014.10.017.[Accessed 30 April. 2026]</w:t>
      </w:r>
    </w:p>
    <w:p w14:paraId="1AA88717"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Carroll, A.B., (1991). The pyramid of corporate social responsibility: Toward the moral management of organizational stakeholders. Business horizons, 34(4), pp.39-48.</w:t>
      </w:r>
    </w:p>
    <w:p w14:paraId="4E534C8E"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 xml:space="preserve">Crane, A. and Matten, D., (2007). Business ethics: Managing corporate citizenship and sustainability in the age of </w:t>
      </w:r>
      <w:proofErr w:type="spellStart"/>
      <w:r>
        <w:rPr>
          <w:rFonts w:ascii="Calibri" w:eastAsia="Calibri" w:hAnsi="Calibri" w:cs="Calibri"/>
          <w:color w:val="1F1F1F"/>
          <w:sz w:val="24"/>
          <w:szCs w:val="24"/>
        </w:rPr>
        <w:t>globalisation</w:t>
      </w:r>
      <w:proofErr w:type="spellEnd"/>
      <w:r>
        <w:rPr>
          <w:rFonts w:ascii="Calibri" w:eastAsia="Calibri" w:hAnsi="Calibri" w:cs="Calibri"/>
          <w:color w:val="1F1F1F"/>
          <w:sz w:val="24"/>
          <w:szCs w:val="24"/>
        </w:rPr>
        <w:t>.</w:t>
      </w:r>
    </w:p>
    <w:p w14:paraId="6CACC8B3" w14:textId="77777777" w:rsidR="00BB7E7B" w:rsidRDefault="00731FC0">
      <w:pPr>
        <w:spacing w:before="200" w:after="200" w:line="360" w:lineRule="auto"/>
        <w:jc w:val="both"/>
        <w:rPr>
          <w:rFonts w:ascii="Calibri" w:eastAsia="Calibri" w:hAnsi="Calibri" w:cs="Calibri"/>
          <w:color w:val="1F1F1F"/>
          <w:sz w:val="24"/>
          <w:szCs w:val="24"/>
        </w:rPr>
      </w:pPr>
      <w:proofErr w:type="spellStart"/>
      <w:r>
        <w:rPr>
          <w:rFonts w:ascii="Calibri" w:eastAsia="Calibri" w:hAnsi="Calibri" w:cs="Calibri"/>
          <w:color w:val="1F1F1F"/>
          <w:sz w:val="24"/>
          <w:szCs w:val="24"/>
        </w:rPr>
        <w:t>Elkington</w:t>
      </w:r>
      <w:proofErr w:type="spellEnd"/>
      <w:r>
        <w:rPr>
          <w:rFonts w:ascii="Calibri" w:eastAsia="Calibri" w:hAnsi="Calibri" w:cs="Calibri"/>
          <w:color w:val="1F1F1F"/>
          <w:sz w:val="24"/>
          <w:szCs w:val="24"/>
        </w:rPr>
        <w:t>, J. and Rowlands, I.H., (1999). Cannibals with forks: The triple bottom line of 21st century business. Alternatives Journal, 25(4), p.42.</w:t>
      </w:r>
    </w:p>
    <w:p w14:paraId="3B9C6CD8" w14:textId="77777777" w:rsidR="00BB7E7B" w:rsidRDefault="00731FC0">
      <w:pPr>
        <w:spacing w:before="200" w:after="200" w:line="360" w:lineRule="auto"/>
        <w:jc w:val="both"/>
        <w:rPr>
          <w:rFonts w:ascii="Calibri" w:eastAsia="Calibri" w:hAnsi="Calibri" w:cs="Calibri"/>
          <w:sz w:val="24"/>
          <w:szCs w:val="24"/>
        </w:rPr>
      </w:pPr>
      <w:r>
        <w:rPr>
          <w:rFonts w:ascii="Calibri" w:eastAsia="Calibri" w:hAnsi="Calibri" w:cs="Calibri"/>
          <w:sz w:val="24"/>
          <w:szCs w:val="24"/>
        </w:rPr>
        <w:t>Ford Corporate. (2026). Additional Downloads. [online] Available at: https://corporate.ford.com/social-impact/sustainability/integrated-report-additional-documents.html. [Accessed 30 April. 2026]</w:t>
      </w:r>
    </w:p>
    <w:p w14:paraId="7B087102" w14:textId="77777777" w:rsidR="00BB7E7B" w:rsidRDefault="00731FC0">
      <w:pPr>
        <w:spacing w:before="200" w:after="200" w:line="360" w:lineRule="auto"/>
        <w:jc w:val="both"/>
        <w:rPr>
          <w:rFonts w:ascii="Calibri" w:eastAsia="Calibri" w:hAnsi="Calibri" w:cs="Calibri"/>
          <w:sz w:val="24"/>
          <w:szCs w:val="24"/>
        </w:rPr>
      </w:pPr>
      <w:proofErr w:type="spellStart"/>
      <w:r>
        <w:rPr>
          <w:rFonts w:ascii="Calibri" w:eastAsia="Calibri" w:hAnsi="Calibri" w:cs="Calibri"/>
          <w:sz w:val="24"/>
          <w:szCs w:val="24"/>
        </w:rPr>
        <w:t>Kell</w:t>
      </w:r>
      <w:proofErr w:type="spellEnd"/>
      <w:r>
        <w:rPr>
          <w:rFonts w:ascii="Calibri" w:eastAsia="Calibri" w:hAnsi="Calibri" w:cs="Calibri"/>
          <w:sz w:val="24"/>
          <w:szCs w:val="24"/>
        </w:rPr>
        <w:t xml:space="preserve">, G. (2022). From emissions cheater to climate leader: VW’s journey from </w:t>
      </w:r>
      <w:proofErr w:type="spellStart"/>
      <w:r>
        <w:rPr>
          <w:rFonts w:ascii="Calibri" w:eastAsia="Calibri" w:hAnsi="Calibri" w:cs="Calibri"/>
          <w:sz w:val="24"/>
          <w:szCs w:val="24"/>
        </w:rPr>
        <w:t>dieselgate</w:t>
      </w:r>
      <w:proofErr w:type="spellEnd"/>
      <w:r>
        <w:rPr>
          <w:rFonts w:ascii="Calibri" w:eastAsia="Calibri" w:hAnsi="Calibri" w:cs="Calibri"/>
          <w:sz w:val="24"/>
          <w:szCs w:val="24"/>
        </w:rPr>
        <w:t xml:space="preserve"> to embracing e-mobility. [online] Forbes. Available at: https://www.forbes.com/sites/georgkell/2022/12/05/from-emissions-cheater-to-climate-leader-vws-journey-from-dieselgate-to-embracing-e-mobility/.[Accessed 30 April. 2026]</w:t>
      </w:r>
    </w:p>
    <w:p w14:paraId="0DE45211" w14:textId="77777777" w:rsidR="00BB7E7B" w:rsidRDefault="00731FC0">
      <w:pPr>
        <w:spacing w:before="200" w:after="200" w:line="360" w:lineRule="auto"/>
        <w:jc w:val="both"/>
        <w:rPr>
          <w:rFonts w:ascii="Calibri" w:eastAsia="Calibri" w:hAnsi="Calibri" w:cs="Calibri"/>
          <w:sz w:val="24"/>
          <w:szCs w:val="24"/>
        </w:rPr>
      </w:pPr>
      <w:r>
        <w:rPr>
          <w:rFonts w:ascii="Calibri" w:eastAsia="Calibri" w:hAnsi="Calibri" w:cs="Calibri"/>
          <w:sz w:val="24"/>
          <w:szCs w:val="24"/>
        </w:rPr>
        <w:t>Martens, A. and Kleinfeld, A., (2022). CSR Pyramid. In Encyclopedia of Sustainable Management (pp. 1-8). Cham: Springer International Publishing.</w:t>
      </w:r>
    </w:p>
    <w:p w14:paraId="0B2CFEB7" w14:textId="77777777" w:rsidR="00BB7E7B" w:rsidRDefault="00731FC0">
      <w:pPr>
        <w:spacing w:before="200" w:after="200" w:line="360" w:lineRule="auto"/>
        <w:jc w:val="both"/>
        <w:rPr>
          <w:rFonts w:ascii="Calibri" w:eastAsia="Calibri" w:hAnsi="Calibri" w:cs="Calibri"/>
          <w:color w:val="1F1F1F"/>
          <w:sz w:val="24"/>
          <w:szCs w:val="24"/>
        </w:rPr>
      </w:pPr>
      <w:r>
        <w:rPr>
          <w:rFonts w:ascii="Calibri" w:eastAsia="Calibri" w:hAnsi="Calibri" w:cs="Calibri"/>
          <w:color w:val="1F1F1F"/>
          <w:sz w:val="24"/>
          <w:szCs w:val="24"/>
        </w:rPr>
        <w:t>Porter, M.E. and Kramer, M.R., (2006). The link between competitive advantage and corporate social responsibility. Harvard business review, 84(12), pp.78-92.</w:t>
      </w:r>
    </w:p>
    <w:p w14:paraId="58347038" w14:textId="77777777" w:rsidR="00BB7E7B" w:rsidRDefault="00731FC0">
      <w:pPr>
        <w:spacing w:before="200" w:after="200" w:line="360" w:lineRule="auto"/>
        <w:jc w:val="both"/>
        <w:rPr>
          <w:rFonts w:ascii="Calibri" w:eastAsia="Calibri" w:hAnsi="Calibri" w:cs="Calibri"/>
          <w:sz w:val="24"/>
          <w:szCs w:val="24"/>
        </w:rPr>
      </w:pPr>
      <w:r>
        <w:rPr>
          <w:rFonts w:ascii="Calibri" w:eastAsia="Calibri" w:hAnsi="Calibri" w:cs="Calibri"/>
          <w:sz w:val="24"/>
          <w:szCs w:val="24"/>
        </w:rPr>
        <w:t>Tesla (2024). Impact Report 2024. [online] Tesla. Available at: https://www.tesla.com/impact. [Accessed 30 April. 2026]</w:t>
      </w:r>
    </w:p>
    <w:p w14:paraId="6EC207F5" w14:textId="77777777" w:rsidR="00BB7E7B" w:rsidRDefault="00731FC0">
      <w:pPr>
        <w:spacing w:before="200" w:after="200" w:line="360" w:lineRule="auto"/>
        <w:jc w:val="both"/>
        <w:rPr>
          <w:rFonts w:ascii="Calibri" w:eastAsia="Calibri" w:hAnsi="Calibri" w:cs="Calibri"/>
          <w:sz w:val="24"/>
          <w:szCs w:val="24"/>
        </w:rPr>
      </w:pPr>
      <w:proofErr w:type="spellStart"/>
      <w:r>
        <w:rPr>
          <w:rFonts w:ascii="Calibri" w:eastAsia="Calibri" w:hAnsi="Calibri" w:cs="Calibri"/>
          <w:sz w:val="24"/>
          <w:szCs w:val="24"/>
        </w:rPr>
        <w:t>Ugoani</w:t>
      </w:r>
      <w:proofErr w:type="spellEnd"/>
      <w:r>
        <w:rPr>
          <w:rFonts w:ascii="Calibri" w:eastAsia="Calibri" w:hAnsi="Calibri" w:cs="Calibri"/>
          <w:sz w:val="24"/>
          <w:szCs w:val="24"/>
        </w:rPr>
        <w:t>, J.N.N., (2023). Business ethics. In The Palgrave handbook of global sustainability (pp. 1763-1782). Cham: Springer International Publishing.</w:t>
      </w:r>
    </w:p>
    <w:p w14:paraId="24B82643" w14:textId="77777777" w:rsidR="00BB7E7B" w:rsidRDefault="00BB7E7B">
      <w:pPr>
        <w:spacing w:before="200" w:after="200" w:line="360" w:lineRule="auto"/>
        <w:jc w:val="both"/>
        <w:rPr>
          <w:rFonts w:ascii="Calibri" w:eastAsia="Calibri" w:hAnsi="Calibri" w:cs="Calibri"/>
          <w:sz w:val="24"/>
          <w:szCs w:val="24"/>
        </w:rPr>
      </w:pPr>
    </w:p>
    <w:sectPr w:rsidR="00BB7E7B">
      <w:footerReference w:type="default" r:id="rId6"/>
      <w:footerReference w:type="firs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27635" w14:textId="77777777" w:rsidR="00731FC0" w:rsidRDefault="00731FC0">
      <w:pPr>
        <w:spacing w:line="240" w:lineRule="auto"/>
      </w:pPr>
      <w:r>
        <w:separator/>
      </w:r>
    </w:p>
  </w:endnote>
  <w:endnote w:type="continuationSeparator" w:id="0">
    <w:p w14:paraId="08413F5C" w14:textId="77777777" w:rsidR="00731FC0" w:rsidRDefault="00731F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notTrueType/>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2237" w14:textId="77777777" w:rsidR="00BB7E7B" w:rsidRDefault="00731FC0">
    <w:pPr>
      <w:jc w:val="right"/>
      <w:rPr>
        <w:rFonts w:ascii="Calibri" w:eastAsia="Calibri" w:hAnsi="Calibri" w:cs="Calibri"/>
        <w:sz w:val="24"/>
        <w:szCs w:val="24"/>
      </w:rPr>
    </w:pPr>
    <w:r>
      <w:rPr>
        <w:rFonts w:ascii="Calibri" w:eastAsia="Calibri" w:hAnsi="Calibri" w:cs="Calibri"/>
        <w:sz w:val="24"/>
        <w:szCs w:val="24"/>
      </w:rPr>
      <w:fldChar w:fldCharType="begin"/>
    </w:r>
    <w:r>
      <w:rPr>
        <w:rFonts w:ascii="Calibri" w:eastAsia="Calibri" w:hAnsi="Calibri" w:cs="Calibri"/>
        <w:sz w:val="24"/>
        <w:szCs w:val="24"/>
      </w:rPr>
      <w:instrText>PAGE</w:instrText>
    </w:r>
    <w:r>
      <w:rPr>
        <w:rFonts w:ascii="Calibri" w:eastAsia="Calibri" w:hAnsi="Calibri" w:cs="Calibri"/>
        <w:sz w:val="24"/>
        <w:szCs w:val="24"/>
      </w:rPr>
      <w:fldChar w:fldCharType="separate"/>
    </w:r>
    <w:r>
      <w:rPr>
        <w:rFonts w:ascii="Calibri" w:eastAsia="Calibri" w:hAnsi="Calibri" w:cs="Calibri"/>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7889E" w14:textId="77777777" w:rsidR="00BB7E7B" w:rsidRDefault="00BB7E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98FD7" w14:textId="77777777" w:rsidR="00731FC0" w:rsidRDefault="00731FC0">
      <w:pPr>
        <w:spacing w:line="240" w:lineRule="auto"/>
      </w:pPr>
      <w:r>
        <w:separator/>
      </w:r>
    </w:p>
  </w:footnote>
  <w:footnote w:type="continuationSeparator" w:id="0">
    <w:p w14:paraId="767152A3" w14:textId="77777777" w:rsidR="00731FC0" w:rsidRDefault="00731FC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E7B"/>
    <w:rsid w:val="003D350D"/>
    <w:rsid w:val="00731FC0"/>
    <w:rsid w:val="007B1D4E"/>
    <w:rsid w:val="00AB796D"/>
    <w:rsid w:val="00AF5EC6"/>
    <w:rsid w:val="00BB7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43C2F7"/>
  <w15:docId w15:val="{8F2F1043-856F-D245-B6D0-D148C5932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rFonts w:ascii="Calibri" w:eastAsia="Calibri" w:hAnsi="Calibri" w:cs="Calibri"/>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1527</Words>
  <Characters>8707</Characters>
  <Application>Microsoft Office Word</Application>
  <DocSecurity>0</DocSecurity>
  <Lines>72</Lines>
  <Paragraphs>20</Paragraphs>
  <ScaleCrop>false</ScaleCrop>
  <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Andrei Neata HE34989</cp:lastModifiedBy>
  <cp:revision>2</cp:revision>
  <dcterms:created xsi:type="dcterms:W3CDTF">2026-05-01T12:31:00Z</dcterms:created>
  <dcterms:modified xsi:type="dcterms:W3CDTF">2026-05-01T12:31:00Z</dcterms:modified>
</cp:coreProperties>
</file>