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D95F4B" w14:textId="4CBEF410" w:rsidR="002C20F4" w:rsidRPr="00E00634" w:rsidRDefault="009328D9" w:rsidP="00E00634">
      <w:pPr>
        <w:spacing w:line="360" w:lineRule="auto"/>
        <w:rPr>
          <w:b/>
          <w:sz w:val="24"/>
          <w:szCs w:val="24"/>
        </w:rPr>
      </w:pPr>
      <w:r w:rsidRPr="00E00634">
        <w:rPr>
          <w:b/>
          <w:sz w:val="24"/>
          <w:szCs w:val="24"/>
        </w:rPr>
        <w:t>Can an intervention based around use of a Mobile Application reduce binge drinking behaviour in first year university students?</w:t>
      </w:r>
    </w:p>
    <w:p w14:paraId="4CCD2E6E" w14:textId="77777777" w:rsidR="005D6E5E" w:rsidRDefault="005D6E5E" w:rsidP="00E00634">
      <w:pPr>
        <w:spacing w:line="360" w:lineRule="auto"/>
        <w:jc w:val="center"/>
        <w:rPr>
          <w:b/>
        </w:rPr>
      </w:pPr>
    </w:p>
    <w:p w14:paraId="54A5E23A" w14:textId="3C921F72" w:rsidR="00E00634" w:rsidRDefault="00E00634" w:rsidP="00E00634">
      <w:pPr>
        <w:spacing w:line="360" w:lineRule="auto"/>
        <w:jc w:val="center"/>
        <w:rPr>
          <w:b/>
        </w:rPr>
      </w:pPr>
      <w:r>
        <w:rPr>
          <w:b/>
        </w:rPr>
        <w:t>Background</w:t>
      </w:r>
    </w:p>
    <w:p w14:paraId="7C30C422" w14:textId="77777777" w:rsidR="00E00634" w:rsidRDefault="00F32DAD" w:rsidP="00E00634">
      <w:pPr>
        <w:spacing w:line="360" w:lineRule="auto"/>
      </w:pPr>
      <w:r>
        <w:t>Binge</w:t>
      </w:r>
      <w:r w:rsidR="00411439">
        <w:t xml:space="preserve"> </w:t>
      </w:r>
      <w:r>
        <w:t xml:space="preserve">drinking culture is prevalent in the UK undergraduate population, with </w:t>
      </w:r>
      <w:r>
        <w:t xml:space="preserve">an estimated 45% to 69% of students binge drinking at least once a week </w:t>
      </w:r>
      <w:r w:rsidRPr="00332184">
        <w:t>(Elliot</w:t>
      </w:r>
      <w:r w:rsidR="00332184" w:rsidRPr="00332184">
        <w:t>t</w:t>
      </w:r>
      <w:r w:rsidRPr="00332184">
        <w:t xml:space="preserve"> &amp; Ainsworth, 2</w:t>
      </w:r>
      <w:r w:rsidR="00395789" w:rsidRPr="00332184">
        <w:t>012</w:t>
      </w:r>
      <w:r w:rsidRPr="00332184">
        <w:t>)</w:t>
      </w:r>
      <w:r w:rsidRPr="00332184">
        <w:t>.</w:t>
      </w:r>
      <w:r w:rsidR="00411439">
        <w:t xml:space="preserve"> </w:t>
      </w:r>
      <w:r w:rsidR="00411439">
        <w:t>The NHS</w:t>
      </w:r>
      <w:r w:rsidR="00411439">
        <w:rPr>
          <w:b/>
        </w:rPr>
        <w:t xml:space="preserve"> </w:t>
      </w:r>
      <w:r w:rsidR="00411439" w:rsidRPr="00332184">
        <w:t>(2016)</w:t>
      </w:r>
      <w:r w:rsidR="00411439">
        <w:t xml:space="preserve"> defines binge drinking as </w:t>
      </w:r>
      <w:r w:rsidR="00411439" w:rsidRPr="00332184">
        <w:rPr>
          <w:b/>
        </w:rPr>
        <w:t>“</w:t>
      </w:r>
      <w:r w:rsidR="00411439" w:rsidRPr="00332184">
        <w:rPr>
          <w:rStyle w:val="Strong"/>
          <w:b w:val="0"/>
        </w:rPr>
        <w:t>drinking lots of alcohol in a short space of time or drinking to get drunk.”.</w:t>
      </w:r>
      <w:r w:rsidR="00411439">
        <w:rPr>
          <w:rStyle w:val="Strong"/>
        </w:rPr>
        <w:t xml:space="preserve"> </w:t>
      </w:r>
      <w:r>
        <w:t xml:space="preserve"> Research has shown that students who binge drink are more likely to develop serious health issues than those who do not binge drink </w:t>
      </w:r>
      <w:r w:rsidRPr="006E49AF">
        <w:t>(Weschler</w:t>
      </w:r>
      <w:r w:rsidR="00332184" w:rsidRPr="006E49AF">
        <w:t xml:space="preserve">, Davenport, Dowdall, </w:t>
      </w:r>
      <w:proofErr w:type="spellStart"/>
      <w:r w:rsidR="00332184" w:rsidRPr="006E49AF">
        <w:t>Moeykens</w:t>
      </w:r>
      <w:proofErr w:type="spellEnd"/>
      <w:r w:rsidR="00332184" w:rsidRPr="006E49AF">
        <w:t xml:space="preserve"> &amp; Castillo</w:t>
      </w:r>
      <w:r w:rsidRPr="006E49AF">
        <w:t xml:space="preserve"> 199</w:t>
      </w:r>
      <w:r w:rsidR="00332184" w:rsidRPr="006E49AF">
        <w:t>4</w:t>
      </w:r>
      <w:r w:rsidRPr="006E49AF">
        <w:t>).</w:t>
      </w:r>
      <w:r>
        <w:rPr>
          <w:b/>
        </w:rPr>
        <w:t xml:space="preserve"> </w:t>
      </w:r>
      <w:r>
        <w:t xml:space="preserve">Students who engage in binge drinking behaviour are also more at risk from sexually transmitted diseases </w:t>
      </w:r>
      <w:r w:rsidRPr="006E49AF">
        <w:t>(</w:t>
      </w:r>
      <w:proofErr w:type="spellStart"/>
      <w:r w:rsidR="00395789" w:rsidRPr="006E49AF">
        <w:t>Standerwick</w:t>
      </w:r>
      <w:proofErr w:type="spellEnd"/>
      <w:r w:rsidR="00395789" w:rsidRPr="006E49AF">
        <w:t>, Davies, Tucker &amp; Sheron, 2007</w:t>
      </w:r>
      <w:r w:rsidRPr="006E49AF">
        <w:t xml:space="preserve">) </w:t>
      </w:r>
      <w:r>
        <w:t xml:space="preserve">and bodily injury </w:t>
      </w:r>
      <w:r w:rsidRPr="006E49AF">
        <w:t>(</w:t>
      </w:r>
      <w:proofErr w:type="spellStart"/>
      <w:r w:rsidR="00672BB0" w:rsidRPr="006E49AF">
        <w:t>Mundt</w:t>
      </w:r>
      <w:proofErr w:type="spellEnd"/>
      <w:r w:rsidR="00672BB0" w:rsidRPr="006E49AF">
        <w:t xml:space="preserve">, </w:t>
      </w:r>
      <w:proofErr w:type="spellStart"/>
      <w:r w:rsidR="00F927F0" w:rsidRPr="006E49AF">
        <w:t>Zakletskaia</w:t>
      </w:r>
      <w:proofErr w:type="spellEnd"/>
      <w:r w:rsidR="00F927F0" w:rsidRPr="006E49AF">
        <w:t xml:space="preserve"> &amp; Fleming, 2009</w:t>
      </w:r>
      <w:r w:rsidRPr="006E49AF">
        <w:t>)</w:t>
      </w:r>
      <w:r w:rsidR="00672BB0" w:rsidRPr="006E49AF">
        <w:t>.</w:t>
      </w:r>
      <w:r w:rsidRPr="006E49AF">
        <w:t xml:space="preserve"> </w:t>
      </w:r>
      <w:r>
        <w:t xml:space="preserve">Investigations into the reasons behind </w:t>
      </w:r>
      <w:r w:rsidR="0050581B">
        <w:t xml:space="preserve">young people </w:t>
      </w:r>
      <w:r>
        <w:t>binge drinking have found</w:t>
      </w:r>
      <w:r w:rsidR="00C15991">
        <w:t xml:space="preserve"> common reasons to be boredom </w:t>
      </w:r>
      <w:r w:rsidR="00C15991" w:rsidRPr="006E49AF">
        <w:t>(Patrick &amp; Schulenberg, 201</w:t>
      </w:r>
      <w:r w:rsidR="006E49AF" w:rsidRPr="006E49AF">
        <w:t>4</w:t>
      </w:r>
      <w:r w:rsidR="00C15991" w:rsidRPr="006E49AF">
        <w:t>)</w:t>
      </w:r>
      <w:r w:rsidR="00C15991">
        <w:rPr>
          <w:b/>
        </w:rPr>
        <w:t xml:space="preserve"> </w:t>
      </w:r>
      <w:r w:rsidR="00C15991">
        <w:t xml:space="preserve">being sociable </w:t>
      </w:r>
      <w:r w:rsidR="00C15991" w:rsidRPr="006E49AF">
        <w:t>(Norman, Conner &amp; Stride, 2012)</w:t>
      </w:r>
      <w:r w:rsidR="00411439" w:rsidRPr="006E49AF">
        <w:t>,</w:t>
      </w:r>
      <w:r w:rsidR="00411439">
        <w:t xml:space="preserve"> </w:t>
      </w:r>
      <w:r w:rsidR="00411439" w:rsidRPr="00E13D47">
        <w:t>(Williams &amp; Clark, 1998)</w:t>
      </w:r>
      <w:r w:rsidR="002C20F4" w:rsidRPr="00E13D47">
        <w:t xml:space="preserve"> </w:t>
      </w:r>
      <w:r w:rsidR="002C20F4">
        <w:t xml:space="preserve">and feeling anxious </w:t>
      </w:r>
      <w:r w:rsidR="002C20F4" w:rsidRPr="00E13D47">
        <w:t>(Loxton, Bunker, Dingle &amp; Wong, 2015)</w:t>
      </w:r>
      <w:r w:rsidRPr="00E13D47">
        <w:t xml:space="preserve">. </w:t>
      </w:r>
    </w:p>
    <w:p w14:paraId="1CC3F8F7" w14:textId="77777777" w:rsidR="00E00634" w:rsidRDefault="00F32DAD" w:rsidP="00E00634">
      <w:pPr>
        <w:spacing w:line="360" w:lineRule="auto"/>
        <w:ind w:firstLine="720"/>
      </w:pPr>
      <w:r>
        <w:t xml:space="preserve">Intervention strategies to combat binge drinking behaviour in undergraduate students would therefore </w:t>
      </w:r>
      <w:r w:rsidR="00411439">
        <w:t xml:space="preserve">assist in </w:t>
      </w:r>
      <w:r>
        <w:t>better protect</w:t>
      </w:r>
      <w:r w:rsidR="00411439">
        <w:t>ing</w:t>
      </w:r>
      <w:r>
        <w:t xml:space="preserve"> the health of students and encourage a student culture that does not centre almost entirely around alcohol consumption. The theory of planned behaviour </w:t>
      </w:r>
      <w:r w:rsidRPr="00E13D47">
        <w:t xml:space="preserve">(TPB: </w:t>
      </w:r>
      <w:proofErr w:type="spellStart"/>
      <w:r w:rsidRPr="00E13D47">
        <w:t>Ajzen</w:t>
      </w:r>
      <w:proofErr w:type="spellEnd"/>
      <w:r w:rsidRPr="00E13D47">
        <w:t>, 1991)</w:t>
      </w:r>
      <w:r>
        <w:t xml:space="preserve"> is an appropriate theory from which to build an intervention as it considers the importance of social norms and attitudes in predicting behaviour.</w:t>
      </w:r>
      <w:r w:rsidR="00B37485">
        <w:t xml:space="preserve"> The TPB theorises that behaviour can be predicted through a person’s intentions towards said behaviour. A person’s intentions are decided based upon three factors; Attitudes – whether the person views the behaviour as favourable or unfavourable; Subjective/Social norms – How others around the person may perceive the behaviour</w:t>
      </w:r>
      <w:r w:rsidR="009E544C">
        <w:t>, and Perceived Behavioural Control – how easy or difficult the person feels the behaviour will be to perform.</w:t>
      </w:r>
      <w:r>
        <w:t xml:space="preserve"> </w:t>
      </w:r>
      <w:r w:rsidR="00F07688">
        <w:t xml:space="preserve">The TPB has already been trialled in binge-drinking interventions </w:t>
      </w:r>
      <w:r w:rsidR="00F07688" w:rsidRPr="00E13D47">
        <w:t>(</w:t>
      </w:r>
      <w:proofErr w:type="spellStart"/>
      <w:r w:rsidR="00F07688" w:rsidRPr="00E13D47">
        <w:t>Bewick</w:t>
      </w:r>
      <w:proofErr w:type="spellEnd"/>
      <w:r w:rsidR="00F07688" w:rsidRPr="00E13D47">
        <w:t xml:space="preserve">, </w:t>
      </w:r>
      <w:proofErr w:type="spellStart"/>
      <w:r w:rsidR="00F07688" w:rsidRPr="00E13D47">
        <w:t>Trusler</w:t>
      </w:r>
      <w:proofErr w:type="spellEnd"/>
      <w:r w:rsidR="00F07688" w:rsidRPr="00E13D47">
        <w:t xml:space="preserve">, Mulhern, </w:t>
      </w:r>
      <w:proofErr w:type="spellStart"/>
      <w:r w:rsidR="00F07688" w:rsidRPr="00E13D47">
        <w:t>Barkham</w:t>
      </w:r>
      <w:proofErr w:type="spellEnd"/>
      <w:r w:rsidR="00F07688" w:rsidRPr="00E13D47">
        <w:t xml:space="preserve"> &amp; Hill 2008</w:t>
      </w:r>
      <w:r w:rsidR="00F07688">
        <w:rPr>
          <w:b/>
        </w:rPr>
        <w:t xml:space="preserve">), </w:t>
      </w:r>
      <w:r w:rsidR="00F07688" w:rsidRPr="00E13D47">
        <w:t>(Norman &amp; Conner, 2006)</w:t>
      </w:r>
      <w:r w:rsidR="00750505" w:rsidRPr="00E13D47">
        <w:t>.</w:t>
      </w:r>
    </w:p>
    <w:p w14:paraId="2AC762A9" w14:textId="77777777" w:rsidR="00E00634" w:rsidRDefault="00750505" w:rsidP="00E00634">
      <w:pPr>
        <w:spacing w:line="360" w:lineRule="auto"/>
        <w:ind w:firstLine="720"/>
      </w:pPr>
      <w:r>
        <w:rPr>
          <w:b/>
        </w:rPr>
        <w:t xml:space="preserve"> </w:t>
      </w:r>
      <w:r w:rsidRPr="00E13D47">
        <w:t>Norman (2011)</w:t>
      </w:r>
      <w:r>
        <w:t xml:space="preserve"> advised that interventions to reduce binge drinking should focus on perceived positive and negative consequences as well as the environmental factors of binge drinking.</w:t>
      </w:r>
      <w:r w:rsidR="00B37485">
        <w:t xml:space="preserve"> According the TPB, if student’s perceptions of social norms around alcohol consumption as a social activity can be changed, along with attitudes towards binge drinking as a way to avoid boredom, then students are less likely to drink to excess.</w:t>
      </w:r>
      <w:r>
        <w:t xml:space="preserve"> </w:t>
      </w:r>
      <w:r>
        <w:t xml:space="preserve">The intervention will focus on student’s attitudes towards drinking </w:t>
      </w:r>
      <w:r w:rsidR="00B37485">
        <w:t>and perceived</w:t>
      </w:r>
      <w:r>
        <w:t xml:space="preserve"> social</w:t>
      </w:r>
      <w:r w:rsidR="00B37485">
        <w:t xml:space="preserve"> norms </w:t>
      </w:r>
      <w:r>
        <w:t xml:space="preserve">by encouraging them to take part in other activities that still involve socialisation. </w:t>
      </w:r>
    </w:p>
    <w:p w14:paraId="0D354752" w14:textId="740F3E50" w:rsidR="00F32DAD" w:rsidRPr="002C20F4" w:rsidRDefault="00750505" w:rsidP="00E00634">
      <w:pPr>
        <w:spacing w:line="360" w:lineRule="auto"/>
        <w:ind w:firstLine="720"/>
        <w:rPr>
          <w:b/>
        </w:rPr>
      </w:pPr>
      <w:r>
        <w:lastRenderedPageBreak/>
        <w:t xml:space="preserve">The intervention </w:t>
      </w:r>
      <w:r w:rsidR="00E00634">
        <w:t>proposed</w:t>
      </w:r>
      <w:r>
        <w:t xml:space="preserve"> will be a poster campaign around university campuses and in student halls. The posters will encourage participants to take part in non-alcohol related activities such as going to the cinema, going for meals out or staying in with friends and ordering a takeaway, maintaining the social aspect but without a focus on alcohol. The poster will also feature advice on reducing alcohol consumption whilst on a night out, such as making every other drink a soft drink or ordering single-measure drinks instead of doubles.</w:t>
      </w:r>
      <w:r w:rsidR="002C20F4">
        <w:t xml:space="preserve"> A mobile application (app) will also be used alongside the posters, which will feature a QR scanner</w:t>
      </w:r>
      <w:r w:rsidR="00E42259">
        <w:t xml:space="preserve">. When the QR code on the poster is scanned, it unlocks discounts and vouchers for the user to make engaging in non-alcohol related activities more accessible. </w:t>
      </w:r>
      <w:r w:rsidR="009E544C">
        <w:t>The effectiveness of making these activities more accessible will be measured against a control group, who will have access to the posters but not the discounts available through the app.</w:t>
      </w:r>
    </w:p>
    <w:p w14:paraId="07D1A497" w14:textId="33EE0191" w:rsidR="009328D9" w:rsidRDefault="00E00634" w:rsidP="00E00634">
      <w:pPr>
        <w:spacing w:line="360" w:lineRule="auto"/>
        <w:jc w:val="center"/>
        <w:rPr>
          <w:b/>
        </w:rPr>
      </w:pPr>
      <w:r>
        <w:rPr>
          <w:b/>
        </w:rPr>
        <w:br w:type="page"/>
      </w:r>
      <w:r w:rsidR="009328D9">
        <w:rPr>
          <w:b/>
        </w:rPr>
        <w:t>Method</w:t>
      </w:r>
    </w:p>
    <w:p w14:paraId="6637403B" w14:textId="584C4E78" w:rsidR="009328D9" w:rsidRPr="00E42259" w:rsidRDefault="009328D9" w:rsidP="00E00634">
      <w:pPr>
        <w:spacing w:line="360" w:lineRule="auto"/>
        <w:rPr>
          <w:b/>
        </w:rPr>
      </w:pPr>
      <w:r w:rsidRPr="00E42259">
        <w:rPr>
          <w:b/>
        </w:rPr>
        <w:t>Participants:</w:t>
      </w:r>
    </w:p>
    <w:p w14:paraId="026B3866" w14:textId="41E8C1CD" w:rsidR="009328D9" w:rsidRDefault="009328D9" w:rsidP="00E00634">
      <w:pPr>
        <w:spacing w:line="360" w:lineRule="auto"/>
      </w:pPr>
      <w:r>
        <w:t xml:space="preserve">Participants will be </w:t>
      </w:r>
      <w:r>
        <w:t xml:space="preserve">a convenience sample of </w:t>
      </w:r>
      <w:r>
        <w:t xml:space="preserve">first year students from all nine universities in Wales. The participants will be recruited during fresher’s week via a welcome talk where a researcher will explain the purpose of the study and ask for volunteer participants, who will initially be given a pre-study questionnaire to determine their suitability for the study. The questionnaire will only ask if the participant lives in university halls or elsewhere and if the participant has access to a smartphone that can run a QR scanner. This is so the number of people living in student halls and the number living outside of halls will be the same during the study and all participants </w:t>
      </w:r>
      <w:r w:rsidR="00813233">
        <w:t>have the facilities to use</w:t>
      </w:r>
      <w:r>
        <w:t xml:space="preserve"> the app</w:t>
      </w:r>
      <w:r>
        <w:t>.</w:t>
      </w:r>
      <w:r w:rsidR="00813233">
        <w:t xml:space="preserve"> </w:t>
      </w:r>
    </w:p>
    <w:p w14:paraId="06C9E241" w14:textId="2745EFC1" w:rsidR="00AE4EA6" w:rsidRPr="00E42259" w:rsidRDefault="00AE4EA6" w:rsidP="00E00634">
      <w:pPr>
        <w:spacing w:before="240" w:line="360" w:lineRule="auto"/>
        <w:rPr>
          <w:b/>
        </w:rPr>
      </w:pPr>
      <w:r w:rsidRPr="00E42259">
        <w:rPr>
          <w:b/>
        </w:rPr>
        <w:t>Design:</w:t>
      </w:r>
    </w:p>
    <w:p w14:paraId="09F99B21" w14:textId="764C780C" w:rsidR="00AE4EA6" w:rsidRDefault="00AE4EA6" w:rsidP="00E00634">
      <w:pPr>
        <w:spacing w:before="240" w:line="360" w:lineRule="auto"/>
      </w:pPr>
      <w:r>
        <w:t xml:space="preserve">The </w:t>
      </w:r>
      <w:r w:rsidR="003920F9">
        <w:t>between</w:t>
      </w:r>
      <w:r>
        <w:t>-subjects study will use the app as an indepen</w:t>
      </w:r>
      <w:r>
        <w:t xml:space="preserve">dent variable to investigate the </w:t>
      </w:r>
      <w:r w:rsidR="00582686">
        <w:t>effects of using the app versus the posters alone</w:t>
      </w:r>
      <w:r>
        <w:t xml:space="preserve">. The dependent variable will be the </w:t>
      </w:r>
      <w:r w:rsidR="00582686">
        <w:t>difference in scores</w:t>
      </w:r>
      <w:r>
        <w:t xml:space="preserve"> </w:t>
      </w:r>
      <w:r w:rsidR="00582686">
        <w:t xml:space="preserve">between the first and </w:t>
      </w:r>
      <w:r>
        <w:t>second questionnaire on binge drinking behaviours</w:t>
      </w:r>
      <w:r w:rsidR="00666F2A">
        <w:t xml:space="preserve">. The </w:t>
      </w:r>
      <w:r w:rsidR="00582686">
        <w:t>differences between the scores for the two questionnaires would be</w:t>
      </w:r>
      <w:r w:rsidR="00666F2A">
        <w:t xml:space="preserve"> analysed using the SPSS computer software package </w:t>
      </w:r>
      <w:r w:rsidR="00582686">
        <w:t xml:space="preserve">using </w:t>
      </w:r>
      <w:r w:rsidR="00666F2A">
        <w:t>a</w:t>
      </w:r>
      <w:r w:rsidR="00582686">
        <w:t>n independent T-test to determine the statistical significance of the difference in scores.</w:t>
      </w:r>
    </w:p>
    <w:p w14:paraId="195FAF04" w14:textId="77777777" w:rsidR="00AE4EA6" w:rsidRDefault="00AE4EA6" w:rsidP="00E00634">
      <w:pPr>
        <w:spacing w:line="360" w:lineRule="auto"/>
      </w:pPr>
    </w:p>
    <w:p w14:paraId="4C060C73" w14:textId="31E129E4" w:rsidR="00813233" w:rsidRPr="00E42259" w:rsidRDefault="00813233" w:rsidP="00E00634">
      <w:pPr>
        <w:spacing w:line="360" w:lineRule="auto"/>
        <w:rPr>
          <w:b/>
        </w:rPr>
      </w:pPr>
      <w:r w:rsidRPr="00E42259">
        <w:rPr>
          <w:b/>
        </w:rPr>
        <w:t>Materials:</w:t>
      </w:r>
    </w:p>
    <w:p w14:paraId="2610D67D" w14:textId="28D60A0C" w:rsidR="00943780" w:rsidRDefault="00943780" w:rsidP="00E00634">
      <w:pPr>
        <w:spacing w:line="360" w:lineRule="auto"/>
      </w:pPr>
      <w:r>
        <w:t>Participants will be presented with a consent form before taking part in the study</w:t>
      </w:r>
      <w:r w:rsidR="00C31F8B">
        <w:t>, the consent form will detail the nature of the study and inform them of their right to withdraw from the study at any time. A debrief form will be given to participants at the end of the study, giving the reasons for the study and again informing them of their right to withdraw as well as providing a point of contact if they have any further questions.</w:t>
      </w:r>
    </w:p>
    <w:p w14:paraId="1535E6A0" w14:textId="79403FD9" w:rsidR="00813233" w:rsidRDefault="00813233" w:rsidP="00E00634">
      <w:pPr>
        <w:spacing w:line="360" w:lineRule="auto"/>
      </w:pPr>
      <w:r>
        <w:t>Participant’s attitudes to binge drinking behaviour will be measured</w:t>
      </w:r>
      <w:r w:rsidR="00665E15">
        <w:t xml:space="preserve"> before and after</w:t>
      </w:r>
      <w:r>
        <w:t xml:space="preserve"> via a questionnaire in line with that used by </w:t>
      </w:r>
      <w:r w:rsidRPr="00E13D47">
        <w:t>Norman and Conner (200</w:t>
      </w:r>
      <w:r w:rsidR="00F07688" w:rsidRPr="00E13D47">
        <w:t>6</w:t>
      </w:r>
      <w:r w:rsidRPr="00E13D47">
        <w:t xml:space="preserve">) </w:t>
      </w:r>
      <w:r>
        <w:t xml:space="preserve">a seven-point Likert scale will record participant’s responses to questions regarding </w:t>
      </w:r>
      <w:r w:rsidR="0062588A">
        <w:t xml:space="preserve">how often they engage in binge-drinking behaviours and how they feel student culture contributes to these behaviours. Examples of the questions asked would be; “I regularly drink so much that I am unable to remember what I did the night before” or “My friends/roommates regularly encourage me to drink alcohol”. The seven-point scale would offer the following responses to the prefix: Describes my experiences… Very well; A little; Not Applicable; Not very well; Not at all. </w:t>
      </w:r>
      <w:r w:rsidR="00665E15">
        <w:t>The res</w:t>
      </w:r>
      <w:r w:rsidR="00666F2A">
        <w:t>ponses</w:t>
      </w:r>
      <w:r w:rsidR="00665E15">
        <w:t xml:space="preserve"> will be </w:t>
      </w:r>
      <w:r w:rsidR="00AE4EA6">
        <w:t xml:space="preserve">coded to reflect that high scores </w:t>
      </w:r>
      <w:r w:rsidR="00666F2A">
        <w:t xml:space="preserve">on the questionnaire </w:t>
      </w:r>
      <w:r w:rsidR="00AE4EA6">
        <w:t>indicate high engagement with binge drinking behaviour.</w:t>
      </w:r>
      <w:r w:rsidR="00F53754">
        <w:t xml:space="preserve"> To ensure that all participants give the questionnaire the same consideration, a definition of binge-drinking will be given at the top of the page.</w:t>
      </w:r>
    </w:p>
    <w:p w14:paraId="1B4FF150" w14:textId="77777777" w:rsidR="009C191D" w:rsidRDefault="00666F2A" w:rsidP="00E00634">
      <w:pPr>
        <w:spacing w:line="360" w:lineRule="auto"/>
      </w:pPr>
      <w:r>
        <w:t xml:space="preserve">The application will be accessed via the participant’s own smart phone. Opening the app will direct the user to a homepage, on this page options will be listed for the user to choose from; QR </w:t>
      </w:r>
      <w:r w:rsidR="009C191D">
        <w:t>S</w:t>
      </w:r>
      <w:r>
        <w:t xml:space="preserve">canner – which will allow the user to scan the codes seen on the posters to allow them to redeem vouchers and discount codes; Alcohol </w:t>
      </w:r>
      <w:r w:rsidR="009C191D">
        <w:t>C</w:t>
      </w:r>
      <w:r>
        <w:t xml:space="preserve">ost </w:t>
      </w:r>
      <w:r w:rsidR="009C191D">
        <w:t>C</w:t>
      </w:r>
      <w:r>
        <w:t>alculator – the user enters their</w:t>
      </w:r>
      <w:r w:rsidR="00FF6D06">
        <w:t xml:space="preserve"> usual alcoholic drinks choices into given fields along with how often they consume them and where they live, and the calculator will find the average cost of those drinks over a year</w:t>
      </w:r>
      <w:r w:rsidR="009C191D">
        <w:t>; Advice Hub – Where participants will be given tips and advice on how to avoid binge drinking when on a night out, and Help Centre – here the participants will be able to find contact details for local health services, advice lines, police and a contact point for a researcher involved with the study.</w:t>
      </w:r>
    </w:p>
    <w:p w14:paraId="6F704D11" w14:textId="77EE3759" w:rsidR="00C31F8B" w:rsidRDefault="009C191D" w:rsidP="00E00634">
      <w:pPr>
        <w:spacing w:line="360" w:lineRule="auto"/>
      </w:pPr>
      <w:r>
        <w:t xml:space="preserve">The posters will feature </w:t>
      </w:r>
      <w:r w:rsidR="009B6C30">
        <w:t xml:space="preserve">large-print </w:t>
      </w:r>
      <w:r w:rsidR="001B6241">
        <w:t xml:space="preserve">titles </w:t>
      </w:r>
      <w:r w:rsidR="009B6C30">
        <w:t xml:space="preserve">and a QR code </w:t>
      </w:r>
      <w:r w:rsidR="001B6241">
        <w:t>in the lower right-hand corner for a voucher or discount related to the topic mentioned. For example, a poster with the title “Try doing something different” would have a QR code for a voucher for half price cinema tickets. To prevent misuse of the discounts, the code would need to be presented via the app to get the discount and could only be used once in a set amount of time. Along with this, the posters will mirror the advice given in the Advice Hub section of the app and provide tips for avoiding excess alcohol consum</w:t>
      </w:r>
      <w:r w:rsidR="00943780">
        <w:t xml:space="preserve">ption. </w:t>
      </w:r>
    </w:p>
    <w:p w14:paraId="5A2A5201" w14:textId="288382AC" w:rsidR="00943780" w:rsidRPr="00E42259" w:rsidRDefault="00C31F8B" w:rsidP="00E00634">
      <w:pPr>
        <w:spacing w:line="360" w:lineRule="auto"/>
        <w:rPr>
          <w:b/>
        </w:rPr>
      </w:pPr>
      <w:r w:rsidRPr="00E42259">
        <w:rPr>
          <w:b/>
        </w:rPr>
        <w:t>Procedure:</w:t>
      </w:r>
    </w:p>
    <w:p w14:paraId="5838B8AE" w14:textId="2AB21C16" w:rsidR="00C31F8B" w:rsidRDefault="00C31F8B" w:rsidP="00E00634">
      <w:pPr>
        <w:spacing w:line="360" w:lineRule="auto"/>
      </w:pPr>
      <w:r>
        <w:t>After completing the consent forms</w:t>
      </w:r>
      <w:r w:rsidR="00974ECD">
        <w:t>, participants will then be sorted</w:t>
      </w:r>
      <w:r w:rsidR="003920F9">
        <w:t xml:space="preserve"> randomly</w:t>
      </w:r>
      <w:r w:rsidR="00974ECD">
        <w:t xml:space="preserve"> into one of two groups, the control group, who will not have access to the app but will see the posters, and the test group who will have access to both the app and the posters. Before being shown any</w:t>
      </w:r>
      <w:r w:rsidR="008E4F56">
        <w:t xml:space="preserve"> of the interventions</w:t>
      </w:r>
      <w:r w:rsidR="00974ECD">
        <w:t>, all participants will be asked to complete the seven-point binge-drinking questionnaire</w:t>
      </w:r>
      <w:r w:rsidR="008E4F56">
        <w:t xml:space="preserve"> individually</w:t>
      </w:r>
      <w:r w:rsidR="00974ECD">
        <w:t>. Both groups will then be shown the posters and advised that they will be placed around campus and student halls, but only the test group will be given access to the app during a presentation of how to use the features</w:t>
      </w:r>
      <w:r w:rsidR="008E4F56">
        <w:t xml:space="preserve"> and QR scanner</w:t>
      </w:r>
      <w:r w:rsidR="00974ECD">
        <w:t>. Participants will be invited back after six weeks to complete the binge-drinking questionnaire again.</w:t>
      </w:r>
      <w:r w:rsidR="008E4F56">
        <w:t xml:space="preserve"> After completing the questionnaire</w:t>
      </w:r>
      <w:r w:rsidR="004E2EDD">
        <w:t xml:space="preserve"> for the</w:t>
      </w:r>
      <w:r w:rsidR="008E4F56">
        <w:t xml:space="preserve"> second time the participants will be thanked for taking part in the study and given a debrief form.</w:t>
      </w:r>
    </w:p>
    <w:p w14:paraId="62E8E6AB" w14:textId="77777777" w:rsidR="00E00634" w:rsidRDefault="00E00634" w:rsidP="00E00634"/>
    <w:p w14:paraId="6763E525" w14:textId="77777777" w:rsidR="00E00634" w:rsidRDefault="00E00634" w:rsidP="00E00634"/>
    <w:p w14:paraId="38566BDE" w14:textId="7E5A984D" w:rsidR="004E2EDD" w:rsidRDefault="00E00634" w:rsidP="00E00634">
      <w:r>
        <w:br w:type="page"/>
      </w:r>
    </w:p>
    <w:p w14:paraId="46EE59A9" w14:textId="76EEB486" w:rsidR="004E2EDD" w:rsidRDefault="004E2EDD" w:rsidP="00E00634">
      <w:pPr>
        <w:spacing w:line="360" w:lineRule="auto"/>
        <w:jc w:val="center"/>
        <w:rPr>
          <w:b/>
        </w:rPr>
      </w:pPr>
      <w:r>
        <w:rPr>
          <w:b/>
        </w:rPr>
        <w:t>Ethical Considerations</w:t>
      </w:r>
    </w:p>
    <w:p w14:paraId="3E906181" w14:textId="741197E1" w:rsidR="004E2EDD" w:rsidRDefault="004E2EDD" w:rsidP="00E00634">
      <w:pPr>
        <w:spacing w:line="360" w:lineRule="auto"/>
      </w:pPr>
      <w:r>
        <w:t xml:space="preserve">Considerations are given for the recruitment process as it takes place during the first week of university for new students, who may </w:t>
      </w:r>
      <w:r w:rsidR="00F53754">
        <w:t xml:space="preserve">be in a new environment and potentially feel vulnerable. To ensure that participants are not put under any unnecessary stress during the recruitment process, participation will be on a voluntary basis and potential participants will be invited to approach the researcher, rather than being approached themselves directly. </w:t>
      </w:r>
    </w:p>
    <w:p w14:paraId="7954CBA4" w14:textId="70F231A0" w:rsidR="00F53754" w:rsidRDefault="00A41B1C" w:rsidP="00E00634">
      <w:pPr>
        <w:spacing w:line="360" w:lineRule="auto"/>
      </w:pPr>
      <w:r>
        <w:t xml:space="preserve">Care has been taken when designing the study to ensure that alcohol consumption in general is not portrayed in a negative light, nor those who may engage in binge-drinking behaviour. The purpose of the study is simply to investigate the effectiveness of the intervention in reducing binge-drinking behaviour, not to impose any personal bias upon participants with relation alcohol consumption. </w:t>
      </w:r>
    </w:p>
    <w:p w14:paraId="1666BA25" w14:textId="1EB8679E" w:rsidR="00A41B1C" w:rsidRDefault="00F07688" w:rsidP="00E00634">
      <w:pPr>
        <w:spacing w:line="360" w:lineRule="auto"/>
      </w:pPr>
      <w:r>
        <w:t xml:space="preserve">There may be concern among participants regarding negative consequences of their answers to questionnaires or participation in the study. To ensure that participants cannot be personally identified, data used in the final report will be anonymised to ensure it cannot be traced back to any one participant. </w:t>
      </w:r>
    </w:p>
    <w:p w14:paraId="754EC1F7" w14:textId="71D211C5" w:rsidR="009E544C" w:rsidRDefault="009E544C" w:rsidP="00E00634">
      <w:pPr>
        <w:spacing w:line="360" w:lineRule="auto"/>
      </w:pPr>
      <w:r>
        <w:t>Participant’s welfare throughout the study is of utmost importance, and they will be reminded of their right to withdraw from the study at any point without consequence. Participants will be provided with a researcher’s email and phone number as a point of contact to use at any point during and after the study. Participant’s will also receive a weekly email asking if they have any questions regarding the study and a reminder of their right to withdraw.</w:t>
      </w:r>
    </w:p>
    <w:p w14:paraId="3A9B7D6C" w14:textId="419996AE" w:rsidR="002C20F4" w:rsidRDefault="002C20F4" w:rsidP="005D6E5E">
      <w:pPr>
        <w:jc w:val="center"/>
        <w:rPr>
          <w:b/>
        </w:rPr>
      </w:pPr>
      <w:r>
        <w:rPr>
          <w:b/>
        </w:rPr>
        <w:t>Study Outcomes</w:t>
      </w:r>
    </w:p>
    <w:p w14:paraId="3C3662E2" w14:textId="77777777" w:rsidR="005D6E5E" w:rsidRDefault="005D6E5E" w:rsidP="005D6E5E">
      <w:pPr>
        <w:jc w:val="center"/>
        <w:rPr>
          <w:b/>
        </w:rPr>
      </w:pPr>
    </w:p>
    <w:p w14:paraId="5E787C9C" w14:textId="77777777" w:rsidR="005D6E5E" w:rsidRDefault="002C20F4" w:rsidP="005D6E5E">
      <w:pPr>
        <w:spacing w:line="360" w:lineRule="auto"/>
      </w:pPr>
      <w:r>
        <w:t xml:space="preserve">Should the intervention prove to be successful in reducing alcohol consumption within six weeks, longer trials would need to be conducted to determine whether or not the effects only apply to the start of university or if they can be maintained throughout the period of study. Longitudinal studies would also be recommended to investigate whether the intervention has a lasting effect on attitudes towards alcohol consumption and binge drinking or if it is directly related to the app and posters being in sight and acting as a reminder. </w:t>
      </w:r>
      <w:r w:rsidR="00E42259">
        <w:t>The intervention could then potentially be rolled out to universities across the UK and introduced to students in all years of study. If binge drinking is reduced then student health is likely to improve in relation to alcohol-related illness and injury</w:t>
      </w:r>
      <w:r w:rsidR="009866BE">
        <w:t xml:space="preserve"> based on information of studies mentioned earlier</w:t>
      </w:r>
      <w:r w:rsidR="00E42259">
        <w:t>.</w:t>
      </w:r>
      <w:r w:rsidR="009866BE">
        <w:t xml:space="preserve"> Further studies could also look into the effects of binge drinking culture on teetotal</w:t>
      </w:r>
      <w:r w:rsidR="00582686">
        <w:t xml:space="preserve"> or</w:t>
      </w:r>
      <w:r w:rsidR="009866BE">
        <w:t xml:space="preserve"> students, and whether they feel a reduction in alcohol consumption would improve their experience of university, particularly in the first year. </w:t>
      </w:r>
    </w:p>
    <w:p w14:paraId="05A65BC1" w14:textId="135FD4EE" w:rsidR="00E00634" w:rsidRPr="005D6E5E" w:rsidRDefault="00E00634" w:rsidP="005D6E5E">
      <w:pPr>
        <w:spacing w:line="360" w:lineRule="auto"/>
      </w:pPr>
      <w:r>
        <w:rPr>
          <w:b/>
        </w:rPr>
        <w:t>References</w:t>
      </w:r>
      <w:bookmarkStart w:id="0" w:name="_GoBack"/>
      <w:bookmarkEnd w:id="0"/>
    </w:p>
    <w:p w14:paraId="404565EE" w14:textId="77777777" w:rsidR="00E00634" w:rsidRPr="005D6E5E" w:rsidRDefault="00E00634" w:rsidP="005D6E5E">
      <w:pPr>
        <w:spacing w:line="240" w:lineRule="auto"/>
        <w:ind w:left="284" w:hanging="284"/>
        <w:rPr>
          <w:rFonts w:cstheme="minorHAnsi"/>
        </w:rPr>
      </w:pPr>
      <w:proofErr w:type="spellStart"/>
      <w:r w:rsidRPr="005D6E5E">
        <w:rPr>
          <w:rFonts w:cstheme="minorHAnsi"/>
        </w:rPr>
        <w:t>Ajzen</w:t>
      </w:r>
      <w:proofErr w:type="spellEnd"/>
      <w:r w:rsidRPr="005D6E5E">
        <w:rPr>
          <w:rFonts w:cstheme="minorHAnsi"/>
        </w:rPr>
        <w:t xml:space="preserve">, I. (1991). The theory of planned </w:t>
      </w:r>
      <w:proofErr w:type="spellStart"/>
      <w:r w:rsidRPr="005D6E5E">
        <w:rPr>
          <w:rFonts w:cstheme="minorHAnsi"/>
        </w:rPr>
        <w:t>behavior</w:t>
      </w:r>
      <w:proofErr w:type="spellEnd"/>
      <w:r w:rsidRPr="005D6E5E">
        <w:rPr>
          <w:rFonts w:cstheme="minorHAnsi"/>
        </w:rPr>
        <w:t xml:space="preserve">. </w:t>
      </w:r>
      <w:r w:rsidRPr="005D6E5E">
        <w:rPr>
          <w:rFonts w:cstheme="minorHAnsi"/>
          <w:i/>
          <w:iCs/>
        </w:rPr>
        <w:t xml:space="preserve">Organizational </w:t>
      </w:r>
      <w:proofErr w:type="spellStart"/>
      <w:r w:rsidRPr="005D6E5E">
        <w:rPr>
          <w:rFonts w:cstheme="minorHAnsi"/>
          <w:i/>
          <w:iCs/>
        </w:rPr>
        <w:t>behavior</w:t>
      </w:r>
      <w:proofErr w:type="spellEnd"/>
      <w:r w:rsidRPr="005D6E5E">
        <w:rPr>
          <w:rFonts w:cstheme="minorHAnsi"/>
          <w:i/>
          <w:iCs/>
        </w:rPr>
        <w:t xml:space="preserve"> and human decision processes</w:t>
      </w:r>
      <w:r w:rsidRPr="005D6E5E">
        <w:rPr>
          <w:rFonts w:cstheme="minorHAnsi"/>
        </w:rPr>
        <w:t xml:space="preserve">, </w:t>
      </w:r>
      <w:r w:rsidRPr="005D6E5E">
        <w:rPr>
          <w:rFonts w:cstheme="minorHAnsi"/>
          <w:i/>
          <w:iCs/>
        </w:rPr>
        <w:t>50</w:t>
      </w:r>
      <w:r w:rsidRPr="005D6E5E">
        <w:rPr>
          <w:rFonts w:cstheme="minorHAnsi"/>
        </w:rPr>
        <w:t>(2), 179-211.</w:t>
      </w:r>
    </w:p>
    <w:p w14:paraId="0E7740B0" w14:textId="77777777" w:rsidR="00E00634" w:rsidRPr="00115CC8" w:rsidRDefault="00E00634" w:rsidP="005D6E5E">
      <w:pPr>
        <w:spacing w:line="240" w:lineRule="auto"/>
        <w:ind w:left="284" w:hanging="284"/>
        <w:rPr>
          <w:rFonts w:eastAsia="Times New Roman" w:cstheme="minorHAnsi"/>
          <w:lang w:eastAsia="en-GB"/>
        </w:rPr>
      </w:pPr>
      <w:proofErr w:type="spellStart"/>
      <w:r w:rsidRPr="00115CC8">
        <w:rPr>
          <w:rFonts w:eastAsia="Times New Roman" w:cstheme="minorHAnsi"/>
          <w:lang w:eastAsia="en-GB"/>
        </w:rPr>
        <w:t>Bewick</w:t>
      </w:r>
      <w:proofErr w:type="spellEnd"/>
      <w:r w:rsidRPr="00115CC8">
        <w:rPr>
          <w:rFonts w:eastAsia="Times New Roman" w:cstheme="minorHAnsi"/>
          <w:lang w:eastAsia="en-GB"/>
        </w:rPr>
        <w:t xml:space="preserve">, B. M., </w:t>
      </w:r>
      <w:proofErr w:type="spellStart"/>
      <w:r w:rsidRPr="00115CC8">
        <w:rPr>
          <w:rFonts w:eastAsia="Times New Roman" w:cstheme="minorHAnsi"/>
          <w:lang w:eastAsia="en-GB"/>
        </w:rPr>
        <w:t>Trusler</w:t>
      </w:r>
      <w:proofErr w:type="spellEnd"/>
      <w:r w:rsidRPr="00115CC8">
        <w:rPr>
          <w:rFonts w:eastAsia="Times New Roman" w:cstheme="minorHAnsi"/>
          <w:lang w:eastAsia="en-GB"/>
        </w:rPr>
        <w:t xml:space="preserve">, K., </w:t>
      </w:r>
      <w:proofErr w:type="spellStart"/>
      <w:r w:rsidRPr="00115CC8">
        <w:rPr>
          <w:rFonts w:eastAsia="Times New Roman" w:cstheme="minorHAnsi"/>
          <w:lang w:eastAsia="en-GB"/>
        </w:rPr>
        <w:t>Barkham</w:t>
      </w:r>
      <w:proofErr w:type="spellEnd"/>
      <w:r w:rsidRPr="00115CC8">
        <w:rPr>
          <w:rFonts w:eastAsia="Times New Roman" w:cstheme="minorHAnsi"/>
          <w:lang w:eastAsia="en-GB"/>
        </w:rPr>
        <w:t xml:space="preserve">, M., Hill, A. J., Cahill, J., &amp; Mulhern, B. (2008). The effectiveness of web-based interventions designed to decrease alcohol consumption—a systematic review. </w:t>
      </w:r>
      <w:r w:rsidRPr="00115CC8">
        <w:rPr>
          <w:rFonts w:eastAsia="Times New Roman" w:cstheme="minorHAnsi"/>
          <w:i/>
          <w:iCs/>
          <w:lang w:eastAsia="en-GB"/>
        </w:rPr>
        <w:t>Preventive medicine</w:t>
      </w:r>
      <w:r w:rsidRPr="00115CC8">
        <w:rPr>
          <w:rFonts w:eastAsia="Times New Roman" w:cstheme="minorHAnsi"/>
          <w:lang w:eastAsia="en-GB"/>
        </w:rPr>
        <w:t xml:space="preserve">, </w:t>
      </w:r>
      <w:r w:rsidRPr="00115CC8">
        <w:rPr>
          <w:rFonts w:eastAsia="Times New Roman" w:cstheme="minorHAnsi"/>
          <w:i/>
          <w:iCs/>
          <w:lang w:eastAsia="en-GB"/>
        </w:rPr>
        <w:t>47</w:t>
      </w:r>
      <w:r w:rsidRPr="00115CC8">
        <w:rPr>
          <w:rFonts w:eastAsia="Times New Roman" w:cstheme="minorHAnsi"/>
          <w:lang w:eastAsia="en-GB"/>
        </w:rPr>
        <w:t>(1), 17-26.</w:t>
      </w:r>
    </w:p>
    <w:p w14:paraId="12B492AD" w14:textId="04E8A671" w:rsidR="00E00634" w:rsidRPr="005D6E5E" w:rsidRDefault="00E00634" w:rsidP="005D6E5E">
      <w:pPr>
        <w:pStyle w:val="Default"/>
        <w:spacing w:after="160"/>
        <w:ind w:left="284" w:hanging="284"/>
        <w:rPr>
          <w:rStyle w:val="selectable"/>
          <w:rFonts w:asciiTheme="minorHAnsi" w:hAnsiTheme="minorHAnsi" w:cstheme="minorHAnsi"/>
          <w:sz w:val="22"/>
          <w:szCs w:val="22"/>
        </w:rPr>
      </w:pPr>
      <w:r w:rsidRPr="005D6E5E">
        <w:rPr>
          <w:rStyle w:val="selectable"/>
          <w:rFonts w:asciiTheme="minorHAnsi" w:hAnsiTheme="minorHAnsi" w:cstheme="minorHAnsi"/>
          <w:sz w:val="22"/>
          <w:szCs w:val="22"/>
        </w:rPr>
        <w:t>Binge drinking. (2016). Retrieved from https://www.nhs.uk/live-well/alcohol-support/binge-drinking-effects/</w:t>
      </w:r>
    </w:p>
    <w:p w14:paraId="5802B30D" w14:textId="77777777" w:rsidR="005D6E5E" w:rsidRDefault="00E00634" w:rsidP="005D6E5E">
      <w:pPr>
        <w:pStyle w:val="Default"/>
        <w:spacing w:after="160"/>
        <w:ind w:left="284" w:hanging="284"/>
        <w:rPr>
          <w:rFonts w:asciiTheme="minorHAnsi" w:hAnsiTheme="minorHAnsi" w:cstheme="minorHAnsi"/>
          <w:sz w:val="22"/>
          <w:szCs w:val="22"/>
        </w:rPr>
      </w:pPr>
      <w:r w:rsidRPr="005D6E5E">
        <w:rPr>
          <w:rFonts w:asciiTheme="minorHAnsi" w:hAnsiTheme="minorHAnsi" w:cstheme="minorHAnsi"/>
          <w:sz w:val="22"/>
          <w:szCs w:val="22"/>
        </w:rPr>
        <w:t xml:space="preserve">Elliott, M. A., &amp; Ainsworth, K. (2012). Predicting university undergraduates' binge-drinking </w:t>
      </w:r>
      <w:proofErr w:type="spellStart"/>
      <w:r w:rsidRPr="005D6E5E">
        <w:rPr>
          <w:rFonts w:asciiTheme="minorHAnsi" w:hAnsiTheme="minorHAnsi" w:cstheme="minorHAnsi"/>
          <w:sz w:val="22"/>
          <w:szCs w:val="22"/>
        </w:rPr>
        <w:t>behavior</w:t>
      </w:r>
      <w:proofErr w:type="spellEnd"/>
      <w:r w:rsidRPr="005D6E5E">
        <w:rPr>
          <w:rFonts w:asciiTheme="minorHAnsi" w:hAnsiTheme="minorHAnsi" w:cstheme="minorHAnsi"/>
          <w:sz w:val="22"/>
          <w:szCs w:val="22"/>
        </w:rPr>
        <w:t xml:space="preserve">: A comparative test of the one-and two-component theories of planned </w:t>
      </w:r>
      <w:proofErr w:type="spellStart"/>
      <w:r w:rsidRPr="005D6E5E">
        <w:rPr>
          <w:rFonts w:asciiTheme="minorHAnsi" w:hAnsiTheme="minorHAnsi" w:cstheme="minorHAnsi"/>
          <w:sz w:val="22"/>
          <w:szCs w:val="22"/>
        </w:rPr>
        <w:t>behavior</w:t>
      </w:r>
      <w:proofErr w:type="spellEnd"/>
      <w:r w:rsidRPr="005D6E5E">
        <w:rPr>
          <w:rFonts w:asciiTheme="minorHAnsi" w:hAnsiTheme="minorHAnsi" w:cstheme="minorHAnsi"/>
          <w:sz w:val="22"/>
          <w:szCs w:val="22"/>
        </w:rPr>
        <w:t xml:space="preserve">. </w:t>
      </w:r>
      <w:r w:rsidRPr="005D6E5E">
        <w:rPr>
          <w:rFonts w:asciiTheme="minorHAnsi" w:hAnsiTheme="minorHAnsi" w:cstheme="minorHAnsi"/>
          <w:i/>
          <w:iCs/>
          <w:sz w:val="22"/>
          <w:szCs w:val="22"/>
        </w:rPr>
        <w:t xml:space="preserve">Addictive </w:t>
      </w:r>
      <w:proofErr w:type="spellStart"/>
      <w:r w:rsidRPr="005D6E5E">
        <w:rPr>
          <w:rFonts w:asciiTheme="minorHAnsi" w:hAnsiTheme="minorHAnsi" w:cstheme="minorHAnsi"/>
          <w:i/>
          <w:iCs/>
          <w:sz w:val="22"/>
          <w:szCs w:val="22"/>
        </w:rPr>
        <w:t>behaviors</w:t>
      </w:r>
      <w:proofErr w:type="spellEnd"/>
      <w:r w:rsidRPr="005D6E5E">
        <w:rPr>
          <w:rFonts w:asciiTheme="minorHAnsi" w:hAnsiTheme="minorHAnsi" w:cstheme="minorHAnsi"/>
          <w:sz w:val="22"/>
          <w:szCs w:val="22"/>
        </w:rPr>
        <w:t xml:space="preserve">, </w:t>
      </w:r>
      <w:r w:rsidRPr="005D6E5E">
        <w:rPr>
          <w:rFonts w:asciiTheme="minorHAnsi" w:hAnsiTheme="minorHAnsi" w:cstheme="minorHAnsi"/>
          <w:i/>
          <w:iCs/>
          <w:sz w:val="22"/>
          <w:szCs w:val="22"/>
        </w:rPr>
        <w:t>37</w:t>
      </w:r>
      <w:r w:rsidRPr="005D6E5E">
        <w:rPr>
          <w:rFonts w:asciiTheme="minorHAnsi" w:hAnsiTheme="minorHAnsi" w:cstheme="minorHAnsi"/>
          <w:sz w:val="22"/>
          <w:szCs w:val="22"/>
        </w:rPr>
        <w:t>(1), 92-101.</w:t>
      </w:r>
    </w:p>
    <w:p w14:paraId="14292298" w14:textId="7A9BDC7A" w:rsidR="005D6E5E" w:rsidRPr="005D6E5E" w:rsidRDefault="005D6E5E" w:rsidP="005D6E5E">
      <w:pPr>
        <w:pStyle w:val="Default"/>
        <w:spacing w:after="160"/>
        <w:ind w:left="284" w:hanging="284"/>
        <w:rPr>
          <w:rFonts w:asciiTheme="minorHAnsi" w:hAnsiTheme="minorHAnsi" w:cstheme="minorHAnsi"/>
          <w:sz w:val="22"/>
          <w:szCs w:val="22"/>
        </w:rPr>
      </w:pPr>
      <w:r w:rsidRPr="005D6E5E">
        <w:rPr>
          <w:rFonts w:asciiTheme="minorHAnsi" w:hAnsiTheme="minorHAnsi" w:cstheme="minorHAnsi"/>
          <w:sz w:val="22"/>
          <w:szCs w:val="22"/>
        </w:rPr>
        <w:t xml:space="preserve">Loxton, N. J., Bunker, R. J., Dingle, G. A., &amp; Wong, V. (2015). Drinking not thinking: A prospective study of personality traits and drinking motives on alcohol consumption across the first year of university. </w:t>
      </w:r>
      <w:r w:rsidRPr="005D6E5E">
        <w:rPr>
          <w:rFonts w:asciiTheme="minorHAnsi" w:hAnsiTheme="minorHAnsi" w:cstheme="minorHAnsi"/>
          <w:i/>
          <w:iCs/>
          <w:sz w:val="22"/>
          <w:szCs w:val="22"/>
        </w:rPr>
        <w:t>Personality and Individual Differences</w:t>
      </w:r>
      <w:r w:rsidRPr="005D6E5E">
        <w:rPr>
          <w:rFonts w:asciiTheme="minorHAnsi" w:hAnsiTheme="minorHAnsi" w:cstheme="minorHAnsi"/>
          <w:sz w:val="22"/>
          <w:szCs w:val="22"/>
        </w:rPr>
        <w:t xml:space="preserve">, </w:t>
      </w:r>
      <w:r w:rsidRPr="005D6E5E">
        <w:rPr>
          <w:rFonts w:asciiTheme="minorHAnsi" w:hAnsiTheme="minorHAnsi" w:cstheme="minorHAnsi"/>
          <w:i/>
          <w:iCs/>
          <w:sz w:val="22"/>
          <w:szCs w:val="22"/>
        </w:rPr>
        <w:t>79</w:t>
      </w:r>
      <w:r w:rsidRPr="005D6E5E">
        <w:rPr>
          <w:rFonts w:asciiTheme="minorHAnsi" w:hAnsiTheme="minorHAnsi" w:cstheme="minorHAnsi"/>
          <w:sz w:val="22"/>
          <w:szCs w:val="22"/>
        </w:rPr>
        <w:t>, 134-139.</w:t>
      </w:r>
    </w:p>
    <w:p w14:paraId="07216B52" w14:textId="108A3201" w:rsidR="005D6E5E" w:rsidRPr="005D6E5E" w:rsidRDefault="005D6E5E" w:rsidP="005D6E5E">
      <w:pPr>
        <w:spacing w:line="240" w:lineRule="auto"/>
        <w:ind w:left="284" w:hanging="284"/>
        <w:rPr>
          <w:rFonts w:cstheme="minorHAnsi"/>
        </w:rPr>
      </w:pPr>
      <w:proofErr w:type="spellStart"/>
      <w:r w:rsidRPr="005D6E5E">
        <w:rPr>
          <w:rFonts w:cstheme="minorHAnsi"/>
        </w:rPr>
        <w:t>Mundt</w:t>
      </w:r>
      <w:proofErr w:type="spellEnd"/>
      <w:r w:rsidRPr="005D6E5E">
        <w:rPr>
          <w:rFonts w:cstheme="minorHAnsi"/>
        </w:rPr>
        <w:t xml:space="preserve">, M. P., </w:t>
      </w:r>
      <w:proofErr w:type="spellStart"/>
      <w:r w:rsidRPr="005D6E5E">
        <w:rPr>
          <w:rFonts w:cstheme="minorHAnsi"/>
        </w:rPr>
        <w:t>Zakletskaia</w:t>
      </w:r>
      <w:proofErr w:type="spellEnd"/>
      <w:r w:rsidRPr="005D6E5E">
        <w:rPr>
          <w:rFonts w:cstheme="minorHAnsi"/>
        </w:rPr>
        <w:t xml:space="preserve">, L. I., &amp; Fleming, M. F. (2009). Extreme college drinking and alcohol‐related injury risk. </w:t>
      </w:r>
      <w:r w:rsidRPr="005D6E5E">
        <w:rPr>
          <w:rFonts w:cstheme="minorHAnsi"/>
          <w:i/>
          <w:iCs/>
        </w:rPr>
        <w:t>Alcoholism: Clinical and Experimental Research</w:t>
      </w:r>
      <w:r w:rsidRPr="005D6E5E">
        <w:rPr>
          <w:rFonts w:cstheme="minorHAnsi"/>
        </w:rPr>
        <w:t xml:space="preserve">, </w:t>
      </w:r>
      <w:r w:rsidRPr="005D6E5E">
        <w:rPr>
          <w:rFonts w:cstheme="minorHAnsi"/>
          <w:i/>
          <w:iCs/>
        </w:rPr>
        <w:t>33</w:t>
      </w:r>
      <w:r w:rsidRPr="005D6E5E">
        <w:rPr>
          <w:rFonts w:cstheme="minorHAnsi"/>
        </w:rPr>
        <w:t>(9), 1532-1538.</w:t>
      </w:r>
    </w:p>
    <w:p w14:paraId="7AAA974C" w14:textId="77777777" w:rsidR="005D6E5E" w:rsidRDefault="005D6E5E" w:rsidP="005D6E5E">
      <w:pPr>
        <w:spacing w:line="240" w:lineRule="auto"/>
        <w:ind w:left="284" w:hanging="284"/>
        <w:rPr>
          <w:rFonts w:cstheme="minorHAnsi"/>
        </w:rPr>
      </w:pPr>
      <w:r w:rsidRPr="005D6E5E">
        <w:rPr>
          <w:rFonts w:cstheme="minorHAnsi"/>
        </w:rPr>
        <w:t xml:space="preserve">Norman, P. (2011). The theory of planned </w:t>
      </w:r>
      <w:proofErr w:type="spellStart"/>
      <w:r w:rsidRPr="005D6E5E">
        <w:rPr>
          <w:rFonts w:cstheme="minorHAnsi"/>
        </w:rPr>
        <w:t>behavior</w:t>
      </w:r>
      <w:proofErr w:type="spellEnd"/>
      <w:r w:rsidRPr="005D6E5E">
        <w:rPr>
          <w:rFonts w:cstheme="minorHAnsi"/>
        </w:rPr>
        <w:t xml:space="preserve"> and binge drinking among undergraduate students: Assessing the impact of habit strength. </w:t>
      </w:r>
      <w:r w:rsidRPr="005D6E5E">
        <w:rPr>
          <w:rFonts w:cstheme="minorHAnsi"/>
          <w:i/>
          <w:iCs/>
        </w:rPr>
        <w:t xml:space="preserve">Addictive </w:t>
      </w:r>
      <w:proofErr w:type="spellStart"/>
      <w:r w:rsidRPr="005D6E5E">
        <w:rPr>
          <w:rFonts w:cstheme="minorHAnsi"/>
          <w:i/>
          <w:iCs/>
        </w:rPr>
        <w:t>behaviors</w:t>
      </w:r>
      <w:proofErr w:type="spellEnd"/>
      <w:r w:rsidRPr="005D6E5E">
        <w:rPr>
          <w:rFonts w:cstheme="minorHAnsi"/>
        </w:rPr>
        <w:t xml:space="preserve">, </w:t>
      </w:r>
      <w:r w:rsidRPr="005D6E5E">
        <w:rPr>
          <w:rFonts w:cstheme="minorHAnsi"/>
          <w:i/>
          <w:iCs/>
        </w:rPr>
        <w:t>36</w:t>
      </w:r>
      <w:r w:rsidRPr="005D6E5E">
        <w:rPr>
          <w:rFonts w:cstheme="minorHAnsi"/>
        </w:rPr>
        <w:t>(5), 502-507.</w:t>
      </w:r>
    </w:p>
    <w:p w14:paraId="33EBF66A" w14:textId="7D7B3F7C" w:rsidR="005D6E5E" w:rsidRDefault="005D6E5E" w:rsidP="005D6E5E">
      <w:pPr>
        <w:spacing w:line="240" w:lineRule="auto"/>
        <w:ind w:left="284" w:hanging="284"/>
        <w:rPr>
          <w:rFonts w:cstheme="minorHAnsi"/>
        </w:rPr>
      </w:pPr>
      <w:r w:rsidRPr="005D6E5E">
        <w:rPr>
          <w:rFonts w:cstheme="minorHAnsi"/>
        </w:rPr>
        <w:t xml:space="preserve">Norman, P., &amp; Conner, M. (2006). The theory of planned behaviour and binge drinking: Assessing the moderating role of past behaviour within the theory of planned behaviour. </w:t>
      </w:r>
      <w:r w:rsidRPr="005D6E5E">
        <w:rPr>
          <w:rFonts w:cstheme="minorHAnsi"/>
          <w:i/>
          <w:iCs/>
        </w:rPr>
        <w:t>British journal of health psychology</w:t>
      </w:r>
      <w:r w:rsidRPr="005D6E5E">
        <w:rPr>
          <w:rFonts w:cstheme="minorHAnsi"/>
        </w:rPr>
        <w:t xml:space="preserve">, </w:t>
      </w:r>
      <w:r w:rsidRPr="005D6E5E">
        <w:rPr>
          <w:rFonts w:cstheme="minorHAnsi"/>
          <w:i/>
          <w:iCs/>
        </w:rPr>
        <w:t>11</w:t>
      </w:r>
      <w:r w:rsidRPr="005D6E5E">
        <w:rPr>
          <w:rFonts w:cstheme="minorHAnsi"/>
        </w:rPr>
        <w:t>(1), 55-70.</w:t>
      </w:r>
    </w:p>
    <w:p w14:paraId="1340F62E" w14:textId="7E58FF5F" w:rsidR="005D6E5E" w:rsidRDefault="005D6E5E" w:rsidP="005D6E5E">
      <w:pPr>
        <w:spacing w:line="240" w:lineRule="auto"/>
        <w:ind w:left="284" w:hanging="284"/>
        <w:rPr>
          <w:rFonts w:cstheme="minorHAnsi"/>
        </w:rPr>
      </w:pPr>
      <w:r w:rsidRPr="005D6E5E">
        <w:rPr>
          <w:rFonts w:cstheme="minorHAnsi"/>
        </w:rPr>
        <w:t xml:space="preserve">Norman, P., Conner, M. T., &amp; Stride, C. B. (2012). Reasons for binge drinking among undergraduate students: An application of behavioural reasoning theory. </w:t>
      </w:r>
      <w:r w:rsidRPr="005D6E5E">
        <w:rPr>
          <w:rFonts w:cstheme="minorHAnsi"/>
          <w:i/>
          <w:iCs/>
        </w:rPr>
        <w:t>British journal of health psychology</w:t>
      </w:r>
      <w:r w:rsidRPr="005D6E5E">
        <w:rPr>
          <w:rFonts w:cstheme="minorHAnsi"/>
        </w:rPr>
        <w:t xml:space="preserve">, </w:t>
      </w:r>
      <w:r w:rsidRPr="005D6E5E">
        <w:rPr>
          <w:rFonts w:cstheme="minorHAnsi"/>
          <w:i/>
          <w:iCs/>
        </w:rPr>
        <w:t>17</w:t>
      </w:r>
      <w:r w:rsidRPr="005D6E5E">
        <w:rPr>
          <w:rFonts w:cstheme="minorHAnsi"/>
        </w:rPr>
        <w:t>(4), 682-698</w:t>
      </w:r>
    </w:p>
    <w:p w14:paraId="727CF232" w14:textId="77777777" w:rsidR="005D6E5E" w:rsidRDefault="005D6E5E" w:rsidP="005D6E5E">
      <w:pPr>
        <w:spacing w:line="240" w:lineRule="auto"/>
        <w:ind w:left="284" w:hanging="284"/>
        <w:rPr>
          <w:rFonts w:cstheme="minorHAnsi"/>
        </w:rPr>
      </w:pPr>
      <w:r w:rsidRPr="005D6E5E">
        <w:rPr>
          <w:rFonts w:cstheme="minorHAnsi"/>
        </w:rPr>
        <w:t xml:space="preserve">Patrick, M. E., &amp; Schulenberg, J. E. (2014). Prevalence and predictors of adolescent alcohol use and binge drinking in the United States. </w:t>
      </w:r>
      <w:r w:rsidRPr="005D6E5E">
        <w:rPr>
          <w:rFonts w:cstheme="minorHAnsi"/>
          <w:i/>
          <w:iCs/>
        </w:rPr>
        <w:t>Alcohol Research: Current Reviews</w:t>
      </w:r>
      <w:r w:rsidRPr="005D6E5E">
        <w:rPr>
          <w:rFonts w:cstheme="minorHAnsi"/>
        </w:rPr>
        <w:t xml:space="preserve">, </w:t>
      </w:r>
      <w:r w:rsidRPr="005D6E5E">
        <w:rPr>
          <w:rFonts w:cstheme="minorHAnsi"/>
          <w:i/>
          <w:iCs/>
        </w:rPr>
        <w:t>35</w:t>
      </w:r>
      <w:r w:rsidRPr="005D6E5E">
        <w:rPr>
          <w:rFonts w:cstheme="minorHAnsi"/>
        </w:rPr>
        <w:t>(2), 193.</w:t>
      </w:r>
    </w:p>
    <w:p w14:paraId="2A81B70D" w14:textId="3E645EC7" w:rsidR="005D6E5E" w:rsidRDefault="005D6E5E" w:rsidP="005D6E5E">
      <w:pPr>
        <w:spacing w:line="240" w:lineRule="auto"/>
        <w:ind w:left="284" w:hanging="284"/>
        <w:rPr>
          <w:rFonts w:cstheme="minorHAnsi"/>
        </w:rPr>
      </w:pPr>
      <w:proofErr w:type="spellStart"/>
      <w:r w:rsidRPr="005D6E5E">
        <w:rPr>
          <w:rFonts w:cstheme="minorHAnsi"/>
        </w:rPr>
        <w:t>Standerwick</w:t>
      </w:r>
      <w:proofErr w:type="spellEnd"/>
      <w:r w:rsidRPr="005D6E5E">
        <w:rPr>
          <w:rFonts w:cstheme="minorHAnsi"/>
        </w:rPr>
        <w:t xml:space="preserve">, K., Davies, C., Tucker, L., &amp; Sheron, N. (2007). Binge drinking, sexual behaviour and sexually transmitted infection in the UK. </w:t>
      </w:r>
      <w:r w:rsidRPr="005D6E5E">
        <w:rPr>
          <w:rFonts w:cstheme="minorHAnsi"/>
          <w:i/>
          <w:iCs/>
        </w:rPr>
        <w:t>International journal of STD &amp; AIDS</w:t>
      </w:r>
      <w:r w:rsidRPr="005D6E5E">
        <w:rPr>
          <w:rFonts w:cstheme="minorHAnsi"/>
        </w:rPr>
        <w:t xml:space="preserve">, </w:t>
      </w:r>
      <w:r w:rsidRPr="005D6E5E">
        <w:rPr>
          <w:rFonts w:cstheme="minorHAnsi"/>
          <w:i/>
          <w:iCs/>
        </w:rPr>
        <w:t>18</w:t>
      </w:r>
      <w:r w:rsidRPr="005D6E5E">
        <w:rPr>
          <w:rFonts w:cstheme="minorHAnsi"/>
        </w:rPr>
        <w:t>(12), 810-813.</w:t>
      </w:r>
    </w:p>
    <w:p w14:paraId="69FF1E22" w14:textId="4D584A55" w:rsidR="005D6E5E" w:rsidRPr="005D6E5E" w:rsidRDefault="005D6E5E" w:rsidP="005D6E5E">
      <w:pPr>
        <w:pStyle w:val="Default"/>
        <w:spacing w:after="160"/>
        <w:ind w:left="284" w:hanging="284"/>
        <w:rPr>
          <w:rFonts w:asciiTheme="minorHAnsi" w:hAnsiTheme="minorHAnsi" w:cstheme="minorHAnsi"/>
          <w:sz w:val="22"/>
          <w:szCs w:val="22"/>
        </w:rPr>
      </w:pPr>
      <w:r w:rsidRPr="00342A9C">
        <w:rPr>
          <w:rFonts w:asciiTheme="minorHAnsi" w:eastAsia="Times New Roman" w:hAnsiTheme="minorHAnsi" w:cstheme="minorHAnsi"/>
          <w:sz w:val="22"/>
          <w:szCs w:val="22"/>
          <w:lang w:eastAsia="en-GB"/>
        </w:rPr>
        <w:t xml:space="preserve">Wechsler, H., </w:t>
      </w:r>
      <w:r w:rsidRPr="005D6E5E">
        <w:rPr>
          <w:rFonts w:asciiTheme="minorHAnsi" w:eastAsia="Times New Roman" w:hAnsiTheme="minorHAnsi" w:cstheme="minorHAnsi"/>
          <w:sz w:val="22"/>
          <w:szCs w:val="22"/>
          <w:lang w:eastAsia="en-GB"/>
        </w:rPr>
        <w:t xml:space="preserve">Davenport, A., </w:t>
      </w:r>
      <w:r w:rsidRPr="00342A9C">
        <w:rPr>
          <w:rFonts w:asciiTheme="minorHAnsi" w:eastAsia="Times New Roman" w:hAnsiTheme="minorHAnsi" w:cstheme="minorHAnsi"/>
          <w:sz w:val="22"/>
          <w:szCs w:val="22"/>
          <w:lang w:eastAsia="en-GB"/>
        </w:rPr>
        <w:t xml:space="preserve">Dowdall, G., </w:t>
      </w:r>
      <w:proofErr w:type="spellStart"/>
      <w:r w:rsidRPr="00342A9C">
        <w:rPr>
          <w:rFonts w:asciiTheme="minorHAnsi" w:eastAsia="Times New Roman" w:hAnsiTheme="minorHAnsi" w:cstheme="minorHAnsi"/>
          <w:sz w:val="22"/>
          <w:szCs w:val="22"/>
          <w:lang w:eastAsia="en-GB"/>
        </w:rPr>
        <w:t>Moeykens</w:t>
      </w:r>
      <w:proofErr w:type="spellEnd"/>
      <w:r w:rsidRPr="00342A9C">
        <w:rPr>
          <w:rFonts w:asciiTheme="minorHAnsi" w:eastAsia="Times New Roman" w:hAnsiTheme="minorHAnsi" w:cstheme="minorHAnsi"/>
          <w:sz w:val="22"/>
          <w:szCs w:val="22"/>
          <w:lang w:eastAsia="en-GB"/>
        </w:rPr>
        <w:t>, M. S.</w:t>
      </w:r>
      <w:r w:rsidRPr="005D6E5E">
        <w:rPr>
          <w:rFonts w:asciiTheme="minorHAnsi" w:eastAsia="Times New Roman" w:hAnsiTheme="minorHAnsi" w:cstheme="minorHAnsi"/>
          <w:sz w:val="22"/>
          <w:szCs w:val="22"/>
          <w:lang w:eastAsia="en-GB"/>
        </w:rPr>
        <w:t>, &amp; Castillo, S.</w:t>
      </w:r>
      <w:r w:rsidRPr="00342A9C">
        <w:rPr>
          <w:rFonts w:asciiTheme="minorHAnsi" w:eastAsia="Times New Roman" w:hAnsiTheme="minorHAnsi" w:cstheme="minorHAnsi"/>
          <w:sz w:val="22"/>
          <w:szCs w:val="22"/>
          <w:lang w:eastAsia="en-GB"/>
        </w:rPr>
        <w:t xml:space="preserve"> (1994). </w:t>
      </w:r>
      <w:r w:rsidRPr="005D6E5E">
        <w:rPr>
          <w:rFonts w:asciiTheme="minorHAnsi" w:eastAsia="Times New Roman" w:hAnsiTheme="minorHAnsi" w:cstheme="minorHAnsi"/>
          <w:sz w:val="22"/>
          <w:szCs w:val="22"/>
          <w:lang w:eastAsia="en-GB"/>
        </w:rPr>
        <w:t xml:space="preserve">Health and behavioural consequences </w:t>
      </w:r>
      <w:r w:rsidRPr="00342A9C">
        <w:rPr>
          <w:rFonts w:asciiTheme="minorHAnsi" w:eastAsia="Times New Roman" w:hAnsiTheme="minorHAnsi" w:cstheme="minorHAnsi"/>
          <w:sz w:val="22"/>
          <w:szCs w:val="22"/>
          <w:lang w:eastAsia="en-GB"/>
        </w:rPr>
        <w:t xml:space="preserve">of </w:t>
      </w:r>
      <w:r w:rsidRPr="005D6E5E">
        <w:rPr>
          <w:rFonts w:asciiTheme="minorHAnsi" w:eastAsia="Times New Roman" w:hAnsiTheme="minorHAnsi" w:cstheme="minorHAnsi"/>
          <w:sz w:val="22"/>
          <w:szCs w:val="22"/>
          <w:lang w:eastAsia="en-GB"/>
        </w:rPr>
        <w:t>b</w:t>
      </w:r>
      <w:r w:rsidRPr="00342A9C">
        <w:rPr>
          <w:rFonts w:asciiTheme="minorHAnsi" w:eastAsia="Times New Roman" w:hAnsiTheme="minorHAnsi" w:cstheme="minorHAnsi"/>
          <w:sz w:val="22"/>
          <w:szCs w:val="22"/>
          <w:lang w:eastAsia="en-GB"/>
        </w:rPr>
        <w:t xml:space="preserve">inge </w:t>
      </w:r>
      <w:r w:rsidRPr="005D6E5E">
        <w:rPr>
          <w:rFonts w:asciiTheme="minorHAnsi" w:eastAsia="Times New Roman" w:hAnsiTheme="minorHAnsi" w:cstheme="minorHAnsi"/>
          <w:sz w:val="22"/>
          <w:szCs w:val="22"/>
          <w:lang w:eastAsia="en-GB"/>
        </w:rPr>
        <w:t>d</w:t>
      </w:r>
      <w:r w:rsidRPr="00342A9C">
        <w:rPr>
          <w:rFonts w:asciiTheme="minorHAnsi" w:eastAsia="Times New Roman" w:hAnsiTheme="minorHAnsi" w:cstheme="minorHAnsi"/>
          <w:sz w:val="22"/>
          <w:szCs w:val="22"/>
          <w:lang w:eastAsia="en-GB"/>
        </w:rPr>
        <w:t xml:space="preserve">rinking in </w:t>
      </w:r>
      <w:r w:rsidRPr="005D6E5E">
        <w:rPr>
          <w:rFonts w:asciiTheme="minorHAnsi" w:eastAsia="Times New Roman" w:hAnsiTheme="minorHAnsi" w:cstheme="minorHAnsi"/>
          <w:sz w:val="22"/>
          <w:szCs w:val="22"/>
          <w:lang w:eastAsia="en-GB"/>
        </w:rPr>
        <w:t>c</w:t>
      </w:r>
      <w:r w:rsidRPr="00342A9C">
        <w:rPr>
          <w:rFonts w:asciiTheme="minorHAnsi" w:eastAsia="Times New Roman" w:hAnsiTheme="minorHAnsi" w:cstheme="minorHAnsi"/>
          <w:sz w:val="22"/>
          <w:szCs w:val="22"/>
          <w:lang w:eastAsia="en-GB"/>
        </w:rPr>
        <w:t xml:space="preserve">ollege. </w:t>
      </w:r>
      <w:r w:rsidRPr="00342A9C">
        <w:rPr>
          <w:rFonts w:asciiTheme="minorHAnsi" w:eastAsia="Times New Roman" w:hAnsiTheme="minorHAnsi" w:cstheme="minorHAnsi"/>
          <w:i/>
          <w:iCs/>
          <w:sz w:val="22"/>
          <w:szCs w:val="22"/>
          <w:lang w:eastAsia="en-GB"/>
        </w:rPr>
        <w:t>Jama</w:t>
      </w:r>
      <w:r w:rsidRPr="00342A9C">
        <w:rPr>
          <w:rFonts w:asciiTheme="minorHAnsi" w:eastAsia="Times New Roman" w:hAnsiTheme="minorHAnsi" w:cstheme="minorHAnsi"/>
          <w:sz w:val="22"/>
          <w:szCs w:val="22"/>
          <w:lang w:eastAsia="en-GB"/>
        </w:rPr>
        <w:t xml:space="preserve">, </w:t>
      </w:r>
      <w:r w:rsidRPr="00342A9C">
        <w:rPr>
          <w:rFonts w:asciiTheme="minorHAnsi" w:eastAsia="Times New Roman" w:hAnsiTheme="minorHAnsi" w:cstheme="minorHAnsi"/>
          <w:i/>
          <w:iCs/>
          <w:sz w:val="22"/>
          <w:szCs w:val="22"/>
          <w:lang w:eastAsia="en-GB"/>
        </w:rPr>
        <w:t>272</w:t>
      </w:r>
      <w:r w:rsidRPr="00342A9C">
        <w:rPr>
          <w:rFonts w:asciiTheme="minorHAnsi" w:eastAsia="Times New Roman" w:hAnsiTheme="minorHAnsi" w:cstheme="minorHAnsi"/>
          <w:sz w:val="22"/>
          <w:szCs w:val="22"/>
          <w:lang w:eastAsia="en-GB"/>
        </w:rPr>
        <w:t>, 1672-1677.</w:t>
      </w:r>
      <w:r>
        <w:rPr>
          <w:rFonts w:eastAsia="Times New Roman" w:cstheme="minorHAnsi"/>
          <w:lang w:eastAsia="en-GB"/>
        </w:rPr>
        <w:t xml:space="preserve"> </w:t>
      </w:r>
    </w:p>
    <w:p w14:paraId="3D64E21C" w14:textId="7B33E36D" w:rsidR="005D6E5E" w:rsidRPr="005D6E5E" w:rsidRDefault="005D6E5E" w:rsidP="005D6E5E">
      <w:pPr>
        <w:spacing w:line="240" w:lineRule="auto"/>
        <w:ind w:left="284" w:hanging="284"/>
        <w:rPr>
          <w:rFonts w:eastAsia="Times New Roman" w:cstheme="minorHAnsi"/>
          <w:lang w:eastAsia="en-GB"/>
        </w:rPr>
      </w:pPr>
      <w:r w:rsidRPr="005D6E5E">
        <w:rPr>
          <w:rFonts w:cstheme="minorHAnsi"/>
        </w:rPr>
        <w:t xml:space="preserve">Williams, A., &amp; Clark, D. (1998). Alcohol consumption in university students: the role of reasons for drinking, coping strategies, expectancies, and personality traits. </w:t>
      </w:r>
      <w:r w:rsidRPr="005D6E5E">
        <w:rPr>
          <w:rFonts w:cstheme="minorHAnsi"/>
          <w:i/>
          <w:iCs/>
        </w:rPr>
        <w:t xml:space="preserve">Addictive </w:t>
      </w:r>
      <w:proofErr w:type="spellStart"/>
      <w:r w:rsidRPr="005D6E5E">
        <w:rPr>
          <w:rFonts w:cstheme="minorHAnsi"/>
          <w:i/>
          <w:iCs/>
        </w:rPr>
        <w:t>Behaviors</w:t>
      </w:r>
      <w:proofErr w:type="spellEnd"/>
      <w:r w:rsidRPr="005D6E5E">
        <w:rPr>
          <w:rFonts w:cstheme="minorHAnsi"/>
        </w:rPr>
        <w:t xml:space="preserve">, </w:t>
      </w:r>
      <w:r w:rsidRPr="005D6E5E">
        <w:rPr>
          <w:rFonts w:cstheme="minorHAnsi"/>
          <w:i/>
          <w:iCs/>
        </w:rPr>
        <w:t>23</w:t>
      </w:r>
      <w:r w:rsidRPr="005D6E5E">
        <w:rPr>
          <w:rFonts w:cstheme="minorHAnsi"/>
        </w:rPr>
        <w:t>(3), 371-378.</w:t>
      </w:r>
    </w:p>
    <w:p w14:paraId="558DD658" w14:textId="77777777" w:rsidR="005D6E5E" w:rsidRDefault="005D6E5E" w:rsidP="005D6E5E"/>
    <w:p w14:paraId="071B65CA" w14:textId="77777777" w:rsidR="005D6E5E" w:rsidRPr="00E00634" w:rsidRDefault="005D6E5E" w:rsidP="00E00634">
      <w:pPr>
        <w:spacing w:line="360" w:lineRule="auto"/>
      </w:pPr>
    </w:p>
    <w:sectPr w:rsidR="005D6E5E" w:rsidRPr="00E0063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4DFFC" w14:textId="77777777" w:rsidR="000F7FB1" w:rsidRDefault="000F7FB1" w:rsidP="00E00634">
      <w:pPr>
        <w:spacing w:after="0" w:line="240" w:lineRule="auto"/>
      </w:pPr>
      <w:r>
        <w:separator/>
      </w:r>
    </w:p>
  </w:endnote>
  <w:endnote w:type="continuationSeparator" w:id="0">
    <w:p w14:paraId="143CB0F4" w14:textId="77777777" w:rsidR="000F7FB1" w:rsidRDefault="000F7FB1" w:rsidP="00E00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D5BEB9" w14:textId="77777777" w:rsidR="000F7FB1" w:rsidRDefault="000F7FB1" w:rsidP="00E00634">
      <w:pPr>
        <w:spacing w:after="0" w:line="240" w:lineRule="auto"/>
      </w:pPr>
      <w:r>
        <w:separator/>
      </w:r>
    </w:p>
  </w:footnote>
  <w:footnote w:type="continuationSeparator" w:id="0">
    <w:p w14:paraId="4005001C" w14:textId="77777777" w:rsidR="000F7FB1" w:rsidRDefault="000F7FB1" w:rsidP="00E006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Content>
      <w:p w14:paraId="4E628DEB" w14:textId="77777777" w:rsidR="00E00634" w:rsidRDefault="00E00634">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4269B454" w14:textId="77777777" w:rsidR="00E00634" w:rsidRDefault="00E006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8D9"/>
    <w:rsid w:val="00012CA0"/>
    <w:rsid w:val="00016D86"/>
    <w:rsid w:val="0009743A"/>
    <w:rsid w:val="000F7FB1"/>
    <w:rsid w:val="001B6241"/>
    <w:rsid w:val="002C20F4"/>
    <w:rsid w:val="00332184"/>
    <w:rsid w:val="003920F9"/>
    <w:rsid w:val="00395789"/>
    <w:rsid w:val="00411439"/>
    <w:rsid w:val="004E2EDD"/>
    <w:rsid w:val="0050581B"/>
    <w:rsid w:val="00582686"/>
    <w:rsid w:val="005D6E5E"/>
    <w:rsid w:val="0062588A"/>
    <w:rsid w:val="00665E15"/>
    <w:rsid w:val="00666F2A"/>
    <w:rsid w:val="00672BB0"/>
    <w:rsid w:val="006E49AF"/>
    <w:rsid w:val="00750505"/>
    <w:rsid w:val="00757D78"/>
    <w:rsid w:val="007926D0"/>
    <w:rsid w:val="00813233"/>
    <w:rsid w:val="008E4F56"/>
    <w:rsid w:val="009328D9"/>
    <w:rsid w:val="00943780"/>
    <w:rsid w:val="00974ECD"/>
    <w:rsid w:val="009866BE"/>
    <w:rsid w:val="009B6C30"/>
    <w:rsid w:val="009C191D"/>
    <w:rsid w:val="009E14C6"/>
    <w:rsid w:val="009E544C"/>
    <w:rsid w:val="00A41B1C"/>
    <w:rsid w:val="00A740E3"/>
    <w:rsid w:val="00AE4EA6"/>
    <w:rsid w:val="00B37485"/>
    <w:rsid w:val="00C15991"/>
    <w:rsid w:val="00C31F8B"/>
    <w:rsid w:val="00E00634"/>
    <w:rsid w:val="00E13D47"/>
    <w:rsid w:val="00E42259"/>
    <w:rsid w:val="00F07688"/>
    <w:rsid w:val="00F32DAD"/>
    <w:rsid w:val="00F53754"/>
    <w:rsid w:val="00F927F0"/>
    <w:rsid w:val="00FF6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91419"/>
  <w15:chartTrackingRefBased/>
  <w15:docId w15:val="{3E42ECB0-1BF5-418A-9407-A93904044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11439"/>
    <w:rPr>
      <w:b/>
      <w:bCs/>
    </w:rPr>
  </w:style>
  <w:style w:type="paragraph" w:styleId="Header">
    <w:name w:val="header"/>
    <w:basedOn w:val="Normal"/>
    <w:link w:val="HeaderChar"/>
    <w:uiPriority w:val="99"/>
    <w:unhideWhenUsed/>
    <w:rsid w:val="00E00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634"/>
  </w:style>
  <w:style w:type="paragraph" w:styleId="Footer">
    <w:name w:val="footer"/>
    <w:basedOn w:val="Normal"/>
    <w:link w:val="FooterChar"/>
    <w:uiPriority w:val="99"/>
    <w:unhideWhenUsed/>
    <w:rsid w:val="00E00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634"/>
  </w:style>
  <w:style w:type="paragraph" w:customStyle="1" w:styleId="Default">
    <w:name w:val="Default"/>
    <w:rsid w:val="00E0063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selectable">
    <w:name w:val="selectable"/>
    <w:basedOn w:val="DefaultParagraphFont"/>
    <w:rsid w:val="00E00634"/>
  </w:style>
  <w:style w:type="character" w:styleId="Hyperlink">
    <w:name w:val="Hyperlink"/>
    <w:basedOn w:val="DefaultParagraphFont"/>
    <w:uiPriority w:val="99"/>
    <w:unhideWhenUsed/>
    <w:rsid w:val="00E00634"/>
    <w:rPr>
      <w:color w:val="0563C1" w:themeColor="hyperlink"/>
      <w:u w:val="single"/>
    </w:rPr>
  </w:style>
  <w:style w:type="character" w:styleId="UnresolvedMention">
    <w:name w:val="Unresolved Mention"/>
    <w:basedOn w:val="DefaultParagraphFont"/>
    <w:uiPriority w:val="99"/>
    <w:semiHidden/>
    <w:unhideWhenUsed/>
    <w:rsid w:val="00E006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6</Pages>
  <Words>2090</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4</cp:revision>
  <dcterms:created xsi:type="dcterms:W3CDTF">2019-01-22T14:49:00Z</dcterms:created>
  <dcterms:modified xsi:type="dcterms:W3CDTF">2019-01-22T22:20:00Z</dcterms:modified>
</cp:coreProperties>
</file>