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CFB1CC" w14:textId="7C451677" w:rsidR="00943098" w:rsidRPr="00592706" w:rsidRDefault="002109D2" w:rsidP="00514652">
      <w:pPr>
        <w:jc w:val="center"/>
        <w:rPr>
          <w:color w:val="373A3C"/>
          <w:sz w:val="24"/>
          <w:u w:val="single"/>
          <w:shd w:val="clear" w:color="auto" w:fill="FFFFFF"/>
        </w:rPr>
      </w:pPr>
      <w:r w:rsidRPr="00592706">
        <w:rPr>
          <w:color w:val="373A3C"/>
          <w:sz w:val="24"/>
          <w:u w:val="single"/>
          <w:shd w:val="clear" w:color="auto" w:fill="FFFFFF"/>
        </w:rPr>
        <w:t>'Yr oedd y Phariseaid yn helpu i ddiogelu'r hyn oedd orau mewn Iddewiaeth'. Rhowch eich sylwadau ar y disgrifiad hwn a dadansoddwch arwyddocad y Phariseaid i Iddewiaeth.</w:t>
      </w:r>
    </w:p>
    <w:p w14:paraId="0C5017C2" w14:textId="018864F2" w:rsidR="00042815" w:rsidRPr="009E5B7E" w:rsidRDefault="00042815"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sz w:val="22"/>
          <w:szCs w:val="22"/>
        </w:rPr>
        <w:t xml:space="preserve">O fewn y traethawd yma, rwy’n bwriadu rhoi fy marn ân sylwadau i ar y Phariseaid wrth drafod eu harwyddocâd i Iddewiaeth. Yn dilyn hyn, rwyf am gyfeirio at y dyfyniad o fewn y cwestiwn er mwyn darganfod os mai’r Phariseaid oedd y rhai a wnaeth achub Iddewiaeth yn ogystal â helpu diogelu’r pethau da o fewn y grefydd. Ar ôl astudio’r tri grŵp Iddewig; sef y Sadwceaid, y Phariseaid a’r Eseniaid, mae’n glir i weld mai’r Phariseaid oedd y grŵp mwyaf dylanwadol ac arwyddocaol o fewn Iddewiaeth. Cawn weld fod y rhain i gyd wedi dilyn llwybrau gwahanol, ond y Phariseaid oedd yr unig rhai i oroesi ar ôl dinistriad y deml. Am hyn, mae’n amlwg roedd ganddyn nhw rywbeth perthnasol i gynnig i’w ddilynwyr. Roedd y Phariseaid yn cael ei ystyried fel gwir gymuned Israel. Roedden nhw wedi datblygu fel grŵp allan o'r </w:t>
      </w:r>
      <w:r w:rsidRPr="009E5B7E">
        <w:rPr>
          <w:rFonts w:asciiTheme="minorHAnsi" w:hAnsiTheme="minorHAnsi"/>
          <w:i/>
          <w:sz w:val="22"/>
          <w:szCs w:val="22"/>
        </w:rPr>
        <w:t>Hasidim</w:t>
      </w:r>
      <w:r w:rsidRPr="009E5B7E">
        <w:rPr>
          <w:rFonts w:asciiTheme="minorHAnsi" w:hAnsiTheme="minorHAnsi"/>
          <w:sz w:val="22"/>
          <w:szCs w:val="22"/>
        </w:rPr>
        <w:t xml:space="preserve">, sef yr Iddewon 'ffyddlon' cynnar a </w:t>
      </w:r>
      <w:r w:rsidR="00BF1743" w:rsidRPr="009E5B7E">
        <w:rPr>
          <w:rFonts w:asciiTheme="minorHAnsi" w:hAnsiTheme="minorHAnsi"/>
          <w:sz w:val="22"/>
          <w:szCs w:val="22"/>
        </w:rPr>
        <w:t>wnaeth</w:t>
      </w:r>
      <w:r w:rsidRPr="009E5B7E">
        <w:rPr>
          <w:rFonts w:asciiTheme="minorHAnsi" w:hAnsiTheme="minorHAnsi"/>
          <w:sz w:val="22"/>
          <w:szCs w:val="22"/>
        </w:rPr>
        <w:t xml:space="preserve"> gwrthwynebu ‘Hellenization.’ Roedd y Phariseaid ar wahanol adegau yn blaid wleidyddol, mudiad cymdeithasol, a hefyd yn ysgol o fewn y Tir Sanctaidd yn ystod cyfnod yr ail deml yn Iddewiaeth. Dywed Josephws fod y Phariseaid yn grŵp o bobl a wnaeth dangos parch i eraill gan yr oeddent yn </w:t>
      </w:r>
      <w:proofErr w:type="gramStart"/>
      <w:r w:rsidRPr="009E5B7E">
        <w:rPr>
          <w:rFonts w:asciiTheme="minorHAnsi" w:hAnsiTheme="minorHAnsi"/>
          <w:sz w:val="22"/>
          <w:szCs w:val="22"/>
        </w:rPr>
        <w:t>byw‘</w:t>
      </w:r>
      <w:proofErr w:type="gramEnd"/>
      <w:r w:rsidRPr="009E5B7E">
        <w:rPr>
          <w:rFonts w:asciiTheme="minorHAnsi" w:hAnsiTheme="minorHAnsi"/>
          <w:sz w:val="22"/>
          <w:szCs w:val="22"/>
        </w:rPr>
        <w:t>n gytûn wrth ymdrin â phobl eraill. Roedden nhw wedi dodi pwyslais mawr ar wneud da er mwyn profi caredigrwydd. Roedd y Phariseaid wedi byw bywyd syml ond wedi parhau i fod yn ddylanwadol trwy gydol wladwriaeth Israel. Mae sefyllfa ddiwinyddol Iddewiaeth yn olrhain yn ôl i'r Phariseaid yn aml, am hyn cawn ddeall eu bod nhw wedi cael mewnbwn hanfodol i’r grefydd yn enwedig ar ôl dinistriad y deml. Mae Iddewiaeth heddiw yn cael ei olrhain yn ôl i’r Phariseaid gan fod y Mishnah yn cynnwys dysgeidiaethau i awdurdodau sy'n adnabyddus i ni o ffynonellau eraill i’r Phariseaid. Mae’n debyg fod y dysgeidiaethau a ddiogelir gan y Mishna</w:t>
      </w:r>
      <w:r w:rsidR="0033580D">
        <w:rPr>
          <w:rFonts w:asciiTheme="minorHAnsi" w:hAnsiTheme="minorHAnsi"/>
          <w:sz w:val="22"/>
          <w:szCs w:val="22"/>
        </w:rPr>
        <w:t>h</w:t>
      </w:r>
      <w:r w:rsidRPr="009E5B7E">
        <w:rPr>
          <w:rFonts w:asciiTheme="minorHAnsi" w:hAnsiTheme="minorHAnsi"/>
          <w:sz w:val="22"/>
          <w:szCs w:val="22"/>
        </w:rPr>
        <w:t xml:space="preserve"> yn perthyn i'r Phariseaid yn amser Iesu. Am hyn, mae Iddewon yn tueddu canmol y Phariseaid </w:t>
      </w:r>
      <w:r w:rsidR="0033580D">
        <w:rPr>
          <w:rFonts w:asciiTheme="minorHAnsi" w:hAnsiTheme="minorHAnsi"/>
          <w:sz w:val="22"/>
          <w:szCs w:val="22"/>
        </w:rPr>
        <w:t>fel ffynhonnell o ddysgu ar eu g</w:t>
      </w:r>
      <w:r w:rsidRPr="009E5B7E">
        <w:rPr>
          <w:rFonts w:asciiTheme="minorHAnsi" w:hAnsiTheme="minorHAnsi"/>
          <w:sz w:val="22"/>
          <w:szCs w:val="22"/>
        </w:rPr>
        <w:t xml:space="preserve">yfer nhw. Yn ogystal â hyn, mae’n debyg fod y Phariseaid yn cael eu canmol am </w:t>
      </w:r>
      <w:r w:rsidR="00B035A5" w:rsidRPr="009E5B7E">
        <w:rPr>
          <w:rFonts w:asciiTheme="minorHAnsi" w:hAnsiTheme="minorHAnsi"/>
          <w:sz w:val="22"/>
          <w:szCs w:val="22"/>
        </w:rPr>
        <w:t xml:space="preserve">ledaenu’r </w:t>
      </w:r>
      <w:r w:rsidRPr="009E5B7E">
        <w:rPr>
          <w:rFonts w:asciiTheme="minorHAnsi" w:hAnsiTheme="minorHAnsi"/>
          <w:sz w:val="22"/>
          <w:szCs w:val="22"/>
        </w:rPr>
        <w:t xml:space="preserve">hyn a glywodd Moses yn Sinai. Mae’r dyfyniad isod o lyfr Neusner yn cyfeirio at y Phariseaid fel y rhai a wnaeth ledu a dysgu athroniaeth Moses i eraill. Rydyn yn cael yr argraff mai nhw, ynghyd â Moses, oedd y brif ddolen rhwng Duw a’r Iddewon. </w:t>
      </w:r>
      <w:r w:rsidR="000614AD" w:rsidRPr="009E5B7E">
        <w:rPr>
          <w:rFonts w:asciiTheme="minorHAnsi" w:hAnsiTheme="minorHAnsi" w:cs="Arial"/>
          <w:color w:val="212121"/>
          <w:sz w:val="22"/>
          <w:szCs w:val="22"/>
          <w:shd w:val="clear" w:color="auto" w:fill="FFFFFF"/>
        </w:rPr>
        <w:t>“The Pharisees claimed to be authoritative because they taught a philosophy that derived from Moses at Sinai. They therefore preserved a ‘chain of tradition’ reaching back from their own day to the authority of remote antiquity. Their piety was centred on the revelation of Moses.”</w:t>
      </w:r>
      <w:r w:rsidR="000614AD" w:rsidRPr="009E5B7E">
        <w:rPr>
          <w:rStyle w:val="FootnoteReference"/>
          <w:rFonts w:asciiTheme="minorHAnsi" w:hAnsiTheme="minorHAnsi" w:cs="Arial"/>
          <w:color w:val="212121"/>
          <w:sz w:val="22"/>
          <w:szCs w:val="22"/>
          <w:shd w:val="clear" w:color="auto" w:fill="FFFFFF"/>
        </w:rPr>
        <w:footnoteReference w:id="1"/>
      </w:r>
      <w:r w:rsidR="000614AD"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 xml:space="preserve">Ond, er bod y Phariseaid yn cael eu gweld fel arwyr i’r Iddewon, mae yna nifer o Gristnogion sy’n eu gweld nhw fel gwrthwynebwyr Iesu ac fel pobl wael. </w:t>
      </w:r>
    </w:p>
    <w:p w14:paraId="77AC316F" w14:textId="77777777" w:rsidR="00042815" w:rsidRPr="009E5B7E" w:rsidRDefault="00042815" w:rsidP="009E5B7E">
      <w:pPr>
        <w:pStyle w:val="HTMLPreformatted"/>
        <w:shd w:val="clear" w:color="auto" w:fill="FFFFFF"/>
        <w:rPr>
          <w:rFonts w:asciiTheme="minorHAnsi" w:hAnsiTheme="minorHAnsi" w:cs="Arial"/>
          <w:color w:val="212121"/>
          <w:sz w:val="22"/>
          <w:szCs w:val="22"/>
          <w:shd w:val="clear" w:color="auto" w:fill="FFFFFF"/>
        </w:rPr>
      </w:pPr>
    </w:p>
    <w:p w14:paraId="07B202DC" w14:textId="705BFBC2" w:rsidR="00042815" w:rsidRPr="009E5B7E" w:rsidRDefault="00042815"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cs="Arial"/>
          <w:color w:val="212121"/>
          <w:sz w:val="22"/>
          <w:szCs w:val="22"/>
          <w:shd w:val="clear" w:color="auto" w:fill="FFFFFF"/>
        </w:rPr>
        <w:t xml:space="preserve">Roedd y Phariseaid yn cynnwys grŵp o athrawon Iddewig oedd yn angerddol o astudio’r gyfraith. Bu’r athrawon yma yn mynegi eu barn ar y gyfraith ac yn cael trafodaethau er mwyn casglu eu sylwadau. Yr enw Hebraeg ar gyfer y bobl yma oedd yn astudio ac yn dadlau’r gyfraith yw </w:t>
      </w:r>
      <w:r w:rsidRPr="009E5B7E">
        <w:rPr>
          <w:rFonts w:asciiTheme="minorHAnsi" w:hAnsiTheme="minorHAnsi" w:cs="Arial"/>
          <w:i/>
          <w:color w:val="212121"/>
          <w:sz w:val="22"/>
          <w:szCs w:val="22"/>
          <w:shd w:val="clear" w:color="auto" w:fill="FFFFFF"/>
        </w:rPr>
        <w:t>Perushim</w:t>
      </w:r>
      <w:r w:rsidRPr="009E5B7E">
        <w:rPr>
          <w:rFonts w:asciiTheme="minorHAnsi" w:hAnsiTheme="minorHAnsi" w:cs="Arial"/>
          <w:color w:val="212121"/>
          <w:sz w:val="22"/>
          <w:szCs w:val="22"/>
          <w:shd w:val="clear" w:color="auto" w:fill="FFFFFF"/>
        </w:rPr>
        <w:t xml:space="preserve">. Ystyr hyn yw ‘nhw sydd ar wahân.’ Ond oddi wrth bwy roedden nhw wedi gwahanu? Y consensws cyffredinol yw eu bod nhw wedi’u gwahanu oddi wrth bobl y tir. Caiff y bobl yma ei ystyried fel gwerinwyr. O fewn y Testament newydd, mae’r Phariseaid sy’n rheoli yn cyfeirio at y bobl yma fel rhai blinedig ac anwybodus. Ar y cyfan, dywed Josephws fod tua chwe mil o Phariseaid yn bodoli. Roedd y grŵp o bobl yma yn gyfraniad bach o’r holl grwpiau oedd yn bodoli yn Israel. Am hyn, roedd yn rhaid iddyn nhw gystadlu gydag Iesu yn ogystal â grwpiau eraill ar gyfer y dylanwad ar bobl Israel. Yn ôl y gwefan ‘Bible.org,’ bwriad y Phariseaid oedd helpu Iddewon fyw yn erbyn y dylanwad Rhufeinig. Roedd y Phariseaid wedi’u rhwymo gyda’i gilydd gan gredoau penodol yn ogystal ag arferion oedd yn debygol o ddylanwadu newid. Mae’r dyfyniad isod o’r un wefan yn profi penderfyniad ac angerdd y Phariseaid i lwyddo a sicrhau dyfodol i Iddewiaeth. </w:t>
      </w:r>
      <w:r w:rsidR="00514652" w:rsidRPr="009E5B7E">
        <w:rPr>
          <w:rFonts w:asciiTheme="minorHAnsi" w:hAnsiTheme="minorHAnsi" w:cs="Arial"/>
          <w:color w:val="212121"/>
          <w:sz w:val="22"/>
          <w:szCs w:val="22"/>
          <w:shd w:val="clear" w:color="auto" w:fill="FFFFFF"/>
        </w:rPr>
        <w:t xml:space="preserve"> “But according to Josepheus, the Pharisees were like a political interest group; they had their goals for society and sought to achieve them; they were always there to gain access to power and influence society to a new communal commitment to a strict way of Jewish life.”</w:t>
      </w:r>
      <w:r w:rsidR="00514652" w:rsidRPr="009E5B7E">
        <w:rPr>
          <w:rStyle w:val="FootnoteReference"/>
          <w:rFonts w:asciiTheme="minorHAnsi" w:hAnsiTheme="minorHAnsi" w:cs="Arial"/>
          <w:color w:val="212121"/>
          <w:sz w:val="22"/>
          <w:szCs w:val="22"/>
          <w:shd w:val="clear" w:color="auto" w:fill="FFFFFF"/>
        </w:rPr>
        <w:footnoteReference w:id="2"/>
      </w:r>
      <w:r w:rsidR="003B6493" w:rsidRPr="009E5B7E">
        <w:rPr>
          <w:rFonts w:asciiTheme="minorHAnsi" w:hAnsiTheme="minorHAnsi"/>
          <w:sz w:val="22"/>
          <w:szCs w:val="22"/>
        </w:rPr>
        <w:t xml:space="preserve"> </w:t>
      </w:r>
      <w:r w:rsidRPr="009E5B7E">
        <w:rPr>
          <w:rFonts w:asciiTheme="minorHAnsi" w:hAnsiTheme="minorHAnsi" w:cs="Arial"/>
          <w:color w:val="212121"/>
          <w:sz w:val="22"/>
          <w:szCs w:val="22"/>
          <w:shd w:val="clear" w:color="auto" w:fill="FFFFFF"/>
        </w:rPr>
        <w:t xml:space="preserve">Cawn weld fod y Phariseaid yn grŵp </w:t>
      </w:r>
      <w:r w:rsidRPr="009E5B7E">
        <w:rPr>
          <w:rFonts w:asciiTheme="minorHAnsi" w:hAnsiTheme="minorHAnsi" w:cs="Arial"/>
          <w:color w:val="212121"/>
          <w:sz w:val="22"/>
          <w:szCs w:val="22"/>
          <w:shd w:val="clear" w:color="auto" w:fill="FFFFFF"/>
        </w:rPr>
        <w:lastRenderedPageBreak/>
        <w:t>o</w:t>
      </w:r>
      <w:r w:rsidR="00B035A5" w:rsidRPr="009E5B7E">
        <w:rPr>
          <w:rFonts w:asciiTheme="minorHAnsi" w:hAnsiTheme="minorHAnsi" w:cs="Arial"/>
          <w:color w:val="212121"/>
          <w:sz w:val="22"/>
          <w:szCs w:val="22"/>
          <w:shd w:val="clear" w:color="auto" w:fill="FFFFFF"/>
        </w:rPr>
        <w:t>edd wedi'u cysylltu'n dda</w:t>
      </w:r>
      <w:r w:rsidRPr="009E5B7E">
        <w:rPr>
          <w:rFonts w:asciiTheme="minorHAnsi" w:hAnsiTheme="minorHAnsi" w:cs="Arial"/>
          <w:color w:val="212121"/>
          <w:sz w:val="22"/>
          <w:szCs w:val="22"/>
          <w:shd w:val="clear" w:color="auto" w:fill="FFFFFF"/>
        </w:rPr>
        <w:t xml:space="preserve"> ac wedi ymrwymo mewn i lawer o berthnasau gwahanol er mwyn ceisio cyflawni nodau eu hun. </w:t>
      </w:r>
      <w:r w:rsidR="00C27CF2">
        <w:rPr>
          <w:rFonts w:asciiTheme="minorHAnsi" w:hAnsiTheme="minorHAnsi" w:cs="Arial"/>
          <w:color w:val="212121"/>
          <w:sz w:val="22"/>
          <w:szCs w:val="22"/>
          <w:shd w:val="clear" w:color="auto" w:fill="FFFFFF"/>
        </w:rPr>
        <w:t xml:space="preserve">Am y rheswm yma, mae’n glir i weld bod eu </w:t>
      </w:r>
      <w:r w:rsidR="0029478D">
        <w:rPr>
          <w:rFonts w:asciiTheme="minorHAnsi" w:hAnsiTheme="minorHAnsi" w:cs="Arial"/>
          <w:color w:val="212121"/>
          <w:sz w:val="22"/>
          <w:szCs w:val="22"/>
          <w:shd w:val="clear" w:color="auto" w:fill="FFFFFF"/>
        </w:rPr>
        <w:t xml:space="preserve">ffordd penderfynol wedi bod yn </w:t>
      </w:r>
      <w:r w:rsidR="0029478D" w:rsidRPr="009E5B7E">
        <w:rPr>
          <w:rFonts w:asciiTheme="minorHAnsi" w:hAnsiTheme="minorHAnsi"/>
          <w:sz w:val="22"/>
          <w:szCs w:val="22"/>
        </w:rPr>
        <w:t>arwyddocaol</w:t>
      </w:r>
      <w:r w:rsidR="0029478D">
        <w:rPr>
          <w:rFonts w:asciiTheme="minorHAnsi" w:hAnsiTheme="minorHAnsi"/>
          <w:sz w:val="22"/>
          <w:szCs w:val="22"/>
        </w:rPr>
        <w:t xml:space="preserve"> i Iddewiaeth. </w:t>
      </w:r>
    </w:p>
    <w:p w14:paraId="61FE438F" w14:textId="77777777" w:rsidR="003B6493" w:rsidRPr="009E5B7E" w:rsidRDefault="003B6493" w:rsidP="009E5B7E">
      <w:pPr>
        <w:pStyle w:val="HTMLPreformatted"/>
        <w:shd w:val="clear" w:color="auto" w:fill="FFFFFF"/>
        <w:rPr>
          <w:rFonts w:asciiTheme="minorHAnsi" w:hAnsiTheme="minorHAnsi" w:cs="Arial"/>
          <w:color w:val="212121"/>
          <w:sz w:val="22"/>
          <w:szCs w:val="22"/>
          <w:shd w:val="clear" w:color="auto" w:fill="FFFFFF"/>
        </w:rPr>
      </w:pPr>
    </w:p>
    <w:p w14:paraId="05DB326A" w14:textId="5CEFE587" w:rsidR="007C7FAB" w:rsidRPr="009E5B7E" w:rsidRDefault="00042815" w:rsidP="009E5B7E">
      <w:pPr>
        <w:pStyle w:val="HTMLPreformatted"/>
        <w:shd w:val="clear" w:color="auto" w:fill="FFFFFF"/>
        <w:rPr>
          <w:rFonts w:asciiTheme="minorHAnsi" w:hAnsiTheme="minorHAnsi"/>
          <w:sz w:val="22"/>
          <w:szCs w:val="22"/>
        </w:rPr>
      </w:pPr>
      <w:r w:rsidRPr="009E5B7E">
        <w:rPr>
          <w:rFonts w:asciiTheme="minorHAnsi" w:hAnsiTheme="minorHAnsi" w:cs="Arial"/>
          <w:color w:val="212121"/>
          <w:sz w:val="22"/>
          <w:szCs w:val="22"/>
          <w:shd w:val="clear" w:color="auto" w:fill="FFFFFF"/>
        </w:rPr>
        <w:t xml:space="preserve">Roedd y Phariseaid yn llym iawn ynglŷn â chyfraith kosher a phurdeb. Fe wnaethant nhw benderfynu tynnu’r ffocws bant o’r deml a chanolbwyntio ar weithgareddau o fewn y synagog yn lle. Nid oedd gan y Deml cymaint o awdurdod i’r Phariseaid i gymharu gyda’r Sadwceaid. Roedd bywyd pob dydd yn bwysig </w:t>
      </w:r>
      <w:r w:rsidR="00050EBC" w:rsidRPr="009E5B7E">
        <w:rPr>
          <w:rFonts w:asciiTheme="minorHAnsi" w:hAnsiTheme="minorHAnsi" w:cs="Arial"/>
          <w:color w:val="212121"/>
          <w:sz w:val="22"/>
          <w:szCs w:val="22"/>
          <w:shd w:val="clear" w:color="auto" w:fill="FFFFFF"/>
        </w:rPr>
        <w:t xml:space="preserve">iddynt </w:t>
      </w:r>
      <w:r w:rsidRPr="009E5B7E">
        <w:rPr>
          <w:rFonts w:asciiTheme="minorHAnsi" w:hAnsiTheme="minorHAnsi" w:cs="Arial"/>
          <w:color w:val="212121"/>
          <w:sz w:val="22"/>
          <w:szCs w:val="22"/>
          <w:shd w:val="clear" w:color="auto" w:fill="FFFFFF"/>
        </w:rPr>
        <w:t>ac yn ôl nhw, dylai purdeb cael ei gyflawni o fewn bywyd o ddydd i ddydd. Dyma ddyfyniad oddi wrth lyfr Neusner sy’n ehangu ar strwythur y Phariseaid</w:t>
      </w:r>
      <w:r w:rsidR="00E6470C" w:rsidRPr="009E5B7E">
        <w:rPr>
          <w:rFonts w:asciiTheme="minorHAnsi" w:eastAsia="+mj-ea" w:hAnsiTheme="minorHAnsi" w:cs="+mj-cs"/>
          <w:kern w:val="24"/>
          <w:sz w:val="22"/>
          <w:szCs w:val="22"/>
        </w:rPr>
        <w:t xml:space="preserve">. </w:t>
      </w:r>
      <w:r w:rsidR="00E6470C" w:rsidRPr="009E5B7E">
        <w:rPr>
          <w:rFonts w:asciiTheme="minorHAnsi" w:hAnsiTheme="minorHAnsi" w:cs="Arial"/>
          <w:color w:val="212121"/>
          <w:sz w:val="22"/>
          <w:szCs w:val="22"/>
          <w:shd w:val="clear" w:color="auto" w:fill="FFFFFF"/>
        </w:rPr>
        <w:t xml:space="preserve">“Pharisaic stress on </w:t>
      </w:r>
      <w:r w:rsidR="00355597" w:rsidRPr="009E5B7E">
        <w:rPr>
          <w:rFonts w:asciiTheme="minorHAnsi" w:hAnsiTheme="minorHAnsi" w:cs="Arial"/>
          <w:color w:val="212121"/>
          <w:sz w:val="22"/>
          <w:szCs w:val="22"/>
          <w:shd w:val="clear" w:color="auto" w:fill="FFFFFF"/>
        </w:rPr>
        <w:t>tithing</w:t>
      </w:r>
      <w:r w:rsidR="00E6470C" w:rsidRPr="009E5B7E">
        <w:rPr>
          <w:rFonts w:asciiTheme="minorHAnsi" w:hAnsiTheme="minorHAnsi" w:cs="Arial"/>
          <w:color w:val="212121"/>
          <w:sz w:val="22"/>
          <w:szCs w:val="22"/>
          <w:shd w:val="clear" w:color="auto" w:fill="FFFFFF"/>
        </w:rPr>
        <w:t xml:space="preserve"> and Pharasaic commitment to keeping the purity laws outside of the Temple.”</w:t>
      </w:r>
      <w:r w:rsidR="00E6470C" w:rsidRPr="009E5B7E">
        <w:rPr>
          <w:rStyle w:val="FootnoteReference"/>
          <w:rFonts w:asciiTheme="minorHAnsi" w:hAnsiTheme="minorHAnsi" w:cs="Arial"/>
          <w:color w:val="212121"/>
          <w:sz w:val="22"/>
          <w:szCs w:val="22"/>
          <w:shd w:val="clear" w:color="auto" w:fill="FFFFFF"/>
        </w:rPr>
        <w:footnoteReference w:id="3"/>
      </w:r>
      <w:r w:rsidR="00355597"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Cawn weld mai prif fwriad y sect yw helpu Iddewon dilyn y canllawiau, ac i wneud hyn tu allan o’r deml. Dyma yw’r prif reswm pam roedd y Phariseaid wedi tynnu ffocws bant o’r deml gan eu bod nhw’n ystyried fod y cyfreithiau purdeb yn bwysicach. Dywed nifer mai dyma oedd sut wnaeth y Phariseaid goroesi, gan eu bod nhw’n ffocysu ar rywbeth newydd</w:t>
      </w:r>
      <w:r w:rsidR="00B035A5" w:rsidRPr="009E5B7E">
        <w:rPr>
          <w:rFonts w:asciiTheme="minorHAnsi" w:hAnsiTheme="minorHAnsi" w:cs="Arial"/>
          <w:color w:val="212121"/>
          <w:sz w:val="22"/>
          <w:szCs w:val="22"/>
          <w:shd w:val="clear" w:color="auto" w:fill="FFFFFF"/>
        </w:rPr>
        <w:t xml:space="preserve"> sy’n hollol wahanol i’r grwpiau eraill</w:t>
      </w:r>
      <w:r w:rsidR="00681648" w:rsidRPr="00681648">
        <w:rPr>
          <w:rFonts w:asciiTheme="minorHAnsi" w:hAnsiTheme="minorHAnsi" w:cs="Arial"/>
          <w:color w:val="212121"/>
          <w:sz w:val="22"/>
          <w:szCs w:val="22"/>
          <w:shd w:val="clear" w:color="auto" w:fill="FFFFFF"/>
        </w:rPr>
        <w:t>. Yn ôl Eliezer</w:t>
      </w:r>
      <w:r w:rsidR="00C62618">
        <w:rPr>
          <w:rFonts w:asciiTheme="minorHAnsi" w:hAnsiTheme="minorHAnsi" w:cs="Arial"/>
          <w:color w:val="212121"/>
          <w:sz w:val="22"/>
          <w:szCs w:val="22"/>
          <w:shd w:val="clear" w:color="auto" w:fill="FFFFFF"/>
        </w:rPr>
        <w:t xml:space="preserve"> Segal yn ei lyfr ar Iddewiaeth;</w:t>
      </w:r>
      <w:r w:rsidR="00681648" w:rsidRPr="00681648">
        <w:rPr>
          <w:rFonts w:asciiTheme="minorHAnsi" w:hAnsiTheme="minorHAnsi" w:cs="Arial"/>
          <w:color w:val="212121"/>
          <w:sz w:val="22"/>
          <w:szCs w:val="22"/>
          <w:shd w:val="clear" w:color="auto" w:fill="FFFFFF"/>
        </w:rPr>
        <w:t xml:space="preserve"> roedd y Phariseaid yn gyfieithwyr arbennig o’r gyfraith ac yn ddigon dylanwadol i </w:t>
      </w:r>
      <w:r w:rsidR="00C62618">
        <w:rPr>
          <w:rFonts w:asciiTheme="minorHAnsi" w:hAnsiTheme="minorHAnsi" w:cs="Arial"/>
          <w:color w:val="212121"/>
          <w:sz w:val="22"/>
          <w:szCs w:val="22"/>
          <w:shd w:val="clear" w:color="auto" w:fill="FFFFFF"/>
        </w:rPr>
        <w:t>arddodi</w:t>
      </w:r>
      <w:r w:rsidR="00681648" w:rsidRPr="00681648">
        <w:rPr>
          <w:rFonts w:asciiTheme="minorHAnsi" w:hAnsiTheme="minorHAnsi" w:cs="Arial"/>
          <w:color w:val="212121"/>
          <w:sz w:val="22"/>
          <w:szCs w:val="22"/>
          <w:shd w:val="clear" w:color="auto" w:fill="FFFFFF"/>
        </w:rPr>
        <w:t xml:space="preserve"> dylanwadau eu hun ar y rhai oedd ddim yn eu derbyn nhw fel grŵp.</w:t>
      </w:r>
      <w:r w:rsidR="00681648">
        <w:rPr>
          <w:rFonts w:asciiTheme="minorHAnsi" w:hAnsiTheme="minorHAnsi" w:cs="Arial"/>
          <w:color w:val="212121"/>
          <w:sz w:val="22"/>
          <w:szCs w:val="22"/>
          <w:shd w:val="clear" w:color="auto" w:fill="FFFFFF"/>
        </w:rPr>
        <w:t xml:space="preserve"> </w:t>
      </w:r>
      <w:r w:rsidR="00681648">
        <w:rPr>
          <w:rFonts w:asciiTheme="minorHAnsi" w:hAnsiTheme="minorHAnsi"/>
          <w:sz w:val="22"/>
          <w:szCs w:val="22"/>
        </w:rPr>
        <w:t>Roedd</w:t>
      </w:r>
      <w:r w:rsidRPr="009E5B7E">
        <w:rPr>
          <w:rFonts w:asciiTheme="minorHAnsi" w:hAnsiTheme="minorHAnsi"/>
          <w:sz w:val="22"/>
          <w:szCs w:val="22"/>
        </w:rPr>
        <w:t xml:space="preserve"> y Phariseaid wedi cymryd llinellau arbennig mewn perthynas â chyfreithiau purdeb a dietegol</w:t>
      </w:r>
      <w:r w:rsidR="00B035A5" w:rsidRPr="009E5B7E">
        <w:rPr>
          <w:rFonts w:asciiTheme="minorHAnsi" w:hAnsiTheme="minorHAnsi"/>
          <w:sz w:val="22"/>
          <w:szCs w:val="22"/>
        </w:rPr>
        <w:t>,</w:t>
      </w:r>
      <w:r w:rsidRPr="009E5B7E">
        <w:rPr>
          <w:rFonts w:asciiTheme="minorHAnsi" w:hAnsiTheme="minorHAnsi"/>
          <w:sz w:val="22"/>
          <w:szCs w:val="22"/>
        </w:rPr>
        <w:t xml:space="preserve"> ac roedd hyn yn eu hatal rhag rhyngweithio yn hollol gymdeithasol gydag Iddewon oedd wedi peidio cadw'r un llinellau. Yn ogystal â’r ffocws ar y Synagog a phurdeb, roedd y Phariseaid hefyd wedi canolbwyntio ar y Tora Llafar. Hwn yw’r gyfraith sy’n ehangu ar yr ysgrythurau ac yn datblygu’r rheolau ar gyfer yr Iddewon. Roedd nifer o Iddewon yn hoff iawn o’r Tora Llafar ac fe ddaeth yn boblogaidd iawn. Roedd yn ffordd o helpu Iddewon ddilyn gorchmynion y grefydd a sicrhau eu bod nhw ar y llwybr cywir. Roedd y Phariseaid hefyd wedi ychwanegu llawer iawn o ddeunydd traddodiadol i Iddewiaeth. Yn ddiweddarach, fe gafodd y deunydd yma eu pasio o un genhedlaeth i'r nesaf. </w:t>
      </w:r>
      <w:r w:rsidR="00CD1445" w:rsidRPr="009E5B7E">
        <w:rPr>
          <w:rFonts w:asciiTheme="minorHAnsi" w:hAnsiTheme="minorHAnsi"/>
          <w:sz w:val="22"/>
          <w:szCs w:val="22"/>
        </w:rPr>
        <w:t>“The oral tradition included many components that were not mentioned at all in the Torah, such as the extensive elements of customary practice that were incorporated into rabbinic civil law.”</w:t>
      </w:r>
      <w:r w:rsidR="00CD1445" w:rsidRPr="009E5B7E">
        <w:rPr>
          <w:rStyle w:val="FootnoteReference"/>
          <w:rFonts w:asciiTheme="minorHAnsi" w:hAnsiTheme="minorHAnsi"/>
          <w:sz w:val="22"/>
          <w:szCs w:val="22"/>
        </w:rPr>
        <w:footnoteReference w:id="4"/>
      </w:r>
      <w:r w:rsidR="00CD1445" w:rsidRPr="009E5B7E">
        <w:rPr>
          <w:rFonts w:asciiTheme="minorHAnsi" w:hAnsiTheme="minorHAnsi"/>
          <w:sz w:val="22"/>
          <w:szCs w:val="22"/>
        </w:rPr>
        <w:t xml:space="preserve"> Mae’r dyfyniad yma yn ehangu ar y ffaith fod y Phariseaid hefyd wedi creu deddfau newydd ar gyfer eu dilynwyr er mwyn helpu nhw gyrraedd eu nod fel Iddew. </w:t>
      </w:r>
      <w:r w:rsidRPr="009E5B7E">
        <w:rPr>
          <w:rFonts w:asciiTheme="minorHAnsi" w:hAnsiTheme="minorHAnsi"/>
          <w:sz w:val="22"/>
          <w:szCs w:val="22"/>
        </w:rPr>
        <w:t xml:space="preserve">Dywed y Phariseaid fod arsylwi’r Torah yn bwysig iawn, a’r mwyaf y byddai Iddew yn astudio’r gyfraith, y mwyaf o awdurdod byddai’n nhw’n derbyn. Er bod y Sadwceaid hefyd yn cydnabod y Torah ysgrifenedig, nid oedden nhw wedi ystyried y Torah llafar. Am hyn, roedd yna dipyn o wrthdaro rhwng y Phariseaid a’r Sadwceaid wrth iddyn nhw wrthod syniad y Phariseaid ynglŷn â’r Torah llafar. Roedd pŵer geiriau’r Torah llafar wedi helpu Iddewiaeth i ymladd ymlaen ar ôl y deml. Roedd eu cyfreithiau purdeb yn apelio at fwy o Iddewon gan eu bod nhw’n cymhwyso i fywyd pob dydd. Am hyn, dywed nifer fod y Phariseaid yn gyfrifol o </w:t>
      </w:r>
      <w:r w:rsidR="0069045F">
        <w:rPr>
          <w:rFonts w:asciiTheme="minorHAnsi" w:hAnsiTheme="minorHAnsi"/>
          <w:sz w:val="22"/>
          <w:szCs w:val="22"/>
        </w:rPr>
        <w:t xml:space="preserve">ddenu </w:t>
      </w:r>
      <w:r w:rsidRPr="009E5B7E">
        <w:rPr>
          <w:rFonts w:asciiTheme="minorHAnsi" w:hAnsiTheme="minorHAnsi"/>
          <w:sz w:val="22"/>
          <w:szCs w:val="22"/>
        </w:rPr>
        <w:t xml:space="preserve">mwy o </w:t>
      </w:r>
      <w:r w:rsidR="0069045F">
        <w:rPr>
          <w:rFonts w:asciiTheme="minorHAnsi" w:hAnsiTheme="minorHAnsi"/>
          <w:sz w:val="22"/>
          <w:szCs w:val="22"/>
        </w:rPr>
        <w:t xml:space="preserve">bobl oedd yn awyddus i barhau dilyn Iddewiaeth </w:t>
      </w:r>
      <w:r w:rsidRPr="009E5B7E">
        <w:rPr>
          <w:rFonts w:asciiTheme="minorHAnsi" w:hAnsiTheme="minorHAnsi"/>
          <w:sz w:val="22"/>
          <w:szCs w:val="22"/>
        </w:rPr>
        <w:t>a sicrhau ei fod yn goroesi’r amser dychrynllyd o ddinistriad eu man addoli.</w:t>
      </w:r>
    </w:p>
    <w:p w14:paraId="6E29F30B" w14:textId="77777777" w:rsidR="007C7FAB" w:rsidRPr="009E5B7E" w:rsidRDefault="007C7FAB" w:rsidP="009E5B7E">
      <w:pPr>
        <w:pStyle w:val="HTMLPreformatted"/>
        <w:shd w:val="clear" w:color="auto" w:fill="FFFFFF"/>
        <w:rPr>
          <w:rFonts w:asciiTheme="minorHAnsi" w:hAnsiTheme="minorHAnsi" w:cs="Arial"/>
          <w:color w:val="212121"/>
          <w:sz w:val="22"/>
          <w:szCs w:val="22"/>
          <w:shd w:val="clear" w:color="auto" w:fill="FFFFFF"/>
        </w:rPr>
      </w:pPr>
    </w:p>
    <w:p w14:paraId="2A967423" w14:textId="21221360" w:rsidR="001439AF" w:rsidRPr="009E5B7E" w:rsidRDefault="001439AF"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cs="Arial"/>
          <w:color w:val="212121"/>
          <w:sz w:val="22"/>
          <w:szCs w:val="22"/>
          <w:shd w:val="clear" w:color="auto" w:fill="FFFFFF"/>
        </w:rPr>
        <w:t>Dyma ddyfyniad o erthygl Ross ar y Phariseaid lle cawn weld ei fod yn sôn am ymrwymiad y symudiad Iddewig i’r ysgrythurau, pe bai yn ysgrifenedig neu ar lafar.</w:t>
      </w:r>
      <w:r w:rsidR="007C7FAB" w:rsidRPr="009E5B7E">
        <w:rPr>
          <w:rFonts w:asciiTheme="minorHAnsi" w:hAnsiTheme="minorHAnsi" w:cs="Arial"/>
          <w:color w:val="212121"/>
          <w:sz w:val="22"/>
          <w:szCs w:val="22"/>
          <w:shd w:val="clear" w:color="auto" w:fill="FFFFFF"/>
        </w:rPr>
        <w:t xml:space="preserve"> </w:t>
      </w:r>
      <w:r w:rsidR="00514652" w:rsidRPr="009E5B7E">
        <w:rPr>
          <w:rFonts w:asciiTheme="minorHAnsi" w:hAnsiTheme="minorHAnsi" w:cs="Arial"/>
          <w:color w:val="212121"/>
          <w:sz w:val="22"/>
          <w:szCs w:val="22"/>
          <w:shd w:val="clear" w:color="auto" w:fill="FFFFFF"/>
        </w:rPr>
        <w:t>“</w:t>
      </w:r>
      <w:r w:rsidR="00FB56BA" w:rsidRPr="009E5B7E">
        <w:rPr>
          <w:rFonts w:asciiTheme="minorHAnsi" w:hAnsiTheme="minorHAnsi" w:cs="Arial"/>
          <w:color w:val="212121"/>
          <w:sz w:val="22"/>
          <w:szCs w:val="22"/>
          <w:shd w:val="clear" w:color="auto" w:fill="FFFFFF"/>
        </w:rPr>
        <w:t>The Pharisees were committed to validity of the scriptures as well as the oral Torah. They were progressive, open to reasonable change.</w:t>
      </w:r>
      <w:r w:rsidR="005A558A" w:rsidRPr="009E5B7E">
        <w:rPr>
          <w:rFonts w:asciiTheme="minorHAnsi" w:hAnsiTheme="minorHAnsi" w:cs="Arial"/>
          <w:color w:val="212121"/>
          <w:sz w:val="22"/>
          <w:szCs w:val="22"/>
          <w:shd w:val="clear" w:color="auto" w:fill="FFFFFF"/>
        </w:rPr>
        <w:t xml:space="preserve"> Rabbinic Judaism is what Pharisaism developed into; there was the ascendancy of a non-political academy, and the rule shifted from Sanhedrin to the sages.</w:t>
      </w:r>
      <w:r w:rsidR="00514652" w:rsidRPr="009E5B7E">
        <w:rPr>
          <w:rFonts w:asciiTheme="minorHAnsi" w:hAnsiTheme="minorHAnsi" w:cs="Arial"/>
          <w:color w:val="212121"/>
          <w:sz w:val="22"/>
          <w:szCs w:val="22"/>
          <w:shd w:val="clear" w:color="auto" w:fill="FFFFFF"/>
        </w:rPr>
        <w:t>”</w:t>
      </w:r>
      <w:r w:rsidR="00FB56BA" w:rsidRPr="009E5B7E">
        <w:rPr>
          <w:rStyle w:val="FootnoteReference"/>
          <w:rFonts w:asciiTheme="minorHAnsi" w:hAnsiTheme="minorHAnsi" w:cs="Arial"/>
          <w:color w:val="212121"/>
          <w:sz w:val="22"/>
          <w:szCs w:val="22"/>
          <w:shd w:val="clear" w:color="auto" w:fill="FFFFFF"/>
        </w:rPr>
        <w:footnoteReference w:id="5"/>
      </w:r>
      <w:r w:rsidR="005A558A"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 xml:space="preserve">Mae’r dyfyniad yma hefyd yn egluro fod gallu’r Phariseaid i wrando ar eraill a dadlau pwyntiau gwahanol wedi helpu eu llwyddiant nhw fel grŵp o fewn Iddewiaeth. Cawn weld fod Iddewiaeth ar y cyfan wedi deillio o ganllawiau cyfarwyddyd y Phariseaid. Am hyn, cawn ganfod bod yna ddisgyniad llinellol. Roedd credoau </w:t>
      </w:r>
      <w:r w:rsidR="004D043F" w:rsidRPr="009E5B7E">
        <w:rPr>
          <w:rFonts w:asciiTheme="minorHAnsi" w:hAnsiTheme="minorHAnsi" w:cs="Arial"/>
          <w:color w:val="212121"/>
          <w:sz w:val="22"/>
          <w:szCs w:val="22"/>
          <w:shd w:val="clear" w:color="auto" w:fill="FFFFFF"/>
        </w:rPr>
        <w:t>y Phariseaid</w:t>
      </w:r>
      <w:r w:rsidRPr="009E5B7E">
        <w:rPr>
          <w:rFonts w:asciiTheme="minorHAnsi" w:hAnsiTheme="minorHAnsi" w:cs="Arial"/>
          <w:color w:val="212121"/>
          <w:sz w:val="22"/>
          <w:szCs w:val="22"/>
          <w:shd w:val="clear" w:color="auto" w:fill="FFFFFF"/>
        </w:rPr>
        <w:t xml:space="preserve"> yn ystod cyfnod Yavneh yn hanfodol wrth ystyried goroesiad Iddewiaeth. </w:t>
      </w:r>
      <w:r w:rsidR="004D043F" w:rsidRPr="009E5B7E">
        <w:rPr>
          <w:rFonts w:asciiTheme="minorHAnsi" w:hAnsiTheme="minorHAnsi"/>
          <w:sz w:val="22"/>
          <w:szCs w:val="22"/>
        </w:rPr>
        <w:lastRenderedPageBreak/>
        <w:t>Roedd y cyfnod yn Yavneh yn amser pwysig iawn o fewn hanes Iddewiaeth, ac roedd arweinydd y Phariseaid, sef Rabban Yohanan ben Zakkai, wedi ymladd yn barhaus er mwyn sicrhau fod dilysrwydd a chymeriad Iddewiaeth yn goroesi. “Yavneh was a town on the Mediterranean coast where, according to rabbinic tradition, an assembly of Pharisaic sages convened in order to continue the process of religious scholarship that had been carried on during the days of the Temple.”</w:t>
      </w:r>
      <w:r w:rsidR="004D043F" w:rsidRPr="009E5B7E">
        <w:rPr>
          <w:rStyle w:val="FootnoteReference"/>
          <w:rFonts w:asciiTheme="minorHAnsi" w:hAnsiTheme="minorHAnsi"/>
          <w:sz w:val="22"/>
          <w:szCs w:val="22"/>
        </w:rPr>
        <w:footnoteReference w:id="6"/>
      </w:r>
      <w:r w:rsidR="004D043F" w:rsidRPr="009E5B7E">
        <w:rPr>
          <w:rFonts w:asciiTheme="minorHAnsi" w:hAnsiTheme="minorHAnsi"/>
          <w:sz w:val="22"/>
          <w:szCs w:val="22"/>
        </w:rPr>
        <w:t xml:space="preserve"> </w:t>
      </w:r>
      <w:r w:rsidRPr="009E5B7E">
        <w:rPr>
          <w:rFonts w:asciiTheme="minorHAnsi" w:hAnsiTheme="minorHAnsi" w:cs="Arial"/>
          <w:color w:val="212121"/>
          <w:sz w:val="22"/>
          <w:szCs w:val="22"/>
          <w:shd w:val="clear" w:color="auto" w:fill="FFFFFF"/>
        </w:rPr>
        <w:t>Roedd y pwyslais ar sancteiddrwydd o fewn bywyd pob dydd wedi sicrhau fod eu dilynwyr yn y meddwl cywir er mwyn parhau byw fel Iddew. Nid oedd angen y deml ymhellach, roedd yn rhaid dilyn gorchmynion Duw yn unig. Roedd ymddygiad yn bwysig iawn i’r Phariseaid</w:t>
      </w:r>
      <w:r w:rsidR="006001B7" w:rsidRPr="009E5B7E">
        <w:rPr>
          <w:rFonts w:asciiTheme="minorHAnsi" w:hAnsiTheme="minorHAnsi" w:cs="Arial"/>
          <w:color w:val="212121"/>
          <w:sz w:val="22"/>
          <w:szCs w:val="22"/>
          <w:shd w:val="clear" w:color="auto" w:fill="FFFFFF"/>
        </w:rPr>
        <w:t>.</w:t>
      </w:r>
      <w:r w:rsidRPr="009E5B7E">
        <w:rPr>
          <w:rFonts w:asciiTheme="minorHAnsi" w:hAnsiTheme="minorHAnsi" w:cs="Arial"/>
          <w:color w:val="212121"/>
          <w:sz w:val="22"/>
          <w:szCs w:val="22"/>
          <w:shd w:val="clear" w:color="auto" w:fill="FFFFFF"/>
        </w:rPr>
        <w:t xml:space="preserve"> Mae’r dyfyniad yma o lyfr Jeremias yn profi hyn. </w:t>
      </w:r>
      <w:r w:rsidR="00524727" w:rsidRPr="009E5B7E">
        <w:rPr>
          <w:rFonts w:asciiTheme="minorHAnsi" w:hAnsiTheme="minorHAnsi" w:cs="Arial"/>
          <w:color w:val="212121"/>
          <w:sz w:val="22"/>
          <w:szCs w:val="22"/>
          <w:shd w:val="clear" w:color="auto" w:fill="FFFFFF"/>
        </w:rPr>
        <w:t>“Moreover, we must remember that the Pharisees themselves attached the greatest importance to works of supererogation and good works; what is more, accomplishment of works of supererogation was an integral part of the very essence of Pharisaism and its ideas of meritorious behaviour.”</w:t>
      </w:r>
      <w:r w:rsidR="001B3AF9" w:rsidRPr="009E5B7E">
        <w:rPr>
          <w:rStyle w:val="FootnoteReference"/>
          <w:rFonts w:asciiTheme="minorHAnsi" w:hAnsiTheme="minorHAnsi" w:cs="Arial"/>
          <w:color w:val="212121"/>
          <w:sz w:val="22"/>
          <w:szCs w:val="22"/>
          <w:shd w:val="clear" w:color="auto" w:fill="FFFFFF"/>
        </w:rPr>
        <w:footnoteReference w:id="7"/>
      </w:r>
      <w:r w:rsidR="001B3AF9"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 xml:space="preserve">Mewn arall eiriau, roedd y Phariseaid yn ceisio cyflawni’r syniad fod gwaith caled yn talu i ffwrdd. Wrth iddyn nhw gadw’n llym i’r deddfau, </w:t>
      </w:r>
      <w:r w:rsidR="00F27C5E" w:rsidRPr="009E5B7E">
        <w:rPr>
          <w:rFonts w:asciiTheme="minorHAnsi" w:hAnsiTheme="minorHAnsi" w:cs="Arial"/>
          <w:color w:val="212121"/>
          <w:sz w:val="22"/>
          <w:szCs w:val="22"/>
          <w:shd w:val="clear" w:color="auto" w:fill="FFFFFF"/>
        </w:rPr>
        <w:t>r</w:t>
      </w:r>
      <w:r w:rsidRPr="009E5B7E">
        <w:rPr>
          <w:rFonts w:asciiTheme="minorHAnsi" w:hAnsiTheme="minorHAnsi" w:cs="Arial"/>
          <w:color w:val="212121"/>
          <w:sz w:val="22"/>
          <w:szCs w:val="22"/>
          <w:shd w:val="clear" w:color="auto" w:fill="FFFFFF"/>
        </w:rPr>
        <w:t>oedd y</w:t>
      </w:r>
      <w:r w:rsidR="00F27C5E" w:rsidRPr="009E5B7E">
        <w:rPr>
          <w:rFonts w:asciiTheme="minorHAnsi" w:hAnsiTheme="minorHAnsi" w:cs="Arial"/>
          <w:color w:val="212121"/>
          <w:sz w:val="22"/>
          <w:szCs w:val="22"/>
          <w:shd w:val="clear" w:color="auto" w:fill="FFFFFF"/>
        </w:rPr>
        <w:t>n</w:t>
      </w:r>
      <w:r w:rsidRPr="009E5B7E">
        <w:rPr>
          <w:rFonts w:asciiTheme="minorHAnsi" w:hAnsiTheme="minorHAnsi" w:cs="Arial"/>
          <w:color w:val="212121"/>
          <w:sz w:val="22"/>
          <w:szCs w:val="22"/>
          <w:shd w:val="clear" w:color="auto" w:fill="FFFFFF"/>
        </w:rPr>
        <w:t xml:space="preserve"> ffordd i ennill parch pobl eraill. Yn ôl y ffynhonnell</w:t>
      </w:r>
      <w:r w:rsidR="006C58DA">
        <w:rPr>
          <w:rFonts w:asciiTheme="minorHAnsi" w:hAnsiTheme="minorHAnsi" w:cs="Arial"/>
          <w:color w:val="212121"/>
          <w:sz w:val="22"/>
          <w:szCs w:val="22"/>
          <w:shd w:val="clear" w:color="auto" w:fill="FFFFFF"/>
        </w:rPr>
        <w:t>au</w:t>
      </w:r>
      <w:r w:rsidRPr="009E5B7E">
        <w:rPr>
          <w:rFonts w:asciiTheme="minorHAnsi" w:hAnsiTheme="minorHAnsi" w:cs="Arial"/>
          <w:color w:val="212121"/>
          <w:sz w:val="22"/>
          <w:szCs w:val="22"/>
          <w:shd w:val="clear" w:color="auto" w:fill="FFFFFF"/>
        </w:rPr>
        <w:t xml:space="preserve"> gynnar, cawn ddysgu fod nifer o offeiriaid wedi cymryd rhan yn y symudiad Phariseaidd. Mae’n debyg roedd hyn lawr i’r ffaith fod y symudiad wedi tarddu yn y deml. Roedd y syniad o ymarfer y deddfau pur wedi apelio atyn nhw. Roedd galwadau’r Phariseaid ar </w:t>
      </w:r>
      <w:r w:rsidR="00C971BB" w:rsidRPr="009E5B7E">
        <w:rPr>
          <w:rFonts w:asciiTheme="minorHAnsi" w:hAnsiTheme="minorHAnsi" w:cs="Arial"/>
          <w:color w:val="212121"/>
          <w:sz w:val="22"/>
          <w:szCs w:val="22"/>
          <w:shd w:val="clear" w:color="auto" w:fill="FFFFFF"/>
        </w:rPr>
        <w:t>groywder</w:t>
      </w:r>
      <w:r w:rsidRPr="009E5B7E">
        <w:rPr>
          <w:rFonts w:asciiTheme="minorHAnsi" w:hAnsiTheme="minorHAnsi" w:cs="Arial"/>
          <w:color w:val="212121"/>
          <w:sz w:val="22"/>
          <w:szCs w:val="22"/>
          <w:shd w:val="clear" w:color="auto" w:fill="FFFFFF"/>
        </w:rPr>
        <w:t xml:space="preserve"> wedi cael dylanwad ar fywydau’r offeiriaid</w:t>
      </w:r>
      <w:r w:rsidR="00F27C5E" w:rsidRPr="009E5B7E">
        <w:rPr>
          <w:rFonts w:asciiTheme="minorHAnsi" w:hAnsiTheme="minorHAnsi" w:cs="Arial"/>
          <w:color w:val="212121"/>
          <w:sz w:val="22"/>
          <w:szCs w:val="22"/>
          <w:shd w:val="clear" w:color="auto" w:fill="FFFFFF"/>
        </w:rPr>
        <w:t xml:space="preserve"> hefyd. Wrth ddarllen pennod Jeremias ar y Phariseaid, </w:t>
      </w:r>
      <w:r w:rsidRPr="009E5B7E">
        <w:rPr>
          <w:rFonts w:asciiTheme="minorHAnsi" w:hAnsiTheme="minorHAnsi" w:cs="Arial"/>
          <w:color w:val="212121"/>
          <w:sz w:val="22"/>
          <w:szCs w:val="22"/>
          <w:shd w:val="clear" w:color="auto" w:fill="FFFFFF"/>
        </w:rPr>
        <w:t xml:space="preserve">rydyn yn cael y syniad fod arsylwi purdeb o ddydd i ddydd yn sicrhau fod deddfau eraill yn gallu cael eu haddasu i siwtio’r unigolyn. Dyma </w:t>
      </w:r>
      <w:r w:rsidR="00F51883">
        <w:rPr>
          <w:rFonts w:asciiTheme="minorHAnsi" w:hAnsiTheme="minorHAnsi" w:cs="Arial"/>
          <w:color w:val="212121"/>
          <w:sz w:val="22"/>
          <w:szCs w:val="22"/>
          <w:shd w:val="clear" w:color="auto" w:fill="FFFFFF"/>
        </w:rPr>
        <w:t>yw</w:t>
      </w:r>
      <w:r w:rsidRPr="009E5B7E">
        <w:rPr>
          <w:rFonts w:asciiTheme="minorHAnsi" w:hAnsiTheme="minorHAnsi" w:cs="Arial"/>
          <w:color w:val="212121"/>
          <w:sz w:val="22"/>
          <w:szCs w:val="22"/>
          <w:shd w:val="clear" w:color="auto" w:fill="FFFFFF"/>
        </w:rPr>
        <w:t xml:space="preserve"> beth </w:t>
      </w:r>
      <w:r w:rsidR="00F51883">
        <w:rPr>
          <w:rFonts w:asciiTheme="minorHAnsi" w:hAnsiTheme="minorHAnsi" w:cs="Arial"/>
          <w:color w:val="212121"/>
          <w:sz w:val="22"/>
          <w:szCs w:val="22"/>
          <w:shd w:val="clear" w:color="auto" w:fill="FFFFFF"/>
        </w:rPr>
        <w:t xml:space="preserve">sy’n arwyddocaol amdano’r </w:t>
      </w:r>
      <w:r w:rsidRPr="009E5B7E">
        <w:rPr>
          <w:rFonts w:asciiTheme="minorHAnsi" w:hAnsiTheme="minorHAnsi" w:cs="Arial"/>
          <w:color w:val="212121"/>
          <w:sz w:val="22"/>
          <w:szCs w:val="22"/>
          <w:shd w:val="clear" w:color="auto" w:fill="FFFFFF"/>
        </w:rPr>
        <w:t>Phariseaid</w:t>
      </w:r>
      <w:r w:rsidR="00F51883">
        <w:rPr>
          <w:rFonts w:asciiTheme="minorHAnsi" w:hAnsiTheme="minorHAnsi" w:cs="Arial"/>
          <w:color w:val="212121"/>
          <w:sz w:val="22"/>
          <w:szCs w:val="22"/>
          <w:shd w:val="clear" w:color="auto" w:fill="FFFFFF"/>
        </w:rPr>
        <w:t>, sef eu</w:t>
      </w:r>
      <w:r w:rsidRPr="009E5B7E">
        <w:rPr>
          <w:rFonts w:asciiTheme="minorHAnsi" w:hAnsiTheme="minorHAnsi" w:cs="Arial"/>
          <w:color w:val="212121"/>
          <w:sz w:val="22"/>
          <w:szCs w:val="22"/>
          <w:shd w:val="clear" w:color="auto" w:fill="FFFFFF"/>
        </w:rPr>
        <w:t xml:space="preserve"> gallu i addasu cyfreithiau Iddewig er mwyn sicrhau eu bod nhw’n apelio at fywyd dyddiol mewn cyfnodau mwy modern. </w:t>
      </w:r>
    </w:p>
    <w:p w14:paraId="68F22ED7" w14:textId="77777777" w:rsidR="001439AF" w:rsidRPr="009E5B7E" w:rsidRDefault="001439AF" w:rsidP="009E5B7E">
      <w:pPr>
        <w:pStyle w:val="HTMLPreformatted"/>
        <w:shd w:val="clear" w:color="auto" w:fill="FFFFFF"/>
        <w:rPr>
          <w:rFonts w:asciiTheme="minorHAnsi" w:hAnsiTheme="minorHAnsi" w:cs="Arial"/>
          <w:color w:val="212121"/>
          <w:sz w:val="22"/>
          <w:szCs w:val="22"/>
          <w:shd w:val="clear" w:color="auto" w:fill="FFFFFF"/>
        </w:rPr>
      </w:pPr>
    </w:p>
    <w:p w14:paraId="3F23B8D7" w14:textId="334DFB2E" w:rsidR="00896ABE" w:rsidRPr="009E5B7E" w:rsidRDefault="001439AF"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cs="Arial"/>
          <w:color w:val="212121"/>
          <w:sz w:val="22"/>
          <w:szCs w:val="22"/>
          <w:shd w:val="clear" w:color="auto" w:fill="FFFFFF"/>
        </w:rPr>
        <w:t xml:space="preserve">Cafodd y Phariseaid ddylanwad mawr ar y Sanhedrin, sef cynulliad o ddynion a oedd yn eistedd gyda'i gilydd yn y llys. Fe wnaeth y Phariseaid sicrhau bod eu llais yn cael eu clywed o fewn y Sanhedrin er mwyn gwarantu eu bod nhw’n llwyddo fel sect. Erbyn hyn, roedd y Phariseaid yn grŵp poblogaidd ac roedd ganddyn nhw dipyn o ddylanwad ar eu dilynwyr. Roedd ganddyn nhw berthynas gyda Brenin Herod, a chawn ddysgu hyn wrth i Herod rhoi anrhydeddau iddynt. Fe roddodd mynediad iddynt i’r llys o fewn Jerwsalem. </w:t>
      </w:r>
      <w:r w:rsidR="004B21E6" w:rsidRPr="009E5B7E">
        <w:rPr>
          <w:rFonts w:asciiTheme="minorHAnsi" w:hAnsiTheme="minorHAnsi" w:cs="Arial"/>
          <w:color w:val="212121"/>
          <w:sz w:val="22"/>
          <w:szCs w:val="22"/>
          <w:shd w:val="clear" w:color="auto" w:fill="FFFFFF"/>
        </w:rPr>
        <w:t>“The reason for the King’s toleration of the Pharisees is to be found chiefly in their power: Herod had to keep continually before him the fact that the Pharisees had the support of the people.”</w:t>
      </w:r>
      <w:r w:rsidR="004B21E6" w:rsidRPr="009E5B7E">
        <w:rPr>
          <w:rStyle w:val="FootnoteReference"/>
          <w:rFonts w:asciiTheme="minorHAnsi" w:hAnsiTheme="minorHAnsi" w:cs="Arial"/>
          <w:color w:val="212121"/>
          <w:sz w:val="22"/>
          <w:szCs w:val="22"/>
          <w:shd w:val="clear" w:color="auto" w:fill="FFFFFF"/>
        </w:rPr>
        <w:footnoteReference w:id="8"/>
      </w:r>
      <w:r w:rsidR="004B21E6"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 xml:space="preserve">Wrth </w:t>
      </w:r>
      <w:r w:rsidR="00155502" w:rsidRPr="009E5B7E">
        <w:rPr>
          <w:rFonts w:asciiTheme="minorHAnsi" w:hAnsiTheme="minorHAnsi" w:cs="Arial"/>
          <w:color w:val="212121"/>
          <w:sz w:val="22"/>
          <w:szCs w:val="22"/>
          <w:shd w:val="clear" w:color="auto" w:fill="FFFFFF"/>
        </w:rPr>
        <w:t xml:space="preserve">ddarllen </w:t>
      </w:r>
      <w:r w:rsidRPr="009E5B7E">
        <w:rPr>
          <w:rFonts w:asciiTheme="minorHAnsi" w:hAnsiTheme="minorHAnsi" w:cs="Arial"/>
          <w:color w:val="212121"/>
          <w:sz w:val="22"/>
          <w:szCs w:val="22"/>
          <w:shd w:val="clear" w:color="auto" w:fill="FFFFFF"/>
        </w:rPr>
        <w:t xml:space="preserve">y dyfyniad yma o lyfr ‘Jerusalem in the Time of Jesus,’ mae’n glir i weld cymaint o bŵer oedd gan y symudiad Iddewig yma. Roedd y Phariseaid hyd yn oed wedi grymuso'r Brenin ar adegau. Am hyn, fe wnaethon nhw barhau i honni eu dylanwad o fewn y Sanhedrin. Dau ffigur a wnaeth </w:t>
      </w:r>
      <w:r w:rsidR="00155502" w:rsidRPr="009E5B7E">
        <w:rPr>
          <w:rFonts w:asciiTheme="minorHAnsi" w:hAnsiTheme="minorHAnsi" w:cs="Arial"/>
          <w:color w:val="212121"/>
          <w:sz w:val="22"/>
          <w:szCs w:val="22"/>
          <w:shd w:val="clear" w:color="auto" w:fill="FFFFFF"/>
        </w:rPr>
        <w:t xml:space="preserve">helpu </w:t>
      </w:r>
      <w:r w:rsidRPr="009E5B7E">
        <w:rPr>
          <w:rFonts w:asciiTheme="minorHAnsi" w:hAnsiTheme="minorHAnsi" w:cs="Arial"/>
          <w:color w:val="212121"/>
          <w:sz w:val="22"/>
          <w:szCs w:val="22"/>
          <w:shd w:val="clear" w:color="auto" w:fill="FFFFFF"/>
        </w:rPr>
        <w:t xml:space="preserve">dominyddu Iddewiaeth Phariseaidd yn ystod amser Herod oedd Hillel a Shammai. Roedd Shammai yn adnabyddus am ei lander a'i ddifrifoldeb; lle'r oedd Hillel yn adnabyddus am ei ddynoliaeth a hyfryded. Hillel oedd y dyn pwysicaf ar adeg Phariseaeth cyn 70, a chawn weld ei fod yn un o'r prif awdurdodau ar gyfer traddodiadau’r Mishnah. Roedd y Mishnah yn hwyrach yn cynnwys dysgeidiaethau cadwedig, a honnir fod y rhain yn perthyn i'r Phariseaid yn amser Iesu Grist. Mae dathliadau o fewn Iddewiaeth wedi eu sefydlu gan y Phariseaid, yn arbennig gwledd y Pentecost. Mae’n debyg roedd y rhai oedd yn erbyn y Phariseaid nawr yn dechrau sylweddoli fod hi’n amhosib ennill yn erbyn y symudiad gan eu bod nhw’n dal cymaint o bŵer. Roedd y Sadwceaid yn bennaf, wir yn erbyn y Phariseaid, a chawn weld mai’r rheswm am hyn oedd oherwydd datblygwyd y symudiad Pharisaig fel gwrthwynebiad i'r Sadwceaid. Er nid oedd pawb yn cefnogi’r Phariseaid, mae’n rhaid edmygu nhw am eu hymdrech i drin pawb yn gyfartal a pharhau i geisio plesio eu dilynwyr. </w:t>
      </w:r>
    </w:p>
    <w:p w14:paraId="61B82017" w14:textId="77777777" w:rsidR="00896ABE" w:rsidRPr="009E5B7E" w:rsidRDefault="00896ABE" w:rsidP="009E5B7E">
      <w:pPr>
        <w:pStyle w:val="HTMLPreformatted"/>
        <w:shd w:val="clear" w:color="auto" w:fill="FFFFFF"/>
        <w:rPr>
          <w:rFonts w:asciiTheme="minorHAnsi" w:hAnsiTheme="minorHAnsi" w:cs="Arial"/>
          <w:color w:val="212121"/>
          <w:sz w:val="22"/>
          <w:szCs w:val="22"/>
          <w:shd w:val="clear" w:color="auto" w:fill="FFFFFF"/>
        </w:rPr>
      </w:pPr>
    </w:p>
    <w:p w14:paraId="6544174F" w14:textId="60F24F48" w:rsidR="001C610D" w:rsidRPr="009E5B7E" w:rsidRDefault="001439AF"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cs="Arial"/>
          <w:color w:val="212121"/>
          <w:sz w:val="22"/>
          <w:szCs w:val="22"/>
          <w:shd w:val="clear" w:color="auto" w:fill="FFFFFF"/>
        </w:rPr>
        <w:t xml:space="preserve">Mae’r dyfyniad yma o lyfr Jeremias yn sôn am y symudiad Iddewig yn addasu canllawiau ac yn sicrhau fod y canllawiau pwysig yn cael eu dilyn pob dydd. </w:t>
      </w:r>
      <w:r w:rsidR="0042440F" w:rsidRPr="009E5B7E">
        <w:rPr>
          <w:rFonts w:asciiTheme="minorHAnsi" w:hAnsiTheme="minorHAnsi" w:cs="Arial"/>
          <w:color w:val="212121"/>
          <w:sz w:val="22"/>
          <w:szCs w:val="22"/>
          <w:shd w:val="clear" w:color="auto" w:fill="FFFFFF"/>
        </w:rPr>
        <w:t xml:space="preserve">“Whereas the Torah laid down rules of </w:t>
      </w:r>
      <w:r w:rsidR="0042440F" w:rsidRPr="009E5B7E">
        <w:rPr>
          <w:rFonts w:asciiTheme="minorHAnsi" w:hAnsiTheme="minorHAnsi" w:cs="Arial"/>
          <w:color w:val="212121"/>
          <w:sz w:val="22"/>
          <w:szCs w:val="22"/>
          <w:shd w:val="clear" w:color="auto" w:fill="FFFFFF"/>
        </w:rPr>
        <w:lastRenderedPageBreak/>
        <w:t>purity and rules on food for the officiating priests alone, the Pharisaic group made these rules a general practice in the everyday life of the priests and in the life of the whole people.”</w:t>
      </w:r>
      <w:r w:rsidR="0042440F" w:rsidRPr="009E5B7E">
        <w:rPr>
          <w:rStyle w:val="FootnoteReference"/>
          <w:rFonts w:asciiTheme="minorHAnsi" w:hAnsiTheme="minorHAnsi" w:cs="Arial"/>
          <w:color w:val="212121"/>
          <w:sz w:val="22"/>
          <w:szCs w:val="22"/>
          <w:shd w:val="clear" w:color="auto" w:fill="FFFFFF"/>
        </w:rPr>
        <w:footnoteReference w:id="9"/>
      </w:r>
      <w:r w:rsidR="0042440F"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Mae’r darn yn pwysleisio arwyddocâd y Phariseaid i Iddewiaeth wrth iddyn nhw sicrhau fod yr arferion yn berthnasol i bawb. Maent yn ychwanegu Iddewon cyffredinol, yn ogystal â’r offeiriaid; am hyn rydyn yn cael y syniad fod y Phariseaid yn awyddus i drin pawb gyda pharch. Mae’n glir</w:t>
      </w:r>
      <w:r w:rsidR="00654BFD">
        <w:rPr>
          <w:rFonts w:asciiTheme="minorHAnsi" w:hAnsiTheme="minorHAnsi" w:cs="Arial"/>
          <w:color w:val="212121"/>
          <w:sz w:val="22"/>
          <w:szCs w:val="22"/>
          <w:shd w:val="clear" w:color="auto" w:fill="FFFFFF"/>
        </w:rPr>
        <w:t xml:space="preserve"> felly</w:t>
      </w:r>
      <w:r w:rsidRPr="009E5B7E">
        <w:rPr>
          <w:rFonts w:asciiTheme="minorHAnsi" w:hAnsiTheme="minorHAnsi" w:cs="Arial"/>
          <w:color w:val="212121"/>
          <w:sz w:val="22"/>
          <w:szCs w:val="22"/>
          <w:shd w:val="clear" w:color="auto" w:fill="FFFFFF"/>
        </w:rPr>
        <w:t xml:space="preserve"> i weld fod y Phariseaid wedi chwarae rôl bwysig o fewn llwyddiant y grefydd Iddewiaeth. Eu bwriad nhw oedd adeiladu cymuned santaidd o fewn Israel</w:t>
      </w:r>
      <w:r w:rsidR="00896ABE" w:rsidRPr="009E5B7E">
        <w:rPr>
          <w:rFonts w:asciiTheme="minorHAnsi" w:hAnsiTheme="minorHAnsi" w:cs="Arial"/>
          <w:color w:val="212121"/>
          <w:sz w:val="22"/>
          <w:szCs w:val="22"/>
          <w:shd w:val="clear" w:color="auto" w:fill="FFFFFF"/>
        </w:rPr>
        <w:t>, a dyma oedd beth wanaethant</w:t>
      </w:r>
      <w:r w:rsidRPr="009E5B7E">
        <w:rPr>
          <w:rFonts w:asciiTheme="minorHAnsi" w:hAnsiTheme="minorHAnsi" w:cs="Arial"/>
          <w:color w:val="212121"/>
          <w:sz w:val="22"/>
          <w:szCs w:val="22"/>
          <w:shd w:val="clear" w:color="auto" w:fill="FFFFFF"/>
        </w:rPr>
        <w:t xml:space="preserve">. Roedd y Phariseaid wedi cynrychioli’r bobl gyffredinol yn hytrach na'r dosbarthiadau uwch mewn cymdeithasodd gwahanol, a hyn ar faterion crefyddol a chymdeithasol. Roedden nhw wedi cael eu parchu’n uchel am ddangos defosiwn yn ogystal â’u dilyniannau cymdeithasol tuag at atal gwahaniaethau dosbarth. Am hyn, roedd y Phariseaid wedi ennill cefnogaeth y bobl </w:t>
      </w:r>
      <w:r w:rsidR="00896ABE" w:rsidRPr="009E5B7E">
        <w:rPr>
          <w:rFonts w:asciiTheme="minorHAnsi" w:hAnsiTheme="minorHAnsi" w:cs="Arial"/>
          <w:color w:val="212121"/>
          <w:sz w:val="22"/>
          <w:szCs w:val="22"/>
          <w:shd w:val="clear" w:color="auto" w:fill="FFFFFF"/>
        </w:rPr>
        <w:t>a</w:t>
      </w:r>
      <w:r w:rsidRPr="009E5B7E">
        <w:rPr>
          <w:rFonts w:asciiTheme="minorHAnsi" w:hAnsiTheme="minorHAnsi" w:cs="Arial"/>
          <w:color w:val="212121"/>
          <w:sz w:val="22"/>
          <w:szCs w:val="22"/>
          <w:shd w:val="clear" w:color="auto" w:fill="FFFFFF"/>
        </w:rPr>
        <w:t xml:space="preserve"> sicrhau buddugoliaeth</w:t>
      </w:r>
      <w:r w:rsidR="00896ABE" w:rsidRPr="009E5B7E">
        <w:rPr>
          <w:rFonts w:asciiTheme="minorHAnsi" w:hAnsiTheme="minorHAnsi" w:cs="Arial"/>
          <w:color w:val="212121"/>
          <w:sz w:val="22"/>
          <w:szCs w:val="22"/>
          <w:shd w:val="clear" w:color="auto" w:fill="FFFFFF"/>
        </w:rPr>
        <w:t xml:space="preserve"> iddynt</w:t>
      </w:r>
      <w:r w:rsidRPr="009E5B7E">
        <w:rPr>
          <w:rFonts w:asciiTheme="minorHAnsi" w:hAnsiTheme="minorHAnsi" w:cs="Arial"/>
          <w:color w:val="212121"/>
          <w:sz w:val="22"/>
          <w:szCs w:val="22"/>
          <w:shd w:val="clear" w:color="auto" w:fill="FFFFFF"/>
        </w:rPr>
        <w:t xml:space="preserve">. </w:t>
      </w:r>
    </w:p>
    <w:p w14:paraId="18B8EF82" w14:textId="77777777" w:rsidR="001439AF" w:rsidRPr="009E5B7E" w:rsidRDefault="001439AF" w:rsidP="009E5B7E">
      <w:pPr>
        <w:pStyle w:val="HTMLPreformatted"/>
        <w:shd w:val="clear" w:color="auto" w:fill="FFFFFF"/>
        <w:rPr>
          <w:rFonts w:asciiTheme="minorHAnsi" w:hAnsiTheme="minorHAnsi"/>
          <w:color w:val="373A3C"/>
          <w:sz w:val="22"/>
          <w:szCs w:val="22"/>
          <w:shd w:val="clear" w:color="auto" w:fill="FFFFFF"/>
        </w:rPr>
      </w:pPr>
    </w:p>
    <w:p w14:paraId="003F113D" w14:textId="5604A2E4" w:rsidR="001C610D" w:rsidRPr="009E5B7E" w:rsidRDefault="001439AF" w:rsidP="009E5B7E">
      <w:pPr>
        <w:pStyle w:val="HTMLPreformatted"/>
        <w:shd w:val="clear" w:color="auto" w:fill="FFFFFF"/>
        <w:rPr>
          <w:rFonts w:asciiTheme="minorHAnsi" w:hAnsiTheme="minorHAnsi" w:cs="Arial"/>
          <w:color w:val="212121"/>
          <w:sz w:val="22"/>
          <w:szCs w:val="22"/>
          <w:shd w:val="clear" w:color="auto" w:fill="FFFFFF"/>
        </w:rPr>
      </w:pPr>
      <w:r w:rsidRPr="009E5B7E">
        <w:rPr>
          <w:rFonts w:asciiTheme="minorHAnsi" w:hAnsiTheme="minorHAnsi"/>
          <w:color w:val="373A3C"/>
          <w:sz w:val="22"/>
          <w:szCs w:val="22"/>
          <w:shd w:val="clear" w:color="auto" w:fill="FFFFFF"/>
        </w:rPr>
        <w:t>Ynglŷn â</w:t>
      </w:r>
      <w:r w:rsidR="00514652" w:rsidRPr="009E5B7E">
        <w:rPr>
          <w:rFonts w:asciiTheme="minorHAnsi" w:hAnsiTheme="minorHAnsi"/>
          <w:color w:val="373A3C"/>
          <w:sz w:val="22"/>
          <w:szCs w:val="22"/>
          <w:shd w:val="clear" w:color="auto" w:fill="FFFFFF"/>
        </w:rPr>
        <w:t xml:space="preserve">’r dyfyniad ‘Yr oedd y Phariseaid yn helpu i ddiogelu’r hyn oedd orau mewn Iddewiaeth,’ </w:t>
      </w:r>
      <w:r w:rsidRPr="009E5B7E">
        <w:rPr>
          <w:rFonts w:asciiTheme="minorHAnsi" w:hAnsiTheme="minorHAnsi"/>
          <w:color w:val="373A3C"/>
          <w:sz w:val="22"/>
          <w:szCs w:val="22"/>
          <w:shd w:val="clear" w:color="auto" w:fill="FFFFFF"/>
        </w:rPr>
        <w:t xml:space="preserve">rwy’n credu fod hi’n anodd dweud os mai nhw yn unig oedd wedi achub Iddewiaeth, ond yn bendant mae’r Phariseaid wedi cael dylanwad mawr ar oroesiad Iddewiaeth. Wrth iddyn nhw gyflwyno’r Torah llafar a lledaenu ‘r rheolau a rhoddwyd gan Dduw, fe wnaethant sicrhau fod dilynwyr y </w:t>
      </w:r>
      <w:r w:rsidR="00896ABE" w:rsidRPr="009E5B7E">
        <w:rPr>
          <w:rFonts w:asciiTheme="minorHAnsi" w:hAnsiTheme="minorHAnsi"/>
          <w:color w:val="373A3C"/>
          <w:sz w:val="22"/>
          <w:szCs w:val="22"/>
          <w:shd w:val="clear" w:color="auto" w:fill="FFFFFF"/>
        </w:rPr>
        <w:t>grefydd yn gallu parhau i’w ddilyn</w:t>
      </w:r>
      <w:r w:rsidRPr="009E5B7E">
        <w:rPr>
          <w:rFonts w:asciiTheme="minorHAnsi" w:hAnsiTheme="minorHAnsi"/>
          <w:color w:val="373A3C"/>
          <w:sz w:val="22"/>
          <w:szCs w:val="22"/>
          <w:shd w:val="clear" w:color="auto" w:fill="FFFFFF"/>
        </w:rPr>
        <w:t xml:space="preserve">. Roedd y rabiniaid cynnar wedi rhannu syniadau tebyg iawn i’r Phariseaid ac roedd hyn yn ffactor pwysig iawn ynglŷn â goroesiad Iddewiaeth. Wrth iddyn nhw ffocysu ar y gyfraith a chyflawni’r torah deuol, roedd wedi sicrhau fod geiriau Duw yn gallu cael eu lledu trwy’r canrifoedd. Roedd nifer felly wedi gweld hyn yn gam arwyddocaol o fewn hanes Iddewiaeth. Er dweud hyn, mae’n debyg fod Josephws ddim yn ffynhonnell ddibynadwy gan roedd wedi’i logi gan y Rhufeiniaid. Am hyn, mae’n anodd penderfynu os rydyn yn gallu ymddiried yn ei eiriau am y Phariseaid. Cawn weld fod Josephus wedi cynhyrchu dau brif waith ar y Phariseaid. I ddechrau, roedd yn holl gefnogol o’r symudiad Iddewig. Ond erbyn diwedd ei fywyd, nid oedd wedi siarad mor fawr amdanynt. Yn ogystal â hyn, nid oedd yr efelyngau wedi portreadu’r Phariseaid yn y golau gorau, yn enwedig </w:t>
      </w:r>
      <w:r w:rsidR="00896ABE" w:rsidRPr="009E5B7E">
        <w:rPr>
          <w:rFonts w:asciiTheme="minorHAnsi" w:hAnsiTheme="minorHAnsi"/>
          <w:color w:val="373A3C"/>
          <w:sz w:val="22"/>
          <w:szCs w:val="22"/>
          <w:shd w:val="clear" w:color="auto" w:fill="FFFFFF"/>
        </w:rPr>
        <w:t>o fewn</w:t>
      </w:r>
      <w:r w:rsidRPr="009E5B7E">
        <w:rPr>
          <w:rFonts w:asciiTheme="minorHAnsi" w:hAnsiTheme="minorHAnsi"/>
          <w:color w:val="373A3C"/>
          <w:sz w:val="22"/>
          <w:szCs w:val="22"/>
          <w:shd w:val="clear" w:color="auto" w:fill="FFFFFF"/>
        </w:rPr>
        <w:t xml:space="preserve"> Ioan a Mathew. Mae’r dyfyniad yma o lyfr Neusner yn cyfeirio at yr hyn sy’n cael ei ddweud.</w:t>
      </w:r>
      <w:r w:rsidR="00AC0DF9" w:rsidRPr="009E5B7E">
        <w:rPr>
          <w:rFonts w:asciiTheme="minorHAnsi" w:hAnsiTheme="minorHAnsi" w:cs="Arial"/>
          <w:color w:val="212121"/>
          <w:sz w:val="22"/>
          <w:szCs w:val="22"/>
          <w:shd w:val="clear" w:color="auto" w:fill="FFFFFF"/>
        </w:rPr>
        <w:t xml:space="preserve"> “Catholics simply draw upon well-known judgements in the Gospels themselves, which portray the Pharisees as hypocrites.”</w:t>
      </w:r>
      <w:r w:rsidR="00AC0DF9" w:rsidRPr="009E5B7E">
        <w:rPr>
          <w:rStyle w:val="FootnoteReference"/>
          <w:rFonts w:asciiTheme="minorHAnsi" w:hAnsiTheme="minorHAnsi" w:cs="Arial"/>
          <w:color w:val="212121"/>
          <w:sz w:val="22"/>
          <w:szCs w:val="22"/>
          <w:shd w:val="clear" w:color="auto" w:fill="FFFFFF"/>
        </w:rPr>
        <w:footnoteReference w:id="10"/>
      </w:r>
      <w:r w:rsidR="00AC0DF9" w:rsidRPr="009E5B7E">
        <w:rPr>
          <w:rFonts w:asciiTheme="minorHAnsi" w:hAnsiTheme="minorHAnsi" w:cs="Arial"/>
          <w:color w:val="212121"/>
          <w:sz w:val="22"/>
          <w:szCs w:val="22"/>
          <w:shd w:val="clear" w:color="auto" w:fill="FFFFFF"/>
        </w:rPr>
        <w:t xml:space="preserve"> </w:t>
      </w:r>
      <w:r w:rsidRPr="009E5B7E">
        <w:rPr>
          <w:rFonts w:asciiTheme="minorHAnsi" w:hAnsiTheme="minorHAnsi" w:cs="Arial"/>
          <w:color w:val="212121"/>
          <w:sz w:val="22"/>
          <w:szCs w:val="22"/>
          <w:shd w:val="clear" w:color="auto" w:fill="FFFFFF"/>
        </w:rPr>
        <w:t xml:space="preserve">Cawn weld fod yr efelyngau yn rhoi rheswm i bobl fynd yn erbyn y Phariseaid. Yn naturiol felly, mae’n gwneud i bobl feddwl os oedd y Phariseaid wir gystal ag y gwnaent nhw allan i fod. O fewn y Testament newydd, mae’r Phariseaid yn cael eu cyfeirio ato’n aml o ran eu diffygion. Mae’r Mishna hyd yn oed yn siarad yn isel am y Phariseaid, wrth iddyn nhw gael ei chyfeirio at fel rhai sydd wedi dinistrio’r byd. Am hyn, portreadwyd y symudiad Iddewig yn feirniadol iawn o fewn nifer o destunau. Mae’n bwysig felly ei’n bod ni’n trin ei’n ffynonellau gyda gofal. Pwynt arall sy’n mynd yn erbyn y dyfyniad yma yw, ydy’r Torah llafar wir yn beth da? Mae’r cwestiwn yma wedi codi tipyn dros y canrifoedd, ar reswm am hyn yw oherwydd mae yna amheuon fod y Torah llafar wedi’i gamddehongli. Mae’n anodd iawn i sicrhau fod pob darn o wybodaeth a phob un gyfraith cafodd eu trafod ymhlith y Phariseaid wedi cael ei ledu trwy’r canrifoedd yn gywir. Mae’n rhwydd iawn i gredu fod ambell i beth wedi’u datblygu neu hyd yn oed wedi eu gorliwio wrth i’r holl gynnwys fynd o un geg i’r llall. Ar y cyfan, rwy’n credu fod hi’n anodd iawn i benderfynu os mai’r Phariseaid yn unig oedd </w:t>
      </w:r>
      <w:r w:rsidR="00C7690E" w:rsidRPr="009E5B7E">
        <w:rPr>
          <w:rFonts w:asciiTheme="minorHAnsi" w:hAnsiTheme="minorHAnsi" w:cs="Arial"/>
          <w:color w:val="212121"/>
          <w:sz w:val="22"/>
          <w:szCs w:val="22"/>
          <w:shd w:val="clear" w:color="auto" w:fill="FFFFFF"/>
        </w:rPr>
        <w:t>yn gyfrifol o</w:t>
      </w:r>
      <w:r w:rsidRPr="009E5B7E">
        <w:rPr>
          <w:rFonts w:asciiTheme="minorHAnsi" w:hAnsiTheme="minorHAnsi" w:cs="Arial"/>
          <w:color w:val="212121"/>
          <w:sz w:val="22"/>
          <w:szCs w:val="22"/>
          <w:shd w:val="clear" w:color="auto" w:fill="FFFFFF"/>
        </w:rPr>
        <w:t xml:space="preserve"> </w:t>
      </w:r>
      <w:r w:rsidR="00C7690E" w:rsidRPr="009E5B7E">
        <w:rPr>
          <w:rFonts w:asciiTheme="minorHAnsi" w:hAnsiTheme="minorHAnsi" w:cs="Arial"/>
          <w:color w:val="212121"/>
          <w:sz w:val="22"/>
          <w:szCs w:val="22"/>
          <w:shd w:val="clear" w:color="auto" w:fill="FFFFFF"/>
        </w:rPr>
        <w:t>d</w:t>
      </w:r>
      <w:r w:rsidRPr="009E5B7E">
        <w:rPr>
          <w:rFonts w:asciiTheme="minorHAnsi" w:hAnsiTheme="minorHAnsi" w:cs="Arial"/>
          <w:color w:val="212121"/>
          <w:sz w:val="22"/>
          <w:szCs w:val="22"/>
          <w:shd w:val="clear" w:color="auto" w:fill="FFFFFF"/>
        </w:rPr>
        <w:t>diogelu’r hyn o fewn Iddewiaeth, ond cawn weld fod y sect Iddewig wedi cael dylanwad mawr ar lwyddiant a goroesiad</w:t>
      </w:r>
      <w:r w:rsidR="00C7690E" w:rsidRPr="009E5B7E">
        <w:rPr>
          <w:rFonts w:asciiTheme="minorHAnsi" w:hAnsiTheme="minorHAnsi" w:cs="Arial"/>
          <w:color w:val="212121"/>
          <w:sz w:val="22"/>
          <w:szCs w:val="22"/>
          <w:shd w:val="clear" w:color="auto" w:fill="FFFFFF"/>
        </w:rPr>
        <w:t xml:space="preserve"> y grefydd</w:t>
      </w:r>
      <w:r w:rsidRPr="009E5B7E">
        <w:rPr>
          <w:rFonts w:asciiTheme="minorHAnsi" w:hAnsiTheme="minorHAnsi" w:cs="Arial"/>
          <w:color w:val="212121"/>
          <w:sz w:val="22"/>
          <w:szCs w:val="22"/>
          <w:shd w:val="clear" w:color="auto" w:fill="FFFFFF"/>
        </w:rPr>
        <w:t xml:space="preserve"> ac am hyn</w:t>
      </w:r>
      <w:r w:rsidR="00C7690E" w:rsidRPr="009E5B7E">
        <w:rPr>
          <w:rFonts w:asciiTheme="minorHAnsi" w:hAnsiTheme="minorHAnsi" w:cs="Arial"/>
          <w:color w:val="212121"/>
          <w:sz w:val="22"/>
          <w:szCs w:val="22"/>
          <w:shd w:val="clear" w:color="auto" w:fill="FFFFFF"/>
        </w:rPr>
        <w:t>,</w:t>
      </w:r>
      <w:r w:rsidRPr="009E5B7E">
        <w:rPr>
          <w:rFonts w:asciiTheme="minorHAnsi" w:hAnsiTheme="minorHAnsi" w:cs="Arial"/>
          <w:color w:val="212121"/>
          <w:sz w:val="22"/>
          <w:szCs w:val="22"/>
          <w:shd w:val="clear" w:color="auto" w:fill="FFFFFF"/>
        </w:rPr>
        <w:t xml:space="preserve"> mae’n annheg i fynd yn eu herbyn.</w:t>
      </w:r>
    </w:p>
    <w:p w14:paraId="0AE9F0A7" w14:textId="77777777" w:rsidR="00C7690E" w:rsidRPr="009E5B7E" w:rsidRDefault="00C7690E" w:rsidP="009E5B7E">
      <w:pPr>
        <w:pStyle w:val="HTMLPreformatted"/>
        <w:shd w:val="clear" w:color="auto" w:fill="FFFFFF"/>
        <w:rPr>
          <w:rFonts w:asciiTheme="minorHAnsi" w:hAnsiTheme="minorHAnsi" w:cs="Arial"/>
          <w:color w:val="212121"/>
          <w:sz w:val="22"/>
          <w:szCs w:val="22"/>
          <w:shd w:val="clear" w:color="auto" w:fill="FFFFFF"/>
        </w:rPr>
      </w:pPr>
    </w:p>
    <w:p w14:paraId="4AD87172" w14:textId="77777777" w:rsidR="00654BFD" w:rsidRDefault="00654BFD" w:rsidP="009E5B7E">
      <w:pPr>
        <w:pStyle w:val="HTMLPreformatted"/>
        <w:shd w:val="clear" w:color="auto" w:fill="FFFFFF"/>
        <w:jc w:val="center"/>
        <w:rPr>
          <w:rFonts w:asciiTheme="minorHAnsi" w:hAnsiTheme="minorHAnsi" w:cs="Arial"/>
          <w:sz w:val="22"/>
          <w:szCs w:val="22"/>
          <w:u w:val="single"/>
          <w:shd w:val="clear" w:color="auto" w:fill="FFFFFF"/>
        </w:rPr>
      </w:pPr>
    </w:p>
    <w:p w14:paraId="6C84F8A7" w14:textId="77777777" w:rsidR="00654BFD" w:rsidRDefault="00654BFD" w:rsidP="009E5B7E">
      <w:pPr>
        <w:pStyle w:val="HTMLPreformatted"/>
        <w:shd w:val="clear" w:color="auto" w:fill="FFFFFF"/>
        <w:jc w:val="center"/>
        <w:rPr>
          <w:rFonts w:asciiTheme="minorHAnsi" w:hAnsiTheme="minorHAnsi" w:cs="Arial"/>
          <w:sz w:val="22"/>
          <w:szCs w:val="22"/>
          <w:u w:val="single"/>
          <w:shd w:val="clear" w:color="auto" w:fill="FFFFFF"/>
        </w:rPr>
      </w:pPr>
    </w:p>
    <w:p w14:paraId="4444217E" w14:textId="77777777" w:rsidR="00654BFD" w:rsidRDefault="00654BFD" w:rsidP="009E5B7E">
      <w:pPr>
        <w:pStyle w:val="HTMLPreformatted"/>
        <w:shd w:val="clear" w:color="auto" w:fill="FFFFFF"/>
        <w:jc w:val="center"/>
        <w:rPr>
          <w:rFonts w:asciiTheme="minorHAnsi" w:hAnsiTheme="minorHAnsi" w:cs="Arial"/>
          <w:sz w:val="22"/>
          <w:szCs w:val="22"/>
          <w:u w:val="single"/>
          <w:shd w:val="clear" w:color="auto" w:fill="FFFFFF"/>
        </w:rPr>
      </w:pPr>
    </w:p>
    <w:p w14:paraId="04C5BE50" w14:textId="77777777" w:rsidR="00654BFD" w:rsidRDefault="00654BFD" w:rsidP="009E5B7E">
      <w:pPr>
        <w:pStyle w:val="HTMLPreformatted"/>
        <w:shd w:val="clear" w:color="auto" w:fill="FFFFFF"/>
        <w:jc w:val="center"/>
        <w:rPr>
          <w:rFonts w:asciiTheme="minorHAnsi" w:hAnsiTheme="minorHAnsi" w:cs="Arial"/>
          <w:sz w:val="22"/>
          <w:szCs w:val="22"/>
          <w:u w:val="single"/>
          <w:shd w:val="clear" w:color="auto" w:fill="FFFFFF"/>
        </w:rPr>
      </w:pPr>
    </w:p>
    <w:p w14:paraId="3122A6E1" w14:textId="77777777" w:rsidR="00654BFD" w:rsidRDefault="00654BFD" w:rsidP="009E5B7E">
      <w:pPr>
        <w:pStyle w:val="HTMLPreformatted"/>
        <w:shd w:val="clear" w:color="auto" w:fill="FFFFFF"/>
        <w:jc w:val="center"/>
        <w:rPr>
          <w:rFonts w:asciiTheme="minorHAnsi" w:hAnsiTheme="minorHAnsi" w:cs="Arial"/>
          <w:sz w:val="22"/>
          <w:szCs w:val="22"/>
          <w:u w:val="single"/>
          <w:shd w:val="clear" w:color="auto" w:fill="FFFFFF"/>
        </w:rPr>
      </w:pPr>
    </w:p>
    <w:p w14:paraId="766797A4" w14:textId="2479D72B" w:rsidR="00FA5029" w:rsidRPr="009E5B7E" w:rsidRDefault="00FA5029" w:rsidP="009E5B7E">
      <w:pPr>
        <w:pStyle w:val="HTMLPreformatted"/>
        <w:shd w:val="clear" w:color="auto" w:fill="FFFFFF"/>
        <w:jc w:val="center"/>
        <w:rPr>
          <w:rFonts w:asciiTheme="minorHAnsi" w:hAnsiTheme="minorHAnsi" w:cs="Arial"/>
          <w:sz w:val="22"/>
          <w:szCs w:val="22"/>
          <w:u w:val="single"/>
          <w:shd w:val="clear" w:color="auto" w:fill="FFFFFF"/>
        </w:rPr>
      </w:pPr>
      <w:r w:rsidRPr="009E5B7E">
        <w:rPr>
          <w:rFonts w:asciiTheme="minorHAnsi" w:hAnsiTheme="minorHAnsi" w:cs="Arial"/>
          <w:sz w:val="22"/>
          <w:szCs w:val="22"/>
          <w:u w:val="single"/>
          <w:shd w:val="clear" w:color="auto" w:fill="FFFFFF"/>
        </w:rPr>
        <w:lastRenderedPageBreak/>
        <w:t>Llyfryddiaeth</w:t>
      </w:r>
    </w:p>
    <w:p w14:paraId="7F316197" w14:textId="77777777" w:rsidR="00FA5029" w:rsidRPr="009E5B7E" w:rsidRDefault="00FA5029" w:rsidP="009E5B7E">
      <w:pPr>
        <w:pStyle w:val="HTMLPreformatted"/>
        <w:shd w:val="clear" w:color="auto" w:fill="FFFFFF"/>
        <w:rPr>
          <w:rFonts w:asciiTheme="minorHAnsi" w:hAnsiTheme="minorHAnsi" w:cs="Arial"/>
          <w:sz w:val="22"/>
          <w:szCs w:val="22"/>
          <w:shd w:val="clear" w:color="auto" w:fill="FFFFFF"/>
        </w:rPr>
      </w:pPr>
    </w:p>
    <w:p w14:paraId="294C8BAD" w14:textId="79103FEA" w:rsidR="009D3C62" w:rsidRPr="009E5B7E" w:rsidRDefault="009D3C62" w:rsidP="009E5B7E">
      <w:pPr>
        <w:spacing w:line="240" w:lineRule="auto"/>
        <w:jc w:val="both"/>
      </w:pPr>
      <w:r w:rsidRPr="009E5B7E">
        <w:t xml:space="preserve">Jeremias, J., </w:t>
      </w:r>
      <w:r w:rsidRPr="009E5B7E">
        <w:rPr>
          <w:i/>
        </w:rPr>
        <w:t>Jerusalem in the Time of Jesus</w:t>
      </w:r>
      <w:r w:rsidR="007F5074" w:rsidRPr="009E5B7E">
        <w:rPr>
          <w:i/>
        </w:rPr>
        <w:t>,</w:t>
      </w:r>
      <w:r w:rsidRPr="009E5B7E">
        <w:t xml:space="preserve"> (Philadelphia: Fortress Press, 1969)</w:t>
      </w:r>
    </w:p>
    <w:p w14:paraId="54B0430D" w14:textId="4A6AAA33" w:rsidR="001F2582" w:rsidRPr="009E5B7E" w:rsidRDefault="001F2582" w:rsidP="009E5B7E">
      <w:pPr>
        <w:spacing w:line="240" w:lineRule="auto"/>
        <w:jc w:val="both"/>
      </w:pPr>
      <w:r w:rsidRPr="009E5B7E">
        <w:t xml:space="preserve">Neusner, J., </w:t>
      </w:r>
      <w:r w:rsidRPr="009E5B7E">
        <w:rPr>
          <w:i/>
        </w:rPr>
        <w:t>Judaism in the Beginning of Christianity</w:t>
      </w:r>
      <w:r w:rsidR="007F5074" w:rsidRPr="009E5B7E">
        <w:rPr>
          <w:i/>
        </w:rPr>
        <w:t>,</w:t>
      </w:r>
      <w:r w:rsidRPr="009E5B7E">
        <w:t xml:space="preserve"> (Philadelphia: Fortress Press, 1984)</w:t>
      </w:r>
    </w:p>
    <w:p w14:paraId="71404317" w14:textId="10FDD1F4" w:rsidR="00FA5029" w:rsidRPr="009E5B7E" w:rsidRDefault="00FA5029" w:rsidP="009E5B7E">
      <w:pPr>
        <w:spacing w:line="240" w:lineRule="auto"/>
        <w:jc w:val="both"/>
      </w:pPr>
      <w:r w:rsidRPr="009E5B7E">
        <w:rPr>
          <w:rFonts w:cs="Arial"/>
          <w:shd w:val="clear" w:color="auto" w:fill="FFFFFF"/>
        </w:rPr>
        <w:t>Ross, A., (2006, Ebrill 10fed),</w:t>
      </w:r>
      <w:r w:rsidR="00514652" w:rsidRPr="009E5B7E">
        <w:rPr>
          <w:rFonts w:cs="Arial"/>
          <w:shd w:val="clear" w:color="auto" w:fill="FFFFFF"/>
        </w:rPr>
        <w:t xml:space="preserve"> </w:t>
      </w:r>
      <w:r w:rsidR="00514652" w:rsidRPr="009E5B7E">
        <w:rPr>
          <w:rFonts w:cs="Arial"/>
          <w:i/>
          <w:shd w:val="clear" w:color="auto" w:fill="FFFFFF"/>
        </w:rPr>
        <w:t>The Pharisees</w:t>
      </w:r>
      <w:r w:rsidR="00514652" w:rsidRPr="009E5B7E">
        <w:rPr>
          <w:rFonts w:cs="Arial"/>
          <w:shd w:val="clear" w:color="auto" w:fill="FFFFFF"/>
        </w:rPr>
        <w:t>, &lt;</w:t>
      </w:r>
      <w:hyperlink r:id="rId7" w:history="1">
        <w:r w:rsidRPr="009E5B7E">
          <w:rPr>
            <w:rStyle w:val="Hyperlink"/>
            <w:color w:val="auto"/>
            <w:u w:val="none"/>
          </w:rPr>
          <w:t>https://bible.org/seriespage/2-pharisees</w:t>
        </w:r>
      </w:hyperlink>
      <w:r w:rsidR="003469D4" w:rsidRPr="009E5B7E">
        <w:rPr>
          <w:rStyle w:val="Hyperlink"/>
          <w:color w:val="auto"/>
          <w:u w:val="none"/>
        </w:rPr>
        <w:t>&gt;</w:t>
      </w:r>
    </w:p>
    <w:p w14:paraId="529F91DF" w14:textId="47780C4B" w:rsidR="00514652" w:rsidRPr="009E5B7E" w:rsidRDefault="00514652" w:rsidP="009E5B7E">
      <w:pPr>
        <w:pStyle w:val="FootnoteText"/>
        <w:rPr>
          <w:sz w:val="22"/>
          <w:szCs w:val="22"/>
        </w:rPr>
      </w:pPr>
      <w:r w:rsidRPr="009E5B7E">
        <w:rPr>
          <w:sz w:val="22"/>
          <w:szCs w:val="22"/>
        </w:rPr>
        <w:t xml:space="preserve">Segal, E., </w:t>
      </w:r>
      <w:r w:rsidRPr="009E5B7E">
        <w:rPr>
          <w:i/>
          <w:sz w:val="22"/>
          <w:szCs w:val="22"/>
        </w:rPr>
        <w:t>Introducing Judaism</w:t>
      </w:r>
      <w:r w:rsidRPr="009E5B7E">
        <w:rPr>
          <w:sz w:val="22"/>
          <w:szCs w:val="22"/>
        </w:rPr>
        <w:t xml:space="preserve">, </w:t>
      </w:r>
      <w:r w:rsidR="007F5074" w:rsidRPr="009E5B7E">
        <w:rPr>
          <w:sz w:val="22"/>
          <w:szCs w:val="22"/>
        </w:rPr>
        <w:t>(</w:t>
      </w:r>
      <w:r w:rsidRPr="009E5B7E">
        <w:rPr>
          <w:sz w:val="22"/>
          <w:szCs w:val="22"/>
        </w:rPr>
        <w:t xml:space="preserve">New York: </w:t>
      </w:r>
      <w:r w:rsidR="007F5074" w:rsidRPr="009E5B7E">
        <w:rPr>
          <w:sz w:val="22"/>
          <w:szCs w:val="22"/>
        </w:rPr>
        <w:t xml:space="preserve">Routledge, </w:t>
      </w:r>
      <w:r w:rsidRPr="009E5B7E">
        <w:rPr>
          <w:sz w:val="22"/>
          <w:szCs w:val="22"/>
        </w:rPr>
        <w:t>2009)</w:t>
      </w:r>
    </w:p>
    <w:p w14:paraId="2367B5F3" w14:textId="77777777" w:rsidR="00DC7A85" w:rsidRPr="009E5B7E" w:rsidRDefault="00DC7A85" w:rsidP="009E5B7E">
      <w:pPr>
        <w:pStyle w:val="HTMLPreformatted"/>
        <w:shd w:val="clear" w:color="auto" w:fill="FFFFFF"/>
        <w:rPr>
          <w:rFonts w:asciiTheme="minorHAnsi" w:hAnsiTheme="minorHAnsi" w:cs="Arial"/>
          <w:color w:val="212121"/>
          <w:sz w:val="22"/>
          <w:szCs w:val="22"/>
          <w:shd w:val="clear" w:color="auto" w:fill="FFFFFF"/>
        </w:rPr>
      </w:pPr>
    </w:p>
    <w:p w14:paraId="5CBBEE1D" w14:textId="77777777" w:rsidR="009D19F0" w:rsidRPr="00514652" w:rsidRDefault="009D19F0" w:rsidP="00200956">
      <w:pPr>
        <w:rPr>
          <w:sz w:val="24"/>
          <w:szCs w:val="24"/>
        </w:rPr>
      </w:pPr>
    </w:p>
    <w:p w14:paraId="503939F8" w14:textId="77777777" w:rsidR="00ED320E" w:rsidRPr="00FA5029" w:rsidRDefault="00ED320E" w:rsidP="00200956">
      <w:pPr>
        <w:rPr>
          <w:rFonts w:eastAsia="+mj-ea" w:cs="+mj-cs"/>
          <w:color w:val="242852"/>
          <w:kern w:val="24"/>
          <w:sz w:val="24"/>
          <w:szCs w:val="24"/>
        </w:rPr>
      </w:pPr>
      <w:bookmarkStart w:id="0" w:name="_GoBack"/>
      <w:bookmarkEnd w:id="0"/>
    </w:p>
    <w:sectPr w:rsidR="00ED320E" w:rsidRPr="00FA50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4E48D7" w14:textId="77777777" w:rsidR="009B02C0" w:rsidRDefault="009B02C0" w:rsidP="00ED320E">
      <w:pPr>
        <w:spacing w:after="0" w:line="240" w:lineRule="auto"/>
      </w:pPr>
      <w:r>
        <w:separator/>
      </w:r>
    </w:p>
  </w:endnote>
  <w:endnote w:type="continuationSeparator" w:id="0">
    <w:p w14:paraId="60F32E57" w14:textId="77777777" w:rsidR="009B02C0" w:rsidRDefault="009B02C0" w:rsidP="00ED3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mj-ea">
    <w:panose1 w:val="00000000000000000000"/>
    <w:charset w:val="00"/>
    <w:family w:val="roman"/>
    <w:notTrueType/>
    <w:pitch w:val="default"/>
  </w:font>
  <w:font w:name="+mj-cs">
    <w:panose1 w:val="00000000000000000000"/>
    <w:charset w:val="00"/>
    <w:family w:val="roman"/>
    <w:notTrueType/>
    <w:pitch w:val="default"/>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688FB2" w14:textId="77777777" w:rsidR="009B02C0" w:rsidRDefault="009B02C0" w:rsidP="00ED320E">
      <w:pPr>
        <w:spacing w:after="0" w:line="240" w:lineRule="auto"/>
      </w:pPr>
      <w:r>
        <w:separator/>
      </w:r>
    </w:p>
  </w:footnote>
  <w:footnote w:type="continuationSeparator" w:id="0">
    <w:p w14:paraId="16C94107" w14:textId="77777777" w:rsidR="009B02C0" w:rsidRDefault="009B02C0" w:rsidP="00ED320E">
      <w:pPr>
        <w:spacing w:after="0" w:line="240" w:lineRule="auto"/>
      </w:pPr>
      <w:r>
        <w:continuationSeparator/>
      </w:r>
    </w:p>
  </w:footnote>
  <w:footnote w:id="1">
    <w:p w14:paraId="4D3C7CDD" w14:textId="77777777" w:rsidR="000614AD" w:rsidRDefault="000614AD" w:rsidP="000614AD">
      <w:pPr>
        <w:pStyle w:val="FootnoteText"/>
      </w:pPr>
      <w:r>
        <w:rPr>
          <w:rStyle w:val="FootnoteReference"/>
        </w:rPr>
        <w:footnoteRef/>
      </w:r>
      <w:r>
        <w:t xml:space="preserve"> J, Neusner.</w:t>
      </w:r>
      <w:r w:rsidRPr="001F2582">
        <w:rPr>
          <w:sz w:val="22"/>
        </w:rPr>
        <w:t xml:space="preserve">, </w:t>
      </w:r>
      <w:r w:rsidRPr="001F2582">
        <w:rPr>
          <w:i/>
          <w:sz w:val="22"/>
        </w:rPr>
        <w:t>Judaism in the Beginning of Christianity</w:t>
      </w:r>
      <w:r w:rsidRPr="001F2582">
        <w:rPr>
          <w:sz w:val="22"/>
        </w:rPr>
        <w:t xml:space="preserve"> (Philadelphia: Fortress Press, 1984), tud </w:t>
      </w:r>
      <w:r>
        <w:rPr>
          <w:sz w:val="22"/>
        </w:rPr>
        <w:t>51</w:t>
      </w:r>
    </w:p>
  </w:footnote>
  <w:footnote w:id="2">
    <w:p w14:paraId="02D7F7EE" w14:textId="77777777" w:rsidR="005F35F2" w:rsidRDefault="005F35F2" w:rsidP="00514652">
      <w:pPr>
        <w:pStyle w:val="FootnoteText"/>
      </w:pPr>
      <w:r>
        <w:rPr>
          <w:rStyle w:val="FootnoteReference"/>
        </w:rPr>
        <w:footnoteRef/>
      </w:r>
      <w:r>
        <w:t xml:space="preserve"> </w:t>
      </w:r>
      <w:r w:rsidRPr="00925693">
        <w:rPr>
          <w:sz w:val="22"/>
        </w:rPr>
        <w:t xml:space="preserve">A, Ross., </w:t>
      </w:r>
      <w:r w:rsidRPr="00925693">
        <w:rPr>
          <w:i/>
          <w:sz w:val="22"/>
        </w:rPr>
        <w:t xml:space="preserve">The </w:t>
      </w:r>
      <w:r w:rsidRPr="00514652">
        <w:rPr>
          <w:i/>
          <w:sz w:val="22"/>
        </w:rPr>
        <w:t>Pharisees</w:t>
      </w:r>
      <w:r w:rsidRPr="00514652">
        <w:rPr>
          <w:sz w:val="22"/>
        </w:rPr>
        <w:t xml:space="preserve">, </w:t>
      </w:r>
      <w:hyperlink r:id="rId1" w:history="1">
        <w:r w:rsidRPr="00514652">
          <w:rPr>
            <w:rStyle w:val="Hyperlink"/>
            <w:color w:val="auto"/>
            <w:sz w:val="22"/>
            <w:u w:val="none"/>
          </w:rPr>
          <w:t>https://bible.org/seriespage/2-pharisees</w:t>
        </w:r>
      </w:hyperlink>
      <w:r w:rsidRPr="00514652">
        <w:rPr>
          <w:sz w:val="22"/>
        </w:rPr>
        <w:t>, [Mynediad – 04/12</w:t>
      </w:r>
      <w:r w:rsidRPr="00514652">
        <w:t>/</w:t>
      </w:r>
      <w:r w:rsidRPr="00514652">
        <w:rPr>
          <w:sz w:val="22"/>
        </w:rPr>
        <w:t xml:space="preserve">17] </w:t>
      </w:r>
    </w:p>
  </w:footnote>
  <w:footnote w:id="3">
    <w:p w14:paraId="2C3F82DB" w14:textId="24E721EB" w:rsidR="00E6470C" w:rsidRPr="007828D5" w:rsidRDefault="00E6470C" w:rsidP="00E6470C">
      <w:pPr>
        <w:jc w:val="both"/>
        <w:rPr>
          <w:szCs w:val="24"/>
        </w:rPr>
      </w:pPr>
      <w:r>
        <w:rPr>
          <w:rStyle w:val="FootnoteReference"/>
        </w:rPr>
        <w:footnoteRef/>
      </w:r>
      <w:r>
        <w:t xml:space="preserve"> </w:t>
      </w:r>
      <w:r>
        <w:rPr>
          <w:szCs w:val="24"/>
        </w:rPr>
        <w:t>J, Neusner.</w:t>
      </w:r>
      <w:r w:rsidRPr="001F2582">
        <w:rPr>
          <w:szCs w:val="24"/>
        </w:rPr>
        <w:t xml:space="preserve">, </w:t>
      </w:r>
      <w:r w:rsidRPr="001F2582">
        <w:rPr>
          <w:i/>
          <w:szCs w:val="24"/>
        </w:rPr>
        <w:t>Judaism in the Beginning of Christianity</w:t>
      </w:r>
      <w:r w:rsidR="00654BFD">
        <w:rPr>
          <w:szCs w:val="24"/>
        </w:rPr>
        <w:t xml:space="preserve">, </w:t>
      </w:r>
      <w:r w:rsidRPr="001F2582">
        <w:rPr>
          <w:szCs w:val="24"/>
        </w:rPr>
        <w:t>tud 46</w:t>
      </w:r>
    </w:p>
  </w:footnote>
  <w:footnote w:id="4">
    <w:p w14:paraId="4036528D" w14:textId="77777777" w:rsidR="00CD1445" w:rsidRDefault="00CD1445" w:rsidP="00CD1445">
      <w:pPr>
        <w:pStyle w:val="FootnoteText"/>
      </w:pPr>
      <w:r>
        <w:rPr>
          <w:rStyle w:val="FootnoteReference"/>
        </w:rPr>
        <w:footnoteRef/>
      </w:r>
      <w:r>
        <w:t xml:space="preserve"> </w:t>
      </w:r>
      <w:r w:rsidRPr="003A1EBD">
        <w:rPr>
          <w:sz w:val="22"/>
        </w:rPr>
        <w:t xml:space="preserve">E, Segal., </w:t>
      </w:r>
      <w:r w:rsidRPr="003A1EBD">
        <w:rPr>
          <w:i/>
          <w:sz w:val="22"/>
        </w:rPr>
        <w:t>Introducing Judaism</w:t>
      </w:r>
      <w:r w:rsidRPr="003A1EBD">
        <w:rPr>
          <w:sz w:val="22"/>
        </w:rPr>
        <w:t>, New York: Routledge, (2009), tud</w:t>
      </w:r>
      <w:r>
        <w:rPr>
          <w:sz w:val="22"/>
        </w:rPr>
        <w:t xml:space="preserve"> 48</w:t>
      </w:r>
    </w:p>
  </w:footnote>
  <w:footnote w:id="5">
    <w:p w14:paraId="6705819E" w14:textId="3977A940" w:rsidR="005F35F2" w:rsidRDefault="005F35F2">
      <w:pPr>
        <w:pStyle w:val="FootnoteText"/>
      </w:pPr>
      <w:r>
        <w:rPr>
          <w:rStyle w:val="FootnoteReference"/>
        </w:rPr>
        <w:footnoteRef/>
      </w:r>
      <w:r>
        <w:t xml:space="preserve"> </w:t>
      </w:r>
      <w:r w:rsidRPr="00925693">
        <w:rPr>
          <w:sz w:val="22"/>
        </w:rPr>
        <w:t xml:space="preserve">A, Ross., </w:t>
      </w:r>
      <w:r w:rsidRPr="00925693">
        <w:rPr>
          <w:i/>
          <w:sz w:val="22"/>
        </w:rPr>
        <w:t xml:space="preserve">The </w:t>
      </w:r>
      <w:r w:rsidRPr="00514652">
        <w:rPr>
          <w:i/>
          <w:sz w:val="22"/>
        </w:rPr>
        <w:t>Pharisees</w:t>
      </w:r>
      <w:r w:rsidRPr="00514652">
        <w:rPr>
          <w:sz w:val="22"/>
        </w:rPr>
        <w:t xml:space="preserve">, </w:t>
      </w:r>
      <w:hyperlink r:id="rId2" w:history="1">
        <w:r w:rsidRPr="00514652">
          <w:rPr>
            <w:rStyle w:val="Hyperlink"/>
            <w:color w:val="auto"/>
            <w:sz w:val="22"/>
            <w:u w:val="none"/>
          </w:rPr>
          <w:t>https://bible.org/seriespage/2-pharisees</w:t>
        </w:r>
      </w:hyperlink>
      <w:r w:rsidRPr="00514652">
        <w:rPr>
          <w:sz w:val="22"/>
        </w:rPr>
        <w:t>, [Mynediad – 04/12</w:t>
      </w:r>
      <w:r w:rsidRPr="00514652">
        <w:t>/</w:t>
      </w:r>
      <w:r w:rsidRPr="00514652">
        <w:rPr>
          <w:sz w:val="22"/>
        </w:rPr>
        <w:t xml:space="preserve">17] </w:t>
      </w:r>
    </w:p>
  </w:footnote>
  <w:footnote w:id="6">
    <w:p w14:paraId="601720F1" w14:textId="520D073E" w:rsidR="004D043F" w:rsidRDefault="004D043F" w:rsidP="004D043F">
      <w:pPr>
        <w:pStyle w:val="FootnoteText"/>
      </w:pPr>
      <w:r>
        <w:rPr>
          <w:rStyle w:val="FootnoteReference"/>
        </w:rPr>
        <w:footnoteRef/>
      </w:r>
      <w:r>
        <w:t xml:space="preserve"> </w:t>
      </w:r>
      <w:r w:rsidRPr="003A1EBD">
        <w:rPr>
          <w:sz w:val="22"/>
        </w:rPr>
        <w:t xml:space="preserve">E, Segal., </w:t>
      </w:r>
      <w:r w:rsidRPr="003A1EBD">
        <w:rPr>
          <w:i/>
          <w:sz w:val="22"/>
        </w:rPr>
        <w:t>Introducing Judaism</w:t>
      </w:r>
      <w:r w:rsidRPr="003A1EBD">
        <w:rPr>
          <w:sz w:val="22"/>
        </w:rPr>
        <w:t>, tud</w:t>
      </w:r>
      <w:r>
        <w:rPr>
          <w:sz w:val="22"/>
        </w:rPr>
        <w:t xml:space="preserve"> 43-44</w:t>
      </w:r>
    </w:p>
  </w:footnote>
  <w:footnote w:id="7">
    <w:p w14:paraId="455DB514" w14:textId="58B7BD1F" w:rsidR="005F35F2" w:rsidRPr="00205367" w:rsidRDefault="005F35F2" w:rsidP="003B6493">
      <w:pPr>
        <w:spacing w:line="240" w:lineRule="auto"/>
        <w:jc w:val="both"/>
      </w:pPr>
      <w:r w:rsidRPr="00205367">
        <w:rPr>
          <w:rStyle w:val="FootnoteReference"/>
        </w:rPr>
        <w:footnoteRef/>
      </w:r>
      <w:r w:rsidRPr="00205367">
        <w:t xml:space="preserve"> J, Jeremias., </w:t>
      </w:r>
      <w:r w:rsidRPr="00205367">
        <w:rPr>
          <w:i/>
        </w:rPr>
        <w:t>Jerusalem in the Time of Jesus</w:t>
      </w:r>
      <w:r w:rsidRPr="00205367">
        <w:t xml:space="preserve"> (Philadelphia: Fortress Press, 1969), tud 250</w:t>
      </w:r>
    </w:p>
  </w:footnote>
  <w:footnote w:id="8">
    <w:p w14:paraId="26540075" w14:textId="2F518FCD" w:rsidR="005F35F2" w:rsidRDefault="005F35F2" w:rsidP="003B6493">
      <w:pPr>
        <w:pStyle w:val="FootnoteText"/>
      </w:pPr>
      <w:r w:rsidRPr="00205367">
        <w:rPr>
          <w:rStyle w:val="FootnoteReference"/>
          <w:sz w:val="22"/>
          <w:szCs w:val="22"/>
        </w:rPr>
        <w:footnoteRef/>
      </w:r>
      <w:r w:rsidRPr="00205367">
        <w:rPr>
          <w:sz w:val="22"/>
          <w:szCs w:val="22"/>
        </w:rPr>
        <w:t xml:space="preserve"> J, Jeremias., </w:t>
      </w:r>
      <w:r w:rsidRPr="00205367">
        <w:rPr>
          <w:i/>
          <w:sz w:val="22"/>
          <w:szCs w:val="22"/>
        </w:rPr>
        <w:t>Jerusalem in the Time of Jesus</w:t>
      </w:r>
      <w:r w:rsidR="00654BFD">
        <w:rPr>
          <w:sz w:val="22"/>
          <w:szCs w:val="22"/>
        </w:rPr>
        <w:t xml:space="preserve">, </w:t>
      </w:r>
      <w:r w:rsidRPr="00205367">
        <w:rPr>
          <w:sz w:val="22"/>
          <w:szCs w:val="22"/>
        </w:rPr>
        <w:t>tud 263</w:t>
      </w:r>
    </w:p>
  </w:footnote>
  <w:footnote w:id="9">
    <w:p w14:paraId="4452F9B2" w14:textId="7B725691" w:rsidR="005F35F2" w:rsidRDefault="005F35F2" w:rsidP="0042440F">
      <w:pPr>
        <w:pStyle w:val="FootnoteText"/>
      </w:pPr>
      <w:r>
        <w:rPr>
          <w:rStyle w:val="FootnoteReference"/>
        </w:rPr>
        <w:footnoteRef/>
      </w:r>
      <w:r>
        <w:t xml:space="preserve"> </w:t>
      </w:r>
      <w:r w:rsidRPr="00205367">
        <w:rPr>
          <w:sz w:val="22"/>
          <w:szCs w:val="22"/>
        </w:rPr>
        <w:t xml:space="preserve">J, Jeremias., </w:t>
      </w:r>
      <w:r w:rsidRPr="00205367">
        <w:rPr>
          <w:i/>
          <w:sz w:val="22"/>
          <w:szCs w:val="22"/>
        </w:rPr>
        <w:t>Jerusalem in the Time of Jesus</w:t>
      </w:r>
      <w:r w:rsidRPr="00205367">
        <w:rPr>
          <w:sz w:val="22"/>
          <w:szCs w:val="22"/>
        </w:rPr>
        <w:t>, tud 265</w:t>
      </w:r>
    </w:p>
  </w:footnote>
  <w:footnote w:id="10">
    <w:p w14:paraId="718B516C" w14:textId="33E88081" w:rsidR="005F35F2" w:rsidRPr="00AC0DF9" w:rsidRDefault="005F35F2" w:rsidP="00AC0DF9">
      <w:pPr>
        <w:pStyle w:val="FootnoteText"/>
        <w:rPr>
          <w:sz w:val="22"/>
          <w:szCs w:val="22"/>
        </w:rPr>
      </w:pPr>
      <w:r w:rsidRPr="00AC0DF9">
        <w:rPr>
          <w:rStyle w:val="FootnoteReference"/>
          <w:sz w:val="22"/>
          <w:szCs w:val="22"/>
        </w:rPr>
        <w:footnoteRef/>
      </w:r>
      <w:r w:rsidRPr="00AC0DF9">
        <w:rPr>
          <w:sz w:val="22"/>
          <w:szCs w:val="22"/>
        </w:rPr>
        <w:t xml:space="preserve"> J, Neusner., </w:t>
      </w:r>
      <w:r w:rsidRPr="00AC0DF9">
        <w:rPr>
          <w:i/>
          <w:sz w:val="22"/>
          <w:szCs w:val="22"/>
        </w:rPr>
        <w:t>Judaism in the Beginning of Christianity</w:t>
      </w:r>
      <w:r w:rsidRPr="00AC0DF9">
        <w:rPr>
          <w:sz w:val="22"/>
          <w:szCs w:val="22"/>
        </w:rPr>
        <w:t>, tud 45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286D89"/>
    <w:multiLevelType w:val="hybridMultilevel"/>
    <w:tmpl w:val="E6C4A3AA"/>
    <w:lvl w:ilvl="0" w:tplc="5D38CAD0">
      <w:start w:val="1"/>
      <w:numFmt w:val="bullet"/>
      <w:lvlText w:val=""/>
      <w:lvlJc w:val="left"/>
      <w:pPr>
        <w:tabs>
          <w:tab w:val="num" w:pos="720"/>
        </w:tabs>
        <w:ind w:left="720" w:hanging="360"/>
      </w:pPr>
      <w:rPr>
        <w:rFonts w:ascii="Wingdings" w:hAnsi="Wingdings" w:hint="default"/>
      </w:rPr>
    </w:lvl>
    <w:lvl w:ilvl="1" w:tplc="338C0A94" w:tentative="1">
      <w:start w:val="1"/>
      <w:numFmt w:val="bullet"/>
      <w:lvlText w:val=""/>
      <w:lvlJc w:val="left"/>
      <w:pPr>
        <w:tabs>
          <w:tab w:val="num" w:pos="1440"/>
        </w:tabs>
        <w:ind w:left="1440" w:hanging="360"/>
      </w:pPr>
      <w:rPr>
        <w:rFonts w:ascii="Wingdings" w:hAnsi="Wingdings" w:hint="default"/>
      </w:rPr>
    </w:lvl>
    <w:lvl w:ilvl="2" w:tplc="2E2CB84C" w:tentative="1">
      <w:start w:val="1"/>
      <w:numFmt w:val="bullet"/>
      <w:lvlText w:val=""/>
      <w:lvlJc w:val="left"/>
      <w:pPr>
        <w:tabs>
          <w:tab w:val="num" w:pos="2160"/>
        </w:tabs>
        <w:ind w:left="2160" w:hanging="360"/>
      </w:pPr>
      <w:rPr>
        <w:rFonts w:ascii="Wingdings" w:hAnsi="Wingdings" w:hint="default"/>
      </w:rPr>
    </w:lvl>
    <w:lvl w:ilvl="3" w:tplc="E6F6032A" w:tentative="1">
      <w:start w:val="1"/>
      <w:numFmt w:val="bullet"/>
      <w:lvlText w:val=""/>
      <w:lvlJc w:val="left"/>
      <w:pPr>
        <w:tabs>
          <w:tab w:val="num" w:pos="2880"/>
        </w:tabs>
        <w:ind w:left="2880" w:hanging="360"/>
      </w:pPr>
      <w:rPr>
        <w:rFonts w:ascii="Wingdings" w:hAnsi="Wingdings" w:hint="default"/>
      </w:rPr>
    </w:lvl>
    <w:lvl w:ilvl="4" w:tplc="DF80CC8E" w:tentative="1">
      <w:start w:val="1"/>
      <w:numFmt w:val="bullet"/>
      <w:lvlText w:val=""/>
      <w:lvlJc w:val="left"/>
      <w:pPr>
        <w:tabs>
          <w:tab w:val="num" w:pos="3600"/>
        </w:tabs>
        <w:ind w:left="3600" w:hanging="360"/>
      </w:pPr>
      <w:rPr>
        <w:rFonts w:ascii="Wingdings" w:hAnsi="Wingdings" w:hint="default"/>
      </w:rPr>
    </w:lvl>
    <w:lvl w:ilvl="5" w:tplc="0746655E" w:tentative="1">
      <w:start w:val="1"/>
      <w:numFmt w:val="bullet"/>
      <w:lvlText w:val=""/>
      <w:lvlJc w:val="left"/>
      <w:pPr>
        <w:tabs>
          <w:tab w:val="num" w:pos="4320"/>
        </w:tabs>
        <w:ind w:left="4320" w:hanging="360"/>
      </w:pPr>
      <w:rPr>
        <w:rFonts w:ascii="Wingdings" w:hAnsi="Wingdings" w:hint="default"/>
      </w:rPr>
    </w:lvl>
    <w:lvl w:ilvl="6" w:tplc="332C8346" w:tentative="1">
      <w:start w:val="1"/>
      <w:numFmt w:val="bullet"/>
      <w:lvlText w:val=""/>
      <w:lvlJc w:val="left"/>
      <w:pPr>
        <w:tabs>
          <w:tab w:val="num" w:pos="5040"/>
        </w:tabs>
        <w:ind w:left="5040" w:hanging="360"/>
      </w:pPr>
      <w:rPr>
        <w:rFonts w:ascii="Wingdings" w:hAnsi="Wingdings" w:hint="default"/>
      </w:rPr>
    </w:lvl>
    <w:lvl w:ilvl="7" w:tplc="9790D8DC" w:tentative="1">
      <w:start w:val="1"/>
      <w:numFmt w:val="bullet"/>
      <w:lvlText w:val=""/>
      <w:lvlJc w:val="left"/>
      <w:pPr>
        <w:tabs>
          <w:tab w:val="num" w:pos="5760"/>
        </w:tabs>
        <w:ind w:left="5760" w:hanging="360"/>
      </w:pPr>
      <w:rPr>
        <w:rFonts w:ascii="Wingdings" w:hAnsi="Wingdings" w:hint="default"/>
      </w:rPr>
    </w:lvl>
    <w:lvl w:ilvl="8" w:tplc="FD9AACE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09D2"/>
    <w:rsid w:val="00006063"/>
    <w:rsid w:val="000204F4"/>
    <w:rsid w:val="00025B5C"/>
    <w:rsid w:val="00031478"/>
    <w:rsid w:val="00042815"/>
    <w:rsid w:val="00050EBC"/>
    <w:rsid w:val="000614AD"/>
    <w:rsid w:val="00092C9D"/>
    <w:rsid w:val="000959D3"/>
    <w:rsid w:val="000D0A4F"/>
    <w:rsid w:val="000E2496"/>
    <w:rsid w:val="00102B9A"/>
    <w:rsid w:val="00105CB2"/>
    <w:rsid w:val="00106813"/>
    <w:rsid w:val="00114EF0"/>
    <w:rsid w:val="0012656F"/>
    <w:rsid w:val="001439AF"/>
    <w:rsid w:val="00155502"/>
    <w:rsid w:val="001A5F98"/>
    <w:rsid w:val="001B3AF9"/>
    <w:rsid w:val="001C610D"/>
    <w:rsid w:val="001D74B7"/>
    <w:rsid w:val="001E1361"/>
    <w:rsid w:val="001F2582"/>
    <w:rsid w:val="00200956"/>
    <w:rsid w:val="00205367"/>
    <w:rsid w:val="002109D2"/>
    <w:rsid w:val="002316A1"/>
    <w:rsid w:val="00231F8A"/>
    <w:rsid w:val="00235537"/>
    <w:rsid w:val="00240F32"/>
    <w:rsid w:val="00255844"/>
    <w:rsid w:val="0029250B"/>
    <w:rsid w:val="0029478D"/>
    <w:rsid w:val="002A4E2F"/>
    <w:rsid w:val="002C7883"/>
    <w:rsid w:val="002E2FCF"/>
    <w:rsid w:val="002F5C75"/>
    <w:rsid w:val="00313370"/>
    <w:rsid w:val="003357E1"/>
    <w:rsid w:val="0033580D"/>
    <w:rsid w:val="00344EF7"/>
    <w:rsid w:val="003469D4"/>
    <w:rsid w:val="00355597"/>
    <w:rsid w:val="003A1EBD"/>
    <w:rsid w:val="003A31A1"/>
    <w:rsid w:val="003B6493"/>
    <w:rsid w:val="003E24F3"/>
    <w:rsid w:val="003F06D4"/>
    <w:rsid w:val="0042440F"/>
    <w:rsid w:val="004255CE"/>
    <w:rsid w:val="00442969"/>
    <w:rsid w:val="004672B9"/>
    <w:rsid w:val="004B21E6"/>
    <w:rsid w:val="004C745F"/>
    <w:rsid w:val="004D043F"/>
    <w:rsid w:val="004E0D7A"/>
    <w:rsid w:val="004E75E5"/>
    <w:rsid w:val="004F029A"/>
    <w:rsid w:val="004F3198"/>
    <w:rsid w:val="0050557F"/>
    <w:rsid w:val="00514652"/>
    <w:rsid w:val="00524727"/>
    <w:rsid w:val="005625EE"/>
    <w:rsid w:val="00591A1F"/>
    <w:rsid w:val="00592706"/>
    <w:rsid w:val="005A558A"/>
    <w:rsid w:val="005C256C"/>
    <w:rsid w:val="005E4FA1"/>
    <w:rsid w:val="005F35F2"/>
    <w:rsid w:val="005F5095"/>
    <w:rsid w:val="005F7439"/>
    <w:rsid w:val="006001B7"/>
    <w:rsid w:val="006107EC"/>
    <w:rsid w:val="0062491D"/>
    <w:rsid w:val="00654BFD"/>
    <w:rsid w:val="00681648"/>
    <w:rsid w:val="0069045F"/>
    <w:rsid w:val="006A08B5"/>
    <w:rsid w:val="006C58DA"/>
    <w:rsid w:val="00704304"/>
    <w:rsid w:val="007265B4"/>
    <w:rsid w:val="007701B4"/>
    <w:rsid w:val="00776E3D"/>
    <w:rsid w:val="007828D5"/>
    <w:rsid w:val="007976A7"/>
    <w:rsid w:val="007A5482"/>
    <w:rsid w:val="007B1AB0"/>
    <w:rsid w:val="007C7FAB"/>
    <w:rsid w:val="007D6533"/>
    <w:rsid w:val="007E65F8"/>
    <w:rsid w:val="007F4708"/>
    <w:rsid w:val="007F5074"/>
    <w:rsid w:val="00800EB2"/>
    <w:rsid w:val="00842809"/>
    <w:rsid w:val="00896ABE"/>
    <w:rsid w:val="008B0CAE"/>
    <w:rsid w:val="008C0810"/>
    <w:rsid w:val="008E3883"/>
    <w:rsid w:val="008F10A6"/>
    <w:rsid w:val="00925693"/>
    <w:rsid w:val="00930377"/>
    <w:rsid w:val="00943098"/>
    <w:rsid w:val="00981C75"/>
    <w:rsid w:val="0098581D"/>
    <w:rsid w:val="00994B17"/>
    <w:rsid w:val="009B02C0"/>
    <w:rsid w:val="009D19F0"/>
    <w:rsid w:val="009D3C62"/>
    <w:rsid w:val="009E5B7E"/>
    <w:rsid w:val="00A17FAD"/>
    <w:rsid w:val="00A30CE3"/>
    <w:rsid w:val="00A355E2"/>
    <w:rsid w:val="00A44822"/>
    <w:rsid w:val="00A4576E"/>
    <w:rsid w:val="00A4601E"/>
    <w:rsid w:val="00A56C61"/>
    <w:rsid w:val="00A83173"/>
    <w:rsid w:val="00A932E1"/>
    <w:rsid w:val="00AA624F"/>
    <w:rsid w:val="00AA64A0"/>
    <w:rsid w:val="00AA6A1D"/>
    <w:rsid w:val="00AC0DF9"/>
    <w:rsid w:val="00AE7226"/>
    <w:rsid w:val="00B035A5"/>
    <w:rsid w:val="00B7527C"/>
    <w:rsid w:val="00B83187"/>
    <w:rsid w:val="00B844A2"/>
    <w:rsid w:val="00BB397B"/>
    <w:rsid w:val="00BC202A"/>
    <w:rsid w:val="00BC5B06"/>
    <w:rsid w:val="00BD7D5C"/>
    <w:rsid w:val="00BE6A28"/>
    <w:rsid w:val="00BF1743"/>
    <w:rsid w:val="00BF7C52"/>
    <w:rsid w:val="00C12113"/>
    <w:rsid w:val="00C27CF2"/>
    <w:rsid w:val="00C61F63"/>
    <w:rsid w:val="00C62618"/>
    <w:rsid w:val="00C70D34"/>
    <w:rsid w:val="00C71247"/>
    <w:rsid w:val="00C73846"/>
    <w:rsid w:val="00C7690E"/>
    <w:rsid w:val="00C95719"/>
    <w:rsid w:val="00C96DCC"/>
    <w:rsid w:val="00C971BB"/>
    <w:rsid w:val="00CB3C07"/>
    <w:rsid w:val="00CD1445"/>
    <w:rsid w:val="00CF79E6"/>
    <w:rsid w:val="00D266FE"/>
    <w:rsid w:val="00D4584A"/>
    <w:rsid w:val="00D8097E"/>
    <w:rsid w:val="00D92392"/>
    <w:rsid w:val="00DB3C76"/>
    <w:rsid w:val="00DC23B2"/>
    <w:rsid w:val="00DC7A85"/>
    <w:rsid w:val="00E1346E"/>
    <w:rsid w:val="00E22EC4"/>
    <w:rsid w:val="00E441A1"/>
    <w:rsid w:val="00E6470C"/>
    <w:rsid w:val="00E755B8"/>
    <w:rsid w:val="00E81242"/>
    <w:rsid w:val="00EA3994"/>
    <w:rsid w:val="00EB015D"/>
    <w:rsid w:val="00ED320E"/>
    <w:rsid w:val="00F27C5E"/>
    <w:rsid w:val="00F51883"/>
    <w:rsid w:val="00F71C65"/>
    <w:rsid w:val="00FA5029"/>
    <w:rsid w:val="00FB3172"/>
    <w:rsid w:val="00FB56BA"/>
    <w:rsid w:val="00FF3746"/>
    <w:rsid w:val="00FF5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147E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105C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105CB2"/>
    <w:rPr>
      <w:rFonts w:ascii="Courier New" w:eastAsia="Times New Roman" w:hAnsi="Courier New" w:cs="Courier New"/>
      <w:sz w:val="20"/>
      <w:szCs w:val="20"/>
      <w:lang w:eastAsia="en-GB"/>
    </w:rPr>
  </w:style>
  <w:style w:type="paragraph" w:styleId="FootnoteText">
    <w:name w:val="footnote text"/>
    <w:basedOn w:val="Normal"/>
    <w:link w:val="FootnoteTextChar"/>
    <w:uiPriority w:val="99"/>
    <w:unhideWhenUsed/>
    <w:rsid w:val="00ED320E"/>
    <w:pPr>
      <w:spacing w:after="0" w:line="240" w:lineRule="auto"/>
    </w:pPr>
    <w:rPr>
      <w:sz w:val="24"/>
      <w:szCs w:val="24"/>
    </w:rPr>
  </w:style>
  <w:style w:type="character" w:customStyle="1" w:styleId="FootnoteTextChar">
    <w:name w:val="Footnote Text Char"/>
    <w:basedOn w:val="DefaultParagraphFont"/>
    <w:link w:val="FootnoteText"/>
    <w:uiPriority w:val="99"/>
    <w:rsid w:val="00ED320E"/>
    <w:rPr>
      <w:sz w:val="24"/>
      <w:szCs w:val="24"/>
    </w:rPr>
  </w:style>
  <w:style w:type="character" w:styleId="FootnoteReference">
    <w:name w:val="footnote reference"/>
    <w:basedOn w:val="DefaultParagraphFont"/>
    <w:uiPriority w:val="99"/>
    <w:unhideWhenUsed/>
    <w:rsid w:val="00ED320E"/>
    <w:rPr>
      <w:vertAlign w:val="superscript"/>
    </w:rPr>
  </w:style>
  <w:style w:type="character" w:styleId="Hyperlink">
    <w:name w:val="Hyperlink"/>
    <w:basedOn w:val="DefaultParagraphFont"/>
    <w:uiPriority w:val="99"/>
    <w:unhideWhenUsed/>
    <w:rsid w:val="00925693"/>
    <w:rPr>
      <w:color w:val="0000FF" w:themeColor="hyperlink"/>
      <w:u w:val="single"/>
    </w:rPr>
  </w:style>
  <w:style w:type="character" w:styleId="FollowedHyperlink">
    <w:name w:val="FollowedHyperlink"/>
    <w:basedOn w:val="DefaultParagraphFont"/>
    <w:uiPriority w:val="99"/>
    <w:semiHidden/>
    <w:unhideWhenUsed/>
    <w:rsid w:val="00FA502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5843379">
      <w:bodyDiv w:val="1"/>
      <w:marLeft w:val="0"/>
      <w:marRight w:val="0"/>
      <w:marTop w:val="0"/>
      <w:marBottom w:val="0"/>
      <w:divBdr>
        <w:top w:val="none" w:sz="0" w:space="0" w:color="auto"/>
        <w:left w:val="none" w:sz="0" w:space="0" w:color="auto"/>
        <w:bottom w:val="none" w:sz="0" w:space="0" w:color="auto"/>
        <w:right w:val="none" w:sz="0" w:space="0" w:color="auto"/>
      </w:divBdr>
    </w:div>
    <w:div w:id="625702895">
      <w:bodyDiv w:val="1"/>
      <w:marLeft w:val="0"/>
      <w:marRight w:val="0"/>
      <w:marTop w:val="0"/>
      <w:marBottom w:val="0"/>
      <w:divBdr>
        <w:top w:val="none" w:sz="0" w:space="0" w:color="auto"/>
        <w:left w:val="none" w:sz="0" w:space="0" w:color="auto"/>
        <w:bottom w:val="none" w:sz="0" w:space="0" w:color="auto"/>
        <w:right w:val="none" w:sz="0" w:space="0" w:color="auto"/>
      </w:divBdr>
    </w:div>
    <w:div w:id="639574582">
      <w:bodyDiv w:val="1"/>
      <w:marLeft w:val="0"/>
      <w:marRight w:val="0"/>
      <w:marTop w:val="0"/>
      <w:marBottom w:val="0"/>
      <w:divBdr>
        <w:top w:val="none" w:sz="0" w:space="0" w:color="auto"/>
        <w:left w:val="none" w:sz="0" w:space="0" w:color="auto"/>
        <w:bottom w:val="none" w:sz="0" w:space="0" w:color="auto"/>
        <w:right w:val="none" w:sz="0" w:space="0" w:color="auto"/>
      </w:divBdr>
    </w:div>
    <w:div w:id="729810261">
      <w:bodyDiv w:val="1"/>
      <w:marLeft w:val="0"/>
      <w:marRight w:val="0"/>
      <w:marTop w:val="0"/>
      <w:marBottom w:val="0"/>
      <w:divBdr>
        <w:top w:val="none" w:sz="0" w:space="0" w:color="auto"/>
        <w:left w:val="none" w:sz="0" w:space="0" w:color="auto"/>
        <w:bottom w:val="none" w:sz="0" w:space="0" w:color="auto"/>
        <w:right w:val="none" w:sz="0" w:space="0" w:color="auto"/>
      </w:divBdr>
    </w:div>
    <w:div w:id="808131332">
      <w:bodyDiv w:val="1"/>
      <w:marLeft w:val="0"/>
      <w:marRight w:val="0"/>
      <w:marTop w:val="0"/>
      <w:marBottom w:val="0"/>
      <w:divBdr>
        <w:top w:val="none" w:sz="0" w:space="0" w:color="auto"/>
        <w:left w:val="none" w:sz="0" w:space="0" w:color="auto"/>
        <w:bottom w:val="none" w:sz="0" w:space="0" w:color="auto"/>
        <w:right w:val="none" w:sz="0" w:space="0" w:color="auto"/>
      </w:divBdr>
    </w:div>
    <w:div w:id="1602764630">
      <w:bodyDiv w:val="1"/>
      <w:marLeft w:val="0"/>
      <w:marRight w:val="0"/>
      <w:marTop w:val="0"/>
      <w:marBottom w:val="0"/>
      <w:divBdr>
        <w:top w:val="none" w:sz="0" w:space="0" w:color="auto"/>
        <w:left w:val="none" w:sz="0" w:space="0" w:color="auto"/>
        <w:bottom w:val="none" w:sz="0" w:space="0" w:color="auto"/>
        <w:right w:val="none" w:sz="0" w:space="0" w:color="auto"/>
      </w:divBdr>
    </w:div>
    <w:div w:id="1637249979">
      <w:bodyDiv w:val="1"/>
      <w:marLeft w:val="0"/>
      <w:marRight w:val="0"/>
      <w:marTop w:val="0"/>
      <w:marBottom w:val="0"/>
      <w:divBdr>
        <w:top w:val="none" w:sz="0" w:space="0" w:color="auto"/>
        <w:left w:val="none" w:sz="0" w:space="0" w:color="auto"/>
        <w:bottom w:val="none" w:sz="0" w:space="0" w:color="auto"/>
        <w:right w:val="none" w:sz="0" w:space="0" w:color="auto"/>
      </w:divBdr>
    </w:div>
    <w:div w:id="1862081806">
      <w:bodyDiv w:val="1"/>
      <w:marLeft w:val="0"/>
      <w:marRight w:val="0"/>
      <w:marTop w:val="0"/>
      <w:marBottom w:val="0"/>
      <w:divBdr>
        <w:top w:val="none" w:sz="0" w:space="0" w:color="auto"/>
        <w:left w:val="none" w:sz="0" w:space="0" w:color="auto"/>
        <w:bottom w:val="none" w:sz="0" w:space="0" w:color="auto"/>
        <w:right w:val="none" w:sz="0" w:space="0" w:color="auto"/>
      </w:divBdr>
      <w:divsChild>
        <w:div w:id="1884365587">
          <w:marLeft w:val="504"/>
          <w:marRight w:val="0"/>
          <w:marTop w:val="140"/>
          <w:marBottom w:val="0"/>
          <w:divBdr>
            <w:top w:val="none" w:sz="0" w:space="0" w:color="auto"/>
            <w:left w:val="none" w:sz="0" w:space="0" w:color="auto"/>
            <w:bottom w:val="none" w:sz="0" w:space="0" w:color="auto"/>
            <w:right w:val="none" w:sz="0" w:space="0" w:color="auto"/>
          </w:divBdr>
        </w:div>
        <w:div w:id="1925719832">
          <w:marLeft w:val="504"/>
          <w:marRight w:val="0"/>
          <w:marTop w:val="140"/>
          <w:marBottom w:val="0"/>
          <w:divBdr>
            <w:top w:val="none" w:sz="0" w:space="0" w:color="auto"/>
            <w:left w:val="none" w:sz="0" w:space="0" w:color="auto"/>
            <w:bottom w:val="none" w:sz="0" w:space="0" w:color="auto"/>
            <w:right w:val="none" w:sz="0" w:space="0" w:color="auto"/>
          </w:divBdr>
        </w:div>
        <w:div w:id="850144172">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ible.org/seriespage/2-pharisees"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bible.org/seriespage/2-pharisees" TargetMode="External"/><Relationship Id="rId2" Type="http://schemas.openxmlformats.org/officeDocument/2006/relationships/hyperlink" Target="https://bible.org/seriespage/2-pharis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2525</Words>
  <Characters>14393</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Kier Ltd</Company>
  <LinksUpToDate>false</LinksUpToDate>
  <CharactersWithSpaces>16885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Owen, Meleri</dc:creator>
  <cp:lastModifiedBy>Meleri Owen (1500474)</cp:lastModifiedBy>
  <cp:revision>2</cp:revision>
  <dcterms:created xsi:type="dcterms:W3CDTF">2017-12-07T20:03:00Z</dcterms:created>
  <dcterms:modified xsi:type="dcterms:W3CDTF">2017-12-07T20:03:00Z</dcterms:modified>
</cp:coreProperties>
</file>