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9B3A6C" w14:textId="77777777" w:rsidR="00EA558F" w:rsidRPr="00136D2F" w:rsidRDefault="00EA558F" w:rsidP="00136D2F">
      <w:pPr>
        <w:pStyle w:val="Title"/>
        <w:spacing w:line="360" w:lineRule="auto"/>
        <w:rPr>
          <w:rFonts w:ascii="Calibri" w:eastAsia="Myriad Pro" w:hAnsi="Calibri"/>
          <w:sz w:val="24"/>
          <w:szCs w:val="24"/>
        </w:rPr>
      </w:pPr>
      <w:r w:rsidRPr="00136D2F">
        <w:rPr>
          <w:rFonts w:ascii="Calibri" w:hAnsi="Calibri"/>
          <w:noProof/>
          <w:sz w:val="24"/>
          <w:szCs w:val="24"/>
        </w:rPr>
        <w:drawing>
          <wp:anchor distT="0" distB="0" distL="114300" distR="114300" simplePos="0" relativeHeight="251658240" behindDoc="0" locked="0" layoutInCell="1" allowOverlap="1" wp14:anchorId="5BCE6867" wp14:editId="381478FC">
            <wp:simplePos x="0" y="0"/>
            <wp:positionH relativeFrom="column">
              <wp:posOffset>956310</wp:posOffset>
            </wp:positionH>
            <wp:positionV relativeFrom="paragraph">
              <wp:posOffset>5</wp:posOffset>
            </wp:positionV>
            <wp:extent cx="4048760" cy="1805936"/>
            <wp:effectExtent l="0" t="0" r="0" b="444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048760" cy="1805936"/>
                    </a:xfrm>
                    <a:prstGeom prst="rect">
                      <a:avLst/>
                    </a:prstGeom>
                  </pic:spPr>
                </pic:pic>
              </a:graphicData>
            </a:graphic>
            <wp14:sizeRelH relativeFrom="margin">
              <wp14:pctWidth>0</wp14:pctWidth>
            </wp14:sizeRelH>
            <wp14:sizeRelV relativeFrom="margin">
              <wp14:pctHeight>0</wp14:pctHeight>
            </wp14:sizeRelV>
          </wp:anchor>
        </w:drawing>
      </w:r>
    </w:p>
    <w:p w14:paraId="741CE80B" w14:textId="0E01B09D" w:rsidR="00EA558F" w:rsidRPr="00290E90" w:rsidRDefault="00DC5D19" w:rsidP="00136D2F">
      <w:pPr>
        <w:pStyle w:val="Title"/>
        <w:spacing w:line="360" w:lineRule="auto"/>
        <w:jc w:val="center"/>
        <w:rPr>
          <w:rFonts w:ascii="Calibri" w:eastAsia="Myriad Pro" w:hAnsi="Calibri"/>
          <w:sz w:val="44"/>
          <w:szCs w:val="44"/>
        </w:rPr>
      </w:pPr>
      <w:r w:rsidRPr="00290E90">
        <w:rPr>
          <w:rFonts w:ascii="Calibri" w:eastAsia="Times New Roman" w:hAnsi="Calibri" w:cs="Segoe UI"/>
          <w:color w:val="0F0F0F"/>
          <w:sz w:val="44"/>
          <w:szCs w:val="44"/>
          <w:shd w:val="clear" w:color="auto" w:fill="FFFFFF"/>
        </w:rPr>
        <w:t>Title: How a school develops one aspect of its S</w:t>
      </w:r>
      <w:r w:rsidR="00751C92" w:rsidRPr="00290E90">
        <w:rPr>
          <w:rFonts w:ascii="Calibri" w:eastAsia="Times New Roman" w:hAnsi="Calibri" w:cs="Segoe UI"/>
          <w:color w:val="0F0F0F"/>
          <w:sz w:val="44"/>
          <w:szCs w:val="44"/>
          <w:shd w:val="clear" w:color="auto" w:fill="FFFFFF"/>
        </w:rPr>
        <w:t>I</w:t>
      </w:r>
      <w:r w:rsidRPr="00290E90">
        <w:rPr>
          <w:rFonts w:ascii="Calibri" w:eastAsia="Times New Roman" w:hAnsi="Calibri" w:cs="Segoe UI"/>
          <w:color w:val="0F0F0F"/>
          <w:sz w:val="44"/>
          <w:szCs w:val="44"/>
          <w:shd w:val="clear" w:color="auto" w:fill="FFFFFF"/>
        </w:rPr>
        <w:t>P: a report that critically reflects on the actions, impact and evidence base.</w:t>
      </w:r>
    </w:p>
    <w:p w14:paraId="13FEF1A6" w14:textId="77777777" w:rsidR="00EA558F" w:rsidRPr="00290E90" w:rsidRDefault="00EA558F" w:rsidP="00136D2F">
      <w:pPr>
        <w:spacing w:line="360" w:lineRule="auto"/>
        <w:rPr>
          <w:rFonts w:ascii="Calibri" w:hAnsi="Calibri"/>
          <w:sz w:val="44"/>
          <w:szCs w:val="44"/>
        </w:rPr>
      </w:pPr>
    </w:p>
    <w:p w14:paraId="36892653" w14:textId="77777777" w:rsidR="00EA558F" w:rsidRPr="00136D2F" w:rsidRDefault="00EA558F" w:rsidP="00136D2F">
      <w:pPr>
        <w:spacing w:line="360" w:lineRule="auto"/>
        <w:jc w:val="center"/>
        <w:rPr>
          <w:rFonts w:ascii="Calibri" w:hAnsi="Calibri"/>
        </w:rPr>
      </w:pPr>
      <w:r w:rsidRPr="00136D2F">
        <w:rPr>
          <w:rFonts w:ascii="Calibri" w:hAnsi="Calibri"/>
        </w:rPr>
        <w:t>Name: McKennzie Price</w:t>
      </w:r>
    </w:p>
    <w:p w14:paraId="469020C2" w14:textId="77777777" w:rsidR="00EA558F" w:rsidRPr="00136D2F" w:rsidRDefault="00EA558F" w:rsidP="00136D2F">
      <w:pPr>
        <w:spacing w:line="360" w:lineRule="auto"/>
        <w:jc w:val="center"/>
        <w:rPr>
          <w:rFonts w:ascii="Calibri" w:hAnsi="Calibri"/>
        </w:rPr>
      </w:pPr>
      <w:r w:rsidRPr="00136D2F">
        <w:rPr>
          <w:rFonts w:ascii="Calibri" w:hAnsi="Calibri"/>
        </w:rPr>
        <w:t>Student number: 2305401</w:t>
      </w:r>
    </w:p>
    <w:p w14:paraId="22458DD1" w14:textId="01546779" w:rsidR="00EA558F" w:rsidRPr="00136D2F" w:rsidRDefault="00EA558F" w:rsidP="00136D2F">
      <w:pPr>
        <w:spacing w:line="360" w:lineRule="auto"/>
        <w:jc w:val="center"/>
        <w:rPr>
          <w:rFonts w:ascii="Calibri" w:hAnsi="Calibri"/>
        </w:rPr>
      </w:pPr>
      <w:r w:rsidRPr="00136D2F">
        <w:rPr>
          <w:rFonts w:ascii="Calibri" w:hAnsi="Calibri"/>
        </w:rPr>
        <w:t xml:space="preserve">Word count </w:t>
      </w:r>
      <w:r w:rsidR="00403BE3" w:rsidRPr="00136D2F">
        <w:rPr>
          <w:rFonts w:ascii="Calibri" w:hAnsi="Calibri"/>
        </w:rPr>
        <w:t>–</w:t>
      </w:r>
      <w:r w:rsidRPr="00136D2F">
        <w:rPr>
          <w:rFonts w:ascii="Calibri" w:hAnsi="Calibri"/>
        </w:rPr>
        <w:t xml:space="preserve"> </w:t>
      </w:r>
      <w:r w:rsidR="00403BE3" w:rsidRPr="00136D2F">
        <w:rPr>
          <w:rFonts w:ascii="Calibri" w:hAnsi="Calibri"/>
        </w:rPr>
        <w:t>2,</w:t>
      </w:r>
      <w:r w:rsidR="00830C48">
        <w:rPr>
          <w:rFonts w:ascii="Calibri" w:hAnsi="Calibri"/>
        </w:rPr>
        <w:t>354</w:t>
      </w:r>
    </w:p>
    <w:p w14:paraId="615E4E82" w14:textId="77777777" w:rsidR="00EA558F" w:rsidRPr="00136D2F" w:rsidRDefault="00EA558F" w:rsidP="00136D2F">
      <w:pPr>
        <w:spacing w:line="360" w:lineRule="auto"/>
        <w:rPr>
          <w:rFonts w:ascii="Calibri" w:hAnsi="Calibri"/>
        </w:rPr>
      </w:pPr>
    </w:p>
    <w:p w14:paraId="414962DB" w14:textId="77777777" w:rsidR="00DA3412" w:rsidRPr="00136D2F" w:rsidRDefault="00DA3412" w:rsidP="00136D2F">
      <w:pPr>
        <w:spacing w:line="360" w:lineRule="auto"/>
        <w:rPr>
          <w:rFonts w:ascii="Calibri" w:hAnsi="Calibri"/>
        </w:rPr>
      </w:pPr>
    </w:p>
    <w:p w14:paraId="4E3A10C7" w14:textId="77777777" w:rsidR="00DA3412" w:rsidRPr="00136D2F" w:rsidRDefault="00DA3412" w:rsidP="00136D2F">
      <w:pPr>
        <w:spacing w:line="360" w:lineRule="auto"/>
        <w:rPr>
          <w:rFonts w:ascii="Calibri" w:hAnsi="Calibri"/>
        </w:rPr>
      </w:pPr>
    </w:p>
    <w:p w14:paraId="0B949297" w14:textId="77777777" w:rsidR="00DA3412" w:rsidRPr="00136D2F" w:rsidRDefault="00DA3412" w:rsidP="00136D2F">
      <w:pPr>
        <w:spacing w:line="360" w:lineRule="auto"/>
        <w:rPr>
          <w:rFonts w:ascii="Calibri" w:hAnsi="Calibri"/>
          <w:b/>
          <w:bCs/>
        </w:rPr>
      </w:pPr>
    </w:p>
    <w:p w14:paraId="6E080FD2" w14:textId="77777777" w:rsidR="00DA3412" w:rsidRPr="00136D2F" w:rsidRDefault="00DA3412" w:rsidP="00136D2F">
      <w:pPr>
        <w:spacing w:line="360" w:lineRule="auto"/>
        <w:rPr>
          <w:rFonts w:ascii="Calibri" w:hAnsi="Calibri"/>
        </w:rPr>
      </w:pPr>
    </w:p>
    <w:p w14:paraId="198174EC" w14:textId="77777777" w:rsidR="00DA3412" w:rsidRPr="00136D2F" w:rsidRDefault="00DA3412" w:rsidP="00136D2F">
      <w:pPr>
        <w:spacing w:line="360" w:lineRule="auto"/>
        <w:rPr>
          <w:rFonts w:ascii="Calibri" w:hAnsi="Calibri"/>
        </w:rPr>
      </w:pPr>
    </w:p>
    <w:p w14:paraId="2E190365" w14:textId="3941A7AE" w:rsidR="00BA7397" w:rsidRPr="00136D2F" w:rsidRDefault="00BA7397" w:rsidP="00136D2F">
      <w:pPr>
        <w:spacing w:line="360" w:lineRule="auto"/>
        <w:rPr>
          <w:rFonts w:ascii="Calibri" w:hAnsi="Calibri"/>
        </w:rPr>
      </w:pPr>
    </w:p>
    <w:tbl>
      <w:tblPr>
        <w:tblStyle w:val="TableGrid"/>
        <w:tblW w:w="11335" w:type="dxa"/>
        <w:jc w:val="center"/>
        <w:tblLook w:val="04A0" w:firstRow="1" w:lastRow="0" w:firstColumn="1" w:lastColumn="0" w:noHBand="0" w:noVBand="1"/>
      </w:tblPr>
      <w:tblGrid>
        <w:gridCol w:w="1699"/>
        <w:gridCol w:w="2837"/>
        <w:gridCol w:w="6799"/>
      </w:tblGrid>
      <w:tr w:rsidR="00E135D7" w:rsidRPr="00136D2F" w14:paraId="33958DCB" w14:textId="77777777">
        <w:trPr>
          <w:trHeight w:val="1885"/>
          <w:jc w:val="center"/>
        </w:trPr>
        <w:tc>
          <w:tcPr>
            <w:tcW w:w="1699" w:type="dxa"/>
          </w:tcPr>
          <w:p w14:paraId="4C38E03A" w14:textId="77777777" w:rsidR="00E135D7" w:rsidRPr="00136D2F" w:rsidRDefault="00E135D7" w:rsidP="00136D2F">
            <w:pPr>
              <w:spacing w:line="360" w:lineRule="auto"/>
              <w:rPr>
                <w:rFonts w:ascii="Calibri" w:hAnsi="Calibri"/>
                <w:sz w:val="24"/>
                <w:szCs w:val="24"/>
              </w:rPr>
            </w:pPr>
          </w:p>
        </w:tc>
        <w:tc>
          <w:tcPr>
            <w:tcW w:w="2837" w:type="dxa"/>
          </w:tcPr>
          <w:p w14:paraId="3CFF01B0" w14:textId="77777777" w:rsidR="00E135D7" w:rsidRPr="00136D2F" w:rsidRDefault="00E135D7" w:rsidP="00136D2F">
            <w:pPr>
              <w:spacing w:line="360" w:lineRule="auto"/>
              <w:rPr>
                <w:rFonts w:ascii="Calibri" w:hAnsi="Calibri"/>
                <w:sz w:val="24"/>
                <w:szCs w:val="24"/>
              </w:rPr>
            </w:pPr>
            <w:r w:rsidRPr="00136D2F">
              <w:rPr>
                <w:rFonts w:ascii="Calibri" w:hAnsi="Calibri"/>
                <w:sz w:val="24"/>
                <w:szCs w:val="24"/>
              </w:rPr>
              <w:t xml:space="preserve">Target </w:t>
            </w:r>
          </w:p>
        </w:tc>
        <w:tc>
          <w:tcPr>
            <w:tcW w:w="6799" w:type="dxa"/>
          </w:tcPr>
          <w:p w14:paraId="1DF0A278" w14:textId="77777777" w:rsidR="00E135D7" w:rsidRPr="00136D2F" w:rsidRDefault="00E135D7" w:rsidP="00136D2F">
            <w:pPr>
              <w:spacing w:line="360" w:lineRule="auto"/>
              <w:rPr>
                <w:rFonts w:ascii="Calibri" w:hAnsi="Calibri"/>
                <w:sz w:val="24"/>
                <w:szCs w:val="24"/>
              </w:rPr>
            </w:pPr>
            <w:r w:rsidRPr="00136D2F">
              <w:rPr>
                <w:rFonts w:ascii="Calibri" w:hAnsi="Calibri"/>
                <w:sz w:val="24"/>
                <w:szCs w:val="24"/>
              </w:rPr>
              <w:t>What I have done in this assignment....</w:t>
            </w:r>
          </w:p>
        </w:tc>
      </w:tr>
      <w:tr w:rsidR="00E135D7" w:rsidRPr="00136D2F" w14:paraId="646474B6" w14:textId="77777777">
        <w:trPr>
          <w:trHeight w:val="928"/>
          <w:jc w:val="center"/>
        </w:trPr>
        <w:tc>
          <w:tcPr>
            <w:tcW w:w="1699" w:type="dxa"/>
          </w:tcPr>
          <w:p w14:paraId="0B6D6111" w14:textId="77777777" w:rsidR="00E135D7" w:rsidRPr="00136D2F" w:rsidRDefault="00E135D7" w:rsidP="00136D2F">
            <w:pPr>
              <w:spacing w:line="360" w:lineRule="auto"/>
              <w:rPr>
                <w:rFonts w:ascii="Calibri" w:hAnsi="Calibri"/>
                <w:sz w:val="24"/>
                <w:szCs w:val="24"/>
              </w:rPr>
            </w:pPr>
            <w:r w:rsidRPr="00136D2F">
              <w:rPr>
                <w:rFonts w:ascii="Calibri" w:hAnsi="Calibri"/>
                <w:sz w:val="24"/>
                <w:szCs w:val="24"/>
              </w:rPr>
              <w:t xml:space="preserve">Target 1 </w:t>
            </w:r>
          </w:p>
        </w:tc>
        <w:tc>
          <w:tcPr>
            <w:tcW w:w="2837" w:type="dxa"/>
          </w:tcPr>
          <w:p w14:paraId="7E31851D" w14:textId="4B169DFD" w:rsidR="00E135D7" w:rsidRPr="00136D2F" w:rsidRDefault="00071515" w:rsidP="00136D2F">
            <w:pPr>
              <w:spacing w:line="360" w:lineRule="auto"/>
              <w:rPr>
                <w:rFonts w:ascii="Calibri" w:hAnsi="Calibri"/>
                <w:color w:val="000000" w:themeColor="text1"/>
                <w:sz w:val="24"/>
                <w:szCs w:val="24"/>
              </w:rPr>
            </w:pPr>
            <w:r w:rsidRPr="00136D2F">
              <w:rPr>
                <w:rFonts w:ascii="Calibri" w:eastAsia="Times New Roman" w:hAnsi="Calibri"/>
                <w:color w:val="283041"/>
                <w:sz w:val="24"/>
                <w:szCs w:val="24"/>
                <w:shd w:val="clear" w:color="auto" w:fill="FFFFFF"/>
              </w:rPr>
              <w:t>Please look at </w:t>
            </w:r>
            <w:hyperlink r:id="rId8" w:history="1">
              <w:r w:rsidRPr="00136D2F">
                <w:rPr>
                  <w:rStyle w:val="Hyperlink"/>
                  <w:rFonts w:ascii="Calibri" w:eastAsia="Times New Roman" w:hAnsi="Calibri"/>
                  <w:color w:val="1E7BBB"/>
                  <w:sz w:val="24"/>
                  <w:szCs w:val="24"/>
                  <w:shd w:val="clear" w:color="auto" w:fill="FFFFFF"/>
                </w:rPr>
                <w:t xml:space="preserve">Academic </w:t>
              </w:r>
              <w:r w:rsidR="004453DB" w:rsidRPr="00136D2F">
                <w:rPr>
                  <w:rStyle w:val="Hyperlink"/>
                  <w:rFonts w:ascii="Calibri" w:eastAsia="Times New Roman" w:hAnsi="Calibri"/>
                  <w:color w:val="1E7BBB"/>
                  <w:sz w:val="24"/>
                  <w:szCs w:val="24"/>
                  <w:shd w:val="clear" w:color="auto" w:fill="FFFFFF"/>
                </w:rPr>
                <w:t>Phrase bank</w:t>
              </w:r>
              <w:r w:rsidRPr="00136D2F">
                <w:rPr>
                  <w:rStyle w:val="Hyperlink"/>
                  <w:rFonts w:ascii="Calibri" w:eastAsia="Times New Roman" w:hAnsi="Calibri"/>
                  <w:color w:val="1E7BBB"/>
                  <w:sz w:val="24"/>
                  <w:szCs w:val="24"/>
                  <w:shd w:val="clear" w:color="auto" w:fill="FFFFFF"/>
                </w:rPr>
                <w:t xml:space="preserve"> | Being critical (manchester.ac.uk)</w:t>
              </w:r>
            </w:hyperlink>
            <w:r w:rsidRPr="00136D2F">
              <w:rPr>
                <w:rFonts w:ascii="Calibri" w:eastAsia="Times New Roman" w:hAnsi="Calibri"/>
                <w:color w:val="283041"/>
                <w:sz w:val="24"/>
                <w:szCs w:val="24"/>
                <w:shd w:val="clear" w:color="auto" w:fill="FFFFFF"/>
              </w:rPr>
              <w:t xml:space="preserve"> which will help you develop a more academic style of writing. You should also check your use of the possessive apostrophe and always </w:t>
            </w:r>
            <w:r w:rsidR="00534ECE" w:rsidRPr="00136D2F">
              <w:rPr>
                <w:rFonts w:ascii="Calibri" w:eastAsia="Times New Roman" w:hAnsi="Calibri"/>
                <w:color w:val="283041"/>
                <w:sz w:val="24"/>
                <w:szCs w:val="24"/>
                <w:shd w:val="clear" w:color="auto" w:fill="FFFFFF"/>
              </w:rPr>
              <w:t>proofread</w:t>
            </w:r>
            <w:r w:rsidRPr="00136D2F">
              <w:rPr>
                <w:rFonts w:ascii="Calibri" w:eastAsia="Times New Roman" w:hAnsi="Calibri"/>
                <w:color w:val="283041"/>
                <w:sz w:val="24"/>
                <w:szCs w:val="24"/>
                <w:shd w:val="clear" w:color="auto" w:fill="FFFFFF"/>
              </w:rPr>
              <w:t xml:space="preserve"> your writing carefully.</w:t>
            </w:r>
          </w:p>
        </w:tc>
        <w:tc>
          <w:tcPr>
            <w:tcW w:w="6799" w:type="dxa"/>
          </w:tcPr>
          <w:p w14:paraId="4CCCB5BA" w14:textId="6FF7CABF" w:rsidR="00E135D7" w:rsidRPr="00136D2F" w:rsidRDefault="00F1411C" w:rsidP="00136D2F">
            <w:pPr>
              <w:spacing w:line="360" w:lineRule="auto"/>
              <w:rPr>
                <w:rFonts w:ascii="Calibri" w:hAnsi="Calibri"/>
                <w:color w:val="000000" w:themeColor="text1"/>
                <w:sz w:val="24"/>
                <w:szCs w:val="24"/>
              </w:rPr>
            </w:pPr>
            <w:r w:rsidRPr="00136D2F">
              <w:rPr>
                <w:rFonts w:ascii="Calibri" w:hAnsi="Calibri"/>
                <w:color w:val="000000" w:themeColor="text1"/>
                <w:sz w:val="24"/>
                <w:szCs w:val="24"/>
              </w:rPr>
              <w:t xml:space="preserve">In my assignment, I have strived to adopt an academic style of writing by critically evaluating the literature, providing analyses of evidence, theories, and policies, and offering practical suggestions based on my knowledge and research. To enhance the academic quality of my writing, I have referred to resources such as the Academic </w:t>
            </w:r>
            <w:r w:rsidR="004453DB" w:rsidRPr="00136D2F">
              <w:rPr>
                <w:rFonts w:ascii="Calibri" w:hAnsi="Calibri"/>
                <w:color w:val="000000" w:themeColor="text1"/>
                <w:sz w:val="24"/>
                <w:szCs w:val="24"/>
              </w:rPr>
              <w:t>Phrase bank</w:t>
            </w:r>
            <w:r w:rsidRPr="00136D2F">
              <w:rPr>
                <w:rFonts w:ascii="Calibri" w:hAnsi="Calibri"/>
                <w:color w:val="000000" w:themeColor="text1"/>
                <w:sz w:val="24"/>
                <w:szCs w:val="24"/>
              </w:rPr>
              <w:t xml:space="preserve"> from the University of Manchester. Additionally, I have paid careful attention to grammar usage, including the correct use of possessive apostrophes, and have meticulously proofread my writing to ensure clarity and coherence throughout the assignment. These efforts have been aimed at maintaining academic rigor and professionalism in my work.</w:t>
            </w:r>
          </w:p>
        </w:tc>
      </w:tr>
      <w:tr w:rsidR="00E135D7" w:rsidRPr="00136D2F" w14:paraId="657F6D52" w14:textId="77777777">
        <w:trPr>
          <w:trHeight w:val="928"/>
          <w:jc w:val="center"/>
        </w:trPr>
        <w:tc>
          <w:tcPr>
            <w:tcW w:w="1699" w:type="dxa"/>
          </w:tcPr>
          <w:p w14:paraId="7CDE69A4" w14:textId="77777777" w:rsidR="00E135D7" w:rsidRPr="00136D2F" w:rsidRDefault="00E135D7" w:rsidP="00136D2F">
            <w:pPr>
              <w:spacing w:line="360" w:lineRule="auto"/>
              <w:rPr>
                <w:rFonts w:ascii="Calibri" w:hAnsi="Calibri"/>
                <w:sz w:val="24"/>
                <w:szCs w:val="24"/>
              </w:rPr>
            </w:pPr>
            <w:r w:rsidRPr="00136D2F">
              <w:rPr>
                <w:rFonts w:ascii="Calibri" w:hAnsi="Calibri"/>
                <w:sz w:val="24"/>
                <w:szCs w:val="24"/>
              </w:rPr>
              <w:t>Target 2</w:t>
            </w:r>
          </w:p>
        </w:tc>
        <w:tc>
          <w:tcPr>
            <w:tcW w:w="2837" w:type="dxa"/>
          </w:tcPr>
          <w:p w14:paraId="7B87BE9F" w14:textId="60F51E3C" w:rsidR="00E135D7" w:rsidRPr="00136D2F" w:rsidRDefault="0062451E" w:rsidP="00136D2F">
            <w:pPr>
              <w:spacing w:line="360" w:lineRule="auto"/>
              <w:rPr>
                <w:rFonts w:ascii="Calibri" w:hAnsi="Calibri"/>
                <w:color w:val="000000" w:themeColor="text1"/>
                <w:sz w:val="24"/>
                <w:szCs w:val="24"/>
              </w:rPr>
            </w:pPr>
            <w:r w:rsidRPr="00136D2F">
              <w:rPr>
                <w:rFonts w:ascii="Calibri" w:eastAsia="Times New Roman" w:hAnsi="Calibri"/>
                <w:color w:val="283041"/>
                <w:sz w:val="24"/>
                <w:szCs w:val="24"/>
                <w:shd w:val="clear" w:color="auto" w:fill="FFFFFF"/>
              </w:rPr>
              <w:t>You should refer to </w:t>
            </w:r>
            <w:hyperlink r:id="rId9" w:history="1">
              <w:r w:rsidRPr="00136D2F">
                <w:rPr>
                  <w:rStyle w:val="Hyperlink"/>
                  <w:rFonts w:ascii="Calibri" w:eastAsia="Times New Roman" w:hAnsi="Calibri"/>
                  <w:color w:val="1E7BBB"/>
                  <w:sz w:val="24"/>
                  <w:szCs w:val="24"/>
                  <w:shd w:val="clear" w:color="auto" w:fill="FFFFFF"/>
                </w:rPr>
                <w:t>Harvard Ref (uwtsd.ac.uk)</w:t>
              </w:r>
            </w:hyperlink>
            <w:r w:rsidRPr="00136D2F">
              <w:rPr>
                <w:rFonts w:ascii="Calibri" w:eastAsia="Times New Roman" w:hAnsi="Calibri"/>
                <w:color w:val="283041"/>
                <w:sz w:val="24"/>
                <w:szCs w:val="24"/>
                <w:shd w:val="clear" w:color="auto" w:fill="FFFFFF"/>
              </w:rPr>
              <w:t> as you are making a few errors with your referencing which you should address before your next assignment.</w:t>
            </w:r>
          </w:p>
        </w:tc>
        <w:tc>
          <w:tcPr>
            <w:tcW w:w="6799" w:type="dxa"/>
          </w:tcPr>
          <w:p w14:paraId="21A8D851" w14:textId="15EB30F5" w:rsidR="00E135D7" w:rsidRPr="00136D2F" w:rsidRDefault="000E52DD" w:rsidP="00136D2F">
            <w:pPr>
              <w:spacing w:line="360" w:lineRule="auto"/>
              <w:rPr>
                <w:rFonts w:ascii="Calibri" w:hAnsi="Calibri"/>
                <w:sz w:val="24"/>
                <w:szCs w:val="24"/>
              </w:rPr>
            </w:pPr>
            <w:r w:rsidRPr="00136D2F">
              <w:rPr>
                <w:rFonts w:ascii="Calibri" w:hAnsi="Calibri"/>
                <w:sz w:val="24"/>
                <w:szCs w:val="24"/>
              </w:rPr>
              <w:t>In my assignment, I have strived to adhere to the Harvard referencing style as outlined</w:t>
            </w:r>
            <w:r w:rsidR="00C12499" w:rsidRPr="00136D2F">
              <w:rPr>
                <w:rFonts w:ascii="Calibri" w:hAnsi="Calibri"/>
                <w:sz w:val="24"/>
                <w:szCs w:val="24"/>
              </w:rPr>
              <w:t xml:space="preserve"> </w:t>
            </w:r>
            <w:r w:rsidRPr="00136D2F">
              <w:rPr>
                <w:rFonts w:ascii="Calibri" w:hAnsi="Calibri"/>
                <w:sz w:val="24"/>
                <w:szCs w:val="24"/>
              </w:rPr>
              <w:t>by the University of Wales Trinity Saint David (UWTSD). I have made efforts to ensure that all in-text citations and reference list entries comply with the Harvard referencing guidelines provided by UWTSD. Additionally, I have carefully reviewed my referencing to address any errors and inconsistencies, ensuring accuracy and consistency in citing sources throughout the assignment. These measures have been taken to maintain academic integrity and uphold the standards set forth by UWTSD for referencing practices.</w:t>
            </w:r>
          </w:p>
        </w:tc>
      </w:tr>
      <w:tr w:rsidR="00E135D7" w:rsidRPr="00136D2F" w14:paraId="31783A1A" w14:textId="77777777">
        <w:trPr>
          <w:trHeight w:val="956"/>
          <w:jc w:val="center"/>
        </w:trPr>
        <w:tc>
          <w:tcPr>
            <w:tcW w:w="1699" w:type="dxa"/>
          </w:tcPr>
          <w:p w14:paraId="6491D115" w14:textId="77777777" w:rsidR="00E135D7" w:rsidRPr="00136D2F" w:rsidRDefault="00E135D7" w:rsidP="00136D2F">
            <w:pPr>
              <w:spacing w:line="360" w:lineRule="auto"/>
              <w:rPr>
                <w:rFonts w:ascii="Calibri" w:hAnsi="Calibri"/>
                <w:sz w:val="24"/>
                <w:szCs w:val="24"/>
              </w:rPr>
            </w:pPr>
            <w:r w:rsidRPr="00136D2F">
              <w:rPr>
                <w:rFonts w:ascii="Calibri" w:hAnsi="Calibri"/>
                <w:sz w:val="24"/>
                <w:szCs w:val="24"/>
              </w:rPr>
              <w:t>Target 3</w:t>
            </w:r>
          </w:p>
        </w:tc>
        <w:tc>
          <w:tcPr>
            <w:tcW w:w="2837" w:type="dxa"/>
          </w:tcPr>
          <w:p w14:paraId="490EFADB" w14:textId="6D3C5376" w:rsidR="00E135D7" w:rsidRPr="00136D2F" w:rsidRDefault="00C17F51" w:rsidP="00136D2F">
            <w:pPr>
              <w:spacing w:line="360" w:lineRule="auto"/>
              <w:rPr>
                <w:rFonts w:ascii="Calibri" w:hAnsi="Calibri"/>
                <w:color w:val="000000" w:themeColor="text1"/>
                <w:sz w:val="24"/>
                <w:szCs w:val="24"/>
              </w:rPr>
            </w:pPr>
            <w:r w:rsidRPr="00136D2F">
              <w:rPr>
                <w:rFonts w:ascii="Calibri" w:eastAsia="Times New Roman" w:hAnsi="Calibri"/>
                <w:color w:val="283041"/>
                <w:sz w:val="24"/>
                <w:szCs w:val="24"/>
                <w:shd w:val="clear" w:color="auto" w:fill="FFFFFF"/>
              </w:rPr>
              <w:t xml:space="preserve">You should ensure that you continue to engage with a range of literature and use this to reinforce what you are trying to say. Try to talk about more </w:t>
            </w:r>
            <w:r w:rsidRPr="00136D2F">
              <w:rPr>
                <w:rFonts w:ascii="Calibri" w:eastAsia="Times New Roman" w:hAnsi="Calibri"/>
                <w:color w:val="283041"/>
                <w:sz w:val="24"/>
                <w:szCs w:val="24"/>
                <w:shd w:val="clear" w:color="auto" w:fill="FFFFFF"/>
              </w:rPr>
              <w:lastRenderedPageBreak/>
              <w:t>than one source at a time, you have managed this in some places</w:t>
            </w:r>
            <w:r w:rsidR="00784383" w:rsidRPr="00136D2F">
              <w:rPr>
                <w:rFonts w:ascii="Calibri" w:eastAsia="Times New Roman" w:hAnsi="Calibri"/>
                <w:color w:val="283041"/>
                <w:shd w:val="clear" w:color="auto" w:fill="FFFFFF"/>
              </w:rPr>
              <w:t>,</w:t>
            </w:r>
            <w:r w:rsidRPr="00136D2F">
              <w:rPr>
                <w:rFonts w:ascii="Calibri" w:eastAsia="Times New Roman" w:hAnsi="Calibri"/>
                <w:color w:val="283041"/>
                <w:sz w:val="24"/>
                <w:szCs w:val="24"/>
                <w:shd w:val="clear" w:color="auto" w:fill="FFFFFF"/>
              </w:rPr>
              <w:t xml:space="preserve"> but you should make this a consistent feature.</w:t>
            </w:r>
          </w:p>
        </w:tc>
        <w:tc>
          <w:tcPr>
            <w:tcW w:w="6799" w:type="dxa"/>
          </w:tcPr>
          <w:p w14:paraId="5EBA706F" w14:textId="05AC0997" w:rsidR="00E135D7" w:rsidRPr="00136D2F" w:rsidRDefault="00C91A5E" w:rsidP="00136D2F">
            <w:pPr>
              <w:spacing w:line="360" w:lineRule="auto"/>
              <w:rPr>
                <w:rFonts w:ascii="Calibri" w:hAnsi="Calibri"/>
                <w:color w:val="000000" w:themeColor="text1"/>
                <w:sz w:val="24"/>
                <w:szCs w:val="24"/>
              </w:rPr>
            </w:pPr>
            <w:r w:rsidRPr="00136D2F">
              <w:rPr>
                <w:rFonts w:ascii="Calibri" w:eastAsia="Times New Roman" w:hAnsi="Calibri" w:cs="Segoe UI"/>
                <w:color w:val="000000" w:themeColor="text1"/>
                <w:sz w:val="24"/>
                <w:szCs w:val="24"/>
              </w:rPr>
              <w:lastRenderedPageBreak/>
              <w:t xml:space="preserve">In addressing Target 3, I have actively engaged with a diverse range of literature throughout the assignment, drawing upon multiple sources to support and reinforce the ideas presented. I have made efforts to integrate findings and perspectives from various scholarly works, allowing for a more comprehensive exploration of the topics under discussion. Additionally, I have </w:t>
            </w:r>
            <w:r w:rsidR="006D0ACE" w:rsidRPr="00136D2F">
              <w:rPr>
                <w:rFonts w:ascii="Calibri" w:eastAsia="Times New Roman" w:hAnsi="Calibri" w:cs="Segoe UI"/>
                <w:color w:val="000000" w:themeColor="text1"/>
                <w:sz w:val="24"/>
                <w:szCs w:val="24"/>
              </w:rPr>
              <w:t>endeavoured</w:t>
            </w:r>
            <w:r w:rsidRPr="00136D2F">
              <w:rPr>
                <w:rFonts w:ascii="Calibri" w:eastAsia="Times New Roman" w:hAnsi="Calibri" w:cs="Segoe UI"/>
                <w:color w:val="000000" w:themeColor="text1"/>
                <w:sz w:val="24"/>
                <w:szCs w:val="24"/>
              </w:rPr>
              <w:t xml:space="preserve"> to discuss more </w:t>
            </w:r>
            <w:r w:rsidRPr="00136D2F">
              <w:rPr>
                <w:rFonts w:ascii="Calibri" w:eastAsia="Times New Roman" w:hAnsi="Calibri" w:cs="Segoe UI"/>
                <w:color w:val="000000" w:themeColor="text1"/>
                <w:sz w:val="24"/>
                <w:szCs w:val="24"/>
              </w:rPr>
              <w:lastRenderedPageBreak/>
              <w:t>than one source at a time, synthesizing information from different references to provide a nuanced and well-rounded analysis. By incorporating insights from multiple sources simultaneously, I aim to enrich the discussion and demonstrate a thorough understanding of the subject matter. This approach enhances the credibility and depth of the arguments presented, aligning with the goal of engaging with a range of literature to support and strengthen the narrative.</w:t>
            </w:r>
          </w:p>
        </w:tc>
      </w:tr>
    </w:tbl>
    <w:p w14:paraId="778287E9" w14:textId="77777777" w:rsidR="005808FF" w:rsidRPr="00136D2F" w:rsidRDefault="005808FF" w:rsidP="00136D2F">
      <w:pPr>
        <w:spacing w:line="360" w:lineRule="auto"/>
        <w:divId w:val="814177976"/>
        <w:rPr>
          <w:rFonts w:ascii="Calibri" w:eastAsia="Times New Roman" w:hAnsi="Calibri"/>
        </w:rPr>
      </w:pPr>
      <w:r w:rsidRPr="00136D2F">
        <w:rPr>
          <w:rFonts w:ascii="Calibri" w:eastAsia="Times New Roman" w:hAnsi="Calibri"/>
        </w:rPr>
        <w:lastRenderedPageBreak/>
        <w:t> </w:t>
      </w:r>
    </w:p>
    <w:p w14:paraId="7EEB53EE" w14:textId="29449B4E" w:rsidR="00807FBC" w:rsidRPr="00807FBC" w:rsidRDefault="00807FBC" w:rsidP="00807FBC">
      <w:pPr>
        <w:spacing w:line="360" w:lineRule="auto"/>
        <w:rPr>
          <w:rFonts w:ascii="Calibri" w:eastAsia="Times New Roman" w:hAnsi="Calibri"/>
          <w:color w:val="000000" w:themeColor="text1"/>
        </w:rPr>
      </w:pPr>
      <w:r w:rsidRPr="00807FBC">
        <w:rPr>
          <w:rFonts w:ascii="Calibri" w:eastAsia="Times New Roman" w:hAnsi="Calibri"/>
          <w:color w:val="000000" w:themeColor="text1"/>
        </w:rPr>
        <w:t>In fulfilling this assignment, active engagement with the head teacher was pivotal for delving into the intricacies of the school improvement plan (SIP). This collaborative session offered</w:t>
      </w:r>
      <w:r w:rsidR="00563608">
        <w:rPr>
          <w:rFonts w:ascii="Calibri" w:eastAsia="Times New Roman" w:hAnsi="Calibri"/>
          <w:color w:val="000000" w:themeColor="text1"/>
        </w:rPr>
        <w:t xml:space="preserve"> a</w:t>
      </w:r>
      <w:r w:rsidRPr="00807FBC">
        <w:rPr>
          <w:rFonts w:ascii="Calibri" w:eastAsia="Times New Roman" w:hAnsi="Calibri"/>
          <w:color w:val="000000" w:themeColor="text1"/>
        </w:rPr>
        <w:t xml:space="preserve"> valuable insight into</w:t>
      </w:r>
      <w:r w:rsidR="00563608">
        <w:rPr>
          <w:rFonts w:ascii="Calibri" w:eastAsia="Times New Roman" w:hAnsi="Calibri"/>
          <w:color w:val="000000" w:themeColor="text1"/>
        </w:rPr>
        <w:t xml:space="preserve"> </w:t>
      </w:r>
      <w:r w:rsidRPr="00807FBC">
        <w:rPr>
          <w:rFonts w:ascii="Calibri" w:eastAsia="Times New Roman" w:hAnsi="Calibri"/>
          <w:color w:val="000000" w:themeColor="text1"/>
        </w:rPr>
        <w:t>SIP development, highlighting the school's commitment to self-assessment, target setting, strategy formulation, and impact assessment. This immersive experience facilitated a deeper comprehension and gathering of evidence to support my understanding of formal leadership within a school context and broadened my knowledge of the school’s SIP processes. Insights from the literature illuminate the significance of leadership in education, providing practical strategies for ongoing development (De Jong et al., 2022; Dhillon et al., 2020). Implementing these strategies enables educators to refine teaching methods, cultivate a culture of lifelong learning, and assume leadership roles in their schools, thereby enhancing both individual professional growth and educational outcomes for students (De Jong et al., 2022; Dhillon et al., 2020).</w:t>
      </w:r>
    </w:p>
    <w:p w14:paraId="073D5FF0" w14:textId="1B224859" w:rsidR="00807FBC" w:rsidRPr="00717B0E" w:rsidRDefault="00807FBC" w:rsidP="00807FBC">
      <w:pPr>
        <w:spacing w:line="360" w:lineRule="auto"/>
        <w:rPr>
          <w:rFonts w:ascii="Calibri" w:eastAsia="Times New Roman" w:hAnsi="Calibri"/>
        </w:rPr>
      </w:pPr>
      <w:r w:rsidRPr="00807FBC">
        <w:rPr>
          <w:rFonts w:ascii="Calibri" w:eastAsia="Times New Roman" w:hAnsi="Calibri"/>
          <w:color w:val="000000" w:themeColor="text1"/>
        </w:rPr>
        <w:t xml:space="preserve">This report focuses on the school's initiative to enhance </w:t>
      </w:r>
      <w:r w:rsidR="00FC07EE" w:rsidRPr="00807FBC">
        <w:rPr>
          <w:rFonts w:ascii="Calibri" w:eastAsia="Times New Roman" w:hAnsi="Calibri"/>
          <w:color w:val="000000" w:themeColor="text1"/>
        </w:rPr>
        <w:t>behaviour</w:t>
      </w:r>
      <w:r w:rsidRPr="00807FBC">
        <w:rPr>
          <w:rFonts w:ascii="Calibri" w:eastAsia="Times New Roman" w:hAnsi="Calibri"/>
          <w:color w:val="000000" w:themeColor="text1"/>
        </w:rPr>
        <w:t xml:space="preserve">, attitudes toward learning, and health and well-being. Research explores various methodologies tailored to improving </w:t>
      </w:r>
      <w:r w:rsidR="00FC07EE" w:rsidRPr="00807FBC">
        <w:rPr>
          <w:rFonts w:ascii="Calibri" w:eastAsia="Times New Roman" w:hAnsi="Calibri"/>
          <w:color w:val="000000" w:themeColor="text1"/>
        </w:rPr>
        <w:t>behaviour</w:t>
      </w:r>
      <w:r w:rsidRPr="00807FBC">
        <w:rPr>
          <w:rFonts w:ascii="Calibri" w:eastAsia="Times New Roman" w:hAnsi="Calibri"/>
          <w:color w:val="000000" w:themeColor="text1"/>
        </w:rPr>
        <w:t xml:space="preserve"> and fostering well-being within educational settings (Twum-Antwi et al., 2020). Strategies aimed at cultivating positive </w:t>
      </w:r>
      <w:r w:rsidR="00FC07EE" w:rsidRPr="00807FBC">
        <w:rPr>
          <w:rFonts w:ascii="Calibri" w:eastAsia="Times New Roman" w:hAnsi="Calibri"/>
          <w:color w:val="000000" w:themeColor="text1"/>
        </w:rPr>
        <w:t>behaviours</w:t>
      </w:r>
      <w:r w:rsidRPr="00807FBC">
        <w:rPr>
          <w:rFonts w:ascii="Calibri" w:eastAsia="Times New Roman" w:hAnsi="Calibri"/>
          <w:color w:val="000000" w:themeColor="text1"/>
        </w:rPr>
        <w:t xml:space="preserve"> and promoting overall well-being among students, with an emphasis on strengthening home and school environments, are meticulously examined. Similarly, a comprehensive review of current practices aimed at nurturing </w:t>
      </w:r>
      <w:r w:rsidR="00FC07EE" w:rsidRPr="00807FBC">
        <w:rPr>
          <w:rFonts w:ascii="Calibri" w:eastAsia="Times New Roman" w:hAnsi="Calibri"/>
          <w:color w:val="000000" w:themeColor="text1"/>
        </w:rPr>
        <w:t>favourable</w:t>
      </w:r>
      <w:r w:rsidRPr="00807FBC">
        <w:rPr>
          <w:rFonts w:ascii="Calibri" w:eastAsia="Times New Roman" w:hAnsi="Calibri"/>
          <w:color w:val="000000" w:themeColor="text1"/>
        </w:rPr>
        <w:t xml:space="preserve"> attitudes toward learning enables educators to gain valuable insights into practical approaches aimed at boosting student engagement and fostering positive attitudes toward the learning process (Cents-Boonstra et al., 2021). Pedler et al. (2020) conduct an in-depth investigation into the intricate relationship between classroom </w:t>
      </w:r>
      <w:r w:rsidRPr="00807FBC">
        <w:rPr>
          <w:rFonts w:ascii="Calibri" w:eastAsia="Times New Roman" w:hAnsi="Calibri"/>
          <w:color w:val="000000" w:themeColor="text1"/>
        </w:rPr>
        <w:lastRenderedPageBreak/>
        <w:t xml:space="preserve">environments and student </w:t>
      </w:r>
      <w:r w:rsidR="00FC07EE" w:rsidRPr="00807FBC">
        <w:rPr>
          <w:rFonts w:ascii="Calibri" w:eastAsia="Times New Roman" w:hAnsi="Calibri"/>
          <w:color w:val="000000" w:themeColor="text1"/>
        </w:rPr>
        <w:t>behaviour</w:t>
      </w:r>
      <w:r w:rsidRPr="00807FBC">
        <w:rPr>
          <w:rFonts w:ascii="Calibri" w:eastAsia="Times New Roman" w:hAnsi="Calibri"/>
          <w:color w:val="000000" w:themeColor="text1"/>
        </w:rPr>
        <w:t xml:space="preserve"> and well-being, highlighting the critical importance of creating nurturing learning spaces that contribute to students' holistic development and well-being. </w:t>
      </w:r>
      <w:r w:rsidR="00F874C8" w:rsidRPr="00136D2F">
        <w:rPr>
          <w:rFonts w:ascii="Calibri" w:eastAsia="Times New Roman" w:hAnsi="Calibri"/>
        </w:rPr>
        <w:t>Situated within a socioeconomically disadvantaged area, the school caters to 166 pupils, with 33% eligible for free school meals (FSM). Understanding the context of the school is crucial for assessing the effectiveness of strategies aimed at improving behaviour, attitudes towards learning, and promoting health and well-being.</w:t>
      </w:r>
    </w:p>
    <w:p w14:paraId="7721CC2E" w14:textId="051D73FE" w:rsidR="00BA721C" w:rsidRPr="00807FBC" w:rsidRDefault="00807FBC" w:rsidP="008427BB">
      <w:pPr>
        <w:spacing w:line="360" w:lineRule="auto"/>
        <w:rPr>
          <w:rFonts w:ascii="Calibri" w:eastAsia="Times New Roman" w:hAnsi="Calibri"/>
          <w:color w:val="000000" w:themeColor="text1"/>
        </w:rPr>
      </w:pPr>
      <w:r w:rsidRPr="00807FBC">
        <w:rPr>
          <w:rFonts w:ascii="Calibri" w:eastAsia="Times New Roman" w:hAnsi="Calibri"/>
          <w:color w:val="000000" w:themeColor="text1"/>
        </w:rPr>
        <w:t xml:space="preserve">The school development process involves multifaceted strategies for continuous improvement, including monitoring and self-assessment to identify areas for enhancement </w:t>
      </w:r>
      <w:r w:rsidR="00EB4EAE">
        <w:rPr>
          <w:rFonts w:ascii="Calibri" w:eastAsia="Times New Roman" w:hAnsi="Calibri"/>
          <w:color w:val="000000" w:themeColor="text1"/>
        </w:rPr>
        <w:t>and to</w:t>
      </w:r>
      <w:r w:rsidRPr="00807FBC">
        <w:rPr>
          <w:rFonts w:ascii="Calibri" w:eastAsia="Times New Roman" w:hAnsi="Calibri"/>
          <w:color w:val="000000" w:themeColor="text1"/>
        </w:rPr>
        <w:t xml:space="preserve"> inform the SIP (Creemers et al., 2022). </w:t>
      </w:r>
      <w:r w:rsidR="00BA721C" w:rsidRPr="00807FBC">
        <w:rPr>
          <w:rFonts w:ascii="Calibri" w:eastAsia="Times New Roman" w:hAnsi="Calibri"/>
          <w:color w:val="000000" w:themeColor="text1"/>
        </w:rPr>
        <w:t>The School Improvement Plan (SIP) serves as a crucial roadmap for schools to achieve their strategic goals and improve overall performance (</w:t>
      </w:r>
      <w:proofErr w:type="spellStart"/>
      <w:r w:rsidR="00BA721C" w:rsidRPr="00807FBC">
        <w:rPr>
          <w:rFonts w:ascii="Calibri" w:eastAsia="Times New Roman" w:hAnsi="Calibri"/>
          <w:color w:val="000000" w:themeColor="text1"/>
        </w:rPr>
        <w:t>Kools</w:t>
      </w:r>
      <w:proofErr w:type="spellEnd"/>
      <w:r w:rsidR="00BA721C" w:rsidRPr="00807FBC">
        <w:rPr>
          <w:rFonts w:ascii="Calibri" w:eastAsia="Times New Roman" w:hAnsi="Calibri"/>
          <w:color w:val="000000" w:themeColor="text1"/>
        </w:rPr>
        <w:t xml:space="preserve"> et al., 2018). Self-evaluation through monitoring is </w:t>
      </w:r>
      <w:r w:rsidR="00BA721C">
        <w:rPr>
          <w:rFonts w:ascii="Calibri" w:eastAsia="Times New Roman" w:hAnsi="Calibri"/>
          <w:color w:val="000000" w:themeColor="text1"/>
        </w:rPr>
        <w:t>also a</w:t>
      </w:r>
      <w:r w:rsidR="00BA721C" w:rsidRPr="00807FBC">
        <w:rPr>
          <w:rFonts w:ascii="Calibri" w:eastAsia="Times New Roman" w:hAnsi="Calibri"/>
          <w:color w:val="000000" w:themeColor="text1"/>
        </w:rPr>
        <w:t xml:space="preserve"> cornerstone of the SIP process, providing schools with valuable insights into their strengths and areas for development (</w:t>
      </w:r>
      <w:proofErr w:type="spellStart"/>
      <w:r w:rsidR="00BA721C" w:rsidRPr="00807FBC">
        <w:rPr>
          <w:rFonts w:ascii="Calibri" w:eastAsia="Times New Roman" w:hAnsi="Calibri"/>
          <w:color w:val="000000" w:themeColor="text1"/>
        </w:rPr>
        <w:t>Kools</w:t>
      </w:r>
      <w:proofErr w:type="spellEnd"/>
      <w:r w:rsidR="00BA721C" w:rsidRPr="00807FBC">
        <w:rPr>
          <w:rFonts w:ascii="Calibri" w:eastAsia="Times New Roman" w:hAnsi="Calibri"/>
          <w:color w:val="000000" w:themeColor="text1"/>
        </w:rPr>
        <w:t xml:space="preserve"> et al., 2018). This foundational aspect of school improvement aligns with the work of </w:t>
      </w:r>
      <w:proofErr w:type="spellStart"/>
      <w:r w:rsidR="00BA721C" w:rsidRPr="00807FBC">
        <w:rPr>
          <w:rFonts w:ascii="Calibri" w:eastAsia="Times New Roman" w:hAnsi="Calibri"/>
          <w:color w:val="000000" w:themeColor="text1"/>
        </w:rPr>
        <w:t>Yurkofsky</w:t>
      </w:r>
      <w:proofErr w:type="spellEnd"/>
      <w:r w:rsidR="00BA721C" w:rsidRPr="00807FBC">
        <w:rPr>
          <w:rFonts w:ascii="Calibri" w:eastAsia="Times New Roman" w:hAnsi="Calibri"/>
          <w:color w:val="000000" w:themeColor="text1"/>
        </w:rPr>
        <w:t xml:space="preserve"> et </w:t>
      </w:r>
      <w:r w:rsidR="00BA721C">
        <w:rPr>
          <w:rFonts w:ascii="Calibri" w:eastAsia="Times New Roman" w:hAnsi="Calibri"/>
          <w:color w:val="000000" w:themeColor="text1"/>
        </w:rPr>
        <w:t xml:space="preserve">al </w:t>
      </w:r>
      <w:r w:rsidR="00BA721C" w:rsidRPr="00807FBC">
        <w:rPr>
          <w:rFonts w:ascii="Calibri" w:eastAsia="Times New Roman" w:hAnsi="Calibri"/>
          <w:color w:val="000000" w:themeColor="text1"/>
        </w:rPr>
        <w:t xml:space="preserve">(2020), who emphasize the importance of evaluating the impact of SIP initiatives. Their research highlights the challenges and opportunities associated with measuring progress and underscores the need for a robust evaluation framework. </w:t>
      </w:r>
    </w:p>
    <w:p w14:paraId="13011457" w14:textId="66A2F406" w:rsidR="00807FBC" w:rsidRPr="00807FBC" w:rsidRDefault="00807FBC" w:rsidP="00807FBC">
      <w:pPr>
        <w:spacing w:line="360" w:lineRule="auto"/>
        <w:rPr>
          <w:rFonts w:ascii="Calibri" w:eastAsia="Times New Roman" w:hAnsi="Calibri"/>
          <w:color w:val="000000" w:themeColor="text1"/>
        </w:rPr>
      </w:pPr>
      <w:r w:rsidRPr="00807FBC">
        <w:rPr>
          <w:rFonts w:ascii="Calibri" w:eastAsia="Times New Roman" w:hAnsi="Calibri"/>
          <w:color w:val="000000" w:themeColor="text1"/>
        </w:rPr>
        <w:t xml:space="preserve">Monitoring </w:t>
      </w:r>
      <w:r w:rsidR="00EB4EAE">
        <w:rPr>
          <w:rFonts w:ascii="Calibri" w:eastAsia="Times New Roman" w:hAnsi="Calibri"/>
          <w:color w:val="000000" w:themeColor="text1"/>
        </w:rPr>
        <w:t xml:space="preserve">also </w:t>
      </w:r>
      <w:r w:rsidRPr="00807FBC">
        <w:rPr>
          <w:rFonts w:ascii="Calibri" w:eastAsia="Times New Roman" w:hAnsi="Calibri"/>
          <w:color w:val="000000" w:themeColor="text1"/>
        </w:rPr>
        <w:t>plays a pivotal role in this process, allowing schools to gather data on various aspects of student performance,</w:t>
      </w:r>
      <w:r w:rsidR="00EB4EAE">
        <w:rPr>
          <w:rFonts w:ascii="Calibri" w:eastAsia="Times New Roman" w:hAnsi="Calibri"/>
          <w:color w:val="000000" w:themeColor="text1"/>
        </w:rPr>
        <w:t xml:space="preserve"> in terms of there</w:t>
      </w:r>
      <w:r w:rsidRPr="00807FBC">
        <w:rPr>
          <w:rFonts w:ascii="Calibri" w:eastAsia="Times New Roman" w:hAnsi="Calibri"/>
          <w:color w:val="000000" w:themeColor="text1"/>
        </w:rPr>
        <w:t xml:space="preserve"> </w:t>
      </w:r>
      <w:r w:rsidR="00507639" w:rsidRPr="00807FBC">
        <w:rPr>
          <w:rFonts w:ascii="Calibri" w:eastAsia="Times New Roman" w:hAnsi="Calibri"/>
          <w:color w:val="000000" w:themeColor="text1"/>
        </w:rPr>
        <w:t>behaviour</w:t>
      </w:r>
      <w:r w:rsidRPr="00807FBC">
        <w:rPr>
          <w:rFonts w:ascii="Calibri" w:eastAsia="Times New Roman" w:hAnsi="Calibri"/>
          <w:color w:val="000000" w:themeColor="text1"/>
        </w:rPr>
        <w:t>,</w:t>
      </w:r>
      <w:r w:rsidR="00EB4EAE">
        <w:rPr>
          <w:rFonts w:ascii="Calibri" w:eastAsia="Times New Roman" w:hAnsi="Calibri"/>
          <w:color w:val="000000" w:themeColor="text1"/>
        </w:rPr>
        <w:t xml:space="preserve"> attitudes to learning</w:t>
      </w:r>
      <w:r w:rsidRPr="00807FBC">
        <w:rPr>
          <w:rFonts w:ascii="Calibri" w:eastAsia="Times New Roman" w:hAnsi="Calibri"/>
          <w:color w:val="000000" w:themeColor="text1"/>
        </w:rPr>
        <w:t xml:space="preserve"> and </w:t>
      </w:r>
      <w:r w:rsidR="00EB4EAE">
        <w:rPr>
          <w:rFonts w:ascii="Calibri" w:eastAsia="Times New Roman" w:hAnsi="Calibri"/>
          <w:color w:val="000000" w:themeColor="text1"/>
        </w:rPr>
        <w:t xml:space="preserve">health and </w:t>
      </w:r>
      <w:r w:rsidRPr="00807FBC">
        <w:rPr>
          <w:rFonts w:ascii="Calibri" w:eastAsia="Times New Roman" w:hAnsi="Calibri"/>
          <w:color w:val="000000" w:themeColor="text1"/>
        </w:rPr>
        <w:t xml:space="preserve">well-being. Systematically </w:t>
      </w:r>
      <w:r w:rsidR="00507639" w:rsidRPr="00807FBC">
        <w:rPr>
          <w:rFonts w:ascii="Calibri" w:eastAsia="Times New Roman" w:hAnsi="Calibri"/>
          <w:color w:val="000000" w:themeColor="text1"/>
        </w:rPr>
        <w:t>analysing</w:t>
      </w:r>
      <w:r w:rsidRPr="00807FBC">
        <w:rPr>
          <w:rFonts w:ascii="Calibri" w:eastAsia="Times New Roman" w:hAnsi="Calibri"/>
          <w:color w:val="000000" w:themeColor="text1"/>
        </w:rPr>
        <w:t xml:space="preserve"> this data enables </w:t>
      </w:r>
      <w:r w:rsidR="00EB4EAE">
        <w:rPr>
          <w:rFonts w:ascii="Calibri" w:eastAsia="Times New Roman" w:hAnsi="Calibri"/>
          <w:color w:val="000000" w:themeColor="text1"/>
        </w:rPr>
        <w:t>the school</w:t>
      </w:r>
      <w:r w:rsidRPr="00807FBC">
        <w:rPr>
          <w:rFonts w:ascii="Calibri" w:eastAsia="Times New Roman" w:hAnsi="Calibri"/>
          <w:color w:val="000000" w:themeColor="text1"/>
        </w:rPr>
        <w:t xml:space="preserve"> to pinpoint areas requiring attention </w:t>
      </w:r>
      <w:r w:rsidR="00B14115">
        <w:rPr>
          <w:rFonts w:ascii="Calibri" w:eastAsia="Times New Roman" w:hAnsi="Calibri"/>
          <w:color w:val="000000" w:themeColor="text1"/>
        </w:rPr>
        <w:t>therefore they are then able to</w:t>
      </w:r>
      <w:r w:rsidRPr="00807FBC">
        <w:rPr>
          <w:rFonts w:ascii="Calibri" w:eastAsia="Times New Roman" w:hAnsi="Calibri"/>
          <w:color w:val="000000" w:themeColor="text1"/>
        </w:rPr>
        <w:t xml:space="preserve"> </w:t>
      </w:r>
      <w:r w:rsidR="0002660F">
        <w:rPr>
          <w:rFonts w:ascii="Calibri" w:eastAsia="Times New Roman" w:hAnsi="Calibri"/>
          <w:color w:val="000000" w:themeColor="text1"/>
        </w:rPr>
        <w:t>prioritize and address</w:t>
      </w:r>
      <w:r w:rsidRPr="00807FBC">
        <w:rPr>
          <w:rFonts w:ascii="Calibri" w:eastAsia="Times New Roman" w:hAnsi="Calibri"/>
          <w:color w:val="000000" w:themeColor="text1"/>
        </w:rPr>
        <w:t xml:space="preserve"> </w:t>
      </w:r>
      <w:r w:rsidR="00B14115">
        <w:rPr>
          <w:rFonts w:ascii="Calibri" w:eastAsia="Times New Roman" w:hAnsi="Calibri"/>
          <w:color w:val="000000" w:themeColor="text1"/>
        </w:rPr>
        <w:t>them within the SIP</w:t>
      </w:r>
      <w:r w:rsidRPr="00807FBC">
        <w:rPr>
          <w:rFonts w:ascii="Calibri" w:eastAsia="Times New Roman" w:hAnsi="Calibri"/>
          <w:color w:val="000000" w:themeColor="text1"/>
        </w:rPr>
        <w:t xml:space="preserve"> (</w:t>
      </w:r>
      <w:proofErr w:type="spellStart"/>
      <w:r w:rsidRPr="00807FBC">
        <w:rPr>
          <w:rFonts w:ascii="Calibri" w:eastAsia="Times New Roman" w:hAnsi="Calibri"/>
          <w:color w:val="000000" w:themeColor="text1"/>
        </w:rPr>
        <w:t>Creemers</w:t>
      </w:r>
      <w:proofErr w:type="spellEnd"/>
      <w:r w:rsidRPr="00807FBC">
        <w:rPr>
          <w:rFonts w:ascii="Calibri" w:eastAsia="Times New Roman" w:hAnsi="Calibri"/>
          <w:color w:val="000000" w:themeColor="text1"/>
        </w:rPr>
        <w:t xml:space="preserve"> et al., 2022). Oxley &amp; Holden (2021) emphasize the significance of proactive approaches to </w:t>
      </w:r>
      <w:r w:rsidR="00507639" w:rsidRPr="00807FBC">
        <w:rPr>
          <w:rFonts w:ascii="Calibri" w:eastAsia="Times New Roman" w:hAnsi="Calibri"/>
          <w:color w:val="000000" w:themeColor="text1"/>
        </w:rPr>
        <w:t>behaviour</w:t>
      </w:r>
      <w:r w:rsidRPr="00807FBC">
        <w:rPr>
          <w:rFonts w:ascii="Calibri" w:eastAsia="Times New Roman" w:hAnsi="Calibri"/>
          <w:color w:val="000000" w:themeColor="text1"/>
        </w:rPr>
        <w:t xml:space="preserve"> management</w:t>
      </w:r>
      <w:r w:rsidR="00A61426">
        <w:rPr>
          <w:rFonts w:ascii="Calibri" w:eastAsia="Times New Roman" w:hAnsi="Calibri"/>
          <w:color w:val="000000" w:themeColor="text1"/>
        </w:rPr>
        <w:t xml:space="preserve">, </w:t>
      </w:r>
      <w:r w:rsidRPr="00807FBC">
        <w:rPr>
          <w:rFonts w:ascii="Calibri" w:eastAsia="Times New Roman" w:hAnsi="Calibri"/>
          <w:color w:val="000000" w:themeColor="text1"/>
        </w:rPr>
        <w:t xml:space="preserve">well-being </w:t>
      </w:r>
      <w:r w:rsidR="00A61426">
        <w:rPr>
          <w:rFonts w:ascii="Calibri" w:eastAsia="Times New Roman" w:hAnsi="Calibri"/>
          <w:color w:val="000000" w:themeColor="text1"/>
        </w:rPr>
        <w:t>promotion and improving learner attitudes</w:t>
      </w:r>
      <w:r w:rsidRPr="00807FBC">
        <w:rPr>
          <w:rFonts w:ascii="Calibri" w:eastAsia="Times New Roman" w:hAnsi="Calibri"/>
          <w:color w:val="000000" w:themeColor="text1"/>
        </w:rPr>
        <w:t xml:space="preserve"> in educational settings, advocating for the implementation of positive </w:t>
      </w:r>
      <w:r w:rsidR="00507639" w:rsidRPr="00807FBC">
        <w:rPr>
          <w:rFonts w:ascii="Calibri" w:eastAsia="Times New Roman" w:hAnsi="Calibri"/>
          <w:color w:val="000000" w:themeColor="text1"/>
        </w:rPr>
        <w:t>behaviour</w:t>
      </w:r>
      <w:r w:rsidRPr="00807FBC">
        <w:rPr>
          <w:rFonts w:ascii="Calibri" w:eastAsia="Times New Roman" w:hAnsi="Calibri"/>
          <w:color w:val="000000" w:themeColor="text1"/>
        </w:rPr>
        <w:t xml:space="preserve"> support strategies and social-emotional learning programs.</w:t>
      </w:r>
      <w:r w:rsidR="00A61426">
        <w:rPr>
          <w:rFonts w:ascii="Calibri" w:eastAsia="Times New Roman" w:hAnsi="Calibri"/>
          <w:color w:val="000000" w:themeColor="text1"/>
        </w:rPr>
        <w:t xml:space="preserve"> However,</w:t>
      </w:r>
      <w:r w:rsidRPr="00807FBC">
        <w:rPr>
          <w:rFonts w:ascii="Calibri" w:eastAsia="Times New Roman" w:hAnsi="Calibri"/>
          <w:color w:val="000000" w:themeColor="text1"/>
        </w:rPr>
        <w:t xml:space="preserve"> </w:t>
      </w:r>
      <w:proofErr w:type="spellStart"/>
      <w:r w:rsidRPr="00807FBC">
        <w:rPr>
          <w:rFonts w:ascii="Calibri" w:eastAsia="Times New Roman" w:hAnsi="Calibri"/>
          <w:color w:val="000000" w:themeColor="text1"/>
        </w:rPr>
        <w:t>Nonweiler</w:t>
      </w:r>
      <w:proofErr w:type="spellEnd"/>
      <w:r w:rsidRPr="00807FBC">
        <w:rPr>
          <w:rFonts w:ascii="Calibri" w:eastAsia="Times New Roman" w:hAnsi="Calibri"/>
          <w:color w:val="000000" w:themeColor="text1"/>
        </w:rPr>
        <w:t xml:space="preserve"> et </w:t>
      </w:r>
      <w:r w:rsidR="00AF1C46">
        <w:rPr>
          <w:rFonts w:ascii="Calibri" w:eastAsia="Times New Roman" w:hAnsi="Calibri"/>
          <w:color w:val="000000" w:themeColor="text1"/>
        </w:rPr>
        <w:t xml:space="preserve">al </w:t>
      </w:r>
      <w:r w:rsidRPr="00807FBC">
        <w:rPr>
          <w:rFonts w:ascii="Calibri" w:eastAsia="Times New Roman" w:hAnsi="Calibri"/>
          <w:color w:val="000000" w:themeColor="text1"/>
        </w:rPr>
        <w:t xml:space="preserve">(2020) highlight the potential limitations of a singular focus </w:t>
      </w:r>
      <w:r w:rsidR="00D54D97">
        <w:rPr>
          <w:rFonts w:ascii="Calibri" w:eastAsia="Times New Roman" w:hAnsi="Calibri"/>
          <w:color w:val="000000" w:themeColor="text1"/>
        </w:rPr>
        <w:t xml:space="preserve">on </w:t>
      </w:r>
      <w:r w:rsidR="00D54D97" w:rsidRPr="00807FBC">
        <w:rPr>
          <w:rFonts w:ascii="Calibri" w:eastAsia="Times New Roman" w:hAnsi="Calibri"/>
          <w:color w:val="000000" w:themeColor="text1"/>
        </w:rPr>
        <w:t>approaches to behaviour management</w:t>
      </w:r>
      <w:r w:rsidR="00D54D97">
        <w:rPr>
          <w:rFonts w:ascii="Calibri" w:eastAsia="Times New Roman" w:hAnsi="Calibri"/>
          <w:color w:val="000000" w:themeColor="text1"/>
        </w:rPr>
        <w:t xml:space="preserve">, </w:t>
      </w:r>
      <w:r w:rsidR="00D54D97" w:rsidRPr="00807FBC">
        <w:rPr>
          <w:rFonts w:ascii="Calibri" w:eastAsia="Times New Roman" w:hAnsi="Calibri"/>
          <w:color w:val="000000" w:themeColor="text1"/>
        </w:rPr>
        <w:t xml:space="preserve">well-being </w:t>
      </w:r>
      <w:r w:rsidR="00D54D97">
        <w:rPr>
          <w:rFonts w:ascii="Calibri" w:eastAsia="Times New Roman" w:hAnsi="Calibri"/>
          <w:color w:val="000000" w:themeColor="text1"/>
        </w:rPr>
        <w:t>promotion and improving learner attitudes</w:t>
      </w:r>
      <w:r w:rsidR="00D54D97">
        <w:rPr>
          <w:rFonts w:ascii="Calibri" w:eastAsia="Times New Roman" w:hAnsi="Calibri"/>
          <w:color w:val="000000" w:themeColor="text1"/>
        </w:rPr>
        <w:t xml:space="preserve">, </w:t>
      </w:r>
      <w:r w:rsidRPr="00807FBC">
        <w:rPr>
          <w:rFonts w:ascii="Calibri" w:eastAsia="Times New Roman" w:hAnsi="Calibri"/>
          <w:color w:val="000000" w:themeColor="text1"/>
        </w:rPr>
        <w:t xml:space="preserve">suggesting that overemphasis on controlling </w:t>
      </w:r>
      <w:r w:rsidR="00D54D97">
        <w:rPr>
          <w:rFonts w:ascii="Calibri" w:eastAsia="Times New Roman" w:hAnsi="Calibri"/>
          <w:color w:val="000000" w:themeColor="text1"/>
        </w:rPr>
        <w:t>these factors</w:t>
      </w:r>
      <w:r w:rsidRPr="00807FBC">
        <w:rPr>
          <w:rFonts w:ascii="Calibri" w:eastAsia="Times New Roman" w:hAnsi="Calibri"/>
          <w:color w:val="000000" w:themeColor="text1"/>
        </w:rPr>
        <w:t xml:space="preserve"> may neglect underlying </w:t>
      </w:r>
      <w:r w:rsidR="00D54D97">
        <w:rPr>
          <w:rFonts w:ascii="Calibri" w:eastAsia="Times New Roman" w:hAnsi="Calibri"/>
          <w:color w:val="000000" w:themeColor="text1"/>
        </w:rPr>
        <w:t>issues</w:t>
      </w:r>
      <w:r w:rsidRPr="00807FBC">
        <w:rPr>
          <w:rFonts w:ascii="Calibri" w:eastAsia="Times New Roman" w:hAnsi="Calibri"/>
          <w:color w:val="000000" w:themeColor="text1"/>
        </w:rPr>
        <w:t xml:space="preserve"> contributing to </w:t>
      </w:r>
      <w:r w:rsidR="00507639" w:rsidRPr="00807FBC">
        <w:rPr>
          <w:rFonts w:ascii="Calibri" w:eastAsia="Times New Roman" w:hAnsi="Calibri"/>
          <w:color w:val="000000" w:themeColor="text1"/>
        </w:rPr>
        <w:t>behavioural</w:t>
      </w:r>
      <w:r w:rsidRPr="00807FBC">
        <w:rPr>
          <w:rFonts w:ascii="Calibri" w:eastAsia="Times New Roman" w:hAnsi="Calibri"/>
          <w:color w:val="000000" w:themeColor="text1"/>
        </w:rPr>
        <w:t xml:space="preserve"> challenges</w:t>
      </w:r>
      <w:r w:rsidR="004049F9">
        <w:rPr>
          <w:rFonts w:ascii="Calibri" w:eastAsia="Times New Roman" w:hAnsi="Calibri"/>
          <w:color w:val="000000" w:themeColor="text1"/>
        </w:rPr>
        <w:t xml:space="preserve">, </w:t>
      </w:r>
      <w:r w:rsidR="00FE3C00">
        <w:rPr>
          <w:rFonts w:ascii="Calibri" w:eastAsia="Times New Roman" w:hAnsi="Calibri"/>
          <w:color w:val="000000" w:themeColor="text1"/>
        </w:rPr>
        <w:t xml:space="preserve">poor health and well-being and </w:t>
      </w:r>
      <w:r w:rsidR="007E3792">
        <w:rPr>
          <w:rFonts w:ascii="Calibri" w:eastAsia="Times New Roman" w:hAnsi="Calibri"/>
          <w:color w:val="000000" w:themeColor="text1"/>
        </w:rPr>
        <w:t>academic attitudes</w:t>
      </w:r>
      <w:r w:rsidRPr="00807FBC">
        <w:rPr>
          <w:rFonts w:ascii="Calibri" w:eastAsia="Times New Roman" w:hAnsi="Calibri"/>
          <w:color w:val="000000" w:themeColor="text1"/>
        </w:rPr>
        <w:t xml:space="preserve">. </w:t>
      </w:r>
    </w:p>
    <w:p w14:paraId="6A3C66FA" w14:textId="338DCD9C" w:rsidR="00807FBC" w:rsidRPr="00807FBC" w:rsidRDefault="00807FBC" w:rsidP="00807FBC">
      <w:pPr>
        <w:spacing w:line="360" w:lineRule="auto"/>
        <w:rPr>
          <w:rFonts w:ascii="Calibri" w:eastAsia="Times New Roman" w:hAnsi="Calibri"/>
          <w:color w:val="000000" w:themeColor="text1"/>
        </w:rPr>
      </w:pPr>
      <w:r w:rsidRPr="00807FBC">
        <w:rPr>
          <w:rFonts w:ascii="Calibri" w:eastAsia="Times New Roman" w:hAnsi="Calibri"/>
          <w:color w:val="000000" w:themeColor="text1"/>
        </w:rPr>
        <w:t xml:space="preserve">The "Successful Futures" report by the Welsh Government (2015) delineates educational reforms in Wales with a comprehensive framework for </w:t>
      </w:r>
      <w:r w:rsidR="00507639" w:rsidRPr="00807FBC">
        <w:rPr>
          <w:rFonts w:ascii="Calibri" w:eastAsia="Times New Roman" w:hAnsi="Calibri"/>
          <w:color w:val="000000" w:themeColor="text1"/>
        </w:rPr>
        <w:t>behaviour</w:t>
      </w:r>
      <w:r w:rsidRPr="00807FBC">
        <w:rPr>
          <w:rFonts w:ascii="Calibri" w:eastAsia="Times New Roman" w:hAnsi="Calibri"/>
          <w:color w:val="000000" w:themeColor="text1"/>
        </w:rPr>
        <w:t xml:space="preserve"> management, advocating </w:t>
      </w:r>
      <w:r w:rsidRPr="00807FBC">
        <w:rPr>
          <w:rFonts w:ascii="Calibri" w:eastAsia="Times New Roman" w:hAnsi="Calibri"/>
          <w:color w:val="000000" w:themeColor="text1"/>
        </w:rPr>
        <w:lastRenderedPageBreak/>
        <w:t xml:space="preserve">for a shift toward a more inclusive and restorative approach, emphasizing the importance of fostering positive relationships, promoting emotional well-being, and addressing the underlying causes of disruptive </w:t>
      </w:r>
      <w:r w:rsidR="00507639" w:rsidRPr="00807FBC">
        <w:rPr>
          <w:rFonts w:ascii="Calibri" w:eastAsia="Times New Roman" w:hAnsi="Calibri"/>
          <w:color w:val="000000" w:themeColor="text1"/>
        </w:rPr>
        <w:t>behaviour</w:t>
      </w:r>
      <w:r w:rsidRPr="00807FBC">
        <w:rPr>
          <w:rFonts w:ascii="Calibri" w:eastAsia="Times New Roman" w:hAnsi="Calibri"/>
          <w:color w:val="000000" w:themeColor="text1"/>
        </w:rPr>
        <w:t xml:space="preserve">. Central to these reforms is the recognition that </w:t>
      </w:r>
      <w:r w:rsidR="00507639" w:rsidRPr="00807FBC">
        <w:rPr>
          <w:rFonts w:ascii="Calibri" w:eastAsia="Times New Roman" w:hAnsi="Calibri"/>
          <w:color w:val="000000" w:themeColor="text1"/>
        </w:rPr>
        <w:t>behaviour</w:t>
      </w:r>
      <w:r w:rsidRPr="00807FBC">
        <w:rPr>
          <w:rFonts w:ascii="Calibri" w:eastAsia="Times New Roman" w:hAnsi="Calibri"/>
          <w:color w:val="000000" w:themeColor="text1"/>
        </w:rPr>
        <w:t xml:space="preserve"> management is not solely about discipline but also about creating a supportive and nurturing school environment where all students feel valued and respected (Healey &amp; Stroman, 2021; Markey et al., 2021). Embedding </w:t>
      </w:r>
      <w:r w:rsidR="00507639" w:rsidRPr="00807FBC">
        <w:rPr>
          <w:rFonts w:ascii="Calibri" w:eastAsia="Times New Roman" w:hAnsi="Calibri"/>
          <w:color w:val="000000" w:themeColor="text1"/>
        </w:rPr>
        <w:t>behaviour</w:t>
      </w:r>
      <w:r w:rsidRPr="00807FBC">
        <w:rPr>
          <w:rFonts w:ascii="Calibri" w:eastAsia="Times New Roman" w:hAnsi="Calibri"/>
          <w:color w:val="000000" w:themeColor="text1"/>
        </w:rPr>
        <w:t xml:space="preserve"> management within a broader framework of learner well-being and holistic education, these reforms aim to create inclusive and conducive learning environments in which all students can thrive academically and emotionally.</w:t>
      </w:r>
    </w:p>
    <w:p w14:paraId="1456EDE6" w14:textId="3D5DCFF2" w:rsidR="00807FBC" w:rsidRPr="00807FBC" w:rsidRDefault="00807FBC" w:rsidP="00807FBC">
      <w:pPr>
        <w:spacing w:line="360" w:lineRule="auto"/>
        <w:rPr>
          <w:rFonts w:ascii="Calibri" w:eastAsia="Times New Roman" w:hAnsi="Calibri"/>
          <w:color w:val="000000" w:themeColor="text1"/>
        </w:rPr>
      </w:pPr>
      <w:r w:rsidRPr="00807FBC">
        <w:rPr>
          <w:rFonts w:ascii="Calibri" w:eastAsia="Times New Roman" w:hAnsi="Calibri"/>
          <w:color w:val="000000" w:themeColor="text1"/>
        </w:rPr>
        <w:t xml:space="preserve">In addition to </w:t>
      </w:r>
      <w:r w:rsidR="00507639" w:rsidRPr="00807FBC">
        <w:rPr>
          <w:rFonts w:ascii="Calibri" w:eastAsia="Times New Roman" w:hAnsi="Calibri"/>
          <w:color w:val="000000" w:themeColor="text1"/>
        </w:rPr>
        <w:t>behaviour</w:t>
      </w:r>
      <w:r w:rsidRPr="00807FBC">
        <w:rPr>
          <w:rFonts w:ascii="Calibri" w:eastAsia="Times New Roman" w:hAnsi="Calibri"/>
          <w:color w:val="000000" w:themeColor="text1"/>
        </w:rPr>
        <w:t xml:space="preserve"> management, fostering positive attitudes toward learning is a key component of </w:t>
      </w:r>
      <w:r w:rsidR="002771BB">
        <w:rPr>
          <w:rFonts w:ascii="Calibri" w:eastAsia="Times New Roman" w:hAnsi="Calibri"/>
          <w:color w:val="000000" w:themeColor="text1"/>
        </w:rPr>
        <w:t>the school in questions</w:t>
      </w:r>
      <w:r w:rsidRPr="00807FBC">
        <w:rPr>
          <w:rFonts w:ascii="Calibri" w:eastAsia="Times New Roman" w:hAnsi="Calibri"/>
          <w:color w:val="000000" w:themeColor="text1"/>
        </w:rPr>
        <w:t xml:space="preserve"> SIP. Dellatola et al. (2020) highlight various strategies for promoting engagement and motivation among students, including personalized learning approaches and inquiry-based pedagogies. </w:t>
      </w:r>
      <w:r w:rsidR="002771BB">
        <w:rPr>
          <w:rFonts w:ascii="Calibri" w:eastAsia="Times New Roman" w:hAnsi="Calibri"/>
          <w:color w:val="000000" w:themeColor="text1"/>
        </w:rPr>
        <w:t>However, a</w:t>
      </w:r>
      <w:r w:rsidRPr="00807FBC">
        <w:rPr>
          <w:rFonts w:ascii="Calibri" w:eastAsia="Times New Roman" w:hAnsi="Calibri"/>
          <w:color w:val="000000" w:themeColor="text1"/>
        </w:rPr>
        <w:t xml:space="preserve"> contrasting viewpoint by Pham et al (2022) underscores the importance of addressing systemic inequalities and structural barriers to learning, arguing that efforts to improve attitudes toward learning must be accompanied by broader social and educational reforms. The "Successful Futures"</w:t>
      </w:r>
      <w:r w:rsidR="006A3DCD">
        <w:rPr>
          <w:rFonts w:ascii="Calibri" w:eastAsia="Times New Roman" w:hAnsi="Calibri"/>
          <w:color w:val="000000" w:themeColor="text1"/>
        </w:rPr>
        <w:t xml:space="preserve"> (2015)</w:t>
      </w:r>
      <w:r w:rsidRPr="00807FBC">
        <w:rPr>
          <w:rFonts w:ascii="Calibri" w:eastAsia="Times New Roman" w:hAnsi="Calibri"/>
          <w:color w:val="000000" w:themeColor="text1"/>
        </w:rPr>
        <w:t xml:space="preserve"> report advocates for a shift toward a curriculum that prioritizes the holistic development of learners, creating a supportive and inclusive learning environment where students feel motivated and empowered to engage actively in their education. </w:t>
      </w:r>
    </w:p>
    <w:p w14:paraId="74D14CCE" w14:textId="3D939F04" w:rsidR="00807FBC" w:rsidRPr="00807FBC" w:rsidRDefault="00807FBC" w:rsidP="00807FBC">
      <w:pPr>
        <w:spacing w:line="360" w:lineRule="auto"/>
        <w:rPr>
          <w:rFonts w:ascii="Calibri" w:eastAsia="Times New Roman" w:hAnsi="Calibri"/>
          <w:color w:val="000000" w:themeColor="text1"/>
        </w:rPr>
      </w:pPr>
      <w:r w:rsidRPr="00807FBC">
        <w:rPr>
          <w:rFonts w:ascii="Calibri" w:eastAsia="Times New Roman" w:hAnsi="Calibri"/>
          <w:color w:val="000000" w:themeColor="text1"/>
        </w:rPr>
        <w:t>Furthermore, the socioeconomic status of students' families can significantly impact their attitudes toward learning (Doctoroff, 2003). Students from disadvantaged backgrounds often face numerous challenges, including limited access to resources, higher stress levels, and fewer opportunities for enrichment activities (Arnold and Doctoroff, 2003). This can result in a lack of motivation and engagement in the learning process. Conversely, Tough (2016) argues that students from disadvantaged backgrounds may develop resilience and determination to succeed despite obstacles, leading to a strong commitment to learning.</w:t>
      </w:r>
      <w:r w:rsidR="00092974">
        <w:rPr>
          <w:rFonts w:ascii="Calibri" w:eastAsia="Times New Roman" w:hAnsi="Calibri"/>
          <w:color w:val="000000" w:themeColor="text1"/>
        </w:rPr>
        <w:t xml:space="preserve"> S</w:t>
      </w:r>
      <w:r w:rsidRPr="00807FBC">
        <w:rPr>
          <w:rFonts w:ascii="Calibri" w:eastAsia="Times New Roman" w:hAnsi="Calibri"/>
          <w:color w:val="000000" w:themeColor="text1"/>
        </w:rPr>
        <w:t>ocioeconomic disadvantage can perpetuate a cycle of low expectations and limited aspirations, hindering students' belief in their ability to succeed academically</w:t>
      </w:r>
      <w:r w:rsidR="00092974">
        <w:rPr>
          <w:rFonts w:ascii="Calibri" w:eastAsia="Times New Roman" w:hAnsi="Calibri"/>
          <w:color w:val="000000" w:themeColor="text1"/>
        </w:rPr>
        <w:t xml:space="preserve"> (</w:t>
      </w:r>
      <w:proofErr w:type="spellStart"/>
      <w:r w:rsidR="00092974" w:rsidRPr="00807FBC">
        <w:rPr>
          <w:rFonts w:ascii="Calibri" w:eastAsia="Times New Roman" w:hAnsi="Calibri"/>
          <w:color w:val="000000" w:themeColor="text1"/>
        </w:rPr>
        <w:t>Poesen-Vandeputte</w:t>
      </w:r>
      <w:proofErr w:type="spellEnd"/>
      <w:r w:rsidR="00092974" w:rsidRPr="00807FBC">
        <w:rPr>
          <w:rFonts w:ascii="Calibri" w:eastAsia="Times New Roman" w:hAnsi="Calibri"/>
          <w:color w:val="000000" w:themeColor="text1"/>
        </w:rPr>
        <w:t xml:space="preserve"> &amp; </w:t>
      </w:r>
      <w:proofErr w:type="spellStart"/>
      <w:r w:rsidR="00092974" w:rsidRPr="00807FBC">
        <w:rPr>
          <w:rFonts w:ascii="Calibri" w:eastAsia="Times New Roman" w:hAnsi="Calibri"/>
          <w:color w:val="000000" w:themeColor="text1"/>
        </w:rPr>
        <w:t>Nicaise</w:t>
      </w:r>
      <w:proofErr w:type="spellEnd"/>
      <w:r w:rsidR="00092974">
        <w:rPr>
          <w:rFonts w:ascii="Calibri" w:eastAsia="Times New Roman" w:hAnsi="Calibri"/>
          <w:color w:val="000000" w:themeColor="text1"/>
        </w:rPr>
        <w:t xml:space="preserve">, </w:t>
      </w:r>
      <w:r w:rsidR="00092974" w:rsidRPr="00807FBC">
        <w:rPr>
          <w:rFonts w:ascii="Calibri" w:eastAsia="Times New Roman" w:hAnsi="Calibri"/>
          <w:color w:val="000000" w:themeColor="text1"/>
        </w:rPr>
        <w:t>2015)</w:t>
      </w:r>
      <w:r w:rsidRPr="00807FBC">
        <w:rPr>
          <w:rFonts w:ascii="Calibri" w:eastAsia="Times New Roman" w:hAnsi="Calibri"/>
          <w:color w:val="000000" w:themeColor="text1"/>
        </w:rPr>
        <w:t>.</w:t>
      </w:r>
      <w:r w:rsidR="00092974">
        <w:rPr>
          <w:rFonts w:ascii="Calibri" w:eastAsia="Times New Roman" w:hAnsi="Calibri"/>
          <w:color w:val="000000" w:themeColor="text1"/>
        </w:rPr>
        <w:t xml:space="preserve"> Therefore, suggesting </w:t>
      </w:r>
      <w:r w:rsidR="00E84215">
        <w:rPr>
          <w:rFonts w:ascii="Calibri" w:eastAsia="Times New Roman" w:hAnsi="Calibri"/>
          <w:color w:val="000000" w:themeColor="text1"/>
        </w:rPr>
        <w:t>that for</w:t>
      </w:r>
      <w:r w:rsidR="00092974">
        <w:rPr>
          <w:rFonts w:ascii="Calibri" w:eastAsia="Times New Roman" w:hAnsi="Calibri"/>
          <w:color w:val="000000" w:themeColor="text1"/>
        </w:rPr>
        <w:t xml:space="preserve"> s</w:t>
      </w:r>
      <w:r w:rsidRPr="00807FBC">
        <w:rPr>
          <w:rFonts w:ascii="Calibri" w:eastAsia="Times New Roman" w:hAnsi="Calibri"/>
          <w:color w:val="000000" w:themeColor="text1"/>
        </w:rPr>
        <w:t xml:space="preserve">chools </w:t>
      </w:r>
      <w:r w:rsidR="00E84215">
        <w:rPr>
          <w:rFonts w:ascii="Calibri" w:eastAsia="Times New Roman" w:hAnsi="Calibri"/>
          <w:color w:val="000000" w:themeColor="text1"/>
        </w:rPr>
        <w:t xml:space="preserve">who are able to </w:t>
      </w:r>
      <w:r w:rsidRPr="00807FBC">
        <w:rPr>
          <w:rFonts w:ascii="Calibri" w:eastAsia="Times New Roman" w:hAnsi="Calibri"/>
          <w:color w:val="000000" w:themeColor="text1"/>
        </w:rPr>
        <w:t xml:space="preserve">provide supportive and nurturing environments can help counteract the negative impact of </w:t>
      </w:r>
      <w:r w:rsidRPr="00807FBC">
        <w:rPr>
          <w:rFonts w:ascii="Calibri" w:eastAsia="Times New Roman" w:hAnsi="Calibri"/>
          <w:color w:val="000000" w:themeColor="text1"/>
        </w:rPr>
        <w:lastRenderedPageBreak/>
        <w:t>socioeconomic factors on students' attitudes and motivation (Poesen-Vandeputte &amp; Nicaise, 2015).</w:t>
      </w:r>
    </w:p>
    <w:p w14:paraId="1C7C8335" w14:textId="16289ED3" w:rsidR="00807FBC" w:rsidRPr="00807FBC" w:rsidRDefault="00807FBC" w:rsidP="00807FBC">
      <w:pPr>
        <w:spacing w:line="360" w:lineRule="auto"/>
        <w:rPr>
          <w:rFonts w:ascii="Calibri" w:eastAsia="Times New Roman" w:hAnsi="Calibri"/>
          <w:color w:val="000000" w:themeColor="text1"/>
        </w:rPr>
      </w:pPr>
      <w:r w:rsidRPr="00807FBC">
        <w:rPr>
          <w:rFonts w:ascii="Calibri" w:eastAsia="Times New Roman" w:hAnsi="Calibri"/>
          <w:color w:val="000000" w:themeColor="text1"/>
        </w:rPr>
        <w:t xml:space="preserve">Moreover, research emphasizes the role of school environments in shaping students' physical and mental well-being (Hargreaves &amp; Shirley, 2021). However, a critical perspective raises concerns about the potential for schools to prioritize academic outcomes over student well-being, calling for a more balanced approach that prioritizes holistic development (Clarke, 2020). It is further highlighted that the socioeconomic status of students residing in disadvantaged areas can significantly impact their health and well-being, consequently affecting their learning </w:t>
      </w:r>
      <w:r w:rsidR="00084448">
        <w:rPr>
          <w:rFonts w:ascii="Calibri" w:eastAsia="Times New Roman" w:hAnsi="Calibri"/>
          <w:color w:val="000000" w:themeColor="text1"/>
        </w:rPr>
        <w:t xml:space="preserve">outcomes </w:t>
      </w:r>
      <w:r w:rsidR="00084448" w:rsidRPr="00807FBC">
        <w:rPr>
          <w:rFonts w:ascii="Calibri" w:eastAsia="Times New Roman" w:hAnsi="Calibri"/>
          <w:color w:val="000000" w:themeColor="text1"/>
        </w:rPr>
        <w:t>(Clarke, 2020).</w:t>
      </w:r>
      <w:r w:rsidR="00084448">
        <w:rPr>
          <w:rFonts w:ascii="Calibri" w:eastAsia="Times New Roman" w:hAnsi="Calibri"/>
          <w:color w:val="000000" w:themeColor="text1"/>
        </w:rPr>
        <w:t xml:space="preserve"> </w:t>
      </w:r>
      <w:r w:rsidRPr="00807FBC">
        <w:rPr>
          <w:rFonts w:ascii="Calibri" w:eastAsia="Times New Roman" w:hAnsi="Calibri"/>
          <w:color w:val="000000" w:themeColor="text1"/>
        </w:rPr>
        <w:t>Students from lower socioeconomic backgrounds often face greater exposure to environmental stressors, including inadequate access to healthcare facilities, poor nutrition, and increased levels of pollution, all of which can have detrimental effects on their physical and mental health (Visser et al., 2021).</w:t>
      </w:r>
    </w:p>
    <w:p w14:paraId="6FC25235" w14:textId="77777777" w:rsidR="00807FBC" w:rsidRPr="00807FBC" w:rsidRDefault="00807FBC" w:rsidP="00807FBC">
      <w:pPr>
        <w:spacing w:line="360" w:lineRule="auto"/>
        <w:rPr>
          <w:rFonts w:ascii="Calibri" w:eastAsia="Times New Roman" w:hAnsi="Calibri"/>
          <w:color w:val="000000" w:themeColor="text1"/>
        </w:rPr>
      </w:pPr>
    </w:p>
    <w:p w14:paraId="254BB211" w14:textId="7FC52EE0" w:rsidR="00807FBC" w:rsidRPr="00807FBC" w:rsidRDefault="00807FBC" w:rsidP="00807FBC">
      <w:pPr>
        <w:spacing w:line="360" w:lineRule="auto"/>
        <w:rPr>
          <w:rFonts w:ascii="Calibri" w:eastAsia="Times New Roman" w:hAnsi="Calibri"/>
          <w:color w:val="000000" w:themeColor="text1"/>
        </w:rPr>
      </w:pPr>
      <w:r w:rsidRPr="00807FBC">
        <w:rPr>
          <w:rFonts w:ascii="Calibri" w:eastAsia="Times New Roman" w:hAnsi="Calibri"/>
          <w:color w:val="000000" w:themeColor="text1"/>
        </w:rPr>
        <w:t xml:space="preserve">Central to the "Successful Futures" </w:t>
      </w:r>
      <w:r w:rsidR="00084448">
        <w:rPr>
          <w:rFonts w:ascii="Calibri" w:eastAsia="Times New Roman" w:hAnsi="Calibri"/>
          <w:color w:val="000000" w:themeColor="text1"/>
        </w:rPr>
        <w:t xml:space="preserve">(2015) </w:t>
      </w:r>
      <w:r w:rsidRPr="00807FBC">
        <w:rPr>
          <w:rFonts w:ascii="Calibri" w:eastAsia="Times New Roman" w:hAnsi="Calibri"/>
          <w:color w:val="000000" w:themeColor="text1"/>
        </w:rPr>
        <w:t xml:space="preserve">report is the recognition that learner well-being encompasses not only physical health but also social, emotional, and mental well-being, all of which are integral to effective learning. The report advocates for a holistic approach to education that prioritizes the development of the whole child. By embedding learner well-being into the curriculum and school practices, the reforms aim to create nurturing learning environments where students feel valued, supported, and empowered to </w:t>
      </w:r>
      <w:r w:rsidR="00215D7D">
        <w:rPr>
          <w:rFonts w:ascii="Calibri" w:eastAsia="Times New Roman" w:hAnsi="Calibri"/>
          <w:color w:val="000000" w:themeColor="text1"/>
        </w:rPr>
        <w:t>thrive can be achieved</w:t>
      </w:r>
      <w:r w:rsidRPr="00807FBC">
        <w:rPr>
          <w:rFonts w:ascii="Calibri" w:eastAsia="Times New Roman" w:hAnsi="Calibri"/>
          <w:color w:val="000000" w:themeColor="text1"/>
        </w:rPr>
        <w:t xml:space="preserve"> (Welsh Government, 2015). This emphasis on learner well-being reflects a paradigm shift in educational philosophy, recognizing the interconnectedness of health, happiness, and learning outcomes.</w:t>
      </w:r>
    </w:p>
    <w:p w14:paraId="0F786862" w14:textId="0F86396F" w:rsidR="00807FBC" w:rsidRPr="00807FBC" w:rsidRDefault="00807FBC" w:rsidP="00807FBC">
      <w:pPr>
        <w:spacing w:line="360" w:lineRule="auto"/>
        <w:rPr>
          <w:rFonts w:ascii="Calibri" w:eastAsia="Times New Roman" w:hAnsi="Calibri"/>
          <w:color w:val="000000" w:themeColor="text1"/>
        </w:rPr>
      </w:pPr>
      <w:r w:rsidRPr="00807FBC">
        <w:rPr>
          <w:rFonts w:ascii="Calibri" w:eastAsia="Times New Roman" w:hAnsi="Calibri"/>
          <w:color w:val="000000" w:themeColor="text1"/>
        </w:rPr>
        <w:t>Involving stakeholders in the monitoring and review processes is essential for ensuring accountability and transparency in SIP implementation (Maak,</w:t>
      </w:r>
      <w:r w:rsidR="00FB2A2F">
        <w:rPr>
          <w:rFonts w:ascii="Calibri" w:eastAsia="Times New Roman" w:hAnsi="Calibri"/>
          <w:color w:val="000000" w:themeColor="text1"/>
        </w:rPr>
        <w:t xml:space="preserve"> </w:t>
      </w:r>
      <w:r w:rsidRPr="00807FBC">
        <w:rPr>
          <w:rFonts w:ascii="Calibri" w:eastAsia="Times New Roman" w:hAnsi="Calibri"/>
          <w:color w:val="000000" w:themeColor="text1"/>
        </w:rPr>
        <w:t>2007). Stakeholder engagement fosters a sense of ownership and collective responsibility for achieving the school's goals (Maak, 2007). However, stakeholders may have varying perspectives and priorities, leading to potential tensions or conflicts in decision-making (Kujala et al., 2022). Therefore, it is crucial for schools to establish clear communication channels and mechanisms for soliciting feedback from stakeholders (</w:t>
      </w:r>
      <w:proofErr w:type="spellStart"/>
      <w:r w:rsidRPr="00807FBC">
        <w:rPr>
          <w:rFonts w:ascii="Calibri" w:eastAsia="Times New Roman" w:hAnsi="Calibri"/>
          <w:color w:val="000000" w:themeColor="text1"/>
        </w:rPr>
        <w:t>Maak</w:t>
      </w:r>
      <w:proofErr w:type="spellEnd"/>
      <w:r w:rsidRPr="00807FBC">
        <w:rPr>
          <w:rFonts w:ascii="Calibri" w:eastAsia="Times New Roman" w:hAnsi="Calibri"/>
          <w:color w:val="000000" w:themeColor="text1"/>
        </w:rPr>
        <w:t>, 2007).</w:t>
      </w:r>
    </w:p>
    <w:p w14:paraId="26349961" w14:textId="4956A63F" w:rsidR="00807FBC" w:rsidRPr="00807FBC" w:rsidRDefault="006A1C68" w:rsidP="00807FBC">
      <w:pPr>
        <w:spacing w:line="360" w:lineRule="auto"/>
        <w:rPr>
          <w:rFonts w:ascii="Calibri" w:eastAsia="Times New Roman" w:hAnsi="Calibri"/>
          <w:color w:val="000000" w:themeColor="text1"/>
        </w:rPr>
      </w:pPr>
      <w:r w:rsidRPr="00807FBC">
        <w:rPr>
          <w:rFonts w:ascii="Calibri" w:eastAsia="Times New Roman" w:hAnsi="Calibri"/>
          <w:color w:val="000000" w:themeColor="text1"/>
        </w:rPr>
        <w:lastRenderedPageBreak/>
        <w:t>When focusing on improving attitudes toward learning, health, and well-being, as well as behaviour, schools often face challenges in collecting quantitative data to measure progress effectively (</w:t>
      </w:r>
      <w:proofErr w:type="spellStart"/>
      <w:r w:rsidRPr="00807FBC">
        <w:rPr>
          <w:rFonts w:ascii="Calibri" w:eastAsia="Times New Roman" w:hAnsi="Calibri"/>
          <w:color w:val="000000" w:themeColor="text1"/>
        </w:rPr>
        <w:t>Camfield</w:t>
      </w:r>
      <w:proofErr w:type="spellEnd"/>
      <w:r w:rsidRPr="00807FBC">
        <w:rPr>
          <w:rFonts w:ascii="Calibri" w:eastAsia="Times New Roman" w:hAnsi="Calibri"/>
          <w:color w:val="000000" w:themeColor="text1"/>
        </w:rPr>
        <w:t>, 2016).</w:t>
      </w:r>
      <w:r>
        <w:rPr>
          <w:rFonts w:ascii="Calibri" w:eastAsia="Times New Roman" w:hAnsi="Calibri"/>
          <w:color w:val="000000" w:themeColor="text1"/>
        </w:rPr>
        <w:t xml:space="preserve"> </w:t>
      </w:r>
      <w:r w:rsidR="00807FBC" w:rsidRPr="00807FBC">
        <w:rPr>
          <w:rFonts w:ascii="Calibri" w:eastAsia="Times New Roman" w:hAnsi="Calibri"/>
          <w:color w:val="000000" w:themeColor="text1"/>
        </w:rPr>
        <w:t xml:space="preserve">Measuring the impact of SIP initiatives requires a robust evaluation framework that encompasses both short-term and long-term outcomes (Maak, 2007). </w:t>
      </w:r>
      <w:r>
        <w:rPr>
          <w:rFonts w:ascii="Calibri" w:eastAsia="Times New Roman" w:hAnsi="Calibri"/>
          <w:color w:val="000000" w:themeColor="text1"/>
        </w:rPr>
        <w:t>Therefore, the s</w:t>
      </w:r>
      <w:r w:rsidR="00807FBC" w:rsidRPr="00807FBC">
        <w:rPr>
          <w:rFonts w:ascii="Calibri" w:eastAsia="Times New Roman" w:hAnsi="Calibri"/>
          <w:color w:val="000000" w:themeColor="text1"/>
        </w:rPr>
        <w:t>chool</w:t>
      </w:r>
      <w:r>
        <w:rPr>
          <w:rFonts w:ascii="Calibri" w:eastAsia="Times New Roman" w:hAnsi="Calibri"/>
          <w:color w:val="000000" w:themeColor="text1"/>
        </w:rPr>
        <w:t xml:space="preserve"> </w:t>
      </w:r>
      <w:r w:rsidR="00807FBC" w:rsidRPr="00807FBC">
        <w:rPr>
          <w:rFonts w:ascii="Calibri" w:eastAsia="Times New Roman" w:hAnsi="Calibri"/>
          <w:color w:val="000000" w:themeColor="text1"/>
        </w:rPr>
        <w:t xml:space="preserve">often </w:t>
      </w:r>
      <w:r>
        <w:rPr>
          <w:rFonts w:ascii="Calibri" w:eastAsia="Times New Roman" w:hAnsi="Calibri"/>
          <w:color w:val="000000" w:themeColor="text1"/>
        </w:rPr>
        <w:t>conducts a</w:t>
      </w:r>
      <w:r w:rsidR="00807FBC" w:rsidRPr="00807FBC">
        <w:rPr>
          <w:rFonts w:ascii="Calibri" w:eastAsia="Times New Roman" w:hAnsi="Calibri"/>
          <w:color w:val="000000" w:themeColor="text1"/>
        </w:rPr>
        <w:t xml:space="preserve"> deep </w:t>
      </w:r>
      <w:r>
        <w:rPr>
          <w:rFonts w:ascii="Calibri" w:eastAsia="Times New Roman" w:hAnsi="Calibri"/>
          <w:color w:val="000000" w:themeColor="text1"/>
        </w:rPr>
        <w:t>dive</w:t>
      </w:r>
      <w:r w:rsidR="00807FBC" w:rsidRPr="00807FBC">
        <w:rPr>
          <w:rFonts w:ascii="Calibri" w:eastAsia="Times New Roman" w:hAnsi="Calibri"/>
          <w:color w:val="000000" w:themeColor="text1"/>
        </w:rPr>
        <w:t xml:space="preserve"> and midterm </w:t>
      </w:r>
      <w:r w:rsidR="00FF70A2">
        <w:rPr>
          <w:rFonts w:ascii="Calibri" w:eastAsia="Times New Roman" w:hAnsi="Calibri"/>
          <w:color w:val="000000" w:themeColor="text1"/>
        </w:rPr>
        <w:t>review</w:t>
      </w:r>
      <w:r w:rsidR="00807FBC" w:rsidRPr="00807FBC">
        <w:rPr>
          <w:rFonts w:ascii="Calibri" w:eastAsia="Times New Roman" w:hAnsi="Calibri"/>
          <w:color w:val="000000" w:themeColor="text1"/>
        </w:rPr>
        <w:t xml:space="preserve"> to assess progress against key performance indicators and targets. However, measuring the impact of interventions aimed at improving attitudes toward learning, health, and well-being may require a more nuanced approach (O'Brien, 2022). Qualitative methods such as case studies, focus groups, and reflective practice can provide valuable insights into the lived experiences of students and the effectiveness of interventions (Evans et al., 2019).</w:t>
      </w:r>
    </w:p>
    <w:p w14:paraId="04E516B9" w14:textId="33E19A87" w:rsidR="00FB2A2F" w:rsidRPr="005A2185" w:rsidRDefault="00FB2A2F" w:rsidP="001A7479">
      <w:pPr>
        <w:spacing w:line="360" w:lineRule="auto"/>
        <w:rPr>
          <w:rFonts w:ascii="Calibri" w:eastAsia="Times New Roman" w:hAnsi="Calibri"/>
          <w:color w:val="000000" w:themeColor="text1"/>
        </w:rPr>
      </w:pPr>
      <w:r w:rsidRPr="005A2185">
        <w:rPr>
          <w:rFonts w:ascii="Calibri" w:eastAsia="Times New Roman" w:hAnsi="Calibri"/>
          <w:color w:val="000000" w:themeColor="text1"/>
        </w:rPr>
        <w:t xml:space="preserve">The school's endeavour to enhance behaviour, attitudes towards learning, and health and well-being through various interventions and strategies is commendable, yet it faces challenges and limitations. In terms of addressing the behaviour element of the SIP the school </w:t>
      </w:r>
      <w:r w:rsidRPr="005A2185">
        <w:rPr>
          <w:rFonts w:ascii="Calibri" w:eastAsia="Times New Roman" w:hAnsi="Calibri" w:cs="Segoe UI"/>
          <w:color w:val="000000" w:themeColor="text1"/>
          <w:shd w:val="clear" w:color="auto" w:fill="FFFFFF"/>
        </w:rPr>
        <w:t xml:space="preserve">chose to send multiple members of support staff to receive training on emotional coaching and Playfulness, Acceptance, Curiosity, and Empathy (PACE) </w:t>
      </w:r>
      <w:r w:rsidR="00E833B2">
        <w:rPr>
          <w:rFonts w:ascii="Calibri" w:eastAsia="Times New Roman" w:hAnsi="Calibri" w:cs="Segoe UI"/>
          <w:color w:val="000000" w:themeColor="text1"/>
          <w:shd w:val="clear" w:color="auto" w:fill="FFFFFF"/>
        </w:rPr>
        <w:t xml:space="preserve">training </w:t>
      </w:r>
      <w:r w:rsidRPr="005A2185">
        <w:rPr>
          <w:rFonts w:ascii="Calibri" w:eastAsia="Times New Roman" w:hAnsi="Calibri" w:cs="Segoe UI"/>
          <w:color w:val="000000" w:themeColor="text1"/>
          <w:shd w:val="clear" w:color="auto" w:fill="FFFFFF"/>
        </w:rPr>
        <w:t>which can provide valuable insights and skills for supporting vulnerable learners and understanding behaviour, potentially fostering a positive school culture (</w:t>
      </w:r>
      <w:r w:rsidRPr="005A2185">
        <w:rPr>
          <w:rFonts w:ascii="Calibri" w:eastAsia="Times New Roman" w:hAnsi="Calibri"/>
          <w:color w:val="000000" w:themeColor="text1"/>
        </w:rPr>
        <w:t xml:space="preserve">Welsh Government, 2015). </w:t>
      </w:r>
      <w:r w:rsidR="00E833B2">
        <w:rPr>
          <w:rFonts w:ascii="Calibri" w:eastAsia="Times New Roman" w:hAnsi="Calibri"/>
          <w:color w:val="000000" w:themeColor="text1"/>
        </w:rPr>
        <w:t>However, t</w:t>
      </w:r>
      <w:r w:rsidRPr="005A2185">
        <w:rPr>
          <w:rFonts w:ascii="Calibri" w:eastAsia="Times New Roman" w:hAnsi="Calibri"/>
          <w:color w:val="000000" w:themeColor="text1"/>
        </w:rPr>
        <w:t xml:space="preserve">here is limited evidence on the long-term efficacy of such interventions (Ștefan et al., 2022; Murano et al., 2020). </w:t>
      </w:r>
      <w:r w:rsidRPr="005A2185">
        <w:rPr>
          <w:rFonts w:ascii="Calibri" w:eastAsia="Times New Roman" w:hAnsi="Calibri" w:cs="Segoe UI"/>
          <w:color w:val="000000" w:themeColor="text1"/>
          <w:shd w:val="clear" w:color="auto" w:fill="FFFFFF"/>
        </w:rPr>
        <w:t>There is a clear narrative within the research which questions the effectiveness of these interventions, which makes us unsure of the outcomes for students. This gap underscores the need for further empirical investigation into the enduring effectiveness of these training programs (Ștefan et al., 2022; Murano et al., 2020).</w:t>
      </w:r>
    </w:p>
    <w:p w14:paraId="63A5631D" w14:textId="57669BF2" w:rsidR="00FB2A2F" w:rsidRPr="006C65B5" w:rsidRDefault="00FB2A2F" w:rsidP="001A7479">
      <w:pPr>
        <w:spacing w:line="360" w:lineRule="auto"/>
        <w:rPr>
          <w:rFonts w:ascii="Calibri" w:eastAsia="Times New Roman" w:hAnsi="Calibri" w:cs="Segoe UI"/>
          <w:color w:val="000000" w:themeColor="text1"/>
          <w:shd w:val="clear" w:color="auto" w:fill="FFFFFF"/>
        </w:rPr>
      </w:pPr>
      <w:r w:rsidRPr="005A2185">
        <w:rPr>
          <w:rFonts w:ascii="Calibri" w:eastAsia="Times New Roman" w:hAnsi="Calibri"/>
          <w:color w:val="000000" w:themeColor="text1"/>
        </w:rPr>
        <w:t xml:space="preserve">Additionally, </w:t>
      </w:r>
      <w:r w:rsidRPr="005A2185">
        <w:rPr>
          <w:rFonts w:ascii="Calibri" w:eastAsia="Times New Roman" w:hAnsi="Calibri" w:cs="Segoe UI"/>
          <w:color w:val="000000" w:themeColor="text1"/>
          <w:shd w:val="clear" w:color="auto" w:fill="FFFFFF"/>
        </w:rPr>
        <w:t xml:space="preserve">anti-bullying policies and initiatives are effective in addressing health and wellbeing for several reasons. They establish clear guidelines and expectations for behaviour, creating a structured and safe environment for </w:t>
      </w:r>
      <w:r>
        <w:rPr>
          <w:rFonts w:ascii="Calibri" w:eastAsia="Times New Roman" w:hAnsi="Calibri" w:cs="Segoe UI"/>
          <w:color w:val="000000" w:themeColor="text1"/>
          <w:shd w:val="clear" w:color="auto" w:fill="FFFFFF"/>
        </w:rPr>
        <w:t>students</w:t>
      </w:r>
      <w:r w:rsidRPr="005A2185">
        <w:rPr>
          <w:rFonts w:ascii="Calibri" w:eastAsia="Times New Roman" w:hAnsi="Calibri" w:cs="Segoe UI"/>
          <w:color w:val="000000" w:themeColor="text1"/>
          <w:shd w:val="clear" w:color="auto" w:fill="FFFFFF"/>
        </w:rPr>
        <w:t xml:space="preserve"> (</w:t>
      </w:r>
      <w:r w:rsidRPr="005A2185">
        <w:rPr>
          <w:rFonts w:ascii="Calibri" w:eastAsia="Times New Roman" w:hAnsi="Calibri" w:cs="Arial"/>
          <w:color w:val="000000" w:themeColor="text1"/>
          <w:shd w:val="clear" w:color="auto" w:fill="FFFFFF"/>
        </w:rPr>
        <w:t>Eslea, M. &amp; Smith, P.K 1998)</w:t>
      </w:r>
      <w:r w:rsidRPr="005A2185">
        <w:rPr>
          <w:rFonts w:ascii="Calibri" w:eastAsia="Times New Roman" w:hAnsi="Calibri" w:cs="Segoe UI"/>
          <w:color w:val="000000" w:themeColor="text1"/>
          <w:shd w:val="clear" w:color="auto" w:fill="FFFFFF"/>
        </w:rPr>
        <w:t>. These policies provide a framework for defining and addressing bullying behaviours, which helps to prevent and address instances of bullying promptly (</w:t>
      </w:r>
      <w:r w:rsidRPr="005A2185">
        <w:rPr>
          <w:rFonts w:ascii="Calibri" w:eastAsia="Times New Roman" w:hAnsi="Calibri" w:cs="Arial"/>
          <w:color w:val="000000" w:themeColor="text1"/>
          <w:shd w:val="clear" w:color="auto" w:fill="FFFFFF"/>
        </w:rPr>
        <w:t>Eslea, M. &amp; Smith, P.K 1998).</w:t>
      </w:r>
      <w:r w:rsidRPr="005A2185">
        <w:rPr>
          <w:rFonts w:ascii="Calibri" w:eastAsia="Times New Roman" w:hAnsi="Calibri" w:cs="Segoe UI"/>
          <w:color w:val="000000" w:themeColor="text1"/>
          <w:shd w:val="clear" w:color="auto" w:fill="FFFFFF"/>
        </w:rPr>
        <w:t xml:space="preserve"> However, </w:t>
      </w:r>
      <w:r w:rsidRPr="005A2185">
        <w:rPr>
          <w:rFonts w:ascii="Calibri" w:eastAsia="Times New Roman" w:hAnsi="Calibri"/>
          <w:color w:val="000000" w:themeColor="text1"/>
        </w:rPr>
        <w:t xml:space="preserve">the effectiveness of anti-bullying policies and initiatives may vary depending on the clarity of definitions and the school's capacity to enforce them (Gaffney et al., 2021). </w:t>
      </w:r>
      <w:r w:rsidRPr="005A2185">
        <w:rPr>
          <w:rFonts w:ascii="Calibri" w:eastAsia="Times New Roman" w:hAnsi="Calibri" w:cs="Segoe UI"/>
          <w:color w:val="000000" w:themeColor="text1"/>
          <w:shd w:val="clear" w:color="auto" w:fill="FFFFFF"/>
        </w:rPr>
        <w:t>Therefore</w:t>
      </w:r>
      <w:r>
        <w:rPr>
          <w:rFonts w:ascii="Calibri" w:eastAsia="Times New Roman" w:hAnsi="Calibri" w:cs="Segoe UI"/>
          <w:color w:val="000000" w:themeColor="text1"/>
          <w:shd w:val="clear" w:color="auto" w:fill="FFFFFF"/>
        </w:rPr>
        <w:t>,</w:t>
      </w:r>
      <w:r w:rsidRPr="005A2185">
        <w:rPr>
          <w:rFonts w:ascii="Calibri" w:eastAsia="Times New Roman" w:hAnsi="Calibri" w:cs="Segoe UI"/>
          <w:color w:val="000000" w:themeColor="text1"/>
          <w:shd w:val="clear" w:color="auto" w:fill="FFFFFF"/>
        </w:rPr>
        <w:t xml:space="preserve"> to address the variability in the effectiveness of anti-bullying policies and initiatives due to unclear definitions and inconsistent enforcement is to establish a comprehensive and </w:t>
      </w:r>
      <w:r w:rsidRPr="005A2185">
        <w:rPr>
          <w:rFonts w:ascii="Calibri" w:eastAsia="Times New Roman" w:hAnsi="Calibri" w:cs="Segoe UI"/>
          <w:color w:val="000000" w:themeColor="text1"/>
          <w:shd w:val="clear" w:color="auto" w:fill="FFFFFF"/>
        </w:rPr>
        <w:lastRenderedPageBreak/>
        <w:t>collaborative approach involving stakeholders</w:t>
      </w:r>
      <w:r w:rsidRPr="005A2185">
        <w:rPr>
          <w:rFonts w:ascii="Calibri" w:eastAsia="Times New Roman" w:hAnsi="Calibri"/>
          <w:color w:val="000000" w:themeColor="text1"/>
        </w:rPr>
        <w:t xml:space="preserve"> (Gaffney et al., 2021)</w:t>
      </w:r>
      <w:r w:rsidRPr="005A2185">
        <w:rPr>
          <w:rFonts w:ascii="Calibri" w:eastAsia="Times New Roman" w:hAnsi="Calibri" w:cs="Segoe UI"/>
          <w:color w:val="000000" w:themeColor="text1"/>
          <w:shd w:val="clear" w:color="auto" w:fill="FFFFFF"/>
        </w:rPr>
        <w:t xml:space="preserve">. </w:t>
      </w:r>
      <w:r w:rsidRPr="005A2185">
        <w:rPr>
          <w:rFonts w:ascii="Calibri" w:eastAsia="Times New Roman" w:hAnsi="Calibri"/>
          <w:color w:val="000000" w:themeColor="text1"/>
        </w:rPr>
        <w:t xml:space="preserve">Moving forward, it is imperative to address these limitations by adopting a more comprehensive and evidence-based approach to </w:t>
      </w:r>
      <w:r w:rsidR="00814993">
        <w:rPr>
          <w:rFonts w:ascii="Calibri" w:eastAsia="Times New Roman" w:hAnsi="Calibri"/>
          <w:color w:val="000000" w:themeColor="text1"/>
        </w:rPr>
        <w:t>these initiatives</w:t>
      </w:r>
      <w:r w:rsidR="005A6826">
        <w:rPr>
          <w:rFonts w:ascii="Calibri" w:eastAsia="Times New Roman" w:hAnsi="Calibri"/>
          <w:color w:val="000000" w:themeColor="text1"/>
        </w:rPr>
        <w:t xml:space="preserve"> </w:t>
      </w:r>
      <w:r w:rsidR="005A6826" w:rsidRPr="005A2185">
        <w:rPr>
          <w:rFonts w:ascii="Calibri" w:eastAsia="Times New Roman" w:hAnsi="Calibri"/>
          <w:color w:val="000000" w:themeColor="text1"/>
        </w:rPr>
        <w:t>(Gaffney et al., 2021)</w:t>
      </w:r>
      <w:r w:rsidR="005A6826" w:rsidRPr="005A2185">
        <w:rPr>
          <w:rFonts w:ascii="Calibri" w:eastAsia="Times New Roman" w:hAnsi="Calibri" w:cs="Segoe UI"/>
          <w:color w:val="000000" w:themeColor="text1"/>
          <w:shd w:val="clear" w:color="auto" w:fill="FFFFFF"/>
        </w:rPr>
        <w:t>.</w:t>
      </w:r>
      <w:r w:rsidRPr="005A2185">
        <w:rPr>
          <w:rFonts w:ascii="Calibri" w:eastAsia="Times New Roman" w:hAnsi="Calibri"/>
          <w:color w:val="000000" w:themeColor="text1"/>
        </w:rPr>
        <w:t xml:space="preserve"> This may involve incorporating diverse perspectives and methodologies, conducting rigorous evaluations, and actively involving stakeholders </w:t>
      </w:r>
      <w:r w:rsidR="00814993">
        <w:rPr>
          <w:rFonts w:ascii="Calibri" w:eastAsia="Times New Roman" w:hAnsi="Calibri"/>
          <w:color w:val="000000" w:themeColor="text1"/>
        </w:rPr>
        <w:t>in the</w:t>
      </w:r>
      <w:r w:rsidRPr="005A2185">
        <w:rPr>
          <w:rFonts w:ascii="Calibri" w:eastAsia="Times New Roman" w:hAnsi="Calibri"/>
          <w:color w:val="000000" w:themeColor="text1"/>
        </w:rPr>
        <w:t xml:space="preserve"> decision-making processes to ensure the sustainability and effectiveness </w:t>
      </w:r>
      <w:r w:rsidR="00AD7A75">
        <w:rPr>
          <w:rFonts w:ascii="Calibri" w:eastAsia="Times New Roman" w:hAnsi="Calibri"/>
          <w:color w:val="000000" w:themeColor="text1"/>
        </w:rPr>
        <w:t>of these</w:t>
      </w:r>
      <w:r w:rsidRPr="005A2185">
        <w:rPr>
          <w:rFonts w:ascii="Calibri" w:eastAsia="Times New Roman" w:hAnsi="Calibri"/>
          <w:color w:val="000000" w:themeColor="text1"/>
        </w:rPr>
        <w:t xml:space="preserve"> interventions (Van </w:t>
      </w:r>
      <w:proofErr w:type="spellStart"/>
      <w:r w:rsidRPr="005A2185">
        <w:rPr>
          <w:rFonts w:ascii="Calibri" w:eastAsia="Times New Roman" w:hAnsi="Calibri"/>
          <w:color w:val="000000" w:themeColor="text1"/>
        </w:rPr>
        <w:t>Niejenhuis</w:t>
      </w:r>
      <w:proofErr w:type="spellEnd"/>
      <w:r w:rsidRPr="005A2185">
        <w:rPr>
          <w:rFonts w:ascii="Calibri" w:eastAsia="Times New Roman" w:hAnsi="Calibri"/>
          <w:color w:val="000000" w:themeColor="text1"/>
        </w:rPr>
        <w:t xml:space="preserve"> et al., 2020). By critically examining the strengths and limitations of current practices and exploring alternative approaches, </w:t>
      </w:r>
      <w:r w:rsidR="00AD7A75">
        <w:rPr>
          <w:rFonts w:ascii="Calibri" w:eastAsia="Times New Roman" w:hAnsi="Calibri"/>
          <w:color w:val="000000" w:themeColor="text1"/>
        </w:rPr>
        <w:t>the school</w:t>
      </w:r>
      <w:r w:rsidRPr="005A2185">
        <w:rPr>
          <w:rFonts w:ascii="Calibri" w:eastAsia="Times New Roman" w:hAnsi="Calibri"/>
          <w:color w:val="000000" w:themeColor="text1"/>
        </w:rPr>
        <w:t xml:space="preserve"> can better address the complex challenges related to behaviour management ultimately fostering a more inclusive and supportive learning environment</w:t>
      </w:r>
      <w:r w:rsidRPr="005139E5">
        <w:rPr>
          <w:rFonts w:ascii="Calibri" w:eastAsia="Times New Roman" w:hAnsi="Calibri"/>
          <w:color w:val="000000" w:themeColor="text1"/>
        </w:rPr>
        <w:t xml:space="preserve"> </w:t>
      </w:r>
      <w:r w:rsidRPr="005139E5">
        <w:rPr>
          <w:rFonts w:ascii="Calibri" w:eastAsia="Times New Roman" w:hAnsi="Calibri" w:cs="Segoe UI"/>
          <w:color w:val="0D0D0D"/>
          <w:shd w:val="clear" w:color="auto" w:fill="FFFFFF"/>
        </w:rPr>
        <w:t>(Wang &amp; Degol, 2016).</w:t>
      </w:r>
    </w:p>
    <w:p w14:paraId="57C392A9" w14:textId="5C96ACD9" w:rsidR="00807FBC" w:rsidRPr="00FB2A2F" w:rsidRDefault="00FB2A2F" w:rsidP="00807FBC">
      <w:pPr>
        <w:spacing w:line="360" w:lineRule="auto"/>
        <w:rPr>
          <w:rFonts w:ascii="Calibri" w:eastAsia="Times New Roman" w:hAnsi="Calibri" w:cs="Segoe UI"/>
          <w:color w:val="000000" w:themeColor="text1"/>
          <w:shd w:val="clear" w:color="auto" w:fill="FFFFFF"/>
        </w:rPr>
      </w:pPr>
      <w:r w:rsidRPr="005A2185">
        <w:rPr>
          <w:rFonts w:ascii="Calibri" w:eastAsia="Times New Roman" w:hAnsi="Calibri"/>
          <w:color w:val="000000" w:themeColor="text1"/>
        </w:rPr>
        <w:t>The school has implemented Positive Emotions, Engagement, Relationships, Meaning, and Accomplishment (PERMA)</w:t>
      </w:r>
      <w:r>
        <w:rPr>
          <w:rFonts w:ascii="Calibri" w:eastAsia="Times New Roman" w:hAnsi="Calibri"/>
          <w:color w:val="000000" w:themeColor="text1"/>
        </w:rPr>
        <w:t xml:space="preserve"> </w:t>
      </w:r>
      <w:r w:rsidRPr="005A2185">
        <w:rPr>
          <w:rFonts w:ascii="Calibri" w:eastAsia="Times New Roman" w:hAnsi="Calibri"/>
          <w:color w:val="000000" w:themeColor="text1"/>
        </w:rPr>
        <w:t>assessments for</w:t>
      </w:r>
      <w:r>
        <w:rPr>
          <w:rFonts w:ascii="Calibri" w:eastAsia="Times New Roman" w:hAnsi="Calibri"/>
          <w:color w:val="000000" w:themeColor="text1"/>
        </w:rPr>
        <w:t xml:space="preserve"> </w:t>
      </w:r>
      <w:r w:rsidRPr="005A2185">
        <w:rPr>
          <w:rFonts w:ascii="Calibri" w:eastAsia="Times New Roman" w:hAnsi="Calibri"/>
          <w:color w:val="000000" w:themeColor="text1"/>
        </w:rPr>
        <w:t xml:space="preserve">pupils in collaboration with RCT (Rhondda Cynon Taf) to identify students in need of support and establish a baseline for measuring progress in improving their attitudes towards learning. This initiative aligns with the Welsh </w:t>
      </w:r>
      <w:r>
        <w:rPr>
          <w:rFonts w:ascii="Calibri" w:eastAsia="Times New Roman" w:hAnsi="Calibri"/>
          <w:color w:val="000000" w:themeColor="text1"/>
        </w:rPr>
        <w:t>Government’s (2020)</w:t>
      </w:r>
      <w:r w:rsidRPr="005A2185">
        <w:rPr>
          <w:rFonts w:ascii="Calibri" w:eastAsia="Times New Roman" w:hAnsi="Calibri"/>
          <w:color w:val="000000" w:themeColor="text1"/>
        </w:rPr>
        <w:t xml:space="preserve"> focus on promoting well-being in schools, as outlined in policies such as "Education in Wales: Our National Mission." By assessing key elements of well-being such as PERMA, the school aims to address the holistic needs of students and create a supportive learning </w:t>
      </w:r>
      <w:r w:rsidR="00AB45BE">
        <w:rPr>
          <w:rFonts w:ascii="Calibri" w:eastAsia="Times New Roman" w:hAnsi="Calibri"/>
          <w:color w:val="000000" w:themeColor="text1"/>
        </w:rPr>
        <w:t xml:space="preserve">environment can be </w:t>
      </w:r>
      <w:r w:rsidR="00C8010E">
        <w:rPr>
          <w:rFonts w:ascii="Calibri" w:eastAsia="Times New Roman" w:hAnsi="Calibri"/>
          <w:color w:val="000000" w:themeColor="text1"/>
        </w:rPr>
        <w:t>archived</w:t>
      </w:r>
      <w:r w:rsidR="00AB45BE">
        <w:rPr>
          <w:rFonts w:ascii="Calibri" w:eastAsia="Times New Roman" w:hAnsi="Calibri"/>
          <w:color w:val="000000" w:themeColor="text1"/>
        </w:rPr>
        <w:t xml:space="preserve"> </w:t>
      </w:r>
      <w:r w:rsidR="00C8010E">
        <w:rPr>
          <w:rFonts w:ascii="Calibri" w:eastAsia="Times New Roman" w:hAnsi="Calibri"/>
          <w:color w:val="000000" w:themeColor="text1"/>
        </w:rPr>
        <w:t>effectively</w:t>
      </w:r>
      <w:r w:rsidRPr="005A2185">
        <w:rPr>
          <w:rFonts w:ascii="Calibri" w:eastAsia="Times New Roman" w:hAnsi="Calibri"/>
          <w:color w:val="000000" w:themeColor="text1"/>
        </w:rPr>
        <w:t xml:space="preserve">. However, while PERMA assessments have the potential to provide valuable insights into students' well-being and attitudes towards learning, there are also limitations to </w:t>
      </w:r>
      <w:r>
        <w:rPr>
          <w:rFonts w:ascii="Calibri" w:eastAsia="Times New Roman" w:hAnsi="Calibri"/>
          <w:color w:val="000000" w:themeColor="text1"/>
        </w:rPr>
        <w:t>consider</w:t>
      </w:r>
      <w:r w:rsidRPr="00665AB5">
        <w:rPr>
          <w:rFonts w:ascii="Calibri" w:eastAsia="Times New Roman" w:hAnsi="Calibri"/>
          <w:color w:val="000000" w:themeColor="text1"/>
        </w:rPr>
        <w:t xml:space="preserve"> </w:t>
      </w:r>
      <w:r w:rsidRPr="00665AB5">
        <w:rPr>
          <w:rFonts w:ascii="Calibri" w:eastAsia="Times New Roman" w:hAnsi="Calibri" w:cs="Segoe UI"/>
          <w:color w:val="0D0D0D"/>
          <w:shd w:val="clear" w:color="auto" w:fill="FFFFFF"/>
        </w:rPr>
        <w:t>(Turner et al., 2023)</w:t>
      </w:r>
      <w:r w:rsidRPr="00665AB5">
        <w:rPr>
          <w:rFonts w:ascii="Calibri" w:eastAsia="Times New Roman" w:hAnsi="Calibri"/>
          <w:color w:val="000000" w:themeColor="text1"/>
        </w:rPr>
        <w:t xml:space="preserve">. </w:t>
      </w:r>
      <w:r w:rsidRPr="005A2185">
        <w:rPr>
          <w:rFonts w:ascii="Calibri" w:eastAsia="Times New Roman" w:hAnsi="Calibri"/>
          <w:color w:val="000000" w:themeColor="text1"/>
        </w:rPr>
        <w:t xml:space="preserve">Firstly, the effectiveness of PERMA assessments in accurately capturing the complex and multifaceted nature of students' attitudes towards learning may </w:t>
      </w:r>
      <w:r>
        <w:rPr>
          <w:rFonts w:ascii="Calibri" w:eastAsia="Times New Roman" w:hAnsi="Calibri"/>
          <w:color w:val="000000" w:themeColor="text1"/>
        </w:rPr>
        <w:t xml:space="preserve">vary </w:t>
      </w:r>
      <w:r w:rsidRPr="006C0278">
        <w:rPr>
          <w:rFonts w:ascii="Calibri" w:eastAsia="Times New Roman" w:hAnsi="Calibri" w:cs="Segoe UI"/>
          <w:color w:val="0D0D0D"/>
          <w:shd w:val="clear" w:color="auto" w:fill="FFFFFF"/>
        </w:rPr>
        <w:t>(Turner et al., 2023)</w:t>
      </w:r>
      <w:r w:rsidRPr="006C0278">
        <w:rPr>
          <w:rFonts w:ascii="Calibri" w:eastAsia="Times New Roman" w:hAnsi="Calibri"/>
          <w:color w:val="000000" w:themeColor="text1"/>
        </w:rPr>
        <w:t>.</w:t>
      </w:r>
      <w:r w:rsidRPr="005A2185">
        <w:rPr>
          <w:rFonts w:ascii="Calibri" w:eastAsia="Times New Roman" w:hAnsi="Calibri"/>
          <w:color w:val="000000" w:themeColor="text1"/>
        </w:rPr>
        <w:t xml:space="preserve"> Smith et al (2021) suggests that self-report measures like PERMA assessments may be influenced by factors such as social desirability bias, leading to potential inaccuracies in </w:t>
      </w:r>
      <w:r>
        <w:rPr>
          <w:rFonts w:ascii="Calibri" w:eastAsia="Times New Roman" w:hAnsi="Calibri"/>
          <w:color w:val="000000" w:themeColor="text1"/>
        </w:rPr>
        <w:t>reporting.</w:t>
      </w:r>
      <w:r w:rsidRPr="005A2185">
        <w:rPr>
          <w:rFonts w:ascii="Calibri" w:eastAsia="Times New Roman" w:hAnsi="Calibri"/>
          <w:color w:val="000000" w:themeColor="text1"/>
        </w:rPr>
        <w:t xml:space="preserve"> Additionally, the implementation of PERMA assessments requires significant time and resources, including staff training and administration, which may strain school resources and detract from other </w:t>
      </w:r>
      <w:r>
        <w:rPr>
          <w:rFonts w:ascii="Calibri" w:eastAsia="Times New Roman" w:hAnsi="Calibri"/>
          <w:color w:val="000000" w:themeColor="text1"/>
        </w:rPr>
        <w:t xml:space="preserve">priorities </w:t>
      </w:r>
      <w:r w:rsidRPr="006C0278">
        <w:rPr>
          <w:rFonts w:ascii="Calibri" w:eastAsia="Times New Roman" w:hAnsi="Calibri" w:cs="Segoe UI"/>
          <w:color w:val="0D0D0D"/>
          <w:shd w:val="clear" w:color="auto" w:fill="FFFFFF"/>
        </w:rPr>
        <w:t>(Turner et al., 2023)</w:t>
      </w:r>
      <w:r w:rsidRPr="005A2185">
        <w:rPr>
          <w:rFonts w:ascii="Calibri" w:eastAsia="Times New Roman" w:hAnsi="Calibri"/>
          <w:color w:val="000000" w:themeColor="text1"/>
        </w:rPr>
        <w:t xml:space="preserve">. Furthermore, without comprehensive follow-up strategies and interventions tailored to address the specific needs identified through PERMA assessments, there is a risk that the initiative may not lead to meaningful improvements in students' attitudes towards learning over </w:t>
      </w:r>
      <w:r>
        <w:rPr>
          <w:rFonts w:ascii="Calibri" w:eastAsia="Times New Roman" w:hAnsi="Calibri"/>
          <w:color w:val="000000" w:themeColor="text1"/>
        </w:rPr>
        <w:t xml:space="preserve">time </w:t>
      </w:r>
      <w:r w:rsidRPr="006C0278">
        <w:rPr>
          <w:rFonts w:ascii="Calibri" w:eastAsia="Times New Roman" w:hAnsi="Calibri" w:cs="Segoe UI"/>
          <w:color w:val="0D0D0D"/>
          <w:shd w:val="clear" w:color="auto" w:fill="FFFFFF"/>
        </w:rPr>
        <w:t>(Turner et al., 2023)</w:t>
      </w:r>
      <w:r w:rsidRPr="006C0278">
        <w:rPr>
          <w:rFonts w:ascii="Calibri" w:eastAsia="Times New Roman" w:hAnsi="Calibri"/>
          <w:color w:val="000000" w:themeColor="text1"/>
        </w:rPr>
        <w:t>.</w:t>
      </w:r>
      <w:r w:rsidRPr="005A2185">
        <w:rPr>
          <w:rFonts w:ascii="Calibri" w:eastAsia="Times New Roman" w:hAnsi="Calibri"/>
          <w:color w:val="000000" w:themeColor="text1"/>
        </w:rPr>
        <w:t xml:space="preserve"> Therefore, while PERMA assessments represent a proactive approach to supporting student well-being and attitudes </w:t>
      </w:r>
      <w:r w:rsidRPr="005A2185">
        <w:rPr>
          <w:rFonts w:ascii="Calibri" w:eastAsia="Times New Roman" w:hAnsi="Calibri"/>
          <w:color w:val="000000" w:themeColor="text1"/>
        </w:rPr>
        <w:lastRenderedPageBreak/>
        <w:t xml:space="preserve">towards learning, their effectiveness hinges on careful implementation, ongoing evaluation, and targeted interventions to address identified needs </w:t>
      </w:r>
      <w:r>
        <w:rPr>
          <w:rFonts w:ascii="Calibri" w:eastAsia="Times New Roman" w:hAnsi="Calibri"/>
          <w:color w:val="000000" w:themeColor="text1"/>
        </w:rPr>
        <w:t>effectively (</w:t>
      </w:r>
      <w:r w:rsidRPr="006C0278">
        <w:rPr>
          <w:rFonts w:ascii="Calibri" w:eastAsia="Times New Roman" w:hAnsi="Calibri" w:cs="Segoe UI"/>
          <w:color w:val="0D0D0D"/>
          <w:shd w:val="clear" w:color="auto" w:fill="FFFFFF"/>
        </w:rPr>
        <w:t>Turner et al., 2023)</w:t>
      </w:r>
      <w:r w:rsidRPr="006C0278">
        <w:rPr>
          <w:rFonts w:ascii="Calibri" w:eastAsia="Times New Roman" w:hAnsi="Calibri"/>
          <w:color w:val="000000" w:themeColor="text1"/>
        </w:rPr>
        <w:t>.</w:t>
      </w:r>
      <w:r w:rsidRPr="005A2185">
        <w:rPr>
          <w:rFonts w:ascii="Calibri" w:eastAsia="Times New Roman" w:hAnsi="Calibri"/>
          <w:color w:val="000000" w:themeColor="text1"/>
        </w:rPr>
        <w:t xml:space="preserve"> </w:t>
      </w:r>
      <w:r w:rsidRPr="005A2185">
        <w:rPr>
          <w:rFonts w:ascii="Calibri" w:eastAsia="Times New Roman" w:hAnsi="Calibri" w:cs="Segoe UI"/>
          <w:color w:val="000000" w:themeColor="text1"/>
          <w:shd w:val="clear" w:color="auto" w:fill="FFFFFF"/>
        </w:rPr>
        <w:t xml:space="preserve">A practical solution to enhance the effectiveness of PERMA assessments in addressing pupils' attitudes towards learning is to integrate them into a broader framework of support and </w:t>
      </w:r>
      <w:r>
        <w:rPr>
          <w:rFonts w:ascii="Calibri" w:eastAsia="Times New Roman" w:hAnsi="Calibri" w:cs="Segoe UI"/>
          <w:color w:val="000000" w:themeColor="text1"/>
          <w:shd w:val="clear" w:color="auto" w:fill="FFFFFF"/>
        </w:rPr>
        <w:t>intervention (</w:t>
      </w:r>
      <w:r w:rsidRPr="006C0278">
        <w:rPr>
          <w:rFonts w:ascii="Calibri" w:eastAsia="Times New Roman" w:hAnsi="Calibri" w:cs="Segoe UI"/>
          <w:color w:val="0D0D0D"/>
          <w:shd w:val="clear" w:color="auto" w:fill="FFFFFF"/>
        </w:rPr>
        <w:t>Turner et al., 2023)</w:t>
      </w:r>
      <w:r w:rsidRPr="006C0278">
        <w:rPr>
          <w:rFonts w:ascii="Calibri" w:eastAsia="Times New Roman" w:hAnsi="Calibri"/>
          <w:color w:val="000000" w:themeColor="text1"/>
        </w:rPr>
        <w:t>.</w:t>
      </w:r>
      <w:r w:rsidRPr="005A2185">
        <w:rPr>
          <w:rFonts w:ascii="Calibri" w:eastAsia="Times New Roman" w:hAnsi="Calibri" w:cs="Segoe UI"/>
          <w:color w:val="000000" w:themeColor="text1"/>
          <w:shd w:val="clear" w:color="auto" w:fill="FFFFFF"/>
        </w:rPr>
        <w:t xml:space="preserve"> This could mean developing individualized intervention plans for students based on the results of PERMA assessments. These plans should include specific strategies and resources to address the identified areas of need and promote positive attitudes towards learning. </w:t>
      </w:r>
      <w:r>
        <w:rPr>
          <w:rFonts w:ascii="Calibri" w:eastAsia="Times New Roman" w:hAnsi="Calibri" w:cs="Segoe UI"/>
          <w:color w:val="000000" w:themeColor="text1"/>
          <w:shd w:val="clear" w:color="auto" w:fill="FFFFFF"/>
        </w:rPr>
        <w:t>One</w:t>
      </w:r>
      <w:r w:rsidRPr="005A2185">
        <w:rPr>
          <w:rFonts w:ascii="Calibri" w:eastAsia="Times New Roman" w:hAnsi="Calibri" w:cs="Segoe UI"/>
          <w:color w:val="000000" w:themeColor="text1"/>
          <w:shd w:val="clear" w:color="auto" w:fill="FFFFFF"/>
        </w:rPr>
        <w:t xml:space="preserve"> </w:t>
      </w:r>
      <w:r>
        <w:rPr>
          <w:rFonts w:ascii="Calibri" w:eastAsia="Times New Roman" w:hAnsi="Calibri" w:cs="Segoe UI"/>
          <w:color w:val="000000" w:themeColor="text1"/>
          <w:shd w:val="clear" w:color="auto" w:fill="FFFFFF"/>
        </w:rPr>
        <w:t>example may be</w:t>
      </w:r>
      <w:r w:rsidRPr="005A2185">
        <w:rPr>
          <w:rFonts w:ascii="Calibri" w:eastAsia="Times New Roman" w:hAnsi="Calibri" w:cs="Segoe UI"/>
          <w:color w:val="000000" w:themeColor="text1"/>
          <w:shd w:val="clear" w:color="auto" w:fill="FFFFFF"/>
        </w:rPr>
        <w:t>, students who score low on the "Engagement" dimension may benefit from personalized learning activities or additional support from teachers to enhance their engagement in the classroom</w:t>
      </w:r>
      <w:r>
        <w:rPr>
          <w:rFonts w:ascii="Calibri" w:eastAsia="Times New Roman" w:hAnsi="Calibri" w:cs="Segoe UI"/>
          <w:color w:val="000000" w:themeColor="text1"/>
          <w:shd w:val="clear" w:color="auto" w:fill="FFFFFF"/>
        </w:rPr>
        <w:t xml:space="preserve"> (</w:t>
      </w:r>
      <w:r w:rsidRPr="006C0278">
        <w:rPr>
          <w:rFonts w:ascii="Calibri" w:eastAsia="Times New Roman" w:hAnsi="Calibri" w:cs="Segoe UI"/>
          <w:color w:val="0D0D0D"/>
          <w:shd w:val="clear" w:color="auto" w:fill="FFFFFF"/>
        </w:rPr>
        <w:t>Turner et al., 2023)</w:t>
      </w:r>
      <w:r w:rsidRPr="005A2185">
        <w:rPr>
          <w:rFonts w:ascii="Calibri" w:eastAsia="Times New Roman" w:hAnsi="Calibri" w:cs="Segoe UI"/>
          <w:color w:val="000000" w:themeColor="text1"/>
          <w:shd w:val="clear" w:color="auto" w:fill="FFFFFF"/>
        </w:rPr>
        <w:t>.</w:t>
      </w:r>
    </w:p>
    <w:p w14:paraId="4B8A2EEC" w14:textId="71402AA1" w:rsidR="005C1684" w:rsidRDefault="00807FBC" w:rsidP="00E03758">
      <w:pPr>
        <w:spacing w:line="360" w:lineRule="auto"/>
        <w:rPr>
          <w:rFonts w:ascii="Calibri" w:eastAsia="Times New Roman" w:hAnsi="Calibri"/>
          <w:color w:val="000000" w:themeColor="text1"/>
        </w:rPr>
      </w:pPr>
      <w:r w:rsidRPr="00807FBC">
        <w:rPr>
          <w:rFonts w:ascii="Calibri" w:eastAsia="Times New Roman" w:hAnsi="Calibri"/>
          <w:color w:val="000000" w:themeColor="text1"/>
        </w:rPr>
        <w:t xml:space="preserve">In conclusion, this assignment provided a comprehensive exploration of school development processes and strategies aimed at enhancing </w:t>
      </w:r>
      <w:r w:rsidR="00507639" w:rsidRPr="00807FBC">
        <w:rPr>
          <w:rFonts w:ascii="Calibri" w:eastAsia="Times New Roman" w:hAnsi="Calibri"/>
          <w:color w:val="000000" w:themeColor="text1"/>
        </w:rPr>
        <w:t>behaviour</w:t>
      </w:r>
      <w:r w:rsidRPr="00807FBC">
        <w:rPr>
          <w:rFonts w:ascii="Calibri" w:eastAsia="Times New Roman" w:hAnsi="Calibri"/>
          <w:color w:val="000000" w:themeColor="text1"/>
        </w:rPr>
        <w:t xml:space="preserve">, attitudes toward learning, and health and well-being. Through critical analysis of the literature and evaluation of practical interventions, I gained insights into the complexities of school improvement initiatives and the importance of evidence-based practices. Moving forward, I recognize the significance of continuous reflection, collaboration, and stakeholder engagement in driving meaningful change within educational contexts. This experience has underscored the value of adopting a holistic approach to school development, prioritizing the well-being and academic success of all students. Professionally, I aim to apply the knowledge and skills acquired through this assignment to contribute effectively to school improvement efforts and promote positive learning outcomes for students. By embracing a proactive and evidence-informed approach, I aspire to make meaningful contributions to the educational community and foster inclusive and supportive learning environments for all learners. The school my </w:t>
      </w:r>
      <w:r w:rsidR="00507639" w:rsidRPr="00807FBC">
        <w:rPr>
          <w:rFonts w:ascii="Calibri" w:eastAsia="Times New Roman" w:hAnsi="Calibri"/>
          <w:color w:val="000000" w:themeColor="text1"/>
        </w:rPr>
        <w:t>endeavour</w:t>
      </w:r>
      <w:r w:rsidRPr="00807FBC">
        <w:rPr>
          <w:rFonts w:ascii="Calibri" w:eastAsia="Times New Roman" w:hAnsi="Calibri"/>
          <w:color w:val="000000" w:themeColor="text1"/>
        </w:rPr>
        <w:t xml:space="preserve"> to work with school administrators, teachers, students, and parents to develop clear and inclusive definitions of bullying </w:t>
      </w:r>
      <w:r w:rsidR="004B7F30" w:rsidRPr="00807FBC">
        <w:rPr>
          <w:rFonts w:ascii="Calibri" w:eastAsia="Times New Roman" w:hAnsi="Calibri"/>
          <w:color w:val="000000" w:themeColor="text1"/>
        </w:rPr>
        <w:t>behaviours</w:t>
      </w:r>
      <w:r w:rsidRPr="00807FBC">
        <w:rPr>
          <w:rFonts w:ascii="Calibri" w:eastAsia="Times New Roman" w:hAnsi="Calibri"/>
          <w:color w:val="000000" w:themeColor="text1"/>
        </w:rPr>
        <w:t>. This collaborative effort ensures that everyone understands what constitutes bullying, including different forms such as physical, verbal, and cyberbullying. Clear definitions help in identifying and addressing instances of bullying effectively.</w:t>
      </w:r>
    </w:p>
    <w:p w14:paraId="4A16C8A2" w14:textId="1E34C89E" w:rsidR="005C1684" w:rsidRPr="00E03758" w:rsidRDefault="00144E5A" w:rsidP="00E03758">
      <w:pPr>
        <w:spacing w:line="360" w:lineRule="auto"/>
        <w:rPr>
          <w:rFonts w:ascii="Calibri" w:eastAsia="Times New Roman" w:hAnsi="Calibri"/>
          <w:color w:val="000000" w:themeColor="text1"/>
        </w:rPr>
      </w:pPr>
      <w:r>
        <w:rPr>
          <w:rFonts w:ascii="Calibri" w:eastAsia="Times New Roman" w:hAnsi="Calibri"/>
          <w:color w:val="000000" w:themeColor="text1"/>
        </w:rPr>
        <w:t xml:space="preserve"> </w:t>
      </w:r>
    </w:p>
    <w:p w14:paraId="52BDA865" w14:textId="72F4B40A" w:rsidR="005808FF" w:rsidRPr="00136D2F" w:rsidRDefault="006B4068" w:rsidP="00136D2F">
      <w:pPr>
        <w:spacing w:line="360" w:lineRule="auto"/>
        <w:divId w:val="1762750104"/>
        <w:rPr>
          <w:rFonts w:ascii="Calibri" w:eastAsia="Times New Roman" w:hAnsi="Calibri"/>
        </w:rPr>
      </w:pPr>
      <w:r w:rsidRPr="00136D2F">
        <w:rPr>
          <w:rFonts w:ascii="Calibri" w:eastAsia="Times New Roman" w:hAnsi="Calibri"/>
        </w:rPr>
        <w:t>References list:</w:t>
      </w:r>
      <w:r w:rsidR="00CA2451">
        <w:rPr>
          <w:rFonts w:ascii="Calibri" w:eastAsia="Times New Roman" w:hAnsi="Calibri"/>
        </w:rPr>
        <w:t> </w:t>
      </w:r>
    </w:p>
    <w:p w14:paraId="1BE97D47" w14:textId="3DB7D6B7" w:rsidR="00C623B3" w:rsidRPr="00136D2F" w:rsidRDefault="00C623B3" w:rsidP="00136D2F">
      <w:pPr>
        <w:spacing w:line="360" w:lineRule="auto"/>
        <w:divId w:val="1762750104"/>
        <w:rPr>
          <w:rFonts w:ascii="Calibri" w:eastAsia="Times New Roman" w:hAnsi="Calibri"/>
        </w:rPr>
      </w:pPr>
      <w:r w:rsidRPr="00136D2F">
        <w:rPr>
          <w:rFonts w:ascii="Calibri" w:eastAsia="Times New Roman" w:hAnsi="Calibri"/>
        </w:rPr>
        <w:lastRenderedPageBreak/>
        <w:t>Camfield, L. (2016). Enquiries into Wellbeing: How Could Qualitative Data Be Used to Improve the Reliability of Survey Data? In Cultures of wellbeing: Method, place, policy (pp. 47-65).</w:t>
      </w:r>
    </w:p>
    <w:p w14:paraId="7845E6AA" w14:textId="5CBBD0CC" w:rsidR="00C623B3" w:rsidRPr="00136D2F" w:rsidRDefault="00C623B3" w:rsidP="00136D2F">
      <w:pPr>
        <w:spacing w:line="360" w:lineRule="auto"/>
        <w:divId w:val="1762750104"/>
        <w:rPr>
          <w:rFonts w:ascii="Calibri" w:eastAsia="Times New Roman" w:hAnsi="Calibri"/>
        </w:rPr>
      </w:pPr>
      <w:r w:rsidRPr="00136D2F">
        <w:rPr>
          <w:rFonts w:ascii="Calibri" w:eastAsia="Times New Roman" w:hAnsi="Calibri"/>
        </w:rPr>
        <w:t>Clarke, T. (2020). Children’s wellbeing and their academic achievement: The dangerous discourse of ‘trade-offs’ in education. Theory and Research in Education, 18(3), 263-294.</w:t>
      </w:r>
    </w:p>
    <w:p w14:paraId="535DE844" w14:textId="2FA1F54A" w:rsidR="00C623B3" w:rsidRPr="00136D2F" w:rsidRDefault="00C623B3" w:rsidP="00136D2F">
      <w:pPr>
        <w:spacing w:line="360" w:lineRule="auto"/>
        <w:divId w:val="1762750104"/>
        <w:rPr>
          <w:rFonts w:ascii="Calibri" w:eastAsia="Times New Roman" w:hAnsi="Calibri"/>
        </w:rPr>
      </w:pPr>
      <w:r w:rsidRPr="00136D2F">
        <w:rPr>
          <w:rFonts w:ascii="Calibri" w:eastAsia="Times New Roman" w:hAnsi="Calibri"/>
        </w:rPr>
        <w:t>Creemers, B.P., Peters, T., &amp; Reynolds, D. (Eds.). (2022). School effectiveness and school improvement. Routledge.</w:t>
      </w:r>
    </w:p>
    <w:p w14:paraId="54A45FCE" w14:textId="77777777" w:rsidR="00C623B3" w:rsidRPr="00136D2F" w:rsidRDefault="00C623B3" w:rsidP="00136D2F">
      <w:pPr>
        <w:spacing w:line="360" w:lineRule="auto"/>
        <w:divId w:val="1762750104"/>
        <w:rPr>
          <w:rFonts w:ascii="Calibri" w:eastAsia="Times New Roman" w:hAnsi="Calibri"/>
        </w:rPr>
      </w:pPr>
      <w:r w:rsidRPr="00136D2F">
        <w:rPr>
          <w:rFonts w:ascii="Calibri" w:eastAsia="Times New Roman" w:hAnsi="Calibri"/>
        </w:rPr>
        <w:t>Dellatola, E., Daradoumis, T., &amp; Dimitriadis, Y. (2020). Exploring students’ engagement within a collaborative inquiry-based language learning activity in a blended environment. In Emerging technologies and pedagogies in the curriculum (pp. 355-375).</w:t>
      </w:r>
    </w:p>
    <w:p w14:paraId="3233E435" w14:textId="636BED59" w:rsidR="00C623B3" w:rsidRPr="00136D2F" w:rsidRDefault="00C623B3" w:rsidP="00136D2F">
      <w:pPr>
        <w:spacing w:line="360" w:lineRule="auto"/>
        <w:divId w:val="1762750104"/>
        <w:rPr>
          <w:rFonts w:ascii="Calibri" w:eastAsia="Times New Roman" w:hAnsi="Calibri"/>
        </w:rPr>
      </w:pPr>
      <w:r w:rsidRPr="00136D2F">
        <w:rPr>
          <w:rFonts w:ascii="Calibri" w:eastAsia="Times New Roman" w:hAnsi="Calibri"/>
        </w:rPr>
        <w:t>De Jong, W.A., Brouwer, J., Lockhorst, D., De Kleijn, R.A.M., Van Tartwijk, J.W.F., &amp; Noordegraaf, M. (2022). Describing and measuring leadership within school teams by applying a social network perspective. International Journal of Educational Research Open, 3, 100116.</w:t>
      </w:r>
    </w:p>
    <w:p w14:paraId="2E815683" w14:textId="77777777" w:rsidR="004F3AE9" w:rsidRDefault="00C623B3" w:rsidP="00136D2F">
      <w:pPr>
        <w:spacing w:line="360" w:lineRule="auto"/>
        <w:divId w:val="1762750104"/>
        <w:rPr>
          <w:rFonts w:ascii="Calibri" w:eastAsia="Times New Roman" w:hAnsi="Calibri"/>
        </w:rPr>
      </w:pPr>
      <w:r w:rsidRPr="00136D2F">
        <w:rPr>
          <w:rFonts w:ascii="Calibri" w:eastAsia="Times New Roman" w:hAnsi="Calibri"/>
        </w:rPr>
        <w:t>Dhillon, J.K., Howard, C., &amp; Holt, J. (2020). Outstanding leadership in primary education: Perceptions of school leaders in English primary schools. Management in education.</w:t>
      </w:r>
    </w:p>
    <w:p w14:paraId="49D4BB76" w14:textId="77777777" w:rsidR="004F3AE9" w:rsidRPr="004211C0" w:rsidRDefault="004F3AE9" w:rsidP="00136D2F">
      <w:pPr>
        <w:spacing w:line="360" w:lineRule="auto"/>
        <w:divId w:val="1762750104"/>
        <w:rPr>
          <w:rFonts w:ascii="Calibri" w:eastAsia="Times New Roman" w:hAnsi="Calibri" w:cs="Arial"/>
          <w:color w:val="000000" w:themeColor="text1"/>
          <w:shd w:val="clear" w:color="auto" w:fill="FFFFFF"/>
        </w:rPr>
      </w:pPr>
      <w:r w:rsidRPr="004211C0">
        <w:rPr>
          <w:rFonts w:ascii="Calibri" w:eastAsia="Times New Roman" w:hAnsi="Calibri" w:cs="Arial"/>
          <w:color w:val="000000" w:themeColor="text1"/>
          <w:shd w:val="clear" w:color="auto" w:fill="FFFFFF"/>
        </w:rPr>
        <w:t>Eslea, M. and Smith, P.K., 1998. The long</w:t>
      </w:r>
      <w:r w:rsidRPr="004211C0">
        <w:rPr>
          <w:rFonts w:ascii="Calibri" w:eastAsia="Times New Roman" w:hAnsi="Calibri" w:cs="Cambria Math"/>
          <w:color w:val="000000" w:themeColor="text1"/>
          <w:shd w:val="clear" w:color="auto" w:fill="FFFFFF"/>
        </w:rPr>
        <w:t>‐</w:t>
      </w:r>
      <w:r w:rsidRPr="004211C0">
        <w:rPr>
          <w:rFonts w:ascii="Calibri" w:eastAsia="Times New Roman" w:hAnsi="Calibri" w:cs="Arial"/>
          <w:color w:val="000000" w:themeColor="text1"/>
          <w:shd w:val="clear" w:color="auto" w:fill="FFFFFF"/>
        </w:rPr>
        <w:t>term effectiveness of anti</w:t>
      </w:r>
      <w:r w:rsidRPr="004211C0">
        <w:rPr>
          <w:rFonts w:ascii="Calibri" w:eastAsia="Times New Roman" w:hAnsi="Calibri" w:cs="Cambria Math"/>
          <w:color w:val="000000" w:themeColor="text1"/>
          <w:shd w:val="clear" w:color="auto" w:fill="FFFFFF"/>
        </w:rPr>
        <w:t>‐</w:t>
      </w:r>
      <w:r w:rsidRPr="004211C0">
        <w:rPr>
          <w:rFonts w:ascii="Calibri" w:eastAsia="Times New Roman" w:hAnsi="Calibri" w:cs="Arial"/>
          <w:color w:val="000000" w:themeColor="text1"/>
          <w:shd w:val="clear" w:color="auto" w:fill="FFFFFF"/>
        </w:rPr>
        <w:t>bullying work in primary schools. </w:t>
      </w:r>
      <w:r w:rsidRPr="004211C0">
        <w:rPr>
          <w:rFonts w:ascii="Calibri" w:eastAsia="Times New Roman" w:hAnsi="Calibri" w:cs="Arial"/>
          <w:i/>
          <w:iCs/>
          <w:color w:val="000000" w:themeColor="text1"/>
          <w:shd w:val="clear" w:color="auto" w:fill="FFFFFF"/>
        </w:rPr>
        <w:t>Educational Research</w:t>
      </w:r>
      <w:r w:rsidRPr="004211C0">
        <w:rPr>
          <w:rFonts w:ascii="Calibri" w:eastAsia="Times New Roman" w:hAnsi="Calibri" w:cs="Arial"/>
          <w:color w:val="000000" w:themeColor="text1"/>
          <w:shd w:val="clear" w:color="auto" w:fill="FFFFFF"/>
        </w:rPr>
        <w:t>, </w:t>
      </w:r>
      <w:r w:rsidRPr="004211C0">
        <w:rPr>
          <w:rFonts w:ascii="Calibri" w:eastAsia="Times New Roman" w:hAnsi="Calibri" w:cs="Arial"/>
          <w:i/>
          <w:iCs/>
          <w:color w:val="000000" w:themeColor="text1"/>
          <w:shd w:val="clear" w:color="auto" w:fill="FFFFFF"/>
        </w:rPr>
        <w:t>40</w:t>
      </w:r>
      <w:r w:rsidRPr="004211C0">
        <w:rPr>
          <w:rFonts w:ascii="Calibri" w:eastAsia="Times New Roman" w:hAnsi="Calibri" w:cs="Arial"/>
          <w:color w:val="000000" w:themeColor="text1"/>
          <w:shd w:val="clear" w:color="auto" w:fill="FFFFFF"/>
        </w:rPr>
        <w:t xml:space="preserve">(2), pp.203-218. </w:t>
      </w:r>
    </w:p>
    <w:p w14:paraId="6F3A6732" w14:textId="25C320F9" w:rsidR="00C623B3" w:rsidRPr="00136D2F" w:rsidRDefault="004F3AE9" w:rsidP="00136D2F">
      <w:pPr>
        <w:spacing w:line="360" w:lineRule="auto"/>
        <w:divId w:val="1762750104"/>
        <w:rPr>
          <w:rFonts w:ascii="Calibri" w:eastAsia="Times New Roman" w:hAnsi="Calibri"/>
        </w:rPr>
      </w:pPr>
      <w:r>
        <w:rPr>
          <w:rFonts w:ascii="Calibri" w:eastAsia="Times New Roman" w:hAnsi="Calibri"/>
        </w:rPr>
        <w:t>Gaffney</w:t>
      </w:r>
      <w:r w:rsidR="00C623B3" w:rsidRPr="00136D2F">
        <w:rPr>
          <w:rFonts w:ascii="Calibri" w:eastAsia="Times New Roman" w:hAnsi="Calibri"/>
        </w:rPr>
        <w:t>, H., Ttofi, M.M., &amp; Farrington, D.P. (2021). What works in anti-bullying programs? Analysis of effective intervention components. Journal of school psychology, 85, 37-56.</w:t>
      </w:r>
    </w:p>
    <w:p w14:paraId="458E8AB2" w14:textId="4C68ACE6" w:rsidR="00C623B3" w:rsidRPr="00136D2F" w:rsidRDefault="00C623B3" w:rsidP="00136D2F">
      <w:pPr>
        <w:spacing w:line="360" w:lineRule="auto"/>
        <w:divId w:val="1762750104"/>
        <w:rPr>
          <w:rFonts w:ascii="Calibri" w:eastAsia="Times New Roman" w:hAnsi="Calibri"/>
        </w:rPr>
      </w:pPr>
      <w:r w:rsidRPr="00136D2F">
        <w:rPr>
          <w:rFonts w:ascii="Calibri" w:eastAsia="Times New Roman" w:hAnsi="Calibri"/>
        </w:rPr>
        <w:t xml:space="preserve">Healey, K., &amp; Stroman, C. (2021). Structures for belonging: A synthesis of research on belonging-supportive learning environments. Retrieved from </w:t>
      </w:r>
      <w:hyperlink r:id="rId10" w:history="1">
        <w:r w:rsidR="00124C93" w:rsidRPr="00136D2F">
          <w:rPr>
            <w:rStyle w:val="Hyperlink"/>
            <w:rFonts w:ascii="Calibri" w:eastAsia="Times New Roman" w:hAnsi="Calibri"/>
          </w:rPr>
          <w:t>https://selcenter.wested.org/resource/structures-for-belonging-a-synthesis-of-researchon-belonging-supportive-learning-environments</w:t>
        </w:r>
      </w:hyperlink>
      <w:r w:rsidR="00124C93" w:rsidRPr="00136D2F">
        <w:rPr>
          <w:rFonts w:ascii="Calibri" w:eastAsia="Times New Roman" w:hAnsi="Calibri"/>
        </w:rPr>
        <w:t xml:space="preserve"> </w:t>
      </w:r>
    </w:p>
    <w:p w14:paraId="2409DB99" w14:textId="7085DEB0" w:rsidR="00C623B3" w:rsidRPr="00136D2F" w:rsidRDefault="00C623B3" w:rsidP="00136D2F">
      <w:pPr>
        <w:spacing w:line="360" w:lineRule="auto"/>
        <w:divId w:val="1762750104"/>
        <w:rPr>
          <w:rFonts w:ascii="Calibri" w:eastAsia="Times New Roman" w:hAnsi="Calibri"/>
        </w:rPr>
      </w:pPr>
      <w:r w:rsidRPr="00136D2F">
        <w:rPr>
          <w:rFonts w:ascii="Calibri" w:eastAsia="Times New Roman" w:hAnsi="Calibri"/>
        </w:rPr>
        <w:t>Hargreaves, A., &amp; Shirley, D. (2021). Well-being in schools: Three forces that will uplift your students in a volatile world. ASCD.</w:t>
      </w:r>
    </w:p>
    <w:p w14:paraId="3D23A9A4" w14:textId="1C622489" w:rsidR="00C623B3" w:rsidRDefault="00C623B3" w:rsidP="00136D2F">
      <w:pPr>
        <w:spacing w:line="360" w:lineRule="auto"/>
        <w:divId w:val="1762750104"/>
        <w:rPr>
          <w:rFonts w:ascii="Calibri" w:eastAsia="Times New Roman" w:hAnsi="Calibri"/>
        </w:rPr>
      </w:pPr>
      <w:r w:rsidRPr="00136D2F">
        <w:rPr>
          <w:rFonts w:ascii="Calibri" w:eastAsia="Times New Roman" w:hAnsi="Calibri"/>
        </w:rPr>
        <w:t>Kools, M., Pont, B., Gouëdard, P., Rodriguez, T., Stoll, L., &amp; George, B. (2018). Developing Schools as Learning Organisations in Wales.</w:t>
      </w:r>
    </w:p>
    <w:p w14:paraId="22547715" w14:textId="677156E2" w:rsidR="00B83AA3" w:rsidRPr="00A238D3" w:rsidRDefault="00B83AA3" w:rsidP="00136D2F">
      <w:pPr>
        <w:spacing w:line="360" w:lineRule="auto"/>
        <w:divId w:val="1762750104"/>
        <w:rPr>
          <w:rFonts w:ascii="Calibri" w:eastAsia="Times New Roman" w:hAnsi="Calibri"/>
        </w:rPr>
      </w:pPr>
      <w:r w:rsidRPr="00A238D3">
        <w:rPr>
          <w:rFonts w:ascii="Calibri" w:eastAsia="Times New Roman" w:hAnsi="Calibri" w:cs="Segoe UI"/>
          <w:color w:val="0D0D0D"/>
          <w:shd w:val="clear" w:color="auto" w:fill="FFFFFF"/>
        </w:rPr>
        <w:lastRenderedPageBreak/>
        <w:t>Krause, N., Blackwell, L. and Claridge, S., 2020. An exploration of the impact of the Emotional Literacy Support Assistant (ELSA) programme on wellbeing from the perspective of pupils. Educational Psychology in Practice, 36(1), pp.17-31.</w:t>
      </w:r>
    </w:p>
    <w:p w14:paraId="711B4AE1" w14:textId="2A1B5AF7" w:rsidR="00C623B3" w:rsidRPr="00136D2F" w:rsidRDefault="00C623B3" w:rsidP="00136D2F">
      <w:pPr>
        <w:spacing w:line="360" w:lineRule="auto"/>
        <w:divId w:val="1762750104"/>
        <w:rPr>
          <w:rFonts w:ascii="Calibri" w:eastAsia="Times New Roman" w:hAnsi="Calibri"/>
        </w:rPr>
      </w:pPr>
      <w:r w:rsidRPr="00136D2F">
        <w:rPr>
          <w:rFonts w:ascii="Calibri" w:eastAsia="Times New Roman" w:hAnsi="Calibri"/>
        </w:rPr>
        <w:t>Kujala, J., Sachs, S., Leinonen, H., Heikkinen, A., &amp; Laude, D. (2022). Stakeholder engagement: Past, present, and future. Business &amp; Society, 61(5), 1136-1196.</w:t>
      </w:r>
    </w:p>
    <w:p w14:paraId="101595C2" w14:textId="01F9BA78" w:rsidR="00C623B3" w:rsidRPr="00136D2F" w:rsidRDefault="00C623B3" w:rsidP="00136D2F">
      <w:pPr>
        <w:spacing w:line="360" w:lineRule="auto"/>
        <w:divId w:val="1762750104"/>
        <w:rPr>
          <w:rFonts w:ascii="Calibri" w:eastAsia="Times New Roman" w:hAnsi="Calibri"/>
        </w:rPr>
      </w:pPr>
      <w:r w:rsidRPr="00136D2F">
        <w:rPr>
          <w:rFonts w:ascii="Calibri" w:eastAsia="Times New Roman" w:hAnsi="Calibri"/>
        </w:rPr>
        <w:t>Maak, T. (2007). Responsible leadership, stakeholder engagement, and the emergence of social capital. Journal of business ethics, 74, 329-343.</w:t>
      </w:r>
    </w:p>
    <w:p w14:paraId="684F87A5" w14:textId="6ED191CE" w:rsidR="00C623B3" w:rsidRPr="00136D2F" w:rsidRDefault="00C623B3" w:rsidP="00136D2F">
      <w:pPr>
        <w:spacing w:line="360" w:lineRule="auto"/>
        <w:divId w:val="1762750104"/>
        <w:rPr>
          <w:rFonts w:ascii="Calibri" w:eastAsia="Times New Roman" w:hAnsi="Calibri"/>
        </w:rPr>
      </w:pPr>
      <w:r w:rsidRPr="00136D2F">
        <w:rPr>
          <w:rFonts w:ascii="Calibri" w:eastAsia="Times New Roman" w:hAnsi="Calibri"/>
        </w:rPr>
        <w:t>Markey, K., O’Brien, B., Kouta, C., Okantey, C., &amp; O’Donnell, C. (2021). Embracing classroom cultural diversity: Innovations for nurturing inclusive intercultural learning and culturally responsive teaching. Teaching and Learning in Nursing, 16(3), 258-262.</w:t>
      </w:r>
    </w:p>
    <w:p w14:paraId="664B5BF3" w14:textId="09CA9969" w:rsidR="00C623B3" w:rsidRPr="00136D2F" w:rsidRDefault="00C623B3" w:rsidP="00136D2F">
      <w:pPr>
        <w:spacing w:line="360" w:lineRule="auto"/>
        <w:divId w:val="1762750104"/>
        <w:rPr>
          <w:rFonts w:ascii="Calibri" w:eastAsia="Times New Roman" w:hAnsi="Calibri"/>
        </w:rPr>
      </w:pPr>
      <w:r w:rsidRPr="00136D2F">
        <w:rPr>
          <w:rFonts w:ascii="Calibri" w:eastAsia="Times New Roman" w:hAnsi="Calibri"/>
        </w:rPr>
        <w:t>Murano, D., Sawyer, J.E., &amp; Lipnevich, A.A. (2020). A meta-analytic review of preschool social and emotional learning interventions. Review of Educational Research, 90(2), 227-263.</w:t>
      </w:r>
    </w:p>
    <w:p w14:paraId="272E77A1" w14:textId="5CFD78F6" w:rsidR="00C623B3" w:rsidRPr="00136D2F" w:rsidRDefault="00C623B3" w:rsidP="00136D2F">
      <w:pPr>
        <w:spacing w:line="360" w:lineRule="auto"/>
        <w:divId w:val="1762750104"/>
        <w:rPr>
          <w:rFonts w:ascii="Calibri" w:eastAsia="Times New Roman" w:hAnsi="Calibri"/>
        </w:rPr>
      </w:pPr>
      <w:r w:rsidRPr="00136D2F">
        <w:rPr>
          <w:rFonts w:ascii="Calibri" w:eastAsia="Times New Roman" w:hAnsi="Calibri"/>
        </w:rPr>
        <w:t>Nonweiler, J., Rattray, F., Baulcomb, J., Happé, F., &amp; Absoud, M. (2020). Prevalence and associated factors of emotional and behavioural difficulties during COVID-19 pandemic in children with neurodevelopmental disorders. Children, 7(9), 128.</w:t>
      </w:r>
    </w:p>
    <w:p w14:paraId="4BDB8D24" w14:textId="4FDC8025" w:rsidR="00C623B3" w:rsidRPr="00136D2F" w:rsidRDefault="00C623B3" w:rsidP="00136D2F">
      <w:pPr>
        <w:spacing w:line="360" w:lineRule="auto"/>
        <w:divId w:val="1762750104"/>
        <w:rPr>
          <w:rFonts w:ascii="Calibri" w:eastAsia="Times New Roman" w:hAnsi="Calibri"/>
        </w:rPr>
      </w:pPr>
      <w:r w:rsidRPr="00136D2F">
        <w:rPr>
          <w:rFonts w:ascii="Calibri" w:eastAsia="Times New Roman" w:hAnsi="Calibri"/>
        </w:rPr>
        <w:t>O'Brien, T. (2022). School self-review–a sensible approach: How to know and tell the story of your school.</w:t>
      </w:r>
    </w:p>
    <w:p w14:paraId="7EA4CDDE" w14:textId="000BA1FC" w:rsidR="00C623B3" w:rsidRPr="00136D2F" w:rsidRDefault="00C623B3" w:rsidP="00136D2F">
      <w:pPr>
        <w:spacing w:line="360" w:lineRule="auto"/>
        <w:divId w:val="1762750104"/>
        <w:rPr>
          <w:rFonts w:ascii="Calibri" w:eastAsia="Times New Roman" w:hAnsi="Calibri"/>
        </w:rPr>
      </w:pPr>
      <w:r w:rsidRPr="00136D2F">
        <w:rPr>
          <w:rFonts w:ascii="Calibri" w:eastAsia="Times New Roman" w:hAnsi="Calibri"/>
        </w:rPr>
        <w:t>Oxley, L., &amp; Holden, G.W. (2021). Three positive approaches to school discipline: Are they compatible with social justice principles. Educational &amp; Child Psychology, 38(2), 71-81.</w:t>
      </w:r>
    </w:p>
    <w:p w14:paraId="67B25BDA" w14:textId="16DDD212" w:rsidR="00C623B3" w:rsidRPr="00136D2F" w:rsidRDefault="00C623B3" w:rsidP="00136D2F">
      <w:pPr>
        <w:spacing w:line="360" w:lineRule="auto"/>
        <w:divId w:val="1762750104"/>
        <w:rPr>
          <w:rFonts w:ascii="Calibri" w:eastAsia="Times New Roman" w:hAnsi="Calibri"/>
        </w:rPr>
      </w:pPr>
      <w:r w:rsidRPr="00136D2F">
        <w:rPr>
          <w:rFonts w:ascii="Calibri" w:eastAsia="Times New Roman" w:hAnsi="Calibri"/>
        </w:rPr>
        <w:t>Pham, A.V., Goforth, A.N., Aguilar, L.N., Burt, I., Bastian, R., &amp; Diaków, D.M. (2022). Dismantling systemic inequities in school psychology: Cultural humility as a foundational approach to social justice. School Psychology Review, 51(6), 692-709.</w:t>
      </w:r>
    </w:p>
    <w:p w14:paraId="3E1A1A91" w14:textId="5082F3EB" w:rsidR="00C623B3" w:rsidRPr="00136D2F" w:rsidRDefault="00C623B3" w:rsidP="00136D2F">
      <w:pPr>
        <w:spacing w:line="360" w:lineRule="auto"/>
        <w:divId w:val="1762750104"/>
        <w:rPr>
          <w:rFonts w:ascii="Calibri" w:eastAsia="Times New Roman" w:hAnsi="Calibri"/>
        </w:rPr>
      </w:pPr>
      <w:r w:rsidRPr="00136D2F">
        <w:rPr>
          <w:rFonts w:ascii="Calibri" w:eastAsia="Times New Roman" w:hAnsi="Calibri"/>
        </w:rPr>
        <w:t>Poesen-Vandeputte, M., &amp; Nicaise, I. (2015). Rich schools, poor schools. Hidden resource inequalities between primary schools. Educational Research, 57(1), 91-109.</w:t>
      </w:r>
    </w:p>
    <w:p w14:paraId="04737673" w14:textId="065477B1" w:rsidR="00C623B3" w:rsidRPr="00136D2F" w:rsidRDefault="00C623B3" w:rsidP="00136D2F">
      <w:pPr>
        <w:spacing w:line="360" w:lineRule="auto"/>
        <w:divId w:val="1762750104"/>
        <w:rPr>
          <w:rFonts w:ascii="Calibri" w:eastAsia="Times New Roman" w:hAnsi="Calibri"/>
        </w:rPr>
      </w:pPr>
      <w:r w:rsidRPr="00136D2F">
        <w:rPr>
          <w:rFonts w:ascii="Calibri" w:eastAsia="Times New Roman" w:hAnsi="Calibri"/>
        </w:rPr>
        <w:t>Poulos, A., &amp; Kulinna, P.H. (2022). A cluster randomized controlled trial of an after-school playground curriculum intervention to improve children’s physical, social, and emotional health: Study protocol for the PLAYground project. BMC public health, 22(1), 1658.</w:t>
      </w:r>
    </w:p>
    <w:p w14:paraId="2CFC8AE0" w14:textId="6CE66F2D" w:rsidR="00C623B3" w:rsidRDefault="00C623B3" w:rsidP="00136D2F">
      <w:pPr>
        <w:spacing w:line="360" w:lineRule="auto"/>
        <w:divId w:val="1762750104"/>
        <w:rPr>
          <w:rFonts w:ascii="Calibri" w:eastAsia="Times New Roman" w:hAnsi="Calibri"/>
        </w:rPr>
      </w:pPr>
      <w:r w:rsidRPr="00136D2F">
        <w:rPr>
          <w:rFonts w:ascii="Calibri" w:eastAsia="Times New Roman" w:hAnsi="Calibri"/>
        </w:rPr>
        <w:lastRenderedPageBreak/>
        <w:t>Ștefan, C.A., Dănilă, I., &amp; Cristescu, D. (2022). Classroom-wide school interventions for preschoolers’ social-emotional learning: A systematic review of evidence-based programs. Educational Psychology Review, 34(4), 2971-3010.</w:t>
      </w:r>
    </w:p>
    <w:p w14:paraId="1BFCED40" w14:textId="73E1AC5B" w:rsidR="00906F2E" w:rsidRPr="00906F2E" w:rsidRDefault="00906F2E" w:rsidP="00136D2F">
      <w:pPr>
        <w:spacing w:line="360" w:lineRule="auto"/>
        <w:divId w:val="1762750104"/>
        <w:rPr>
          <w:rFonts w:ascii="Calibri" w:eastAsia="Times New Roman" w:hAnsi="Calibri"/>
        </w:rPr>
      </w:pPr>
      <w:r w:rsidRPr="00906F2E">
        <w:rPr>
          <w:rFonts w:ascii="Calibri" w:eastAsia="Times New Roman" w:hAnsi="Calibri" w:cs="Segoe UI"/>
          <w:color w:val="0D0D0D"/>
          <w:shd w:val="clear" w:color="auto" w:fill="FFFFFF"/>
        </w:rPr>
        <w:t>Turner, J., Roberts, R., Proeve, M. and Chen, J., 2023. Relationship between PERMA and children’s wellbeing, resilience and mental health: A scoping review. International Journal of Wellbeing, 13(2).</w:t>
      </w:r>
    </w:p>
    <w:p w14:paraId="1407C1D1" w14:textId="25002B48" w:rsidR="00C623B3" w:rsidRPr="00136D2F" w:rsidRDefault="00C623B3" w:rsidP="00136D2F">
      <w:pPr>
        <w:spacing w:line="360" w:lineRule="auto"/>
        <w:divId w:val="1762750104"/>
        <w:rPr>
          <w:rFonts w:ascii="Calibri" w:eastAsia="Times New Roman" w:hAnsi="Calibri"/>
        </w:rPr>
      </w:pPr>
      <w:r w:rsidRPr="00136D2F">
        <w:rPr>
          <w:rFonts w:ascii="Calibri" w:eastAsia="Times New Roman" w:hAnsi="Calibri"/>
        </w:rPr>
        <w:t>Twum-Antwi, A., Jefferies, P., &amp; Ungar, M. (2020). Promoting child and youth resilience by strengthening home and school environments: A literature review. International Journal of School &amp; Educational Psychology, 8(2), 78-89.</w:t>
      </w:r>
    </w:p>
    <w:p w14:paraId="781D7C0C" w14:textId="045BC98E" w:rsidR="00C623B3" w:rsidRPr="00136D2F" w:rsidRDefault="00C623B3" w:rsidP="00136D2F">
      <w:pPr>
        <w:spacing w:line="360" w:lineRule="auto"/>
        <w:divId w:val="1762750104"/>
        <w:rPr>
          <w:rFonts w:ascii="Calibri" w:eastAsia="Times New Roman" w:hAnsi="Calibri"/>
        </w:rPr>
      </w:pPr>
      <w:r w:rsidRPr="00136D2F">
        <w:rPr>
          <w:rFonts w:ascii="Calibri" w:eastAsia="Times New Roman" w:hAnsi="Calibri"/>
        </w:rPr>
        <w:t>Van Niejenhuis, C., Huitsing, G., &amp; Veenstra, R. (2020). Working with parents to counteract bullying: A randomized controlled trial of an intervention to improve parent‐school cooperation. Scandinavian journal of psychology, 61(1), 117-131.</w:t>
      </w:r>
    </w:p>
    <w:p w14:paraId="3AAD905A" w14:textId="7FC24C23" w:rsidR="00C623B3" w:rsidRDefault="00C623B3" w:rsidP="00136D2F">
      <w:pPr>
        <w:spacing w:line="360" w:lineRule="auto"/>
        <w:divId w:val="1762750104"/>
        <w:rPr>
          <w:rFonts w:ascii="Calibri" w:eastAsia="Times New Roman" w:hAnsi="Calibri"/>
        </w:rPr>
      </w:pPr>
      <w:r w:rsidRPr="00136D2F">
        <w:rPr>
          <w:rFonts w:ascii="Calibri" w:eastAsia="Times New Roman" w:hAnsi="Calibri"/>
        </w:rPr>
        <w:t>Visser, K., Bolt, G., Finkenauer, C., Jonker, M., Weinberg, D., &amp; Stevens, G.W. (2021). Neighbourhood deprivation effects on young people's mental health and well-being: A systematic review of the literature. Social Science &amp; Medicine, 270, 113542.</w:t>
      </w:r>
    </w:p>
    <w:p w14:paraId="6B089B98" w14:textId="34A7E546" w:rsidR="00DF4FCC" w:rsidRPr="00DF4FCC" w:rsidRDefault="00DF4FCC" w:rsidP="00136D2F">
      <w:pPr>
        <w:spacing w:line="360" w:lineRule="auto"/>
        <w:divId w:val="1762750104"/>
        <w:rPr>
          <w:rFonts w:ascii="Calibri" w:eastAsia="Times New Roman" w:hAnsi="Calibri"/>
        </w:rPr>
      </w:pPr>
      <w:r w:rsidRPr="00DF4FCC">
        <w:rPr>
          <w:rFonts w:ascii="Calibri" w:eastAsia="Times New Roman" w:hAnsi="Calibri" w:cs="Segoe UI"/>
          <w:color w:val="0D0D0D"/>
          <w:shd w:val="clear" w:color="auto" w:fill="FFFFFF"/>
        </w:rPr>
        <w:t xml:space="preserve">Wang, M.T. and Degol, J.L., 2016. School climate: A review of the construct, measurement, and impact on student outcomes. Educational psychology review, 28(2), pp.315-352. </w:t>
      </w:r>
    </w:p>
    <w:p w14:paraId="00CD95CD" w14:textId="44D9B9BC" w:rsidR="00C623B3" w:rsidRPr="00136D2F" w:rsidRDefault="00C623B3" w:rsidP="00136D2F">
      <w:pPr>
        <w:spacing w:line="360" w:lineRule="auto"/>
        <w:divId w:val="1762750104"/>
        <w:rPr>
          <w:rFonts w:ascii="Calibri" w:eastAsia="Times New Roman" w:hAnsi="Calibri"/>
        </w:rPr>
      </w:pPr>
      <w:r w:rsidRPr="00136D2F">
        <w:rPr>
          <w:rFonts w:ascii="Calibri" w:eastAsia="Times New Roman" w:hAnsi="Calibri"/>
        </w:rPr>
        <w:t xml:space="preserve">Welsh Government. (2015). Successful Futures: Independent Review of Curriculum and Assessment Arrangements in Wales. Retrieved from </w:t>
      </w:r>
      <w:hyperlink r:id="rId11" w:history="1">
        <w:r w:rsidRPr="00136D2F">
          <w:rPr>
            <w:rStyle w:val="Hyperlink"/>
            <w:rFonts w:ascii="Calibri" w:eastAsia="Times New Roman" w:hAnsi="Calibri"/>
          </w:rPr>
          <w:t>https://www.gov.wales/sites/default/files/publications/2018-03/successful-futures-a-summary-of-professor-Graham-Donaldsons-report.pdf</w:t>
        </w:r>
      </w:hyperlink>
      <w:r w:rsidRPr="00136D2F">
        <w:rPr>
          <w:rFonts w:ascii="Calibri" w:eastAsia="Times New Roman" w:hAnsi="Calibri"/>
        </w:rPr>
        <w:t xml:space="preserve"> </w:t>
      </w:r>
    </w:p>
    <w:p w14:paraId="1C7BFC16" w14:textId="294BAC50" w:rsidR="00B37491" w:rsidRPr="00283462" w:rsidRDefault="00C623B3" w:rsidP="00283462">
      <w:pPr>
        <w:spacing w:line="360" w:lineRule="auto"/>
        <w:divId w:val="1762750104"/>
        <w:rPr>
          <w:rFonts w:ascii="Calibri" w:eastAsia="Times New Roman" w:hAnsi="Calibri"/>
        </w:rPr>
      </w:pPr>
      <w:r w:rsidRPr="00136D2F">
        <w:rPr>
          <w:rFonts w:ascii="Calibri" w:eastAsia="Times New Roman" w:hAnsi="Calibri"/>
        </w:rPr>
        <w:t xml:space="preserve">Welsh Government. (2020). Successful Futures: An Independent Review of Curriculum and Assessment Arrangements in Wales. </w:t>
      </w:r>
      <w:r w:rsidR="003A6DD2" w:rsidRPr="003A6DD2">
        <w:rPr>
          <w:rFonts w:ascii="Calibri" w:eastAsia="Times New Roman" w:hAnsi="Calibri"/>
        </w:rPr>
        <w:t xml:space="preserve">Successful </w:t>
      </w:r>
      <w:r w:rsidR="0050493F">
        <w:rPr>
          <w:rFonts w:ascii="Calibri" w:eastAsia="Times New Roman" w:hAnsi="Calibri"/>
        </w:rPr>
        <w:t xml:space="preserve">Futures. Retrieved from </w:t>
      </w:r>
      <w:hyperlink r:id="rId12" w:history="1">
        <w:r w:rsidR="0050493F" w:rsidRPr="00B06DAE">
          <w:rPr>
            <w:rStyle w:val="Hyperlink"/>
            <w:rFonts w:ascii="Calibri" w:eastAsia="Times New Roman" w:hAnsi="Calibri"/>
          </w:rPr>
          <w:t>https://www.gov.wales/sites/default/files/publications/2018-03/successful-futures.pdf</w:t>
        </w:r>
      </w:hyperlink>
      <w:r w:rsidR="0050493F">
        <w:rPr>
          <w:rFonts w:ascii="Calibri" w:eastAsia="Times New Roman" w:hAnsi="Calibri"/>
        </w:rPr>
        <w:t xml:space="preserve"> </w:t>
      </w:r>
    </w:p>
    <w:sectPr w:rsidR="00B37491" w:rsidRPr="00283462">
      <w:headerReference w:type="even" r:id="rId13"/>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0498DF" w14:textId="77777777" w:rsidR="00DE7ED9" w:rsidRDefault="00DE7ED9" w:rsidP="00C11EA2">
      <w:pPr>
        <w:spacing w:after="0" w:line="240" w:lineRule="auto"/>
      </w:pPr>
      <w:r>
        <w:separator/>
      </w:r>
    </w:p>
  </w:endnote>
  <w:endnote w:type="continuationSeparator" w:id="0">
    <w:p w14:paraId="7B5FEC6A" w14:textId="77777777" w:rsidR="00DE7ED9" w:rsidRDefault="00DE7ED9" w:rsidP="00C11EA2">
      <w:pPr>
        <w:spacing w:after="0" w:line="240" w:lineRule="auto"/>
      </w:pPr>
      <w:r>
        <w:continuationSeparator/>
      </w:r>
    </w:p>
  </w:endnote>
  <w:endnote w:type="continuationNotice" w:id="1">
    <w:p w14:paraId="7E09E88A" w14:textId="77777777" w:rsidR="00DE7ED9" w:rsidRDefault="00DE7ED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 w:name="Myriad Pro">
    <w:altName w:val="Segoe UI"/>
    <w:charset w:val="00"/>
    <w:family w:val="roman"/>
    <w:pitch w:val="default"/>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FF4F4A" w14:textId="77777777" w:rsidR="00DE7ED9" w:rsidRDefault="00DE7ED9" w:rsidP="00C11EA2">
      <w:pPr>
        <w:spacing w:after="0" w:line="240" w:lineRule="auto"/>
      </w:pPr>
      <w:r>
        <w:separator/>
      </w:r>
    </w:p>
  </w:footnote>
  <w:footnote w:type="continuationSeparator" w:id="0">
    <w:p w14:paraId="1A073E26" w14:textId="77777777" w:rsidR="00DE7ED9" w:rsidRDefault="00DE7ED9" w:rsidP="00C11EA2">
      <w:pPr>
        <w:spacing w:after="0" w:line="240" w:lineRule="auto"/>
      </w:pPr>
      <w:r>
        <w:continuationSeparator/>
      </w:r>
    </w:p>
  </w:footnote>
  <w:footnote w:type="continuationNotice" w:id="1">
    <w:p w14:paraId="367EF7BA" w14:textId="77777777" w:rsidR="00DE7ED9" w:rsidRDefault="00DE7ED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46639684"/>
      <w:docPartObj>
        <w:docPartGallery w:val="Page Numbers (Top of Page)"/>
        <w:docPartUnique/>
      </w:docPartObj>
    </w:sdtPr>
    <w:sdtEndPr>
      <w:rPr>
        <w:rStyle w:val="PageNumber"/>
      </w:rPr>
    </w:sdtEndPr>
    <w:sdtContent>
      <w:p w14:paraId="04273CE8" w14:textId="04F87D7B" w:rsidR="00C11EA2" w:rsidRDefault="00C11EA2">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71AFFCA" w14:textId="77777777" w:rsidR="00C11EA2" w:rsidRDefault="00C11EA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1864891"/>
      <w:docPartObj>
        <w:docPartGallery w:val="Page Numbers (Top of Page)"/>
        <w:docPartUnique/>
      </w:docPartObj>
    </w:sdtPr>
    <w:sdtEndPr>
      <w:rPr>
        <w:rStyle w:val="PageNumber"/>
      </w:rPr>
    </w:sdtEndPr>
    <w:sdtContent>
      <w:p w14:paraId="6D978970" w14:textId="60BED92A" w:rsidR="00C11EA2" w:rsidRDefault="00C11EA2">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1E06C9F" w14:textId="77777777" w:rsidR="00C11EA2" w:rsidRDefault="00C11E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8472E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774160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558F"/>
    <w:rsid w:val="00002053"/>
    <w:rsid w:val="000036DD"/>
    <w:rsid w:val="00006992"/>
    <w:rsid w:val="00010EA9"/>
    <w:rsid w:val="00021FDB"/>
    <w:rsid w:val="0002660F"/>
    <w:rsid w:val="00033C2B"/>
    <w:rsid w:val="00043093"/>
    <w:rsid w:val="00062B54"/>
    <w:rsid w:val="00064B52"/>
    <w:rsid w:val="00071515"/>
    <w:rsid w:val="00071C8D"/>
    <w:rsid w:val="000802A7"/>
    <w:rsid w:val="00081C8A"/>
    <w:rsid w:val="00084448"/>
    <w:rsid w:val="00086D67"/>
    <w:rsid w:val="00092974"/>
    <w:rsid w:val="000B7191"/>
    <w:rsid w:val="000C14A1"/>
    <w:rsid w:val="000D1BA7"/>
    <w:rsid w:val="000E2AE3"/>
    <w:rsid w:val="000E52DD"/>
    <w:rsid w:val="000F7D42"/>
    <w:rsid w:val="00107BC7"/>
    <w:rsid w:val="00117A99"/>
    <w:rsid w:val="00124C93"/>
    <w:rsid w:val="00134210"/>
    <w:rsid w:val="00136D2F"/>
    <w:rsid w:val="001449AB"/>
    <w:rsid w:val="00144E5A"/>
    <w:rsid w:val="00150D75"/>
    <w:rsid w:val="001520DC"/>
    <w:rsid w:val="00164646"/>
    <w:rsid w:val="0016797E"/>
    <w:rsid w:val="00176939"/>
    <w:rsid w:val="00186462"/>
    <w:rsid w:val="00197608"/>
    <w:rsid w:val="001A29A7"/>
    <w:rsid w:val="001B01BB"/>
    <w:rsid w:val="001B4983"/>
    <w:rsid w:val="001F672D"/>
    <w:rsid w:val="002009E6"/>
    <w:rsid w:val="00201DC4"/>
    <w:rsid w:val="00202F50"/>
    <w:rsid w:val="00215D7D"/>
    <w:rsid w:val="002241AA"/>
    <w:rsid w:val="00227AC3"/>
    <w:rsid w:val="002309CA"/>
    <w:rsid w:val="0025718B"/>
    <w:rsid w:val="00274636"/>
    <w:rsid w:val="0027522F"/>
    <w:rsid w:val="002771BB"/>
    <w:rsid w:val="00283462"/>
    <w:rsid w:val="00290E90"/>
    <w:rsid w:val="002A39E8"/>
    <w:rsid w:val="002B4ED3"/>
    <w:rsid w:val="002B7009"/>
    <w:rsid w:val="002C09F4"/>
    <w:rsid w:val="002C78E3"/>
    <w:rsid w:val="002C7CFB"/>
    <w:rsid w:val="002D1C89"/>
    <w:rsid w:val="002E2468"/>
    <w:rsid w:val="002F3B5A"/>
    <w:rsid w:val="002F4624"/>
    <w:rsid w:val="003024E0"/>
    <w:rsid w:val="003102C6"/>
    <w:rsid w:val="00317FA4"/>
    <w:rsid w:val="00322562"/>
    <w:rsid w:val="0032398C"/>
    <w:rsid w:val="003242D9"/>
    <w:rsid w:val="00325D4A"/>
    <w:rsid w:val="003313D3"/>
    <w:rsid w:val="00342AF7"/>
    <w:rsid w:val="00357080"/>
    <w:rsid w:val="00360414"/>
    <w:rsid w:val="003774DD"/>
    <w:rsid w:val="00385E8D"/>
    <w:rsid w:val="00394DBC"/>
    <w:rsid w:val="003A2C30"/>
    <w:rsid w:val="003A6DD2"/>
    <w:rsid w:val="003B7391"/>
    <w:rsid w:val="003E2B29"/>
    <w:rsid w:val="003F50D2"/>
    <w:rsid w:val="00401587"/>
    <w:rsid w:val="00403BE3"/>
    <w:rsid w:val="004049F9"/>
    <w:rsid w:val="004107A6"/>
    <w:rsid w:val="004211C0"/>
    <w:rsid w:val="004315A3"/>
    <w:rsid w:val="004315C2"/>
    <w:rsid w:val="0044094D"/>
    <w:rsid w:val="004453DB"/>
    <w:rsid w:val="00456504"/>
    <w:rsid w:val="0046681B"/>
    <w:rsid w:val="0049579E"/>
    <w:rsid w:val="004A4DAC"/>
    <w:rsid w:val="004A6579"/>
    <w:rsid w:val="004A7C38"/>
    <w:rsid w:val="004B7D44"/>
    <w:rsid w:val="004B7F30"/>
    <w:rsid w:val="004E6568"/>
    <w:rsid w:val="004F3AE9"/>
    <w:rsid w:val="004F7C62"/>
    <w:rsid w:val="00500D6D"/>
    <w:rsid w:val="005030C1"/>
    <w:rsid w:val="0050493F"/>
    <w:rsid w:val="0050671A"/>
    <w:rsid w:val="00507639"/>
    <w:rsid w:val="005139E5"/>
    <w:rsid w:val="00520B93"/>
    <w:rsid w:val="00525B0A"/>
    <w:rsid w:val="00525E13"/>
    <w:rsid w:val="00534BEE"/>
    <w:rsid w:val="00534ECE"/>
    <w:rsid w:val="00556581"/>
    <w:rsid w:val="0056346C"/>
    <w:rsid w:val="00563608"/>
    <w:rsid w:val="0057389E"/>
    <w:rsid w:val="005808FF"/>
    <w:rsid w:val="00585CF5"/>
    <w:rsid w:val="00587CED"/>
    <w:rsid w:val="0059697B"/>
    <w:rsid w:val="0059794B"/>
    <w:rsid w:val="005A1F3D"/>
    <w:rsid w:val="005A2185"/>
    <w:rsid w:val="005A3B1B"/>
    <w:rsid w:val="005A5CA2"/>
    <w:rsid w:val="005A6826"/>
    <w:rsid w:val="005B01DB"/>
    <w:rsid w:val="005B3BA0"/>
    <w:rsid w:val="005B751B"/>
    <w:rsid w:val="005C1684"/>
    <w:rsid w:val="005C2750"/>
    <w:rsid w:val="005D6E03"/>
    <w:rsid w:val="005E2B9D"/>
    <w:rsid w:val="005E3FCD"/>
    <w:rsid w:val="005E6AD3"/>
    <w:rsid w:val="005F4A31"/>
    <w:rsid w:val="005F6E1F"/>
    <w:rsid w:val="00600966"/>
    <w:rsid w:val="00602BDC"/>
    <w:rsid w:val="0060519E"/>
    <w:rsid w:val="00610AA0"/>
    <w:rsid w:val="00612AFA"/>
    <w:rsid w:val="00614372"/>
    <w:rsid w:val="0062451E"/>
    <w:rsid w:val="006247EC"/>
    <w:rsid w:val="00630CC5"/>
    <w:rsid w:val="00631A29"/>
    <w:rsid w:val="00631DBA"/>
    <w:rsid w:val="00645266"/>
    <w:rsid w:val="006454C3"/>
    <w:rsid w:val="00660E2B"/>
    <w:rsid w:val="00665AB5"/>
    <w:rsid w:val="0068048B"/>
    <w:rsid w:val="00682780"/>
    <w:rsid w:val="00682C08"/>
    <w:rsid w:val="00683041"/>
    <w:rsid w:val="00690A0F"/>
    <w:rsid w:val="006A1C68"/>
    <w:rsid w:val="006A3DCD"/>
    <w:rsid w:val="006B22A4"/>
    <w:rsid w:val="006B2FB7"/>
    <w:rsid w:val="006B4068"/>
    <w:rsid w:val="006B5C44"/>
    <w:rsid w:val="006C0278"/>
    <w:rsid w:val="006C1F9D"/>
    <w:rsid w:val="006C44B9"/>
    <w:rsid w:val="006C63FB"/>
    <w:rsid w:val="006C65B5"/>
    <w:rsid w:val="006D0ACE"/>
    <w:rsid w:val="006E2186"/>
    <w:rsid w:val="006E4593"/>
    <w:rsid w:val="006E5E51"/>
    <w:rsid w:val="006F1A25"/>
    <w:rsid w:val="006F3ACF"/>
    <w:rsid w:val="006F7A4F"/>
    <w:rsid w:val="00702800"/>
    <w:rsid w:val="00710120"/>
    <w:rsid w:val="00711AD7"/>
    <w:rsid w:val="00717B0E"/>
    <w:rsid w:val="007268CC"/>
    <w:rsid w:val="00734208"/>
    <w:rsid w:val="007406AE"/>
    <w:rsid w:val="0074203C"/>
    <w:rsid w:val="00751C92"/>
    <w:rsid w:val="00754A57"/>
    <w:rsid w:val="007651AD"/>
    <w:rsid w:val="00784383"/>
    <w:rsid w:val="007A3DB4"/>
    <w:rsid w:val="007A4568"/>
    <w:rsid w:val="007A5721"/>
    <w:rsid w:val="007B09E8"/>
    <w:rsid w:val="007B53A1"/>
    <w:rsid w:val="007C200E"/>
    <w:rsid w:val="007C42FF"/>
    <w:rsid w:val="007D2418"/>
    <w:rsid w:val="007D382A"/>
    <w:rsid w:val="007E3792"/>
    <w:rsid w:val="007F1CD1"/>
    <w:rsid w:val="007F3DAF"/>
    <w:rsid w:val="00804658"/>
    <w:rsid w:val="00807FBC"/>
    <w:rsid w:val="00814993"/>
    <w:rsid w:val="0081663D"/>
    <w:rsid w:val="00816C40"/>
    <w:rsid w:val="00823176"/>
    <w:rsid w:val="00830AC2"/>
    <w:rsid w:val="00830C18"/>
    <w:rsid w:val="00830C48"/>
    <w:rsid w:val="00831B4E"/>
    <w:rsid w:val="00835627"/>
    <w:rsid w:val="00835FA4"/>
    <w:rsid w:val="00837A82"/>
    <w:rsid w:val="00842141"/>
    <w:rsid w:val="008424FB"/>
    <w:rsid w:val="0084383F"/>
    <w:rsid w:val="008441CD"/>
    <w:rsid w:val="0084727C"/>
    <w:rsid w:val="008522DF"/>
    <w:rsid w:val="00853274"/>
    <w:rsid w:val="00854CF3"/>
    <w:rsid w:val="00857FE6"/>
    <w:rsid w:val="008633A3"/>
    <w:rsid w:val="008654BA"/>
    <w:rsid w:val="00876826"/>
    <w:rsid w:val="0089231F"/>
    <w:rsid w:val="00892ADB"/>
    <w:rsid w:val="008A3182"/>
    <w:rsid w:val="008B025E"/>
    <w:rsid w:val="008B2797"/>
    <w:rsid w:val="008E20B2"/>
    <w:rsid w:val="008F488C"/>
    <w:rsid w:val="00901BC2"/>
    <w:rsid w:val="00905275"/>
    <w:rsid w:val="00906F2E"/>
    <w:rsid w:val="00911851"/>
    <w:rsid w:val="00915ADF"/>
    <w:rsid w:val="00921FE5"/>
    <w:rsid w:val="00932044"/>
    <w:rsid w:val="00962B77"/>
    <w:rsid w:val="00966095"/>
    <w:rsid w:val="00972DA6"/>
    <w:rsid w:val="009750CC"/>
    <w:rsid w:val="009817DF"/>
    <w:rsid w:val="0098270F"/>
    <w:rsid w:val="00982B4D"/>
    <w:rsid w:val="009863E8"/>
    <w:rsid w:val="009901D8"/>
    <w:rsid w:val="0099400D"/>
    <w:rsid w:val="0099414D"/>
    <w:rsid w:val="009946EC"/>
    <w:rsid w:val="0099588E"/>
    <w:rsid w:val="009A0E6D"/>
    <w:rsid w:val="009A3479"/>
    <w:rsid w:val="009B359E"/>
    <w:rsid w:val="009C0231"/>
    <w:rsid w:val="009D1B62"/>
    <w:rsid w:val="009D2E9A"/>
    <w:rsid w:val="009E5E3A"/>
    <w:rsid w:val="00A04A9F"/>
    <w:rsid w:val="00A130A1"/>
    <w:rsid w:val="00A228E7"/>
    <w:rsid w:val="00A238D3"/>
    <w:rsid w:val="00A26DB5"/>
    <w:rsid w:val="00A277CA"/>
    <w:rsid w:val="00A46519"/>
    <w:rsid w:val="00A47FFD"/>
    <w:rsid w:val="00A50962"/>
    <w:rsid w:val="00A516C7"/>
    <w:rsid w:val="00A52668"/>
    <w:rsid w:val="00A5612E"/>
    <w:rsid w:val="00A609F3"/>
    <w:rsid w:val="00A61426"/>
    <w:rsid w:val="00A665E8"/>
    <w:rsid w:val="00A70A97"/>
    <w:rsid w:val="00A70CD3"/>
    <w:rsid w:val="00A71ED1"/>
    <w:rsid w:val="00A82085"/>
    <w:rsid w:val="00A85BC3"/>
    <w:rsid w:val="00A8616B"/>
    <w:rsid w:val="00AA00CB"/>
    <w:rsid w:val="00AA1A3E"/>
    <w:rsid w:val="00AA21B6"/>
    <w:rsid w:val="00AA2302"/>
    <w:rsid w:val="00AB2A13"/>
    <w:rsid w:val="00AB45BE"/>
    <w:rsid w:val="00AC0A77"/>
    <w:rsid w:val="00AC1B9B"/>
    <w:rsid w:val="00AC3C4D"/>
    <w:rsid w:val="00AC533C"/>
    <w:rsid w:val="00AC66F8"/>
    <w:rsid w:val="00AC6C23"/>
    <w:rsid w:val="00AD258E"/>
    <w:rsid w:val="00AD25BF"/>
    <w:rsid w:val="00AD7A75"/>
    <w:rsid w:val="00AE233B"/>
    <w:rsid w:val="00AE25A4"/>
    <w:rsid w:val="00AE2E9E"/>
    <w:rsid w:val="00AE7228"/>
    <w:rsid w:val="00AF1C46"/>
    <w:rsid w:val="00AF4605"/>
    <w:rsid w:val="00AF7343"/>
    <w:rsid w:val="00B14115"/>
    <w:rsid w:val="00B1425B"/>
    <w:rsid w:val="00B20CD1"/>
    <w:rsid w:val="00B2501B"/>
    <w:rsid w:val="00B37491"/>
    <w:rsid w:val="00B3792A"/>
    <w:rsid w:val="00B4248E"/>
    <w:rsid w:val="00B473E5"/>
    <w:rsid w:val="00B52FDD"/>
    <w:rsid w:val="00B612DA"/>
    <w:rsid w:val="00B624E7"/>
    <w:rsid w:val="00B66DD9"/>
    <w:rsid w:val="00B67EDD"/>
    <w:rsid w:val="00B75FB1"/>
    <w:rsid w:val="00B76960"/>
    <w:rsid w:val="00B76CF1"/>
    <w:rsid w:val="00B82264"/>
    <w:rsid w:val="00B82566"/>
    <w:rsid w:val="00B83AA3"/>
    <w:rsid w:val="00B91E97"/>
    <w:rsid w:val="00B9726E"/>
    <w:rsid w:val="00BA721C"/>
    <w:rsid w:val="00BA7397"/>
    <w:rsid w:val="00BC1B38"/>
    <w:rsid w:val="00BC521A"/>
    <w:rsid w:val="00BD08D6"/>
    <w:rsid w:val="00BD6216"/>
    <w:rsid w:val="00BE01E6"/>
    <w:rsid w:val="00BF0788"/>
    <w:rsid w:val="00C11EA2"/>
    <w:rsid w:val="00C12499"/>
    <w:rsid w:val="00C17F51"/>
    <w:rsid w:val="00C2156A"/>
    <w:rsid w:val="00C30A5E"/>
    <w:rsid w:val="00C31EB3"/>
    <w:rsid w:val="00C333EE"/>
    <w:rsid w:val="00C346D1"/>
    <w:rsid w:val="00C41E68"/>
    <w:rsid w:val="00C508A5"/>
    <w:rsid w:val="00C51D6C"/>
    <w:rsid w:val="00C545A8"/>
    <w:rsid w:val="00C623B3"/>
    <w:rsid w:val="00C8010E"/>
    <w:rsid w:val="00C8348A"/>
    <w:rsid w:val="00C87B52"/>
    <w:rsid w:val="00C91A5E"/>
    <w:rsid w:val="00CA0FB8"/>
    <w:rsid w:val="00CA2057"/>
    <w:rsid w:val="00CA2451"/>
    <w:rsid w:val="00CA5197"/>
    <w:rsid w:val="00CA556B"/>
    <w:rsid w:val="00CB0E55"/>
    <w:rsid w:val="00CB43B2"/>
    <w:rsid w:val="00CC0031"/>
    <w:rsid w:val="00CC4BA5"/>
    <w:rsid w:val="00CD505E"/>
    <w:rsid w:val="00CE1B20"/>
    <w:rsid w:val="00CE3009"/>
    <w:rsid w:val="00CF7C63"/>
    <w:rsid w:val="00D36714"/>
    <w:rsid w:val="00D44D1A"/>
    <w:rsid w:val="00D54D97"/>
    <w:rsid w:val="00D81365"/>
    <w:rsid w:val="00D832AF"/>
    <w:rsid w:val="00D90AA0"/>
    <w:rsid w:val="00D95E37"/>
    <w:rsid w:val="00DA3412"/>
    <w:rsid w:val="00DA6AB1"/>
    <w:rsid w:val="00DC5D19"/>
    <w:rsid w:val="00DC6F62"/>
    <w:rsid w:val="00DD6832"/>
    <w:rsid w:val="00DE0DF1"/>
    <w:rsid w:val="00DE7ED9"/>
    <w:rsid w:val="00DF372F"/>
    <w:rsid w:val="00DF3F00"/>
    <w:rsid w:val="00DF4FCC"/>
    <w:rsid w:val="00DF70BC"/>
    <w:rsid w:val="00E03758"/>
    <w:rsid w:val="00E101F4"/>
    <w:rsid w:val="00E11D8A"/>
    <w:rsid w:val="00E135D7"/>
    <w:rsid w:val="00E143F7"/>
    <w:rsid w:val="00E16054"/>
    <w:rsid w:val="00E26CE7"/>
    <w:rsid w:val="00E51655"/>
    <w:rsid w:val="00E732B5"/>
    <w:rsid w:val="00E734D1"/>
    <w:rsid w:val="00E7519C"/>
    <w:rsid w:val="00E7713E"/>
    <w:rsid w:val="00E803C1"/>
    <w:rsid w:val="00E827D1"/>
    <w:rsid w:val="00E833B2"/>
    <w:rsid w:val="00E84215"/>
    <w:rsid w:val="00E85AE9"/>
    <w:rsid w:val="00E90E1A"/>
    <w:rsid w:val="00E9637A"/>
    <w:rsid w:val="00EA558F"/>
    <w:rsid w:val="00EA68A8"/>
    <w:rsid w:val="00EB4EAE"/>
    <w:rsid w:val="00EB534C"/>
    <w:rsid w:val="00EB5F76"/>
    <w:rsid w:val="00EB6E12"/>
    <w:rsid w:val="00EC20F6"/>
    <w:rsid w:val="00EC29DB"/>
    <w:rsid w:val="00ED16A9"/>
    <w:rsid w:val="00EF2EFB"/>
    <w:rsid w:val="00EF62D9"/>
    <w:rsid w:val="00EF749A"/>
    <w:rsid w:val="00F0687C"/>
    <w:rsid w:val="00F1073D"/>
    <w:rsid w:val="00F1411C"/>
    <w:rsid w:val="00F1626F"/>
    <w:rsid w:val="00F222DA"/>
    <w:rsid w:val="00F330F5"/>
    <w:rsid w:val="00F35788"/>
    <w:rsid w:val="00F4311E"/>
    <w:rsid w:val="00F463C5"/>
    <w:rsid w:val="00F518F5"/>
    <w:rsid w:val="00F569E0"/>
    <w:rsid w:val="00F711F1"/>
    <w:rsid w:val="00F874C8"/>
    <w:rsid w:val="00FB1F46"/>
    <w:rsid w:val="00FB2A2F"/>
    <w:rsid w:val="00FB3345"/>
    <w:rsid w:val="00FC07EE"/>
    <w:rsid w:val="00FC0ECE"/>
    <w:rsid w:val="00FD1631"/>
    <w:rsid w:val="00FE3C00"/>
    <w:rsid w:val="00FE5524"/>
    <w:rsid w:val="00FF70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5BECB701"/>
  <w15:chartTrackingRefBased/>
  <w15:docId w15:val="{850B74C1-EC13-3641-80D0-551188D106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55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A55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A55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55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55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55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55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55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55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55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A55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A55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55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55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55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55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55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558F"/>
    <w:rPr>
      <w:rFonts w:eastAsiaTheme="majorEastAsia" w:cstheme="majorBidi"/>
      <w:color w:val="272727" w:themeColor="text1" w:themeTint="D8"/>
    </w:rPr>
  </w:style>
  <w:style w:type="paragraph" w:styleId="Title">
    <w:name w:val="Title"/>
    <w:basedOn w:val="Normal"/>
    <w:next w:val="Normal"/>
    <w:link w:val="TitleChar"/>
    <w:uiPriority w:val="10"/>
    <w:qFormat/>
    <w:rsid w:val="00EA55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55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55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55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558F"/>
    <w:pPr>
      <w:spacing w:before="160"/>
      <w:jc w:val="center"/>
    </w:pPr>
    <w:rPr>
      <w:i/>
      <w:iCs/>
      <w:color w:val="404040" w:themeColor="text1" w:themeTint="BF"/>
    </w:rPr>
  </w:style>
  <w:style w:type="character" w:customStyle="1" w:styleId="QuoteChar">
    <w:name w:val="Quote Char"/>
    <w:basedOn w:val="DefaultParagraphFont"/>
    <w:link w:val="Quote"/>
    <w:uiPriority w:val="29"/>
    <w:rsid w:val="00EA558F"/>
    <w:rPr>
      <w:i/>
      <w:iCs/>
      <w:color w:val="404040" w:themeColor="text1" w:themeTint="BF"/>
    </w:rPr>
  </w:style>
  <w:style w:type="paragraph" w:styleId="ListParagraph">
    <w:name w:val="List Paragraph"/>
    <w:basedOn w:val="Normal"/>
    <w:uiPriority w:val="34"/>
    <w:qFormat/>
    <w:rsid w:val="00EA558F"/>
    <w:pPr>
      <w:ind w:left="720"/>
      <w:contextualSpacing/>
    </w:pPr>
  </w:style>
  <w:style w:type="character" w:styleId="IntenseEmphasis">
    <w:name w:val="Intense Emphasis"/>
    <w:basedOn w:val="DefaultParagraphFont"/>
    <w:uiPriority w:val="21"/>
    <w:qFormat/>
    <w:rsid w:val="00EA558F"/>
    <w:rPr>
      <w:i/>
      <w:iCs/>
      <w:color w:val="0F4761" w:themeColor="accent1" w:themeShade="BF"/>
    </w:rPr>
  </w:style>
  <w:style w:type="paragraph" w:styleId="IntenseQuote">
    <w:name w:val="Intense Quote"/>
    <w:basedOn w:val="Normal"/>
    <w:next w:val="Normal"/>
    <w:link w:val="IntenseQuoteChar"/>
    <w:uiPriority w:val="30"/>
    <w:qFormat/>
    <w:rsid w:val="00EA55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558F"/>
    <w:rPr>
      <w:i/>
      <w:iCs/>
      <w:color w:val="0F4761" w:themeColor="accent1" w:themeShade="BF"/>
    </w:rPr>
  </w:style>
  <w:style w:type="character" w:styleId="IntenseReference">
    <w:name w:val="Intense Reference"/>
    <w:basedOn w:val="DefaultParagraphFont"/>
    <w:uiPriority w:val="32"/>
    <w:qFormat/>
    <w:rsid w:val="00EA558F"/>
    <w:rPr>
      <w:b/>
      <w:bCs/>
      <w:smallCaps/>
      <w:color w:val="0F4761" w:themeColor="accent1" w:themeShade="BF"/>
      <w:spacing w:val="5"/>
    </w:rPr>
  </w:style>
  <w:style w:type="paragraph" w:styleId="Header">
    <w:name w:val="header"/>
    <w:basedOn w:val="Normal"/>
    <w:link w:val="HeaderChar"/>
    <w:uiPriority w:val="99"/>
    <w:unhideWhenUsed/>
    <w:rsid w:val="00C11E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1EA2"/>
  </w:style>
  <w:style w:type="paragraph" w:styleId="Footer">
    <w:name w:val="footer"/>
    <w:basedOn w:val="Normal"/>
    <w:link w:val="FooterChar"/>
    <w:uiPriority w:val="99"/>
    <w:unhideWhenUsed/>
    <w:rsid w:val="00C11E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1EA2"/>
  </w:style>
  <w:style w:type="character" w:styleId="PageNumber">
    <w:name w:val="page number"/>
    <w:basedOn w:val="DefaultParagraphFont"/>
    <w:uiPriority w:val="99"/>
    <w:semiHidden/>
    <w:unhideWhenUsed/>
    <w:rsid w:val="00C11EA2"/>
  </w:style>
  <w:style w:type="paragraph" w:styleId="NormalWeb">
    <w:name w:val="Normal (Web)"/>
    <w:basedOn w:val="Normal"/>
    <w:uiPriority w:val="99"/>
    <w:semiHidden/>
    <w:unhideWhenUsed/>
    <w:rsid w:val="000F7D42"/>
    <w:pPr>
      <w:spacing w:before="100" w:beforeAutospacing="1" w:after="100" w:afterAutospacing="1" w:line="240" w:lineRule="auto"/>
    </w:pPr>
    <w:rPr>
      <w:rFonts w:ascii="Times New Roman" w:hAnsi="Times New Roman" w:cs="Times New Roman"/>
      <w:kern w:val="0"/>
      <w14:ligatures w14:val="none"/>
    </w:rPr>
  </w:style>
  <w:style w:type="character" w:styleId="Emphasis">
    <w:name w:val="Emphasis"/>
    <w:basedOn w:val="DefaultParagraphFont"/>
    <w:uiPriority w:val="20"/>
    <w:qFormat/>
    <w:rsid w:val="000F7D42"/>
    <w:rPr>
      <w:i/>
      <w:iCs/>
    </w:rPr>
  </w:style>
  <w:style w:type="character" w:styleId="Hyperlink">
    <w:name w:val="Hyperlink"/>
    <w:basedOn w:val="DefaultParagraphFont"/>
    <w:uiPriority w:val="99"/>
    <w:unhideWhenUsed/>
    <w:rsid w:val="00CE3009"/>
    <w:rPr>
      <w:color w:val="467886" w:themeColor="hyperlink"/>
      <w:u w:val="single"/>
    </w:rPr>
  </w:style>
  <w:style w:type="character" w:styleId="UnresolvedMention">
    <w:name w:val="Unresolved Mention"/>
    <w:basedOn w:val="DefaultParagraphFont"/>
    <w:uiPriority w:val="99"/>
    <w:semiHidden/>
    <w:unhideWhenUsed/>
    <w:rsid w:val="00CE3009"/>
    <w:rPr>
      <w:color w:val="605E5C"/>
      <w:shd w:val="clear" w:color="auto" w:fill="E1DFDD"/>
    </w:rPr>
  </w:style>
  <w:style w:type="table" w:styleId="TableGrid">
    <w:name w:val="Table Grid"/>
    <w:basedOn w:val="TableNormal"/>
    <w:uiPriority w:val="39"/>
    <w:rsid w:val="00E135D7"/>
    <w:pPr>
      <w:spacing w:after="0" w:line="240" w:lineRule="auto"/>
    </w:pPr>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7472666">
      <w:bodyDiv w:val="1"/>
      <w:marLeft w:val="0"/>
      <w:marRight w:val="0"/>
      <w:marTop w:val="0"/>
      <w:marBottom w:val="0"/>
      <w:divBdr>
        <w:top w:val="none" w:sz="0" w:space="0" w:color="auto"/>
        <w:left w:val="none" w:sz="0" w:space="0" w:color="auto"/>
        <w:bottom w:val="none" w:sz="0" w:space="0" w:color="auto"/>
        <w:right w:val="none" w:sz="0" w:space="0" w:color="auto"/>
      </w:divBdr>
      <w:divsChild>
        <w:div w:id="73865259">
          <w:marLeft w:val="0"/>
          <w:marRight w:val="0"/>
          <w:marTop w:val="0"/>
          <w:marBottom w:val="0"/>
          <w:divBdr>
            <w:top w:val="none" w:sz="0" w:space="0" w:color="auto"/>
            <w:left w:val="none" w:sz="0" w:space="0" w:color="auto"/>
            <w:bottom w:val="none" w:sz="0" w:space="0" w:color="auto"/>
            <w:right w:val="none" w:sz="0" w:space="0" w:color="auto"/>
          </w:divBdr>
        </w:div>
        <w:div w:id="83260756">
          <w:marLeft w:val="0"/>
          <w:marRight w:val="0"/>
          <w:marTop w:val="0"/>
          <w:marBottom w:val="0"/>
          <w:divBdr>
            <w:top w:val="none" w:sz="0" w:space="0" w:color="auto"/>
            <w:left w:val="none" w:sz="0" w:space="0" w:color="auto"/>
            <w:bottom w:val="none" w:sz="0" w:space="0" w:color="auto"/>
            <w:right w:val="none" w:sz="0" w:space="0" w:color="auto"/>
          </w:divBdr>
        </w:div>
        <w:div w:id="89739107">
          <w:marLeft w:val="0"/>
          <w:marRight w:val="0"/>
          <w:marTop w:val="0"/>
          <w:marBottom w:val="0"/>
          <w:divBdr>
            <w:top w:val="none" w:sz="0" w:space="0" w:color="auto"/>
            <w:left w:val="none" w:sz="0" w:space="0" w:color="auto"/>
            <w:bottom w:val="none" w:sz="0" w:space="0" w:color="auto"/>
            <w:right w:val="none" w:sz="0" w:space="0" w:color="auto"/>
          </w:divBdr>
        </w:div>
        <w:div w:id="127165761">
          <w:marLeft w:val="0"/>
          <w:marRight w:val="0"/>
          <w:marTop w:val="0"/>
          <w:marBottom w:val="0"/>
          <w:divBdr>
            <w:top w:val="none" w:sz="0" w:space="0" w:color="auto"/>
            <w:left w:val="none" w:sz="0" w:space="0" w:color="auto"/>
            <w:bottom w:val="none" w:sz="0" w:space="0" w:color="auto"/>
            <w:right w:val="none" w:sz="0" w:space="0" w:color="auto"/>
          </w:divBdr>
        </w:div>
        <w:div w:id="128133005">
          <w:marLeft w:val="0"/>
          <w:marRight w:val="0"/>
          <w:marTop w:val="0"/>
          <w:marBottom w:val="0"/>
          <w:divBdr>
            <w:top w:val="none" w:sz="0" w:space="0" w:color="auto"/>
            <w:left w:val="none" w:sz="0" w:space="0" w:color="auto"/>
            <w:bottom w:val="none" w:sz="0" w:space="0" w:color="auto"/>
            <w:right w:val="none" w:sz="0" w:space="0" w:color="auto"/>
          </w:divBdr>
          <w:divsChild>
            <w:div w:id="1213274831">
              <w:marLeft w:val="0"/>
              <w:marRight w:val="0"/>
              <w:marTop w:val="0"/>
              <w:marBottom w:val="0"/>
              <w:divBdr>
                <w:top w:val="none" w:sz="0" w:space="0" w:color="auto"/>
                <w:left w:val="none" w:sz="0" w:space="0" w:color="auto"/>
                <w:bottom w:val="none" w:sz="0" w:space="0" w:color="auto"/>
                <w:right w:val="none" w:sz="0" w:space="0" w:color="auto"/>
              </w:divBdr>
              <w:divsChild>
                <w:div w:id="1687560308">
                  <w:marLeft w:val="0"/>
                  <w:marRight w:val="0"/>
                  <w:marTop w:val="0"/>
                  <w:marBottom w:val="0"/>
                  <w:divBdr>
                    <w:top w:val="single" w:sz="2" w:space="0" w:color="E3E3E3"/>
                    <w:left w:val="single" w:sz="2" w:space="0" w:color="E3E3E3"/>
                    <w:bottom w:val="single" w:sz="2" w:space="0" w:color="E3E3E3"/>
                    <w:right w:val="single" w:sz="2" w:space="0" w:color="E3E3E3"/>
                  </w:divBdr>
                  <w:divsChild>
                    <w:div w:id="742797084">
                      <w:marLeft w:val="0"/>
                      <w:marRight w:val="0"/>
                      <w:marTop w:val="0"/>
                      <w:marBottom w:val="0"/>
                      <w:divBdr>
                        <w:top w:val="single" w:sz="2" w:space="0" w:color="E3E3E3"/>
                        <w:left w:val="single" w:sz="2" w:space="0" w:color="E3E3E3"/>
                        <w:bottom w:val="single" w:sz="2" w:space="0" w:color="E3E3E3"/>
                        <w:right w:val="single" w:sz="2" w:space="0" w:color="E3E3E3"/>
                      </w:divBdr>
                      <w:divsChild>
                        <w:div w:id="2076320535">
                          <w:marLeft w:val="0"/>
                          <w:marRight w:val="0"/>
                          <w:marTop w:val="0"/>
                          <w:marBottom w:val="0"/>
                          <w:divBdr>
                            <w:top w:val="single" w:sz="2" w:space="0" w:color="E3E3E3"/>
                            <w:left w:val="single" w:sz="2" w:space="0" w:color="E3E3E3"/>
                            <w:bottom w:val="single" w:sz="2" w:space="0" w:color="E3E3E3"/>
                            <w:right w:val="single" w:sz="2" w:space="0" w:color="E3E3E3"/>
                          </w:divBdr>
                          <w:divsChild>
                            <w:div w:id="755176743">
                              <w:marLeft w:val="0"/>
                              <w:marRight w:val="0"/>
                              <w:marTop w:val="0"/>
                              <w:marBottom w:val="0"/>
                              <w:divBdr>
                                <w:top w:val="single" w:sz="2" w:space="0" w:color="E3E3E3"/>
                                <w:left w:val="single" w:sz="2" w:space="0" w:color="E3E3E3"/>
                                <w:bottom w:val="single" w:sz="2" w:space="0" w:color="E3E3E3"/>
                                <w:right w:val="single" w:sz="2" w:space="0" w:color="E3E3E3"/>
                              </w:divBdr>
                              <w:divsChild>
                                <w:div w:id="1675291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94215385">
                  <w:marLeft w:val="0"/>
                  <w:marRight w:val="0"/>
                  <w:marTop w:val="0"/>
                  <w:marBottom w:val="0"/>
                  <w:divBdr>
                    <w:top w:val="single" w:sz="2" w:space="0" w:color="E3E3E3"/>
                    <w:left w:val="single" w:sz="2" w:space="0" w:color="E3E3E3"/>
                    <w:bottom w:val="single" w:sz="2" w:space="0" w:color="E3E3E3"/>
                    <w:right w:val="single" w:sz="2" w:space="0" w:color="E3E3E3"/>
                  </w:divBdr>
                  <w:divsChild>
                    <w:div w:id="139461728">
                      <w:marLeft w:val="0"/>
                      <w:marRight w:val="0"/>
                      <w:marTop w:val="0"/>
                      <w:marBottom w:val="0"/>
                      <w:divBdr>
                        <w:top w:val="single" w:sz="2" w:space="0" w:color="E3E3E3"/>
                        <w:left w:val="single" w:sz="2" w:space="0" w:color="E3E3E3"/>
                        <w:bottom w:val="single" w:sz="2" w:space="0" w:color="E3E3E3"/>
                        <w:right w:val="single" w:sz="2" w:space="0" w:color="E3E3E3"/>
                      </w:divBdr>
                    </w:div>
                    <w:div w:id="779451430">
                      <w:marLeft w:val="0"/>
                      <w:marRight w:val="0"/>
                      <w:marTop w:val="0"/>
                      <w:marBottom w:val="0"/>
                      <w:divBdr>
                        <w:top w:val="single" w:sz="2" w:space="0" w:color="E3E3E3"/>
                        <w:left w:val="single" w:sz="2" w:space="0" w:color="E3E3E3"/>
                        <w:bottom w:val="single" w:sz="2" w:space="0" w:color="E3E3E3"/>
                        <w:right w:val="single" w:sz="2" w:space="0" w:color="E3E3E3"/>
                      </w:divBdr>
                      <w:divsChild>
                        <w:div w:id="1435593363">
                          <w:marLeft w:val="0"/>
                          <w:marRight w:val="0"/>
                          <w:marTop w:val="0"/>
                          <w:marBottom w:val="0"/>
                          <w:divBdr>
                            <w:top w:val="single" w:sz="2" w:space="0" w:color="E3E3E3"/>
                            <w:left w:val="single" w:sz="2" w:space="0" w:color="E3E3E3"/>
                            <w:bottom w:val="single" w:sz="2" w:space="0" w:color="E3E3E3"/>
                            <w:right w:val="single" w:sz="2" w:space="0" w:color="E3E3E3"/>
                          </w:divBdr>
                          <w:divsChild>
                            <w:div w:id="1882012815">
                              <w:marLeft w:val="0"/>
                              <w:marRight w:val="0"/>
                              <w:marTop w:val="0"/>
                              <w:marBottom w:val="0"/>
                              <w:divBdr>
                                <w:top w:val="single" w:sz="2" w:space="0" w:color="E3E3E3"/>
                                <w:left w:val="single" w:sz="2" w:space="0" w:color="E3E3E3"/>
                                <w:bottom w:val="single" w:sz="2" w:space="0" w:color="E3E3E3"/>
                                <w:right w:val="single" w:sz="2" w:space="0" w:color="E3E3E3"/>
                              </w:divBdr>
                              <w:divsChild>
                                <w:div w:id="18251233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 w:id="179392748">
          <w:marLeft w:val="0"/>
          <w:marRight w:val="0"/>
          <w:marTop w:val="0"/>
          <w:marBottom w:val="0"/>
          <w:divBdr>
            <w:top w:val="none" w:sz="0" w:space="0" w:color="auto"/>
            <w:left w:val="none" w:sz="0" w:space="0" w:color="auto"/>
            <w:bottom w:val="none" w:sz="0" w:space="0" w:color="auto"/>
            <w:right w:val="none" w:sz="0" w:space="0" w:color="auto"/>
          </w:divBdr>
        </w:div>
        <w:div w:id="312376416">
          <w:marLeft w:val="0"/>
          <w:marRight w:val="0"/>
          <w:marTop w:val="0"/>
          <w:marBottom w:val="0"/>
          <w:divBdr>
            <w:top w:val="none" w:sz="0" w:space="0" w:color="auto"/>
            <w:left w:val="none" w:sz="0" w:space="0" w:color="auto"/>
            <w:bottom w:val="none" w:sz="0" w:space="0" w:color="auto"/>
            <w:right w:val="none" w:sz="0" w:space="0" w:color="auto"/>
          </w:divBdr>
        </w:div>
        <w:div w:id="361902580">
          <w:marLeft w:val="0"/>
          <w:marRight w:val="0"/>
          <w:marTop w:val="0"/>
          <w:marBottom w:val="0"/>
          <w:divBdr>
            <w:top w:val="none" w:sz="0" w:space="0" w:color="auto"/>
            <w:left w:val="none" w:sz="0" w:space="0" w:color="auto"/>
            <w:bottom w:val="none" w:sz="0" w:space="0" w:color="auto"/>
            <w:right w:val="none" w:sz="0" w:space="0" w:color="auto"/>
          </w:divBdr>
        </w:div>
        <w:div w:id="405543015">
          <w:marLeft w:val="0"/>
          <w:marRight w:val="0"/>
          <w:marTop w:val="0"/>
          <w:marBottom w:val="0"/>
          <w:divBdr>
            <w:top w:val="none" w:sz="0" w:space="0" w:color="auto"/>
            <w:left w:val="none" w:sz="0" w:space="0" w:color="auto"/>
            <w:bottom w:val="none" w:sz="0" w:space="0" w:color="auto"/>
            <w:right w:val="none" w:sz="0" w:space="0" w:color="auto"/>
          </w:divBdr>
        </w:div>
        <w:div w:id="407313059">
          <w:marLeft w:val="0"/>
          <w:marRight w:val="0"/>
          <w:marTop w:val="0"/>
          <w:marBottom w:val="0"/>
          <w:divBdr>
            <w:top w:val="none" w:sz="0" w:space="0" w:color="auto"/>
            <w:left w:val="none" w:sz="0" w:space="0" w:color="auto"/>
            <w:bottom w:val="none" w:sz="0" w:space="0" w:color="auto"/>
            <w:right w:val="none" w:sz="0" w:space="0" w:color="auto"/>
          </w:divBdr>
        </w:div>
        <w:div w:id="445076637">
          <w:marLeft w:val="0"/>
          <w:marRight w:val="0"/>
          <w:marTop w:val="0"/>
          <w:marBottom w:val="0"/>
          <w:divBdr>
            <w:top w:val="none" w:sz="0" w:space="0" w:color="auto"/>
            <w:left w:val="none" w:sz="0" w:space="0" w:color="auto"/>
            <w:bottom w:val="none" w:sz="0" w:space="0" w:color="auto"/>
            <w:right w:val="none" w:sz="0" w:space="0" w:color="auto"/>
          </w:divBdr>
        </w:div>
        <w:div w:id="456535221">
          <w:marLeft w:val="0"/>
          <w:marRight w:val="0"/>
          <w:marTop w:val="0"/>
          <w:marBottom w:val="0"/>
          <w:divBdr>
            <w:top w:val="none" w:sz="0" w:space="0" w:color="auto"/>
            <w:left w:val="none" w:sz="0" w:space="0" w:color="auto"/>
            <w:bottom w:val="none" w:sz="0" w:space="0" w:color="auto"/>
            <w:right w:val="none" w:sz="0" w:space="0" w:color="auto"/>
          </w:divBdr>
        </w:div>
        <w:div w:id="468980434">
          <w:marLeft w:val="0"/>
          <w:marRight w:val="0"/>
          <w:marTop w:val="0"/>
          <w:marBottom w:val="0"/>
          <w:divBdr>
            <w:top w:val="none" w:sz="0" w:space="0" w:color="auto"/>
            <w:left w:val="none" w:sz="0" w:space="0" w:color="auto"/>
            <w:bottom w:val="none" w:sz="0" w:space="0" w:color="auto"/>
            <w:right w:val="none" w:sz="0" w:space="0" w:color="auto"/>
          </w:divBdr>
        </w:div>
        <w:div w:id="473067544">
          <w:marLeft w:val="0"/>
          <w:marRight w:val="0"/>
          <w:marTop w:val="0"/>
          <w:marBottom w:val="0"/>
          <w:divBdr>
            <w:top w:val="none" w:sz="0" w:space="0" w:color="auto"/>
            <w:left w:val="none" w:sz="0" w:space="0" w:color="auto"/>
            <w:bottom w:val="none" w:sz="0" w:space="0" w:color="auto"/>
            <w:right w:val="none" w:sz="0" w:space="0" w:color="auto"/>
          </w:divBdr>
        </w:div>
        <w:div w:id="479810628">
          <w:marLeft w:val="0"/>
          <w:marRight w:val="0"/>
          <w:marTop w:val="0"/>
          <w:marBottom w:val="0"/>
          <w:divBdr>
            <w:top w:val="none" w:sz="0" w:space="0" w:color="auto"/>
            <w:left w:val="none" w:sz="0" w:space="0" w:color="auto"/>
            <w:bottom w:val="none" w:sz="0" w:space="0" w:color="auto"/>
            <w:right w:val="none" w:sz="0" w:space="0" w:color="auto"/>
          </w:divBdr>
        </w:div>
        <w:div w:id="492112572">
          <w:marLeft w:val="0"/>
          <w:marRight w:val="0"/>
          <w:marTop w:val="0"/>
          <w:marBottom w:val="0"/>
          <w:divBdr>
            <w:top w:val="none" w:sz="0" w:space="0" w:color="auto"/>
            <w:left w:val="none" w:sz="0" w:space="0" w:color="auto"/>
            <w:bottom w:val="none" w:sz="0" w:space="0" w:color="auto"/>
            <w:right w:val="none" w:sz="0" w:space="0" w:color="auto"/>
          </w:divBdr>
        </w:div>
        <w:div w:id="554045705">
          <w:marLeft w:val="0"/>
          <w:marRight w:val="0"/>
          <w:marTop w:val="0"/>
          <w:marBottom w:val="0"/>
          <w:divBdr>
            <w:top w:val="none" w:sz="0" w:space="0" w:color="auto"/>
            <w:left w:val="none" w:sz="0" w:space="0" w:color="auto"/>
            <w:bottom w:val="none" w:sz="0" w:space="0" w:color="auto"/>
            <w:right w:val="none" w:sz="0" w:space="0" w:color="auto"/>
          </w:divBdr>
        </w:div>
        <w:div w:id="604117934">
          <w:marLeft w:val="0"/>
          <w:marRight w:val="0"/>
          <w:marTop w:val="0"/>
          <w:marBottom w:val="0"/>
          <w:divBdr>
            <w:top w:val="none" w:sz="0" w:space="0" w:color="auto"/>
            <w:left w:val="none" w:sz="0" w:space="0" w:color="auto"/>
            <w:bottom w:val="none" w:sz="0" w:space="0" w:color="auto"/>
            <w:right w:val="none" w:sz="0" w:space="0" w:color="auto"/>
          </w:divBdr>
        </w:div>
        <w:div w:id="653291582">
          <w:marLeft w:val="0"/>
          <w:marRight w:val="0"/>
          <w:marTop w:val="0"/>
          <w:marBottom w:val="0"/>
          <w:divBdr>
            <w:top w:val="none" w:sz="0" w:space="0" w:color="auto"/>
            <w:left w:val="none" w:sz="0" w:space="0" w:color="auto"/>
            <w:bottom w:val="none" w:sz="0" w:space="0" w:color="auto"/>
            <w:right w:val="none" w:sz="0" w:space="0" w:color="auto"/>
          </w:divBdr>
        </w:div>
        <w:div w:id="692465461">
          <w:marLeft w:val="0"/>
          <w:marRight w:val="0"/>
          <w:marTop w:val="0"/>
          <w:marBottom w:val="0"/>
          <w:divBdr>
            <w:top w:val="none" w:sz="0" w:space="0" w:color="auto"/>
            <w:left w:val="none" w:sz="0" w:space="0" w:color="auto"/>
            <w:bottom w:val="none" w:sz="0" w:space="0" w:color="auto"/>
            <w:right w:val="none" w:sz="0" w:space="0" w:color="auto"/>
          </w:divBdr>
        </w:div>
        <w:div w:id="723874336">
          <w:marLeft w:val="0"/>
          <w:marRight w:val="0"/>
          <w:marTop w:val="0"/>
          <w:marBottom w:val="0"/>
          <w:divBdr>
            <w:top w:val="none" w:sz="0" w:space="0" w:color="auto"/>
            <w:left w:val="none" w:sz="0" w:space="0" w:color="auto"/>
            <w:bottom w:val="none" w:sz="0" w:space="0" w:color="auto"/>
            <w:right w:val="none" w:sz="0" w:space="0" w:color="auto"/>
          </w:divBdr>
        </w:div>
        <w:div w:id="751586436">
          <w:marLeft w:val="0"/>
          <w:marRight w:val="0"/>
          <w:marTop w:val="0"/>
          <w:marBottom w:val="0"/>
          <w:divBdr>
            <w:top w:val="none" w:sz="0" w:space="0" w:color="auto"/>
            <w:left w:val="none" w:sz="0" w:space="0" w:color="auto"/>
            <w:bottom w:val="none" w:sz="0" w:space="0" w:color="auto"/>
            <w:right w:val="none" w:sz="0" w:space="0" w:color="auto"/>
          </w:divBdr>
        </w:div>
        <w:div w:id="814177976">
          <w:marLeft w:val="0"/>
          <w:marRight w:val="0"/>
          <w:marTop w:val="0"/>
          <w:marBottom w:val="0"/>
          <w:divBdr>
            <w:top w:val="none" w:sz="0" w:space="0" w:color="auto"/>
            <w:left w:val="none" w:sz="0" w:space="0" w:color="auto"/>
            <w:bottom w:val="none" w:sz="0" w:space="0" w:color="auto"/>
            <w:right w:val="none" w:sz="0" w:space="0" w:color="auto"/>
          </w:divBdr>
        </w:div>
        <w:div w:id="966814974">
          <w:marLeft w:val="0"/>
          <w:marRight w:val="0"/>
          <w:marTop w:val="0"/>
          <w:marBottom w:val="0"/>
          <w:divBdr>
            <w:top w:val="none" w:sz="0" w:space="0" w:color="auto"/>
            <w:left w:val="none" w:sz="0" w:space="0" w:color="auto"/>
            <w:bottom w:val="none" w:sz="0" w:space="0" w:color="auto"/>
            <w:right w:val="none" w:sz="0" w:space="0" w:color="auto"/>
          </w:divBdr>
        </w:div>
        <w:div w:id="1017074423">
          <w:marLeft w:val="0"/>
          <w:marRight w:val="0"/>
          <w:marTop w:val="0"/>
          <w:marBottom w:val="0"/>
          <w:divBdr>
            <w:top w:val="none" w:sz="0" w:space="0" w:color="auto"/>
            <w:left w:val="none" w:sz="0" w:space="0" w:color="auto"/>
            <w:bottom w:val="none" w:sz="0" w:space="0" w:color="auto"/>
            <w:right w:val="none" w:sz="0" w:space="0" w:color="auto"/>
          </w:divBdr>
        </w:div>
        <w:div w:id="1098064441">
          <w:marLeft w:val="0"/>
          <w:marRight w:val="0"/>
          <w:marTop w:val="0"/>
          <w:marBottom w:val="0"/>
          <w:divBdr>
            <w:top w:val="none" w:sz="0" w:space="0" w:color="auto"/>
            <w:left w:val="none" w:sz="0" w:space="0" w:color="auto"/>
            <w:bottom w:val="none" w:sz="0" w:space="0" w:color="auto"/>
            <w:right w:val="none" w:sz="0" w:space="0" w:color="auto"/>
          </w:divBdr>
        </w:div>
        <w:div w:id="1120076869">
          <w:marLeft w:val="0"/>
          <w:marRight w:val="0"/>
          <w:marTop w:val="0"/>
          <w:marBottom w:val="0"/>
          <w:divBdr>
            <w:top w:val="none" w:sz="0" w:space="0" w:color="auto"/>
            <w:left w:val="none" w:sz="0" w:space="0" w:color="auto"/>
            <w:bottom w:val="none" w:sz="0" w:space="0" w:color="auto"/>
            <w:right w:val="none" w:sz="0" w:space="0" w:color="auto"/>
          </w:divBdr>
        </w:div>
        <w:div w:id="1197818995">
          <w:marLeft w:val="0"/>
          <w:marRight w:val="0"/>
          <w:marTop w:val="0"/>
          <w:marBottom w:val="0"/>
          <w:divBdr>
            <w:top w:val="none" w:sz="0" w:space="0" w:color="auto"/>
            <w:left w:val="none" w:sz="0" w:space="0" w:color="auto"/>
            <w:bottom w:val="none" w:sz="0" w:space="0" w:color="auto"/>
            <w:right w:val="none" w:sz="0" w:space="0" w:color="auto"/>
          </w:divBdr>
        </w:div>
        <w:div w:id="1207252528">
          <w:marLeft w:val="0"/>
          <w:marRight w:val="0"/>
          <w:marTop w:val="0"/>
          <w:marBottom w:val="0"/>
          <w:divBdr>
            <w:top w:val="none" w:sz="0" w:space="0" w:color="auto"/>
            <w:left w:val="none" w:sz="0" w:space="0" w:color="auto"/>
            <w:bottom w:val="none" w:sz="0" w:space="0" w:color="auto"/>
            <w:right w:val="none" w:sz="0" w:space="0" w:color="auto"/>
          </w:divBdr>
        </w:div>
        <w:div w:id="1263220876">
          <w:marLeft w:val="0"/>
          <w:marRight w:val="0"/>
          <w:marTop w:val="0"/>
          <w:marBottom w:val="0"/>
          <w:divBdr>
            <w:top w:val="none" w:sz="0" w:space="0" w:color="auto"/>
            <w:left w:val="none" w:sz="0" w:space="0" w:color="auto"/>
            <w:bottom w:val="none" w:sz="0" w:space="0" w:color="auto"/>
            <w:right w:val="none" w:sz="0" w:space="0" w:color="auto"/>
          </w:divBdr>
        </w:div>
        <w:div w:id="1315989848">
          <w:marLeft w:val="0"/>
          <w:marRight w:val="0"/>
          <w:marTop w:val="0"/>
          <w:marBottom w:val="0"/>
          <w:divBdr>
            <w:top w:val="none" w:sz="0" w:space="0" w:color="auto"/>
            <w:left w:val="none" w:sz="0" w:space="0" w:color="auto"/>
            <w:bottom w:val="none" w:sz="0" w:space="0" w:color="auto"/>
            <w:right w:val="none" w:sz="0" w:space="0" w:color="auto"/>
          </w:divBdr>
        </w:div>
        <w:div w:id="1316908657">
          <w:marLeft w:val="0"/>
          <w:marRight w:val="0"/>
          <w:marTop w:val="0"/>
          <w:marBottom w:val="0"/>
          <w:divBdr>
            <w:top w:val="none" w:sz="0" w:space="0" w:color="auto"/>
            <w:left w:val="none" w:sz="0" w:space="0" w:color="auto"/>
            <w:bottom w:val="none" w:sz="0" w:space="0" w:color="auto"/>
            <w:right w:val="none" w:sz="0" w:space="0" w:color="auto"/>
          </w:divBdr>
        </w:div>
        <w:div w:id="1446344025">
          <w:marLeft w:val="0"/>
          <w:marRight w:val="0"/>
          <w:marTop w:val="0"/>
          <w:marBottom w:val="0"/>
          <w:divBdr>
            <w:top w:val="none" w:sz="0" w:space="0" w:color="auto"/>
            <w:left w:val="none" w:sz="0" w:space="0" w:color="auto"/>
            <w:bottom w:val="none" w:sz="0" w:space="0" w:color="auto"/>
            <w:right w:val="none" w:sz="0" w:space="0" w:color="auto"/>
          </w:divBdr>
        </w:div>
        <w:div w:id="1481462878">
          <w:marLeft w:val="0"/>
          <w:marRight w:val="0"/>
          <w:marTop w:val="0"/>
          <w:marBottom w:val="0"/>
          <w:divBdr>
            <w:top w:val="none" w:sz="0" w:space="0" w:color="auto"/>
            <w:left w:val="none" w:sz="0" w:space="0" w:color="auto"/>
            <w:bottom w:val="none" w:sz="0" w:space="0" w:color="auto"/>
            <w:right w:val="none" w:sz="0" w:space="0" w:color="auto"/>
          </w:divBdr>
        </w:div>
        <w:div w:id="1501310540">
          <w:marLeft w:val="0"/>
          <w:marRight w:val="0"/>
          <w:marTop w:val="0"/>
          <w:marBottom w:val="0"/>
          <w:divBdr>
            <w:top w:val="none" w:sz="0" w:space="0" w:color="auto"/>
            <w:left w:val="none" w:sz="0" w:space="0" w:color="auto"/>
            <w:bottom w:val="none" w:sz="0" w:space="0" w:color="auto"/>
            <w:right w:val="none" w:sz="0" w:space="0" w:color="auto"/>
          </w:divBdr>
        </w:div>
        <w:div w:id="1611933327">
          <w:marLeft w:val="0"/>
          <w:marRight w:val="0"/>
          <w:marTop w:val="0"/>
          <w:marBottom w:val="0"/>
          <w:divBdr>
            <w:top w:val="none" w:sz="0" w:space="0" w:color="auto"/>
            <w:left w:val="none" w:sz="0" w:space="0" w:color="auto"/>
            <w:bottom w:val="none" w:sz="0" w:space="0" w:color="auto"/>
            <w:right w:val="none" w:sz="0" w:space="0" w:color="auto"/>
          </w:divBdr>
        </w:div>
        <w:div w:id="1693871962">
          <w:marLeft w:val="0"/>
          <w:marRight w:val="0"/>
          <w:marTop w:val="0"/>
          <w:marBottom w:val="0"/>
          <w:divBdr>
            <w:top w:val="none" w:sz="0" w:space="0" w:color="auto"/>
            <w:left w:val="none" w:sz="0" w:space="0" w:color="auto"/>
            <w:bottom w:val="none" w:sz="0" w:space="0" w:color="auto"/>
            <w:right w:val="none" w:sz="0" w:space="0" w:color="auto"/>
          </w:divBdr>
        </w:div>
        <w:div w:id="1706447122">
          <w:marLeft w:val="0"/>
          <w:marRight w:val="0"/>
          <w:marTop w:val="0"/>
          <w:marBottom w:val="0"/>
          <w:divBdr>
            <w:top w:val="none" w:sz="0" w:space="0" w:color="auto"/>
            <w:left w:val="none" w:sz="0" w:space="0" w:color="auto"/>
            <w:bottom w:val="none" w:sz="0" w:space="0" w:color="auto"/>
            <w:right w:val="none" w:sz="0" w:space="0" w:color="auto"/>
          </w:divBdr>
        </w:div>
        <w:div w:id="1762750104">
          <w:marLeft w:val="0"/>
          <w:marRight w:val="0"/>
          <w:marTop w:val="0"/>
          <w:marBottom w:val="0"/>
          <w:divBdr>
            <w:top w:val="none" w:sz="0" w:space="0" w:color="auto"/>
            <w:left w:val="none" w:sz="0" w:space="0" w:color="auto"/>
            <w:bottom w:val="none" w:sz="0" w:space="0" w:color="auto"/>
            <w:right w:val="none" w:sz="0" w:space="0" w:color="auto"/>
          </w:divBdr>
        </w:div>
        <w:div w:id="1777216263">
          <w:marLeft w:val="0"/>
          <w:marRight w:val="0"/>
          <w:marTop w:val="0"/>
          <w:marBottom w:val="0"/>
          <w:divBdr>
            <w:top w:val="none" w:sz="0" w:space="0" w:color="auto"/>
            <w:left w:val="none" w:sz="0" w:space="0" w:color="auto"/>
            <w:bottom w:val="none" w:sz="0" w:space="0" w:color="auto"/>
            <w:right w:val="none" w:sz="0" w:space="0" w:color="auto"/>
          </w:divBdr>
        </w:div>
        <w:div w:id="1824734646">
          <w:marLeft w:val="0"/>
          <w:marRight w:val="0"/>
          <w:marTop w:val="0"/>
          <w:marBottom w:val="0"/>
          <w:divBdr>
            <w:top w:val="none" w:sz="0" w:space="0" w:color="auto"/>
            <w:left w:val="none" w:sz="0" w:space="0" w:color="auto"/>
            <w:bottom w:val="none" w:sz="0" w:space="0" w:color="auto"/>
            <w:right w:val="none" w:sz="0" w:space="0" w:color="auto"/>
          </w:divBdr>
        </w:div>
        <w:div w:id="1872911113">
          <w:marLeft w:val="0"/>
          <w:marRight w:val="0"/>
          <w:marTop w:val="0"/>
          <w:marBottom w:val="0"/>
          <w:divBdr>
            <w:top w:val="none" w:sz="0" w:space="0" w:color="auto"/>
            <w:left w:val="none" w:sz="0" w:space="0" w:color="auto"/>
            <w:bottom w:val="none" w:sz="0" w:space="0" w:color="auto"/>
            <w:right w:val="none" w:sz="0" w:space="0" w:color="auto"/>
          </w:divBdr>
        </w:div>
        <w:div w:id="1878812757">
          <w:marLeft w:val="0"/>
          <w:marRight w:val="0"/>
          <w:marTop w:val="0"/>
          <w:marBottom w:val="0"/>
          <w:divBdr>
            <w:top w:val="none" w:sz="0" w:space="0" w:color="auto"/>
            <w:left w:val="none" w:sz="0" w:space="0" w:color="auto"/>
            <w:bottom w:val="none" w:sz="0" w:space="0" w:color="auto"/>
            <w:right w:val="none" w:sz="0" w:space="0" w:color="auto"/>
          </w:divBdr>
        </w:div>
        <w:div w:id="1961065305">
          <w:marLeft w:val="0"/>
          <w:marRight w:val="0"/>
          <w:marTop w:val="0"/>
          <w:marBottom w:val="0"/>
          <w:divBdr>
            <w:top w:val="none" w:sz="0" w:space="0" w:color="auto"/>
            <w:left w:val="none" w:sz="0" w:space="0" w:color="auto"/>
            <w:bottom w:val="none" w:sz="0" w:space="0" w:color="auto"/>
            <w:right w:val="none" w:sz="0" w:space="0" w:color="auto"/>
          </w:divBdr>
        </w:div>
        <w:div w:id="1993286315">
          <w:marLeft w:val="0"/>
          <w:marRight w:val="0"/>
          <w:marTop w:val="0"/>
          <w:marBottom w:val="0"/>
          <w:divBdr>
            <w:top w:val="none" w:sz="0" w:space="0" w:color="auto"/>
            <w:left w:val="none" w:sz="0" w:space="0" w:color="auto"/>
            <w:bottom w:val="none" w:sz="0" w:space="0" w:color="auto"/>
            <w:right w:val="none" w:sz="0" w:space="0" w:color="auto"/>
          </w:divBdr>
        </w:div>
        <w:div w:id="2022314475">
          <w:marLeft w:val="0"/>
          <w:marRight w:val="0"/>
          <w:marTop w:val="0"/>
          <w:marBottom w:val="0"/>
          <w:divBdr>
            <w:top w:val="none" w:sz="0" w:space="0" w:color="auto"/>
            <w:left w:val="none" w:sz="0" w:space="0" w:color="auto"/>
            <w:bottom w:val="none" w:sz="0" w:space="0" w:color="auto"/>
            <w:right w:val="none" w:sz="0" w:space="0" w:color="auto"/>
          </w:divBdr>
        </w:div>
        <w:div w:id="2110539828">
          <w:marLeft w:val="0"/>
          <w:marRight w:val="0"/>
          <w:marTop w:val="0"/>
          <w:marBottom w:val="0"/>
          <w:divBdr>
            <w:top w:val="none" w:sz="0" w:space="0" w:color="auto"/>
            <w:left w:val="none" w:sz="0" w:space="0" w:color="auto"/>
            <w:bottom w:val="none" w:sz="0" w:space="0" w:color="auto"/>
            <w:right w:val="none" w:sz="0" w:space="0" w:color="auto"/>
          </w:divBdr>
        </w:div>
        <w:div w:id="2144999397">
          <w:marLeft w:val="0"/>
          <w:marRight w:val="0"/>
          <w:marTop w:val="0"/>
          <w:marBottom w:val="0"/>
          <w:divBdr>
            <w:top w:val="none" w:sz="0" w:space="0" w:color="auto"/>
            <w:left w:val="none" w:sz="0" w:space="0" w:color="auto"/>
            <w:bottom w:val="none" w:sz="0" w:space="0" w:color="auto"/>
            <w:right w:val="none" w:sz="0" w:space="0" w:color="auto"/>
          </w:divBdr>
          <w:divsChild>
            <w:div w:id="1413088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hrasebank.manchester.ac.uk/being-critical/" TargetMode="External" /><Relationship Id="rId13"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hyperlink" Target="https://www.gov.wales/sites/default/files/publications/2018-03/successful-futures.pdf" TargetMode="External" /><Relationship Id="rId2" Type="http://schemas.openxmlformats.org/officeDocument/2006/relationships/styles" Target="styles.xml" /><Relationship Id="rId16"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gov.wales/sites/default/files/publications/2018-03/successful-futures-a-summary-of-professor-Graham-Donaldsons-report.pdf" TargetMode="External" /><Relationship Id="rId5" Type="http://schemas.openxmlformats.org/officeDocument/2006/relationships/footnotes" Target="footnotes.xml" /><Relationship Id="rId15" Type="http://schemas.openxmlformats.org/officeDocument/2006/relationships/fontTable" Target="fontTable.xml" /><Relationship Id="rId10" Type="http://schemas.openxmlformats.org/officeDocument/2006/relationships/hyperlink" Target="https://selcenter.wested.org/resource/structures-for-belonging-a-synthesis-of-researchon-belonging-supportive-learning-environments" TargetMode="External" /><Relationship Id="rId4" Type="http://schemas.openxmlformats.org/officeDocument/2006/relationships/webSettings" Target="webSettings.xml" /><Relationship Id="rId9" Type="http://schemas.openxmlformats.org/officeDocument/2006/relationships/hyperlink" Target="https://www.uwtsd.ac.uk/media/uwtsd-website/content-assets/documents/library-and-learning-resources/Harvard-en_v.1.3-(V6).pdf" TargetMode="External" /><Relationship Id="rId14" Type="http://schemas.openxmlformats.org/officeDocument/2006/relationships/header" Target="head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3610</Words>
  <Characters>23540</Characters>
  <Application>Microsoft Office Word</Application>
  <DocSecurity>0</DocSecurity>
  <Lines>196</Lines>
  <Paragraphs>54</Paragraphs>
  <ScaleCrop>false</ScaleCrop>
  <Company/>
  <LinksUpToDate>false</LinksUpToDate>
  <CharactersWithSpaces>27096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mckennzie price</dc:creator>
  <cp:keywords/>
  <dc:description/>
  <cp:lastModifiedBy>mckennzie price</cp:lastModifiedBy>
  <cp:revision>2</cp:revision>
  <dcterms:created xsi:type="dcterms:W3CDTF">2024-02-28T21:54:00Z</dcterms:created>
  <dcterms:modified xsi:type="dcterms:W3CDTF">2024-02-28T21:54:00Z</dcterms:modified>
</cp:coreProperties>
</file>