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56034" w14:textId="77777777" w:rsidR="0073001D" w:rsidRDefault="0073001D" w:rsidP="0073001D">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HARMONY: THEORY AND PRACTICE</w:t>
      </w:r>
    </w:p>
    <w:p w14:paraId="33788C26" w14:textId="77777777" w:rsidR="0073001D" w:rsidRDefault="0073001D" w:rsidP="0073001D">
      <w:pPr>
        <w:shd w:val="clear" w:color="auto" w:fill="FFFFFF"/>
        <w:spacing w:line="240" w:lineRule="auto"/>
        <w:contextualSpacing/>
        <w:rPr>
          <w:rFonts w:ascii="Arial" w:eastAsia="Times New Roman" w:hAnsi="Arial" w:cs="Arial"/>
          <w:b/>
          <w:bCs/>
          <w:color w:val="222222"/>
          <w:kern w:val="0"/>
          <w:lang w:eastAsia="en-GB"/>
          <w14:ligatures w14:val="none"/>
        </w:rPr>
      </w:pPr>
    </w:p>
    <w:p w14:paraId="32A55EF4" w14:textId="77777777" w:rsidR="0073001D" w:rsidRDefault="0073001D" w:rsidP="0073001D">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NICK CAMPION</w:t>
      </w:r>
    </w:p>
    <w:p w14:paraId="0D38859E" w14:textId="77777777" w:rsidR="0073001D" w:rsidRDefault="0073001D" w:rsidP="0073001D">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 xml:space="preserve">WEEK 6 DESCRIPTION: BUSINESS, COMMUNITY, THE BUILT ENVIRONMENT, </w:t>
      </w:r>
      <w:proofErr w:type="gramStart"/>
      <w:r>
        <w:rPr>
          <w:rFonts w:ascii="Arial" w:eastAsia="Times New Roman" w:hAnsi="Arial" w:cs="Arial"/>
          <w:b/>
          <w:bCs/>
          <w:color w:val="222222"/>
          <w:kern w:val="0"/>
          <w:lang w:eastAsia="en-GB"/>
          <w14:ligatures w14:val="none"/>
        </w:rPr>
        <w:t>HEALTH</w:t>
      </w:r>
      <w:proofErr w:type="gramEnd"/>
      <w:r>
        <w:rPr>
          <w:rFonts w:ascii="Arial" w:eastAsia="Times New Roman" w:hAnsi="Arial" w:cs="Arial"/>
          <w:b/>
          <w:bCs/>
          <w:color w:val="222222"/>
          <w:kern w:val="0"/>
          <w:lang w:eastAsia="en-GB"/>
          <w14:ligatures w14:val="none"/>
        </w:rPr>
        <w:t xml:space="preserve"> AND WELL-BEING</w:t>
      </w:r>
    </w:p>
    <w:p w14:paraId="4C6AC31B" w14:textId="77777777" w:rsidR="0073001D" w:rsidRDefault="0073001D" w:rsidP="0073001D">
      <w:pPr>
        <w:shd w:val="clear" w:color="auto" w:fill="FFFFFF"/>
        <w:spacing w:line="240" w:lineRule="auto"/>
        <w:contextualSpacing/>
        <w:rPr>
          <w:rFonts w:ascii="Arial" w:eastAsia="Times New Roman" w:hAnsi="Arial" w:cs="Arial"/>
          <w:b/>
          <w:bCs/>
          <w:color w:val="222222"/>
          <w:kern w:val="0"/>
          <w:lang w:eastAsia="en-GB"/>
          <w14:ligatures w14:val="none"/>
        </w:rPr>
      </w:pPr>
    </w:p>
    <w:p w14:paraId="36CBD24E" w14:textId="77777777" w:rsidR="0073001D" w:rsidRDefault="0073001D" w:rsidP="0073001D">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NICK CAMPION</w:t>
      </w:r>
    </w:p>
    <w:p w14:paraId="444FB89A" w14:textId="77777777" w:rsidR="0073001D" w:rsidRDefault="0073001D" w:rsidP="0073001D">
      <w:pPr>
        <w:shd w:val="clear" w:color="auto" w:fill="FFFFFF"/>
        <w:spacing w:line="240" w:lineRule="auto"/>
        <w:contextualSpacing/>
        <w:rPr>
          <w:rFonts w:ascii="Arial" w:eastAsia="Times New Roman" w:hAnsi="Arial" w:cs="Arial"/>
          <w:color w:val="222222"/>
          <w:kern w:val="0"/>
          <w:lang w:eastAsia="en-GB"/>
          <w14:ligatures w14:val="none"/>
        </w:rPr>
      </w:pPr>
    </w:p>
    <w:p w14:paraId="4169C39D" w14:textId="77777777" w:rsidR="0073001D" w:rsidRDefault="0073001D" w:rsidP="0073001D">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Tasks for this week.</w:t>
      </w:r>
    </w:p>
    <w:p w14:paraId="11822572" w14:textId="77777777" w:rsidR="0073001D" w:rsidRDefault="0073001D" w:rsidP="0073001D">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Download the Required Reading:</w:t>
      </w:r>
    </w:p>
    <w:p w14:paraId="48E33DDC" w14:textId="77777777" w:rsidR="0073001D" w:rsidRDefault="0073001D" w:rsidP="0073001D">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Post on the Forum</w:t>
      </w:r>
    </w:p>
    <w:p w14:paraId="50C90AA5" w14:textId="77777777" w:rsidR="0073001D" w:rsidRDefault="0073001D" w:rsidP="0073001D">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Finalise your first essay.</w:t>
      </w:r>
    </w:p>
    <w:p w14:paraId="4BAA4118" w14:textId="77777777" w:rsidR="0073001D" w:rsidRDefault="0073001D" w:rsidP="0073001D">
      <w:pPr>
        <w:pStyle w:val="ListParagraph"/>
        <w:numPr>
          <w:ilvl w:val="0"/>
          <w:numId w:val="1"/>
        </w:num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Work on your essay 2 Proposal Form</w:t>
      </w:r>
    </w:p>
    <w:p w14:paraId="2E9DC536" w14:textId="77777777" w:rsidR="00104940" w:rsidRDefault="00104940" w:rsidP="0073001D">
      <w:pPr>
        <w:shd w:val="clear" w:color="auto" w:fill="FFFFFF"/>
        <w:spacing w:line="240" w:lineRule="auto"/>
        <w:contextualSpacing/>
        <w:rPr>
          <w:rFonts w:ascii="Arial" w:eastAsia="Times New Roman" w:hAnsi="Arial" w:cs="Arial"/>
          <w:b/>
          <w:bCs/>
          <w:color w:val="222222"/>
          <w:kern w:val="0"/>
          <w:lang w:eastAsia="en-GB"/>
          <w14:ligatures w14:val="none"/>
        </w:rPr>
      </w:pPr>
    </w:p>
    <w:p w14:paraId="7BEDE464" w14:textId="0D0908A8" w:rsidR="0073001D" w:rsidRDefault="0073001D" w:rsidP="0073001D">
      <w:pPr>
        <w:shd w:val="clear" w:color="auto" w:fill="FFFFFF"/>
        <w:spacing w:line="240" w:lineRule="auto"/>
        <w:contextualSpacing/>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INTRODUCTION</w:t>
      </w:r>
    </w:p>
    <w:p w14:paraId="705FD71F" w14:textId="77777777" w:rsidR="0073001D" w:rsidRDefault="0073001D" w:rsidP="0073001D">
      <w:pPr>
        <w:shd w:val="clear" w:color="auto" w:fill="FFFFFF"/>
        <w:spacing w:line="240" w:lineRule="auto"/>
        <w:contextualSpacing/>
        <w:rPr>
          <w:rFonts w:ascii="Arial" w:eastAsia="Times New Roman" w:hAnsi="Arial" w:cs="Arial"/>
          <w:b/>
          <w:bCs/>
          <w:color w:val="222222"/>
          <w:kern w:val="0"/>
          <w:lang w:eastAsia="en-GB"/>
          <w14:ligatures w14:val="none"/>
        </w:rPr>
      </w:pPr>
    </w:p>
    <w:p w14:paraId="27CCB7C6" w14:textId="77777777" w:rsidR="0073001D" w:rsidRDefault="0073001D" w:rsidP="0073001D">
      <w:pPr>
        <w:spacing w:line="240" w:lineRule="auto"/>
        <w:contextualSpacing/>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week we introduce a variety of themes and topics, each of which can be very important in its own </w:t>
      </w:r>
      <w:proofErr w:type="gramStart"/>
      <w:r>
        <w:rPr>
          <w:rFonts w:ascii="Arial" w:eastAsia="Times New Roman" w:hAnsi="Arial" w:cs="Arial"/>
          <w:kern w:val="0"/>
          <w:lang w:eastAsia="en-GB"/>
          <w14:ligatures w14:val="none"/>
        </w:rPr>
        <w:t>right, but</w:t>
      </w:r>
      <w:proofErr w:type="gramEnd"/>
      <w:r>
        <w:rPr>
          <w:rFonts w:ascii="Arial" w:eastAsia="Times New Roman" w:hAnsi="Arial" w:cs="Arial"/>
          <w:kern w:val="0"/>
          <w:lang w:eastAsia="en-GB"/>
          <w14:ligatures w14:val="none"/>
        </w:rPr>
        <w:t xml:space="preserve"> can be seen as an application of Harmony.</w:t>
      </w:r>
    </w:p>
    <w:p w14:paraId="73B2F5FA" w14:textId="77777777" w:rsidR="0073001D" w:rsidRDefault="0073001D" w:rsidP="0073001D">
      <w:pPr>
        <w:spacing w:line="240" w:lineRule="auto"/>
        <w:contextualSpacing/>
        <w:rPr>
          <w:rFonts w:ascii="Arial" w:eastAsia="Times New Roman" w:hAnsi="Arial" w:cs="Arial"/>
          <w:kern w:val="0"/>
          <w:lang w:eastAsia="en-GB"/>
          <w14:ligatures w14:val="none"/>
        </w:rPr>
      </w:pPr>
    </w:p>
    <w:p w14:paraId="339369DD"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 have explored many of the issues, </w:t>
      </w:r>
      <w:proofErr w:type="gramStart"/>
      <w:r>
        <w:rPr>
          <w:rFonts w:ascii="Arial" w:eastAsia="Times New Roman" w:hAnsi="Arial" w:cs="Arial"/>
          <w:kern w:val="0"/>
          <w:lang w:eastAsia="en-GB"/>
          <w14:ligatures w14:val="none"/>
        </w:rPr>
        <w:t>nuances</w:t>
      </w:r>
      <w:proofErr w:type="gramEnd"/>
      <w:r>
        <w:rPr>
          <w:rFonts w:ascii="Arial" w:eastAsia="Times New Roman" w:hAnsi="Arial" w:cs="Arial"/>
          <w:kern w:val="0"/>
          <w:lang w:eastAsia="en-GB"/>
          <w14:ligatures w14:val="none"/>
        </w:rPr>
        <w:t xml:space="preserve"> and complexities around Harmony in previous weeks. The questions we have introduced continue into the topics that we are considering this week in the sense that when practical solutions are required to difficult problems, they need to take real situations, including the interests of people, into account. </w:t>
      </w:r>
      <w:proofErr w:type="gramStart"/>
      <w:r>
        <w:rPr>
          <w:rFonts w:ascii="Arial" w:eastAsia="Times New Roman" w:hAnsi="Arial" w:cs="Arial"/>
          <w:kern w:val="0"/>
          <w:lang w:eastAsia="en-GB"/>
          <w14:ligatures w14:val="none"/>
        </w:rPr>
        <w:t>In particular, they</w:t>
      </w:r>
      <w:proofErr w:type="gramEnd"/>
      <w:r>
        <w:rPr>
          <w:rFonts w:ascii="Arial" w:eastAsia="Times New Roman" w:hAnsi="Arial" w:cs="Arial"/>
          <w:kern w:val="0"/>
          <w:lang w:eastAsia="en-GB"/>
          <w14:ligatures w14:val="none"/>
        </w:rPr>
        <w:t xml:space="preserve"> need to consider the interconnections between all things. It helps, first, to consider examples of a failure to recognise interconnectivity. We can point to many examples in business and finance, urban </w:t>
      </w:r>
      <w:proofErr w:type="gramStart"/>
      <w:r>
        <w:rPr>
          <w:rFonts w:ascii="Arial" w:eastAsia="Times New Roman" w:hAnsi="Arial" w:cs="Arial"/>
          <w:kern w:val="0"/>
          <w:lang w:eastAsia="en-GB"/>
          <w14:ligatures w14:val="none"/>
        </w:rPr>
        <w:t>planning</w:t>
      </w:r>
      <w:proofErr w:type="gramEnd"/>
      <w:r>
        <w:rPr>
          <w:rFonts w:ascii="Arial" w:eastAsia="Times New Roman" w:hAnsi="Arial" w:cs="Arial"/>
          <w:kern w:val="0"/>
          <w:lang w:eastAsia="en-GB"/>
          <w14:ligatures w14:val="none"/>
        </w:rPr>
        <w:t xml:space="preserve"> and medicine, in which focussing on one isolated action causes wider problems.</w:t>
      </w:r>
    </w:p>
    <w:p w14:paraId="39510872" w14:textId="77777777" w:rsidR="0073001D" w:rsidRDefault="0073001D" w:rsidP="0073001D">
      <w:pPr>
        <w:spacing w:after="0" w:line="240" w:lineRule="auto"/>
        <w:rPr>
          <w:rFonts w:ascii="Arial" w:eastAsia="Times New Roman" w:hAnsi="Arial" w:cs="Arial"/>
          <w:kern w:val="0"/>
          <w:lang w:eastAsia="en-GB"/>
          <w14:ligatures w14:val="none"/>
        </w:rPr>
      </w:pPr>
    </w:p>
    <w:p w14:paraId="74BDC9FD"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classic example of well-meaning environmental action which failed to recognise interconnectivity was the creation of game parks in some west African states in the 1960s </w:t>
      </w:r>
      <w:proofErr w:type="gramStart"/>
      <w:r>
        <w:rPr>
          <w:rFonts w:ascii="Arial" w:eastAsia="Times New Roman" w:hAnsi="Arial" w:cs="Arial"/>
          <w:kern w:val="0"/>
          <w:lang w:eastAsia="en-GB"/>
          <w14:ligatures w14:val="none"/>
        </w:rPr>
        <w:t>in order to</w:t>
      </w:r>
      <w:proofErr w:type="gramEnd"/>
      <w:r>
        <w:rPr>
          <w:rFonts w:ascii="Arial" w:eastAsia="Times New Roman" w:hAnsi="Arial" w:cs="Arial"/>
          <w:kern w:val="0"/>
          <w:lang w:eastAsia="en-GB"/>
          <w14:ligatures w14:val="none"/>
        </w:rPr>
        <w:t xml:space="preserve"> preserve wildlife. Local populations were moved off the land, and in retrospect, this was clearly an injustice which failed to </w:t>
      </w:r>
      <w:proofErr w:type="gramStart"/>
      <w:r>
        <w:rPr>
          <w:rFonts w:ascii="Arial" w:eastAsia="Times New Roman" w:hAnsi="Arial" w:cs="Arial"/>
          <w:kern w:val="0"/>
          <w:lang w:eastAsia="en-GB"/>
          <w14:ligatures w14:val="none"/>
        </w:rPr>
        <w:t>take into account</w:t>
      </w:r>
      <w:proofErr w:type="gramEnd"/>
      <w:r>
        <w:rPr>
          <w:rFonts w:ascii="Arial" w:eastAsia="Times New Roman" w:hAnsi="Arial" w:cs="Arial"/>
          <w:kern w:val="0"/>
          <w:lang w:eastAsia="en-GB"/>
          <w14:ligatures w14:val="none"/>
        </w:rPr>
        <w:t xml:space="preserve"> the wider ecology, including the ecology of people, and the ways in which local people lived in relation, and perhaps, in harmony, with, their environment. The error of this policy was realised, and it is now customary for animal conservation efforts to involve local people. Another historic example was the saving of the bison from probable in extinction in the USA in 1905, but with no relation to the First Nations who had lived with and depended on the bison and, in 1905, were having their rights systematically destroyed.</w:t>
      </w:r>
      <w:r>
        <w:rPr>
          <w:rStyle w:val="FootnoteReference"/>
          <w:rFonts w:ascii="Arial" w:eastAsia="Times New Roman" w:hAnsi="Arial" w:cs="Arial"/>
          <w:kern w:val="0"/>
          <w:lang w:eastAsia="en-GB"/>
          <w14:ligatures w14:val="none"/>
        </w:rPr>
        <w:footnoteReference w:id="1"/>
      </w:r>
      <w:r>
        <w:rPr>
          <w:rFonts w:ascii="Arial" w:eastAsia="Times New Roman" w:hAnsi="Arial" w:cs="Arial"/>
          <w:kern w:val="0"/>
          <w:lang w:eastAsia="en-GB"/>
          <w14:ligatures w14:val="none"/>
        </w:rPr>
        <w:t xml:space="preserve"> </w:t>
      </w:r>
    </w:p>
    <w:p w14:paraId="2FFAE12D" w14:textId="77777777" w:rsidR="0073001D" w:rsidRDefault="0073001D" w:rsidP="0073001D">
      <w:pPr>
        <w:spacing w:after="0" w:line="240" w:lineRule="auto"/>
        <w:rPr>
          <w:rFonts w:ascii="Arial" w:eastAsia="Times New Roman" w:hAnsi="Arial" w:cs="Arial"/>
          <w:kern w:val="0"/>
          <w:lang w:eastAsia="en-GB"/>
          <w14:ligatures w14:val="none"/>
        </w:rPr>
      </w:pPr>
    </w:p>
    <w:p w14:paraId="469D5556"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 very different recent example involved the drive to replace petrol cars with diesel cars in some countries (such as the UK) in the 1990s. At the time this change was seen to be an environmentally responsible at action. However, by the 2010s it was clear that pollution from diesel was just as bad for urban areas as pollution from petrol, even if in a different way.</w:t>
      </w:r>
    </w:p>
    <w:p w14:paraId="1CDFA3DA" w14:textId="77777777" w:rsidR="0073001D" w:rsidRDefault="0073001D" w:rsidP="0073001D">
      <w:pPr>
        <w:spacing w:after="0" w:line="240" w:lineRule="auto"/>
        <w:rPr>
          <w:rFonts w:ascii="Arial" w:eastAsia="Times New Roman" w:hAnsi="Arial" w:cs="Arial"/>
          <w:kern w:val="0"/>
          <w:lang w:eastAsia="en-GB"/>
          <w14:ligatures w14:val="none"/>
        </w:rPr>
      </w:pPr>
    </w:p>
    <w:p w14:paraId="4A9DB358"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Concerning the introduction of electric cars as a sustainable option, counter arguments, include the devastation caused by the mining of lithium </w:t>
      </w:r>
      <w:proofErr w:type="gramStart"/>
      <w:r>
        <w:rPr>
          <w:rFonts w:ascii="Arial" w:eastAsia="Times New Roman" w:hAnsi="Arial" w:cs="Arial"/>
          <w:kern w:val="0"/>
          <w:lang w:eastAsia="en-GB"/>
          <w14:ligatures w14:val="none"/>
        </w:rPr>
        <w:t>in order to</w:t>
      </w:r>
      <w:proofErr w:type="gramEnd"/>
      <w:r>
        <w:rPr>
          <w:rFonts w:ascii="Arial" w:eastAsia="Times New Roman" w:hAnsi="Arial" w:cs="Arial"/>
          <w:kern w:val="0"/>
          <w:lang w:eastAsia="en-GB"/>
          <w14:ligatures w14:val="none"/>
        </w:rPr>
        <w:t xml:space="preserve"> create batteries.</w:t>
      </w:r>
      <w:r>
        <w:rPr>
          <w:rStyle w:val="FootnoteReference"/>
          <w:rFonts w:ascii="Arial" w:eastAsia="Times New Roman" w:hAnsi="Arial" w:cs="Arial"/>
          <w:kern w:val="0"/>
          <w:lang w:eastAsia="en-GB"/>
          <w14:ligatures w14:val="none"/>
        </w:rPr>
        <w:footnoteReference w:id="2"/>
      </w:r>
      <w:r>
        <w:rPr>
          <w:rFonts w:ascii="Arial" w:eastAsia="Times New Roman" w:hAnsi="Arial" w:cs="Arial"/>
          <w:kern w:val="0"/>
          <w:lang w:eastAsia="en-GB"/>
          <w14:ligatures w14:val="none"/>
        </w:rPr>
        <w:t xml:space="preserve"> We might consider whether the total environmental costs of scrapping a low emission petrol car is justified by the total cost of the manufacture of an electric replacement. There is also concern over the geopolitical implications of Chinese domination of lithium supply chains,</w:t>
      </w:r>
    </w:p>
    <w:p w14:paraId="1EF605F2"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Greenpeace reports. </w:t>
      </w:r>
    </w:p>
    <w:p w14:paraId="5F4ED99F" w14:textId="77777777" w:rsidR="0073001D" w:rsidRDefault="0073001D" w:rsidP="0073001D">
      <w:pPr>
        <w:spacing w:after="0" w:line="240" w:lineRule="auto"/>
        <w:rPr>
          <w:rFonts w:ascii="Arial" w:eastAsia="Times New Roman" w:hAnsi="Arial" w:cs="Arial"/>
          <w:kern w:val="0"/>
          <w:lang w:eastAsia="en-GB"/>
          <w14:ligatures w14:val="none"/>
        </w:rPr>
      </w:pPr>
    </w:p>
    <w:p w14:paraId="6EFF9841" w14:textId="77777777" w:rsidR="0073001D" w:rsidRDefault="0073001D" w:rsidP="0073001D">
      <w:pPr>
        <w:shd w:val="clear" w:color="auto" w:fill="FFFFFF"/>
        <w:spacing w:after="0" w:line="240" w:lineRule="auto"/>
        <w:rPr>
          <w:rFonts w:ascii="Arial" w:hAnsi="Arial" w:cs="Arial"/>
          <w:color w:val="333333"/>
          <w:spacing w:val="5"/>
          <w:shd w:val="clear" w:color="auto" w:fill="FFFFFF"/>
        </w:rPr>
      </w:pPr>
      <w:r>
        <w:rPr>
          <w:rFonts w:ascii="Arial" w:hAnsi="Arial" w:cs="Arial"/>
          <w:color w:val="333333"/>
          <w:spacing w:val="5"/>
          <w:shd w:val="clear" w:color="auto" w:fill="FFFFFF"/>
        </w:rPr>
        <w:t xml:space="preserve">Proposals to support the move to support electric cars through ocean bed mining for rare minerals highlights the difficulties: </w:t>
      </w:r>
    </w:p>
    <w:p w14:paraId="5E80DA3E" w14:textId="77777777" w:rsidR="0073001D" w:rsidRDefault="0073001D" w:rsidP="0073001D">
      <w:pPr>
        <w:shd w:val="clear" w:color="auto" w:fill="FFFFFF"/>
        <w:spacing w:after="0" w:line="240" w:lineRule="auto"/>
        <w:rPr>
          <w:rFonts w:ascii="Arial" w:hAnsi="Arial" w:cs="Arial"/>
          <w:color w:val="333333"/>
          <w:spacing w:val="5"/>
          <w:shd w:val="clear" w:color="auto" w:fill="FFFFFF"/>
        </w:rPr>
      </w:pPr>
    </w:p>
    <w:p w14:paraId="10415445" w14:textId="77777777" w:rsidR="0073001D" w:rsidRDefault="0073001D" w:rsidP="0073001D">
      <w:pPr>
        <w:shd w:val="clear" w:color="auto" w:fill="FFFFFF"/>
        <w:spacing w:after="0" w:line="240" w:lineRule="auto"/>
        <w:ind w:left="720"/>
        <w:rPr>
          <w:rFonts w:ascii="Arial" w:hAnsi="Arial" w:cs="Arial"/>
        </w:rPr>
      </w:pPr>
      <w:r>
        <w:rPr>
          <w:rFonts w:ascii="Arial" w:hAnsi="Arial" w:cs="Arial"/>
          <w:color w:val="333333"/>
          <w:spacing w:val="5"/>
          <w:shd w:val="clear" w:color="auto" w:fill="FFFFFF"/>
        </w:rPr>
        <w:t xml:space="preserve">It's a "sustainability paradox," says Kris Van </w:t>
      </w:r>
      <w:proofErr w:type="spellStart"/>
      <w:r>
        <w:rPr>
          <w:rFonts w:ascii="Arial" w:hAnsi="Arial" w:cs="Arial"/>
          <w:color w:val="333333"/>
          <w:spacing w:val="5"/>
          <w:shd w:val="clear" w:color="auto" w:fill="FFFFFF"/>
        </w:rPr>
        <w:t>Nijen</w:t>
      </w:r>
      <w:proofErr w:type="spellEnd"/>
      <w:r>
        <w:rPr>
          <w:rFonts w:ascii="Arial" w:hAnsi="Arial" w:cs="Arial"/>
          <w:color w:val="333333"/>
          <w:spacing w:val="5"/>
          <w:shd w:val="clear" w:color="auto" w:fill="FFFFFF"/>
        </w:rPr>
        <w:t xml:space="preserve">, managing director of Global Sea Mineral Resources, a </w:t>
      </w:r>
      <w:proofErr w:type="gramStart"/>
      <w:r>
        <w:rPr>
          <w:rFonts w:ascii="Arial" w:hAnsi="Arial" w:cs="Arial"/>
          <w:color w:val="333333"/>
          <w:spacing w:val="5"/>
          <w:shd w:val="clear" w:color="auto" w:fill="FFFFFF"/>
        </w:rPr>
        <w:t>deep sea</w:t>
      </w:r>
      <w:proofErr w:type="gramEnd"/>
      <w:r>
        <w:rPr>
          <w:rFonts w:ascii="Arial" w:hAnsi="Arial" w:cs="Arial"/>
          <w:color w:val="333333"/>
          <w:spacing w:val="5"/>
          <w:shd w:val="clear" w:color="auto" w:fill="FFFFFF"/>
        </w:rPr>
        <w:t xml:space="preserve"> mining contractor for Belgium. "On the one hand, we have a whole world demanding we deal with climate change ... [but] there is not one solution that does not impact biodiversity that actually helps to mitigate climate change, because, in the end, we have to do </w:t>
      </w:r>
      <w:proofErr w:type="gramStart"/>
      <w:r>
        <w:rPr>
          <w:rFonts w:ascii="Arial" w:hAnsi="Arial" w:cs="Arial"/>
          <w:color w:val="333333"/>
          <w:spacing w:val="5"/>
          <w:shd w:val="clear" w:color="auto" w:fill="FFFFFF"/>
        </w:rPr>
        <w:t>something</w:t>
      </w:r>
      <w:proofErr w:type="gramEnd"/>
      <w:r>
        <w:rPr>
          <w:rFonts w:ascii="Arial" w:hAnsi="Arial" w:cs="Arial"/>
          <w:color w:val="333333"/>
          <w:spacing w:val="5"/>
          <w:shd w:val="clear" w:color="auto" w:fill="FFFFFF"/>
        </w:rPr>
        <w:t xml:space="preserve"> and we have to make choices."</w:t>
      </w:r>
      <w:r>
        <w:rPr>
          <w:rStyle w:val="FootnoteReference"/>
          <w:rFonts w:ascii="Arial" w:hAnsi="Arial" w:cs="Arial"/>
        </w:rPr>
        <w:footnoteReference w:id="3"/>
      </w:r>
    </w:p>
    <w:p w14:paraId="354A8314" w14:textId="77777777" w:rsidR="0073001D" w:rsidRDefault="0073001D" w:rsidP="0073001D">
      <w:pPr>
        <w:spacing w:after="0" w:line="240" w:lineRule="auto"/>
        <w:rPr>
          <w:rFonts w:ascii="Arial" w:eastAsia="Times New Roman" w:hAnsi="Arial" w:cs="Arial"/>
          <w:kern w:val="0"/>
          <w:lang w:eastAsia="en-GB"/>
          <w14:ligatures w14:val="none"/>
        </w:rPr>
      </w:pPr>
    </w:p>
    <w:p w14:paraId="06936FF5" w14:textId="77777777" w:rsidR="0073001D" w:rsidRDefault="0073001D" w:rsidP="0073001D">
      <w:pPr>
        <w:spacing w:line="240" w:lineRule="auto"/>
        <w:rPr>
          <w:rFonts w:ascii="Arial" w:hAnsi="Arial" w:cs="Arial"/>
        </w:rPr>
      </w:pPr>
      <w:r>
        <w:rPr>
          <w:rFonts w:ascii="Arial" w:hAnsi="Arial" w:cs="Arial"/>
        </w:rPr>
        <w:t>Recognising the importance of interconnectivity (and that an action in one area produces reactions in another) Greenpeace’s solutions to these problems are to (1) ban sea-bed mining, (2) hold mining companies to the highest standards and (3) recycle batteries for clean energy generation.</w:t>
      </w:r>
      <w:r>
        <w:rPr>
          <w:rStyle w:val="FootnoteReference"/>
          <w:rFonts w:ascii="Arial" w:hAnsi="Arial" w:cs="Arial"/>
        </w:rPr>
        <w:footnoteReference w:id="4"/>
      </w:r>
      <w:r>
        <w:rPr>
          <w:rFonts w:ascii="Arial" w:hAnsi="Arial" w:cs="Arial"/>
        </w:rPr>
        <w:t xml:space="preserve"> </w:t>
      </w:r>
    </w:p>
    <w:p w14:paraId="613ACDBD"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These sorts of economic arguments plague the entire area of transport and energy, together with many wider proposals for sustainable development. It is very difficult to quantify which path of action might be better than another, largely because we </w:t>
      </w:r>
      <w:proofErr w:type="gramStart"/>
      <w:r>
        <w:rPr>
          <w:rFonts w:ascii="Arial" w:eastAsia="Times New Roman" w:hAnsi="Arial" w:cs="Arial"/>
          <w:kern w:val="0"/>
          <w:lang w:eastAsia="en-GB"/>
          <w14:ligatures w14:val="none"/>
        </w:rPr>
        <w:t>have to</w:t>
      </w:r>
      <w:proofErr w:type="gramEnd"/>
      <w:r>
        <w:rPr>
          <w:rFonts w:ascii="Arial" w:eastAsia="Times New Roman" w:hAnsi="Arial" w:cs="Arial"/>
          <w:kern w:val="0"/>
          <w:lang w:eastAsia="en-GB"/>
          <w14:ligatures w14:val="none"/>
        </w:rPr>
        <w:t xml:space="preserve"> make a decision on which out of a huge number of interconnections we need to take into account. We might stop importing a particular exotic fruit </w:t>
      </w:r>
      <w:proofErr w:type="gramStart"/>
      <w:r>
        <w:rPr>
          <w:rFonts w:ascii="Arial" w:eastAsia="Times New Roman" w:hAnsi="Arial" w:cs="Arial"/>
          <w:kern w:val="0"/>
          <w:lang w:eastAsia="en-GB"/>
          <w14:ligatures w14:val="none"/>
        </w:rPr>
        <w:t>in order to</w:t>
      </w:r>
      <w:proofErr w:type="gramEnd"/>
      <w:r>
        <w:rPr>
          <w:rFonts w:ascii="Arial" w:eastAsia="Times New Roman" w:hAnsi="Arial" w:cs="Arial"/>
          <w:kern w:val="0"/>
          <w:lang w:eastAsia="en-GB"/>
          <w14:ligatures w14:val="none"/>
        </w:rPr>
        <w:t xml:space="preserve"> reduce air miles, but the people who grow and pick and pack the fruit may lose their income. Such complexities multiply when we consider all the variables involved in climate change, and whether its economic impact will be marginal or catastrophic.</w:t>
      </w:r>
    </w:p>
    <w:p w14:paraId="27F3AD4B" w14:textId="77777777" w:rsidR="0073001D" w:rsidRDefault="0073001D" w:rsidP="0073001D">
      <w:pPr>
        <w:spacing w:after="0" w:line="240" w:lineRule="auto"/>
        <w:rPr>
          <w:rFonts w:ascii="Arial" w:eastAsia="Times New Roman" w:hAnsi="Arial" w:cs="Arial"/>
          <w:kern w:val="0"/>
          <w:lang w:eastAsia="en-GB"/>
          <w14:ligatures w14:val="none"/>
        </w:rPr>
      </w:pPr>
    </w:p>
    <w:p w14:paraId="4A4BE3B9"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All of this is to say that Harmony can provide a model for thought and planning and decision-making, but there is no absolute solution to any question.</w:t>
      </w:r>
    </w:p>
    <w:p w14:paraId="5C6C0300" w14:textId="77777777" w:rsidR="0073001D" w:rsidRDefault="0073001D" w:rsidP="0073001D">
      <w:pPr>
        <w:spacing w:after="0" w:line="240" w:lineRule="auto"/>
        <w:rPr>
          <w:rFonts w:ascii="Arial" w:eastAsia="Times New Roman" w:hAnsi="Arial" w:cs="Arial"/>
          <w:kern w:val="0"/>
          <w:lang w:eastAsia="en-GB"/>
          <w14:ligatures w14:val="none"/>
        </w:rPr>
      </w:pPr>
    </w:p>
    <w:p w14:paraId="36BC0C30"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In terms of business, there are </w:t>
      </w:r>
      <w:proofErr w:type="gramStart"/>
      <w:r>
        <w:rPr>
          <w:rFonts w:ascii="Arial" w:eastAsia="Times New Roman" w:hAnsi="Arial" w:cs="Arial"/>
          <w:kern w:val="0"/>
          <w:lang w:eastAsia="en-GB"/>
          <w14:ligatures w14:val="none"/>
        </w:rPr>
        <w:t>a number of</w:t>
      </w:r>
      <w:proofErr w:type="gramEnd"/>
      <w:r>
        <w:rPr>
          <w:rFonts w:ascii="Arial" w:eastAsia="Times New Roman" w:hAnsi="Arial" w:cs="Arial"/>
          <w:kern w:val="0"/>
          <w:lang w:eastAsia="en-GB"/>
          <w14:ligatures w14:val="none"/>
        </w:rPr>
        <w:t xml:space="preserve"> well-defined economic models which have been identified as compatible with harmony.</w:t>
      </w:r>
    </w:p>
    <w:p w14:paraId="672C6A92" w14:textId="77777777" w:rsidR="0073001D" w:rsidRDefault="0073001D" w:rsidP="0073001D">
      <w:pPr>
        <w:spacing w:after="0" w:line="240" w:lineRule="auto"/>
        <w:rPr>
          <w:rFonts w:ascii="Arial" w:eastAsia="Times New Roman" w:hAnsi="Arial" w:cs="Arial"/>
          <w:kern w:val="0"/>
          <w:lang w:eastAsia="en-GB"/>
          <w14:ligatures w14:val="none"/>
        </w:rPr>
      </w:pPr>
    </w:p>
    <w:p w14:paraId="2E015AC7"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Total cost accounting </w:t>
      </w:r>
      <w:r>
        <w:rPr>
          <w:rFonts w:ascii="Arial" w:eastAsia="Times New Roman" w:hAnsi="Arial" w:cs="Arial"/>
          <w:kern w:val="0"/>
          <w:lang w:eastAsia="en-GB"/>
          <w14:ligatures w14:val="none"/>
        </w:rPr>
        <w:t>or</w:t>
      </w:r>
      <w:r>
        <w:rPr>
          <w:rFonts w:ascii="Arial" w:eastAsia="Times New Roman" w:hAnsi="Arial" w:cs="Arial"/>
          <w:b/>
          <w:bCs/>
          <w:kern w:val="0"/>
          <w:lang w:eastAsia="en-GB"/>
          <w14:ligatures w14:val="none"/>
        </w:rPr>
        <w:t xml:space="preserve"> full cost accounting </w:t>
      </w:r>
      <w:r>
        <w:rPr>
          <w:rFonts w:ascii="Arial" w:eastAsia="Times New Roman" w:hAnsi="Arial" w:cs="Arial"/>
          <w:kern w:val="0"/>
          <w:lang w:eastAsia="en-GB"/>
          <w14:ligatures w14:val="none"/>
        </w:rPr>
        <w:t xml:space="preserve">strives to </w:t>
      </w:r>
      <w:proofErr w:type="gramStart"/>
      <w:r>
        <w:rPr>
          <w:rFonts w:ascii="Arial" w:eastAsia="Times New Roman" w:hAnsi="Arial" w:cs="Arial"/>
          <w:kern w:val="0"/>
          <w:lang w:eastAsia="en-GB"/>
          <w14:ligatures w14:val="none"/>
        </w:rPr>
        <w:t>take into account</w:t>
      </w:r>
      <w:proofErr w:type="gramEnd"/>
      <w:r>
        <w:rPr>
          <w:rFonts w:ascii="Arial" w:eastAsia="Times New Roman" w:hAnsi="Arial" w:cs="Arial"/>
          <w:kern w:val="0"/>
          <w:lang w:eastAsia="en-GB"/>
          <w14:ligatures w14:val="none"/>
        </w:rPr>
        <w:t xml:space="preserve"> the complete cost of any production process. For example, in a supply chain carbon emissions in one country may be reduced to zero, but they may be transferred to another part of the supply chain in another country. Total cost accounting seeks to take the whole – total – process into account.</w:t>
      </w:r>
      <w:r>
        <w:rPr>
          <w:rStyle w:val="FootnoteReference"/>
          <w:rFonts w:ascii="Arial" w:eastAsia="Times New Roman" w:hAnsi="Arial" w:cs="Arial"/>
          <w:kern w:val="0"/>
          <w:lang w:eastAsia="en-GB"/>
          <w14:ligatures w14:val="none"/>
        </w:rPr>
        <w:footnoteReference w:id="5"/>
      </w:r>
      <w:r>
        <w:rPr>
          <w:rFonts w:ascii="Arial" w:eastAsia="Times New Roman" w:hAnsi="Arial" w:cs="Arial"/>
          <w:kern w:val="0"/>
          <w:lang w:eastAsia="en-GB"/>
          <w14:ligatures w14:val="none"/>
        </w:rPr>
        <w:t xml:space="preserve"> Again, when we talk about the whole process, we can probably only ever be looking at part of the process, so a judgment still </w:t>
      </w:r>
      <w:proofErr w:type="gramStart"/>
      <w:r>
        <w:rPr>
          <w:rFonts w:ascii="Arial" w:eastAsia="Times New Roman" w:hAnsi="Arial" w:cs="Arial"/>
          <w:kern w:val="0"/>
          <w:lang w:eastAsia="en-GB"/>
          <w14:ligatures w14:val="none"/>
        </w:rPr>
        <w:t>has to</w:t>
      </w:r>
      <w:proofErr w:type="gramEnd"/>
      <w:r>
        <w:rPr>
          <w:rFonts w:ascii="Arial" w:eastAsia="Times New Roman" w:hAnsi="Arial" w:cs="Arial"/>
          <w:kern w:val="0"/>
          <w:lang w:eastAsia="en-GB"/>
          <w14:ligatures w14:val="none"/>
        </w:rPr>
        <w:t xml:space="preserve"> be made on what factors to consider.</w:t>
      </w:r>
    </w:p>
    <w:p w14:paraId="050441D0" w14:textId="77777777" w:rsidR="0073001D" w:rsidRDefault="0073001D" w:rsidP="0073001D">
      <w:pPr>
        <w:spacing w:after="0" w:line="240" w:lineRule="auto"/>
        <w:rPr>
          <w:rFonts w:ascii="Arial" w:eastAsia="Times New Roman" w:hAnsi="Arial" w:cs="Arial"/>
          <w:kern w:val="0"/>
          <w:lang w:eastAsia="en-GB"/>
          <w14:ligatures w14:val="none"/>
        </w:rPr>
      </w:pPr>
    </w:p>
    <w:p w14:paraId="0F5D80E9"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The circular economy</w:t>
      </w:r>
      <w:r>
        <w:rPr>
          <w:rFonts w:ascii="Arial" w:eastAsia="Times New Roman" w:hAnsi="Arial" w:cs="Arial"/>
          <w:kern w:val="0"/>
          <w:lang w:eastAsia="en-GB"/>
          <w14:ligatures w14:val="none"/>
        </w:rPr>
        <w:t xml:space="preserve"> is modelled on the reuse of all resources so ultimately nothing is </w:t>
      </w:r>
      <w:proofErr w:type="gramStart"/>
      <w:r>
        <w:rPr>
          <w:rFonts w:ascii="Arial" w:eastAsia="Times New Roman" w:hAnsi="Arial" w:cs="Arial"/>
          <w:kern w:val="0"/>
          <w:lang w:eastAsia="en-GB"/>
          <w14:ligatures w14:val="none"/>
        </w:rPr>
        <w:t>wasted</w:t>
      </w:r>
      <w:proofErr w:type="gramEnd"/>
      <w:r>
        <w:rPr>
          <w:rFonts w:ascii="Arial" w:eastAsia="Times New Roman" w:hAnsi="Arial" w:cs="Arial"/>
          <w:kern w:val="0"/>
          <w:lang w:eastAsia="en-GB"/>
          <w14:ligatures w14:val="none"/>
        </w:rPr>
        <w:t xml:space="preserve"> and everything can either be used or recycled.</w:t>
      </w:r>
      <w:r>
        <w:rPr>
          <w:rStyle w:val="FootnoteReference"/>
          <w:rFonts w:ascii="Arial" w:eastAsia="Times New Roman" w:hAnsi="Arial" w:cs="Arial"/>
          <w:kern w:val="0"/>
          <w:lang w:eastAsia="en-GB"/>
          <w14:ligatures w14:val="none"/>
        </w:rPr>
        <w:footnoteReference w:id="6"/>
      </w:r>
      <w:r>
        <w:rPr>
          <w:rFonts w:ascii="Arial" w:eastAsia="Times New Roman" w:hAnsi="Arial" w:cs="Arial"/>
          <w:kern w:val="0"/>
          <w:lang w:eastAsia="en-GB"/>
          <w14:ligatures w14:val="none"/>
        </w:rPr>
        <w:t>.</w:t>
      </w:r>
    </w:p>
    <w:p w14:paraId="112734E7" w14:textId="77777777" w:rsidR="0073001D" w:rsidRDefault="0073001D" w:rsidP="0073001D">
      <w:pPr>
        <w:spacing w:after="0" w:line="240" w:lineRule="auto"/>
        <w:rPr>
          <w:rFonts w:ascii="Arial" w:eastAsia="Times New Roman" w:hAnsi="Arial" w:cs="Arial"/>
          <w:kern w:val="0"/>
          <w:lang w:eastAsia="en-GB"/>
          <w14:ligatures w14:val="none"/>
        </w:rPr>
      </w:pPr>
    </w:p>
    <w:p w14:paraId="2825359F"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Doughnut economics</w:t>
      </w:r>
      <w:r>
        <w:rPr>
          <w:rFonts w:ascii="Arial" w:eastAsia="Times New Roman" w:hAnsi="Arial" w:cs="Arial"/>
          <w:kern w:val="0"/>
          <w:lang w:eastAsia="en-GB"/>
          <w14:ligatures w14:val="none"/>
        </w:rPr>
        <w:t xml:space="preserve"> is similarly modelled as a circular system in which nothing is wasted.</w:t>
      </w:r>
      <w:r>
        <w:rPr>
          <w:rStyle w:val="FootnoteReference"/>
          <w:rFonts w:ascii="Arial" w:eastAsia="Times New Roman" w:hAnsi="Arial" w:cs="Arial"/>
          <w:kern w:val="0"/>
          <w:lang w:eastAsia="en-GB"/>
          <w14:ligatures w14:val="none"/>
        </w:rPr>
        <w:footnoteReference w:id="7"/>
      </w:r>
    </w:p>
    <w:p w14:paraId="3686D4FA" w14:textId="77777777" w:rsidR="0073001D" w:rsidRDefault="0073001D" w:rsidP="0073001D">
      <w:pPr>
        <w:spacing w:after="0" w:line="240" w:lineRule="auto"/>
        <w:rPr>
          <w:rFonts w:ascii="Arial" w:eastAsia="Times New Roman" w:hAnsi="Arial" w:cs="Arial"/>
          <w:kern w:val="0"/>
          <w:lang w:eastAsia="en-GB"/>
          <w14:ligatures w14:val="none"/>
        </w:rPr>
      </w:pPr>
    </w:p>
    <w:p w14:paraId="6DA547D8" w14:textId="77777777" w:rsidR="0073001D" w:rsidRDefault="0073001D" w:rsidP="0073001D">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Community and the built environment</w:t>
      </w:r>
    </w:p>
    <w:p w14:paraId="78C21F2E" w14:textId="77777777" w:rsidR="0073001D" w:rsidRDefault="0073001D" w:rsidP="0073001D">
      <w:pPr>
        <w:spacing w:after="0" w:line="240" w:lineRule="auto"/>
        <w:rPr>
          <w:rFonts w:ascii="Arial" w:eastAsia="Times New Roman" w:hAnsi="Arial" w:cs="Arial"/>
          <w:b/>
          <w:bCs/>
          <w:kern w:val="0"/>
          <w:lang w:eastAsia="en-GB"/>
          <w14:ligatures w14:val="none"/>
        </w:rPr>
      </w:pPr>
    </w:p>
    <w:p w14:paraId="4A330F56"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When we consider community and the built environment, then options become a little clearer, and potentially evidence based. For example, it is </w:t>
      </w:r>
      <w:proofErr w:type="gramStart"/>
      <w:r>
        <w:rPr>
          <w:rFonts w:ascii="Arial" w:eastAsia="Times New Roman" w:hAnsi="Arial" w:cs="Arial"/>
          <w:kern w:val="0"/>
          <w:lang w:eastAsia="en-GB"/>
          <w14:ligatures w14:val="none"/>
        </w:rPr>
        <w:t>fairly straightforward</w:t>
      </w:r>
      <w:proofErr w:type="gramEnd"/>
      <w:r>
        <w:rPr>
          <w:rFonts w:ascii="Arial" w:eastAsia="Times New Roman" w:hAnsi="Arial" w:cs="Arial"/>
          <w:kern w:val="0"/>
          <w:lang w:eastAsia="en-GB"/>
          <w14:ligatures w14:val="none"/>
        </w:rPr>
        <w:t xml:space="preserve"> to predict that human behaviour and well-being, and even physical health, improve when there is a sense of community, support for people from deprived backgrounds, and a supply of air and water free from harmful pollution. The term well-being is often conflated with wellness.</w:t>
      </w:r>
    </w:p>
    <w:p w14:paraId="23E0382D" w14:textId="77777777" w:rsidR="0073001D" w:rsidRDefault="0073001D" w:rsidP="0073001D">
      <w:pPr>
        <w:spacing w:after="0" w:line="240" w:lineRule="auto"/>
        <w:rPr>
          <w:rFonts w:ascii="Arial" w:eastAsia="Times New Roman" w:hAnsi="Arial" w:cs="Arial"/>
          <w:kern w:val="0"/>
          <w:lang w:eastAsia="en-GB"/>
          <w14:ligatures w14:val="none"/>
        </w:rPr>
      </w:pPr>
    </w:p>
    <w:p w14:paraId="6BD7D955" w14:textId="77777777" w:rsidR="0073001D" w:rsidRDefault="0073001D" w:rsidP="0073001D">
      <w:pPr>
        <w:spacing w:after="0" w:line="240" w:lineRule="auto"/>
        <w:rPr>
          <w:rFonts w:ascii="Arial" w:hAnsi="Arial" w:cs="Arial"/>
          <w:kern w:val="0"/>
          <w:lang w:eastAsia="en-GB"/>
          <w14:ligatures w14:val="none"/>
        </w:rPr>
      </w:pPr>
      <w:r>
        <w:rPr>
          <w:rFonts w:ascii="Arial" w:eastAsia="Times New Roman" w:hAnsi="Arial" w:cs="Arial"/>
          <w:kern w:val="0"/>
          <w:lang w:eastAsia="en-GB"/>
          <w14:ligatures w14:val="none"/>
        </w:rPr>
        <w:t xml:space="preserve">If we consider architecture, then conversations about Harmony go in two directions. One concerns monumental and sacred architecture, such as great examples of temples, cathedrals, mosques, ritually significant </w:t>
      </w:r>
      <w:proofErr w:type="gramStart"/>
      <w:r>
        <w:rPr>
          <w:rFonts w:ascii="Arial" w:eastAsia="Times New Roman" w:hAnsi="Arial" w:cs="Arial"/>
          <w:kern w:val="0"/>
          <w:lang w:eastAsia="en-GB"/>
          <w14:ligatures w14:val="none"/>
        </w:rPr>
        <w:t>architecture</w:t>
      </w:r>
      <w:proofErr w:type="gramEnd"/>
      <w:r>
        <w:rPr>
          <w:rFonts w:ascii="Arial" w:eastAsia="Times New Roman" w:hAnsi="Arial" w:cs="Arial"/>
          <w:kern w:val="0"/>
          <w:lang w:eastAsia="en-GB"/>
          <w14:ligatures w14:val="none"/>
        </w:rPr>
        <w:t xml:space="preserve"> and great buildings of state. Often such architecture takes the wider cosmic environment into account, either in terms of its proportions or astronomical alignment. The pyramids at Giza in Egypt and many temples in the Indian subcontinent and southeast Asia are built on a north-south-east-west axis while, in China, concepts of geomancy and feng shui inform on the positions of buildings in relation to energetic features such as hills and water. In Europe Harmony is explicitly referenced in discourse about Palladio (1508-80), for example in the geometrical proportions of classical and Palladian architecture which prompted the neo-classical style which dominated much grand European building for three hundred years, from the mid-sixteenth century to the mid-nineteenth.</w:t>
      </w:r>
      <w:r>
        <w:rPr>
          <w:rStyle w:val="FootnoteReference"/>
          <w:rFonts w:ascii="Arial" w:eastAsia="Times New Roman" w:hAnsi="Arial" w:cs="Arial"/>
          <w:kern w:val="0"/>
          <w:lang w:eastAsia="en-GB"/>
          <w14:ligatures w14:val="none"/>
        </w:rPr>
        <w:footnoteReference w:id="8"/>
      </w:r>
      <w:r>
        <w:rPr>
          <w:rFonts w:ascii="Arial" w:eastAsia="Times New Roman" w:hAnsi="Arial" w:cs="Arial"/>
          <w:kern w:val="0"/>
          <w:lang w:eastAsia="en-GB"/>
          <w14:ligatures w14:val="none"/>
        </w:rPr>
        <w:t xml:space="preserve"> </w:t>
      </w:r>
    </w:p>
    <w:p w14:paraId="52B97A8E" w14:textId="77777777" w:rsidR="0073001D" w:rsidRDefault="0073001D" w:rsidP="0073001D">
      <w:pPr>
        <w:spacing w:after="0" w:line="240" w:lineRule="auto"/>
        <w:rPr>
          <w:rFonts w:ascii="Arial" w:eastAsia="Times New Roman" w:hAnsi="Arial" w:cs="Arial"/>
          <w:kern w:val="0"/>
          <w:lang w:eastAsia="en-GB"/>
          <w14:ligatures w14:val="none"/>
        </w:rPr>
      </w:pPr>
    </w:p>
    <w:p w14:paraId="309F69FC" w14:textId="77777777" w:rsidR="0073001D" w:rsidRDefault="0073001D" w:rsidP="0073001D">
      <w:pPr>
        <w:rPr>
          <w:rFonts w:ascii="Arial" w:hAnsi="Arial" w:cs="Arial"/>
        </w:rPr>
      </w:pPr>
      <w:r>
        <w:rPr>
          <w:rFonts w:ascii="Arial" w:eastAsia="Times New Roman" w:hAnsi="Arial" w:cs="Arial"/>
          <w:kern w:val="0"/>
          <w:lang w:eastAsia="en-GB"/>
          <w14:ligatures w14:val="none"/>
        </w:rPr>
        <w:t>There is another form of harmonious architecture, consisting of the pleasing assemblage of a variety of buildings on a human level. This is the model pursued by King Charles when he was Prince of Wales in his model development at Poundbury in Dorset in southern England.</w:t>
      </w:r>
      <w:r>
        <w:rPr>
          <w:rStyle w:val="FootnoteReference"/>
          <w:rFonts w:ascii="Arial" w:eastAsia="Times New Roman" w:hAnsi="Arial" w:cs="Arial"/>
          <w:kern w:val="0"/>
          <w:lang w:eastAsia="en-GB"/>
          <w14:ligatures w14:val="none"/>
        </w:rPr>
        <w:footnoteReference w:id="9"/>
      </w:r>
      <w:r>
        <w:rPr>
          <w:rFonts w:ascii="Arial" w:eastAsia="Times New Roman" w:hAnsi="Arial" w:cs="Arial"/>
          <w:kern w:val="0"/>
          <w:lang w:eastAsia="en-GB"/>
          <w14:ligatures w14:val="none"/>
        </w:rPr>
        <w:t xml:space="preserve"> This urban vision is encompassed within a much wider model of design, community, farming, art, business and other areas studied and promoted by the King’s Foundation and the </w:t>
      </w:r>
      <w:r>
        <w:rPr>
          <w:rFonts w:ascii="Arial" w:hAnsi="Arial" w:cs="Arial"/>
        </w:rPr>
        <w:t>King’s Foundation’s School of Traditional Arts, with both of which we (UWTSD) have personal or institutional connections.</w:t>
      </w:r>
      <w:r>
        <w:rPr>
          <w:rStyle w:val="FootnoteReference"/>
          <w:rFonts w:ascii="Arial" w:hAnsi="Arial" w:cs="Arial"/>
        </w:rPr>
        <w:footnoteReference w:id="10"/>
      </w:r>
      <w:r>
        <w:rPr>
          <w:rFonts w:ascii="Arial" w:hAnsi="Arial" w:cs="Arial"/>
        </w:rPr>
        <w:t xml:space="preserve"> The King’s ten principles for urban design are:</w:t>
      </w:r>
    </w:p>
    <w:p w14:paraId="6EB1BE90"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1. buildings must respect the land.</w:t>
      </w:r>
    </w:p>
    <w:p w14:paraId="33E8883C"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2. architecture is a language with a grammar.</w:t>
      </w:r>
    </w:p>
    <w:p w14:paraId="7ABF2B41"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3. buildings should relate to both human proportions and the proportions of neighbouring buildings.</w:t>
      </w:r>
    </w:p>
    <w:p w14:paraId="12EB4511"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4. harmony: buildings must be in tune with their neighbours and diversity should be matched by coherence.</w:t>
      </w:r>
    </w:p>
    <w:p w14:paraId="66C558BE"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5. there should be well designed enclosures to provide spaces for people</w:t>
      </w:r>
    </w:p>
    <w:p w14:paraId="3BEA5A60"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6. local materials and traditional regional styles should be preferred.</w:t>
      </w:r>
    </w:p>
    <w:p w14:paraId="2899D730"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7. unnecessary street signs and lights should be kept to a minimum.</w:t>
      </w:r>
    </w:p>
    <w:p w14:paraId="30E11CC3"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8. pedestrians should be prioritised over cars.</w:t>
      </w:r>
    </w:p>
    <w:p w14:paraId="471933E4"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9.density: use the space as well.</w:t>
      </w:r>
    </w:p>
    <w:p w14:paraId="2CE87D82" w14:textId="77777777" w:rsidR="0073001D" w:rsidRDefault="0073001D" w:rsidP="0073001D">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10. do not be constrained by rigid planning laws.</w:t>
      </w:r>
      <w:r>
        <w:rPr>
          <w:rStyle w:val="FootnoteReference"/>
          <w:rFonts w:ascii="Arial" w:eastAsia="Times New Roman" w:hAnsi="Arial" w:cs="Arial"/>
          <w:color w:val="222222"/>
          <w:kern w:val="0"/>
          <w:sz w:val="24"/>
          <w:szCs w:val="24"/>
          <w:lang w:eastAsia="en-GB"/>
          <w14:ligatures w14:val="none"/>
        </w:rPr>
        <w:footnoteReference w:id="11"/>
      </w:r>
      <w:r>
        <w:rPr>
          <w:rFonts w:ascii="Arial" w:eastAsia="Times New Roman" w:hAnsi="Arial" w:cs="Arial"/>
          <w:color w:val="222222"/>
          <w:kern w:val="0"/>
          <w:sz w:val="24"/>
          <w:szCs w:val="24"/>
          <w:lang w:eastAsia="en-GB"/>
          <w14:ligatures w14:val="none"/>
        </w:rPr>
        <w:t> </w:t>
      </w:r>
    </w:p>
    <w:p w14:paraId="6E23A93C" w14:textId="77777777" w:rsidR="0073001D" w:rsidRDefault="0073001D" w:rsidP="0073001D">
      <w:pPr>
        <w:rPr>
          <w:rFonts w:ascii="Arial" w:hAnsi="Arial" w:cs="Arial"/>
        </w:rPr>
      </w:pPr>
    </w:p>
    <w:p w14:paraId="692047CC" w14:textId="77777777" w:rsidR="0073001D" w:rsidRDefault="0073001D" w:rsidP="0073001D">
      <w:pPr>
        <w:spacing w:line="240" w:lineRule="auto"/>
        <w:rPr>
          <w:rFonts w:ascii="Arial" w:hAnsi="Arial" w:cs="Arial"/>
        </w:rPr>
      </w:pPr>
      <w:r>
        <w:rPr>
          <w:rFonts w:ascii="Arial" w:hAnsi="Arial" w:cs="Arial"/>
        </w:rPr>
        <w:t xml:space="preserve">The debate concerning architecture reached a significant moment in the UK in the then Prince of </w:t>
      </w:r>
      <w:proofErr w:type="spellStart"/>
      <w:r>
        <w:rPr>
          <w:rFonts w:ascii="Arial" w:hAnsi="Arial" w:cs="Arial"/>
        </w:rPr>
        <w:t>Wales’</w:t>
      </w:r>
      <w:proofErr w:type="spellEnd"/>
      <w:r>
        <w:rPr>
          <w:rFonts w:ascii="Arial" w:hAnsi="Arial" w:cs="Arial"/>
        </w:rPr>
        <w:t xml:space="preserve"> criticism of a modernist extension to the neo-classical National Gallery in London.</w:t>
      </w:r>
      <w:r>
        <w:rPr>
          <w:rStyle w:val="FootnoteReference"/>
          <w:rFonts w:ascii="Arial" w:hAnsi="Arial" w:cs="Arial"/>
        </w:rPr>
        <w:footnoteReference w:id="12"/>
      </w:r>
      <w:r>
        <w:rPr>
          <w:rFonts w:ascii="Arial" w:hAnsi="Arial" w:cs="Arial"/>
        </w:rPr>
        <w:t xml:space="preserve"> If we focus on the UK, then the problems are found in town planners’ policies of wholesale demolition of historic town centres, poor quality housing estates of high rise buildings which became associated with poverty, crime and bleak open spaces, the inhuman, forbidding style of architecture which became known as the New Brutalism. </w:t>
      </w:r>
      <w:proofErr w:type="gramStart"/>
      <w:r>
        <w:rPr>
          <w:rFonts w:ascii="Arial" w:hAnsi="Arial" w:cs="Arial"/>
        </w:rPr>
        <w:t>Also</w:t>
      </w:r>
      <w:proofErr w:type="gramEnd"/>
      <w:r>
        <w:rPr>
          <w:rFonts w:ascii="Arial" w:hAnsi="Arial" w:cs="Arial"/>
        </w:rPr>
        <w:t xml:space="preserve"> some architects and planners saw the obliteration of the past as a public good to serve the creation of a better future. Other European countries followed different models. In Poland, for </w:t>
      </w:r>
      <w:r>
        <w:rPr>
          <w:rFonts w:ascii="Arial" w:hAnsi="Arial" w:cs="Arial"/>
        </w:rPr>
        <w:lastRenderedPageBreak/>
        <w:t xml:space="preserve">example, the centre of Warsaw which had been </w:t>
      </w:r>
      <w:proofErr w:type="gramStart"/>
      <w:r>
        <w:rPr>
          <w:rFonts w:ascii="Arial" w:hAnsi="Arial" w:cs="Arial"/>
        </w:rPr>
        <w:t>totally destroyed</w:t>
      </w:r>
      <w:proofErr w:type="gramEnd"/>
      <w:r>
        <w:rPr>
          <w:rFonts w:ascii="Arial" w:hAnsi="Arial" w:cs="Arial"/>
        </w:rPr>
        <w:t>, was rebuilt as it had been before the war, using original materials salvaged from the ruins.</w:t>
      </w:r>
    </w:p>
    <w:p w14:paraId="166F579F" w14:textId="77777777" w:rsidR="0073001D" w:rsidRDefault="0073001D" w:rsidP="0073001D">
      <w:pPr>
        <w:spacing w:line="240" w:lineRule="auto"/>
        <w:rPr>
          <w:rFonts w:ascii="Arial" w:hAnsi="Arial" w:cs="Arial"/>
        </w:rPr>
      </w:pPr>
      <w:r>
        <w:rPr>
          <w:rFonts w:ascii="Arial" w:eastAsia="Times New Roman" w:hAnsi="Arial" w:cs="Arial"/>
          <w:kern w:val="0"/>
          <w:lang w:eastAsia="en-GB"/>
          <w14:ligatures w14:val="none"/>
        </w:rPr>
        <w:t xml:space="preserve">Sometimes overlooked in contemporary discussions of Harmony are certain aspects of modernist </w:t>
      </w:r>
      <w:proofErr w:type="gramStart"/>
      <w:r>
        <w:rPr>
          <w:rFonts w:ascii="Arial" w:eastAsia="Times New Roman" w:hAnsi="Arial" w:cs="Arial"/>
          <w:kern w:val="0"/>
          <w:lang w:eastAsia="en-GB"/>
          <w14:ligatures w14:val="none"/>
        </w:rPr>
        <w:t>architecture, if</w:t>
      </w:r>
      <w:proofErr w:type="gramEnd"/>
      <w:r>
        <w:rPr>
          <w:rFonts w:ascii="Arial" w:eastAsia="Times New Roman" w:hAnsi="Arial" w:cs="Arial"/>
          <w:kern w:val="0"/>
          <w:lang w:eastAsia="en-GB"/>
          <w14:ligatures w14:val="none"/>
        </w:rPr>
        <w:t xml:space="preserve"> we define such architecture as being characterised by an absence of decoration. However, nineteenth century Catalan modernism shared the fluid decorative </w:t>
      </w:r>
      <w:proofErr w:type="spellStart"/>
      <w:r>
        <w:rPr>
          <w:rFonts w:ascii="Arial" w:eastAsia="Times New Roman" w:hAnsi="Arial" w:cs="Arial"/>
          <w:kern w:val="0"/>
          <w:lang w:eastAsia="en-GB"/>
          <w14:ligatures w14:val="none"/>
        </w:rPr>
        <w:t>decorative</w:t>
      </w:r>
      <w:proofErr w:type="spellEnd"/>
      <w:r>
        <w:rPr>
          <w:rFonts w:ascii="Arial" w:eastAsia="Times New Roman" w:hAnsi="Arial" w:cs="Arial"/>
          <w:kern w:val="0"/>
          <w:lang w:eastAsia="en-GB"/>
          <w14:ligatures w14:val="none"/>
        </w:rPr>
        <w:t xml:space="preserve"> style of art nouveaux. Also, some early twentieth century modernist art was highly influenced by esoteric and spiritual currents of thought, and </w:t>
      </w:r>
      <w:r>
        <w:rPr>
          <w:rFonts w:ascii="Arial" w:hAnsi="Arial" w:cs="Arial"/>
        </w:rPr>
        <w:t>the geometrical features of the art of such painters as Piet Mondrian is deeply embedded in the geometrical perspectives of European thought derived from Plato and Pythagoras: to paint rectangles was therefore to reveal the deepest essence of the cosmos.</w:t>
      </w:r>
      <w:r>
        <w:rPr>
          <w:rStyle w:val="FootnoteReference"/>
          <w:rFonts w:ascii="Arial" w:hAnsi="Arial" w:cs="Arial"/>
        </w:rPr>
        <w:footnoteReference w:id="13"/>
      </w:r>
      <w:r>
        <w:rPr>
          <w:rFonts w:ascii="Arial" w:hAnsi="Arial" w:cs="Arial"/>
        </w:rPr>
        <w:t xml:space="preserve"> Western esotericism, including the Harmony perspective, was itself a powerful strand of thought in the Bauhaus, the German architectural school which promoted the rectangular, geometrical building characteristic of modern architecture.</w:t>
      </w:r>
      <w:r>
        <w:rPr>
          <w:rStyle w:val="FootnoteReference"/>
          <w:rFonts w:ascii="Arial" w:hAnsi="Arial" w:cs="Arial"/>
        </w:rPr>
        <w:footnoteReference w:id="14"/>
      </w:r>
      <w:r>
        <w:rPr>
          <w:rFonts w:ascii="Arial" w:hAnsi="Arial" w:cs="Arial"/>
        </w:rPr>
        <w:t xml:space="preserve"> Also, modernist architecture is often presented as being in opposition to nature. However, many modern architects promote the harmony between modern architecture and nature.</w:t>
      </w:r>
      <w:r>
        <w:rPr>
          <w:rStyle w:val="FootnoteReference"/>
          <w:rFonts w:ascii="Arial" w:hAnsi="Arial" w:cs="Arial"/>
        </w:rPr>
        <w:footnoteReference w:id="15"/>
      </w:r>
      <w:r>
        <w:rPr>
          <w:rFonts w:ascii="Arial" w:hAnsi="Arial" w:cs="Arial"/>
        </w:rPr>
        <w:t xml:space="preserve"> </w:t>
      </w:r>
    </w:p>
    <w:p w14:paraId="48812190" w14:textId="77777777" w:rsidR="0073001D" w:rsidRDefault="0073001D" w:rsidP="0073001D">
      <w:pPr>
        <w:spacing w:line="240" w:lineRule="auto"/>
        <w:rPr>
          <w:rFonts w:ascii="Arial" w:hAnsi="Arial" w:cs="Arial"/>
        </w:rPr>
      </w:pPr>
    </w:p>
    <w:p w14:paraId="1CF17100" w14:textId="77777777" w:rsidR="0073001D" w:rsidRDefault="0073001D" w:rsidP="0073001D">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Health and Well Being</w:t>
      </w:r>
    </w:p>
    <w:p w14:paraId="7588BEC0" w14:textId="77777777" w:rsidR="0073001D" w:rsidRDefault="0073001D" w:rsidP="0073001D">
      <w:pPr>
        <w:spacing w:after="0" w:line="240" w:lineRule="auto"/>
        <w:rPr>
          <w:rFonts w:ascii="Arial" w:eastAsia="Times New Roman" w:hAnsi="Arial" w:cs="Arial"/>
          <w:b/>
          <w:bCs/>
          <w:kern w:val="0"/>
          <w:lang w:eastAsia="en-GB"/>
          <w14:ligatures w14:val="none"/>
        </w:rPr>
      </w:pPr>
    </w:p>
    <w:p w14:paraId="1A0ABCF8"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Considerations of architecture and the built environment take us into concepts of health and well-being. In the late 20th century, the concept of ‘sick building syndrome’ was named.</w:t>
      </w:r>
      <w:r>
        <w:rPr>
          <w:rStyle w:val="FootnoteReference"/>
          <w:rFonts w:ascii="Arial" w:eastAsia="Times New Roman" w:hAnsi="Arial" w:cs="Arial"/>
          <w:kern w:val="0"/>
          <w:lang w:eastAsia="en-GB"/>
          <w14:ligatures w14:val="none"/>
        </w:rPr>
        <w:footnoteReference w:id="16"/>
      </w:r>
      <w:r>
        <w:rPr>
          <w:rFonts w:ascii="Arial" w:eastAsia="Times New Roman" w:hAnsi="Arial" w:cs="Arial"/>
          <w:kern w:val="0"/>
          <w:lang w:eastAsia="en-GB"/>
          <w14:ligatures w14:val="none"/>
        </w:rPr>
        <w:t xml:space="preserve"> We might just as well think about ‘healthy building syndrome’. A Harmony approach to health and well-being is, like Harmony, approaches to politics and society, pragmatic and based on finding the best possible outcome in any situation. As the Harmony Principles outlined by David Cadman and Richard Dunne suggest, important considerations include rhythm and cycle (weather, climate, individual physiological cycles), mental health (the mind and body being part of a single interconnected system), diversity (the substantial differences between </w:t>
      </w:r>
      <w:r>
        <w:rPr>
          <w:rFonts w:ascii="Arial" w:eastAsia="Times New Roman" w:hAnsi="Arial" w:cs="Arial"/>
          <w:kern w:val="0"/>
          <w:lang w:eastAsia="en-GB"/>
          <w14:ligatures w14:val="none"/>
        </w:rPr>
        <w:lastRenderedPageBreak/>
        <w:t>male and female physiology), different ethnicities vulnerability to certain complaints (such as thalassemia minor</w:t>
      </w:r>
      <w:r>
        <w:rPr>
          <w:rStyle w:val="FootnoteReference"/>
          <w:rFonts w:ascii="Arial" w:eastAsia="Times New Roman" w:hAnsi="Arial" w:cs="Arial"/>
          <w:kern w:val="0"/>
          <w:lang w:eastAsia="en-GB"/>
          <w14:ligatures w14:val="none"/>
        </w:rPr>
        <w:footnoteReference w:id="17"/>
      </w:r>
      <w:r>
        <w:rPr>
          <w:rFonts w:ascii="Arial" w:eastAsia="Times New Roman" w:hAnsi="Arial" w:cs="Arial"/>
          <w:kern w:val="0"/>
          <w:lang w:eastAsia="en-GB"/>
          <w14:ligatures w14:val="none"/>
        </w:rPr>
        <w:t xml:space="preserve">), social justice (poverty or deprivation). </w:t>
      </w:r>
    </w:p>
    <w:p w14:paraId="29003B41" w14:textId="77777777" w:rsidR="0073001D" w:rsidRDefault="0073001D" w:rsidP="0073001D">
      <w:pPr>
        <w:spacing w:after="0" w:line="240" w:lineRule="auto"/>
        <w:rPr>
          <w:rFonts w:ascii="Arial" w:eastAsia="Times New Roman" w:hAnsi="Arial" w:cs="Arial"/>
          <w:kern w:val="0"/>
          <w:lang w:eastAsia="en-GB"/>
          <w14:ligatures w14:val="none"/>
        </w:rPr>
      </w:pPr>
    </w:p>
    <w:p w14:paraId="08EDF932"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Harmony does not take a position on what is often regarded as a binary between that form of modern medical treatment which depends on surgery and drugs, and so-called alternative or complimentary medicine on the other, even though strong advocates of both sometimes engage in polarising debates. A pragmatic approach which prioritises individual well-being would employ palliative and life-saving drugs or surgery when </w:t>
      </w:r>
      <w:proofErr w:type="gramStart"/>
      <w:r>
        <w:rPr>
          <w:rFonts w:ascii="Arial" w:eastAsia="Times New Roman" w:hAnsi="Arial" w:cs="Arial"/>
          <w:kern w:val="0"/>
          <w:lang w:eastAsia="en-GB"/>
          <w14:ligatures w14:val="none"/>
        </w:rPr>
        <w:t>required, but</w:t>
      </w:r>
      <w:proofErr w:type="gramEnd"/>
      <w:r>
        <w:rPr>
          <w:rFonts w:ascii="Arial" w:eastAsia="Times New Roman" w:hAnsi="Arial" w:cs="Arial"/>
          <w:kern w:val="0"/>
          <w:lang w:eastAsia="en-GB"/>
          <w14:ligatures w14:val="none"/>
        </w:rPr>
        <w:t xml:space="preserve"> be wary of drug treatments which come with significant side-effects, unless those side-effects are outweighed by the benefits (most people who enjoy the difficult effects of chemotherapy hope to be happy and to have their lives extended.</w:t>
      </w:r>
    </w:p>
    <w:p w14:paraId="2C7D98B4" w14:textId="77777777" w:rsidR="0073001D" w:rsidRDefault="0073001D" w:rsidP="0073001D">
      <w:pPr>
        <w:spacing w:after="0" w:line="240" w:lineRule="auto"/>
        <w:rPr>
          <w:rFonts w:ascii="Arial" w:eastAsia="Times New Roman" w:hAnsi="Arial" w:cs="Arial"/>
          <w:kern w:val="0"/>
          <w:lang w:eastAsia="en-GB"/>
          <w14:ligatures w14:val="none"/>
        </w:rPr>
      </w:pPr>
    </w:p>
    <w:p w14:paraId="69580B4D" w14:textId="77777777" w:rsidR="0073001D" w:rsidRDefault="0073001D" w:rsidP="0073001D">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Regarding so-called alternative or complimentary remedies such as acupuncture (which is </w:t>
      </w:r>
      <w:proofErr w:type="gramStart"/>
      <w:r>
        <w:rPr>
          <w:rFonts w:ascii="Arial" w:eastAsia="Times New Roman" w:hAnsi="Arial" w:cs="Arial"/>
          <w:kern w:val="0"/>
          <w:lang w:eastAsia="en-GB"/>
          <w14:ligatures w14:val="none"/>
        </w:rPr>
        <w:t>actually mainstream</w:t>
      </w:r>
      <w:proofErr w:type="gramEnd"/>
      <w:r>
        <w:rPr>
          <w:rFonts w:ascii="Arial" w:eastAsia="Times New Roman" w:hAnsi="Arial" w:cs="Arial"/>
          <w:kern w:val="0"/>
          <w:lang w:eastAsia="en-GB"/>
          <w14:ligatures w14:val="none"/>
        </w:rPr>
        <w:t xml:space="preserve"> in China – the designations alternative and complimentary are western) or homeopathy, which are regarded with suspicion by many mainstream medical practitioners, they do not come with harmful side effects, and so the only consideration from a Harmony perspective, is whether individual benefits are experienced. Acupuncture, of course, exists in the same cosmological framework as feng shui, and so individual health exists within the same context as space, land, mountains, water and the flow of Chi. Movement and exercise systems such as Tai Chi and Qi Gong then become means of enhancing personal integration with the wider flow of Chi (even if from a western perspective they are just fitness routines). Yoga has the same double identity in the modern world, both retaining its original role in India as a means of spiritual transformation or enlightenment, while being a fitness practice in its western adaptation.</w:t>
      </w:r>
    </w:p>
    <w:p w14:paraId="71B687F9" w14:textId="77777777" w:rsidR="0073001D" w:rsidRDefault="0073001D" w:rsidP="0073001D">
      <w:pPr>
        <w:spacing w:after="0" w:line="240" w:lineRule="auto"/>
        <w:rPr>
          <w:rFonts w:ascii="Arial" w:eastAsia="Times New Roman" w:hAnsi="Arial" w:cs="Arial"/>
          <w:kern w:val="0"/>
          <w:lang w:eastAsia="en-GB"/>
          <w14:ligatures w14:val="none"/>
        </w:rPr>
      </w:pPr>
    </w:p>
    <w:p w14:paraId="028B5718" w14:textId="77777777" w:rsidR="0073001D" w:rsidRDefault="0073001D" w:rsidP="0073001D">
      <w:pPr>
        <w:spacing w:line="240" w:lineRule="auto"/>
        <w:contextualSpacing/>
        <w:rPr>
          <w:rFonts w:ascii="Arial" w:eastAsia="Times New Roman" w:hAnsi="Arial" w:cs="Arial"/>
          <w:kern w:val="0"/>
          <w:lang w:eastAsia="en-GB"/>
          <w14:ligatures w14:val="none"/>
        </w:rPr>
      </w:pPr>
      <w:r>
        <w:rPr>
          <w:rFonts w:ascii="Arial" w:eastAsia="Times New Roman" w:hAnsi="Arial" w:cs="Arial"/>
          <w:kern w:val="0"/>
          <w:lang w:eastAsia="en-GB"/>
          <w14:ligatures w14:val="none"/>
        </w:rPr>
        <w:t>Less controversial is the new field of social prescribing. Which might avoid the issue of medical intervention altogether by focusing on peoples emotional and psychological well-being. Typical examples of social prescribing include bringing troubled children into contact with animals or dealing with loneliness by deliberately bringing people together.</w:t>
      </w:r>
      <w:r>
        <w:rPr>
          <w:rStyle w:val="FootnoteReference"/>
          <w:rFonts w:ascii="Arial" w:eastAsia="Times New Roman" w:hAnsi="Arial" w:cs="Arial"/>
          <w:kern w:val="0"/>
          <w:lang w:eastAsia="en-GB"/>
          <w14:ligatures w14:val="none"/>
        </w:rPr>
        <w:footnoteReference w:id="18"/>
      </w:r>
    </w:p>
    <w:p w14:paraId="3698DC1B" w14:textId="77777777" w:rsidR="0073001D" w:rsidRDefault="0073001D" w:rsidP="0073001D">
      <w:pPr>
        <w:shd w:val="clear" w:color="auto" w:fill="FFFFFF"/>
        <w:spacing w:after="0" w:line="240" w:lineRule="auto"/>
        <w:ind w:left="720"/>
        <w:contextualSpacing/>
        <w:rPr>
          <w:rFonts w:ascii="Arial" w:hAnsi="Arial" w:cs="Arial"/>
          <w:color w:val="000000"/>
          <w:shd w:val="clear" w:color="auto" w:fill="FFFFFF"/>
        </w:rPr>
      </w:pPr>
    </w:p>
    <w:p w14:paraId="2140CDFB" w14:textId="77777777" w:rsidR="0073001D" w:rsidRDefault="0073001D" w:rsidP="0073001D">
      <w:pPr>
        <w:shd w:val="clear" w:color="auto" w:fill="FFFFFF"/>
        <w:spacing w:after="0" w:line="240" w:lineRule="auto"/>
        <w:ind w:left="720"/>
        <w:contextualSpacing/>
        <w:rPr>
          <w:rFonts w:ascii="Arial" w:eastAsia="Times New Roman" w:hAnsi="Arial" w:cs="Arial"/>
          <w:color w:val="222222"/>
          <w:kern w:val="0"/>
          <w:lang w:eastAsia="en-GB"/>
          <w14:ligatures w14:val="none"/>
        </w:rPr>
      </w:pPr>
      <w:r>
        <w:rPr>
          <w:rFonts w:ascii="Arial" w:hAnsi="Arial" w:cs="Arial"/>
          <w:color w:val="000000"/>
          <w:shd w:val="clear" w:color="auto" w:fill="FFFFFF"/>
        </w:rPr>
        <w:t xml:space="preserve">Social prescribing is designed to support people with a wide range of social, </w:t>
      </w:r>
      <w:proofErr w:type="gramStart"/>
      <w:r>
        <w:rPr>
          <w:rFonts w:ascii="Arial" w:hAnsi="Arial" w:cs="Arial"/>
          <w:color w:val="000000"/>
          <w:shd w:val="clear" w:color="auto" w:fill="FFFFFF"/>
        </w:rPr>
        <w:t>emotional</w:t>
      </w:r>
      <w:proofErr w:type="gramEnd"/>
      <w:r>
        <w:rPr>
          <w:rFonts w:ascii="Arial" w:hAnsi="Arial" w:cs="Arial"/>
          <w:color w:val="000000"/>
          <w:shd w:val="clear" w:color="auto" w:fill="FFFFFF"/>
        </w:rPr>
        <w:t xml:space="preserve"> or practical needs, and many schemes are focused on improving mental health and physical wellbeing. Those who could benefit from social prescribing schemes include people with mild or long-term mental health problems, people with complex needs, people who are socially isolated and those with multiple long-term conditions who frequently attend either primary or secondary health care.</w:t>
      </w:r>
      <w:r>
        <w:rPr>
          <w:rStyle w:val="FootnoteReference"/>
          <w:rFonts w:ascii="Arial" w:hAnsi="Arial" w:cs="Arial"/>
          <w:color w:val="000000"/>
          <w:shd w:val="clear" w:color="auto" w:fill="FFFFFF"/>
        </w:rPr>
        <w:footnoteReference w:id="19"/>
      </w:r>
      <w:r>
        <w:rPr>
          <w:rFonts w:ascii="Arial" w:hAnsi="Arial" w:cs="Arial"/>
          <w:color w:val="000000"/>
          <w:shd w:val="clear" w:color="auto" w:fill="FFFFFF"/>
        </w:rPr>
        <w:t> </w:t>
      </w:r>
    </w:p>
    <w:p w14:paraId="4E2ADC51" w14:textId="77777777" w:rsidR="0073001D" w:rsidRDefault="0073001D" w:rsidP="0073001D">
      <w:pPr>
        <w:shd w:val="clear" w:color="auto" w:fill="FFFFFF"/>
        <w:spacing w:line="240" w:lineRule="auto"/>
        <w:rPr>
          <w:rFonts w:ascii="Arial" w:hAnsi="Arial" w:cs="Arial"/>
          <w:color w:val="000000"/>
          <w:shd w:val="clear" w:color="auto" w:fill="FFFFFF"/>
        </w:rPr>
      </w:pPr>
    </w:p>
    <w:p w14:paraId="5D52E9DD" w14:textId="77777777" w:rsidR="0073001D" w:rsidRDefault="0073001D" w:rsidP="0073001D">
      <w:pPr>
        <w:shd w:val="clear" w:color="auto" w:fill="FFFFFF"/>
        <w:spacing w:line="240" w:lineRule="auto"/>
        <w:rPr>
          <w:rFonts w:ascii="Arial" w:hAnsi="Arial" w:cs="Arial"/>
          <w:color w:val="000000"/>
          <w:shd w:val="clear" w:color="auto" w:fill="FFFFFF"/>
        </w:rPr>
      </w:pPr>
      <w:r>
        <w:rPr>
          <w:rFonts w:ascii="Arial" w:hAnsi="Arial" w:cs="Arial"/>
          <w:color w:val="000000"/>
          <w:shd w:val="clear" w:color="auto" w:fill="FFFFFF"/>
        </w:rPr>
        <w:t>A leading organisation promoting social prescribing is the College of Medicine and Integrated Health, which has personal links with UWTSD: Michael Dixon, the College’s Chair, is on the Harmony Institute Advisory Board. The College’s website summarises the nature and function of social prescribing:</w:t>
      </w:r>
    </w:p>
    <w:p w14:paraId="50E2A657" w14:textId="77777777" w:rsidR="0073001D" w:rsidRDefault="0073001D" w:rsidP="0073001D">
      <w:pPr>
        <w:pStyle w:val="NormalWeb"/>
        <w:ind w:left="720"/>
        <w:contextualSpacing/>
        <w:textAlignment w:val="baseline"/>
        <w:rPr>
          <w:rFonts w:ascii="Arial" w:hAnsi="Arial" w:cs="Arial"/>
          <w:color w:val="1E2A05"/>
          <w:sz w:val="22"/>
          <w:szCs w:val="22"/>
        </w:rPr>
      </w:pPr>
      <w:r>
        <w:rPr>
          <w:rStyle w:val="Strong"/>
          <w:rFonts w:ascii="Arial" w:eastAsiaTheme="majorEastAsia" w:hAnsi="Arial" w:cs="Arial"/>
          <w:color w:val="1E2A05"/>
          <w:sz w:val="22"/>
          <w:szCs w:val="22"/>
          <w:bdr w:val="none" w:sz="0" w:space="0" w:color="auto" w:frame="1"/>
        </w:rPr>
        <w:lastRenderedPageBreak/>
        <w:t>We advocate for a new attitude to healthcare: one which forges partnerships across society, emphasises prevention and a multi-faceted approach and empowers a healthier, happier population. </w:t>
      </w:r>
    </w:p>
    <w:p w14:paraId="22143664" w14:textId="77777777" w:rsidR="0073001D" w:rsidRDefault="0073001D" w:rsidP="0073001D">
      <w:pPr>
        <w:pStyle w:val="NormalWeb"/>
        <w:ind w:left="720"/>
        <w:contextualSpacing/>
        <w:textAlignment w:val="baseline"/>
        <w:rPr>
          <w:rFonts w:ascii="Arial" w:hAnsi="Arial" w:cs="Arial"/>
          <w:color w:val="1E2A05"/>
          <w:sz w:val="22"/>
          <w:szCs w:val="22"/>
        </w:rPr>
      </w:pPr>
      <w:r>
        <w:rPr>
          <w:rStyle w:val="Strong"/>
          <w:rFonts w:ascii="Arial" w:eastAsiaTheme="majorEastAsia" w:hAnsi="Arial" w:cs="Arial"/>
          <w:color w:val="1E2A05"/>
          <w:sz w:val="22"/>
          <w:szCs w:val="22"/>
          <w:bdr w:val="none" w:sz="0" w:space="0" w:color="auto" w:frame="1"/>
        </w:rPr>
        <w:t>We think everyone should be part of the conversation about health, not just a select professional elite.</w:t>
      </w:r>
    </w:p>
    <w:p w14:paraId="7C776B8C" w14:textId="77777777" w:rsidR="0073001D" w:rsidRDefault="0073001D" w:rsidP="0073001D">
      <w:pPr>
        <w:pStyle w:val="NormalWeb"/>
        <w:ind w:left="720"/>
        <w:contextualSpacing/>
        <w:textAlignment w:val="baseline"/>
        <w:rPr>
          <w:rFonts w:ascii="Arial" w:hAnsi="Arial" w:cs="Arial"/>
          <w:color w:val="1E2A05"/>
          <w:sz w:val="22"/>
          <w:szCs w:val="22"/>
        </w:rPr>
      </w:pPr>
      <w:r>
        <w:rPr>
          <w:rFonts w:ascii="Arial" w:hAnsi="Arial" w:cs="Arial"/>
          <w:color w:val="1E2A05"/>
          <w:sz w:val="22"/>
          <w:szCs w:val="22"/>
        </w:rPr>
        <w:t xml:space="preserve">Founded in 2010, we bring together the experience of senior healthcare professionals and scientists who know the NHS from the inside; the lateral thinking and enthusiasm of the many students associated with the College and – centrally – the powerful voice of all those who receive healthcare, and their </w:t>
      </w:r>
      <w:proofErr w:type="spellStart"/>
      <w:r>
        <w:rPr>
          <w:rFonts w:ascii="Arial" w:hAnsi="Arial" w:cs="Arial"/>
          <w:color w:val="1E2A05"/>
          <w:sz w:val="22"/>
          <w:szCs w:val="22"/>
        </w:rPr>
        <w:t>carers</w:t>
      </w:r>
      <w:proofErr w:type="spellEnd"/>
      <w:r>
        <w:rPr>
          <w:rFonts w:ascii="Arial" w:hAnsi="Arial" w:cs="Arial"/>
          <w:color w:val="1E2A05"/>
          <w:sz w:val="22"/>
          <w:szCs w:val="22"/>
        </w:rPr>
        <w:t>.</w:t>
      </w:r>
    </w:p>
    <w:p w14:paraId="0C65D62B" w14:textId="77777777" w:rsidR="0073001D" w:rsidRDefault="0073001D" w:rsidP="0073001D">
      <w:pPr>
        <w:pStyle w:val="Heading4"/>
        <w:spacing w:line="240" w:lineRule="auto"/>
        <w:ind w:left="720"/>
        <w:contextualSpacing/>
        <w:textAlignment w:val="baseline"/>
        <w:rPr>
          <w:rFonts w:ascii="Arial" w:hAnsi="Arial" w:cs="Arial"/>
          <w:color w:val="53435D"/>
        </w:rPr>
      </w:pPr>
      <w:r>
        <w:rPr>
          <w:rFonts w:ascii="Arial" w:hAnsi="Arial" w:cs="Arial"/>
          <w:color w:val="53435D"/>
        </w:rPr>
        <w:t>Why the College of Medicine?</w:t>
      </w:r>
    </w:p>
    <w:p w14:paraId="39D5F049" w14:textId="77777777" w:rsidR="0073001D" w:rsidRDefault="0073001D" w:rsidP="0073001D">
      <w:pPr>
        <w:pStyle w:val="NormalWeb"/>
        <w:ind w:left="720"/>
        <w:contextualSpacing/>
        <w:textAlignment w:val="baseline"/>
        <w:rPr>
          <w:rFonts w:ascii="Arial" w:hAnsi="Arial" w:cs="Arial"/>
          <w:color w:val="1E2A05"/>
          <w:sz w:val="22"/>
          <w:szCs w:val="22"/>
        </w:rPr>
      </w:pPr>
      <w:r>
        <w:rPr>
          <w:rFonts w:ascii="Arial" w:hAnsi="Arial" w:cs="Arial"/>
          <w:color w:val="1E2A05"/>
          <w:sz w:val="22"/>
          <w:szCs w:val="22"/>
        </w:rPr>
        <w:t xml:space="preserve">New patterns of chronic illness are emerging in our culture, affecting millions. We don’t think that any one intervention or re-organisation is the answer, but instead want to bring together a patchwork of much broader ideas – </w:t>
      </w:r>
      <w:proofErr w:type="gramStart"/>
      <w:r>
        <w:rPr>
          <w:rFonts w:ascii="Arial" w:hAnsi="Arial" w:cs="Arial"/>
          <w:color w:val="1E2A05"/>
          <w:sz w:val="22"/>
          <w:szCs w:val="22"/>
        </w:rPr>
        <w:t>from food and exercise,</w:t>
      </w:r>
      <w:proofErr w:type="gramEnd"/>
      <w:r>
        <w:rPr>
          <w:rFonts w:ascii="Arial" w:hAnsi="Arial" w:cs="Arial"/>
          <w:color w:val="1E2A05"/>
          <w:sz w:val="22"/>
          <w:szCs w:val="22"/>
        </w:rPr>
        <w:t xml:space="preserve"> to new science, patient empowerment and integrated health. We want to bring people together to create a more compassionate, progressive, value-based, sustainable healthcare system.</w:t>
      </w:r>
      <w:r>
        <w:rPr>
          <w:rStyle w:val="FootnoteReference"/>
          <w:rFonts w:ascii="Arial" w:hAnsi="Arial" w:cs="Arial"/>
          <w:color w:val="1E2A05"/>
          <w:sz w:val="22"/>
          <w:szCs w:val="22"/>
        </w:rPr>
        <w:footnoteReference w:id="20"/>
      </w:r>
    </w:p>
    <w:p w14:paraId="5F6FF0FE" w14:textId="77777777" w:rsidR="0073001D" w:rsidRDefault="0073001D" w:rsidP="0073001D">
      <w:pPr>
        <w:pStyle w:val="NormalWeb"/>
        <w:textAlignment w:val="baseline"/>
        <w:rPr>
          <w:rFonts w:ascii="Arial" w:hAnsi="Arial" w:cs="Arial"/>
          <w:b/>
          <w:bCs/>
          <w:color w:val="222222"/>
          <w:sz w:val="22"/>
          <w:szCs w:val="22"/>
        </w:rPr>
      </w:pPr>
      <w:r>
        <w:rPr>
          <w:rFonts w:ascii="Arial" w:hAnsi="Arial" w:cs="Arial"/>
          <w:color w:val="1E2A05"/>
          <w:sz w:val="22"/>
          <w:szCs w:val="22"/>
        </w:rPr>
        <w:t> </w:t>
      </w:r>
    </w:p>
    <w:p w14:paraId="647D1D42" w14:textId="77777777" w:rsidR="0073001D" w:rsidRDefault="0073001D" w:rsidP="0073001D">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READING</w:t>
      </w:r>
    </w:p>
    <w:p w14:paraId="2ED856C7" w14:textId="77777777" w:rsidR="0073001D" w:rsidRDefault="0073001D" w:rsidP="0073001D">
      <w:pPr>
        <w:shd w:val="clear" w:color="auto" w:fill="FFFFFF"/>
        <w:spacing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We are covering three huge areas this week so please feel free to explore the issues raised as widely as you can.</w:t>
      </w:r>
    </w:p>
    <w:p w14:paraId="3C85D60D" w14:textId="77777777" w:rsidR="0073001D" w:rsidRDefault="0073001D" w:rsidP="0073001D">
      <w:pPr>
        <w:shd w:val="clear" w:color="auto" w:fill="FFFFFF"/>
        <w:spacing w:line="240" w:lineRule="auto"/>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FOR DISCUSSION ON THE FORUM</w:t>
      </w:r>
    </w:p>
    <w:p w14:paraId="75718EAE" w14:textId="77777777" w:rsidR="0073001D" w:rsidRDefault="0073001D" w:rsidP="0073001D">
      <w:pPr>
        <w:spacing w:line="240" w:lineRule="auto"/>
        <w:rPr>
          <w:rFonts w:ascii="Arial" w:hAnsi="Arial" w:cs="Arial"/>
          <w:color w:val="000000" w:themeColor="text1"/>
        </w:rPr>
      </w:pPr>
      <w:r>
        <w:rPr>
          <w:rFonts w:ascii="Arial" w:eastAsia="Times New Roman" w:hAnsi="Arial" w:cs="Arial"/>
          <w:color w:val="000000" w:themeColor="text1"/>
          <w:lang w:eastAsia="en-GB"/>
        </w:rPr>
        <w:t>Goyder, Mark. ‘</w:t>
      </w:r>
      <w:r>
        <w:rPr>
          <w:rFonts w:ascii="Arial" w:hAnsi="Arial" w:cs="Arial"/>
          <w:color w:val="000000" w:themeColor="text1"/>
        </w:rPr>
        <w:t>Rediscovering the Human Purposes of Business’, i</w:t>
      </w:r>
      <w:r>
        <w:rPr>
          <w:rFonts w:ascii="Arial" w:hAnsi="Arial" w:cs="Arial"/>
          <w:color w:val="000000" w:themeColor="text1"/>
          <w:kern w:val="36"/>
          <w:lang w:eastAsia="en-GB"/>
        </w:rPr>
        <w:t xml:space="preserve">n </w:t>
      </w:r>
      <w:r>
        <w:rPr>
          <w:rFonts w:ascii="Arial" w:hAnsi="Arial" w:cs="Arial"/>
          <w:i/>
          <w:color w:val="000000" w:themeColor="text1"/>
          <w:kern w:val="36"/>
          <w:lang w:eastAsia="en-GB"/>
        </w:rPr>
        <w:t xml:space="preserve">The Harmony Debates: </w:t>
      </w:r>
      <w:r>
        <w:rPr>
          <w:rFonts w:ascii="Arial" w:hAnsi="Arial" w:cs="Arial"/>
          <w:i/>
          <w:color w:val="000000" w:themeColor="text1"/>
          <w:kern w:val="36"/>
          <w:shd w:val="clear" w:color="auto" w:fill="FFFFFF"/>
          <w:lang w:eastAsia="en-GB"/>
        </w:rPr>
        <w:t>Exploring a practical philosophy for a sustainable future</w:t>
      </w:r>
      <w:r>
        <w:rPr>
          <w:rFonts w:ascii="Arial" w:hAnsi="Arial" w:cs="Arial"/>
          <w:color w:val="000000" w:themeColor="text1"/>
          <w:kern w:val="36"/>
          <w:lang w:eastAsia="en-GB"/>
        </w:rPr>
        <w:t xml:space="preserve">, edited by Nicholas Campion </w:t>
      </w:r>
      <w:r>
        <w:rPr>
          <w:rFonts w:ascii="Arial" w:hAnsi="Arial" w:cs="Arial"/>
          <w:color w:val="000000" w:themeColor="text1"/>
        </w:rPr>
        <w:t>(</w:t>
      </w:r>
      <w:r>
        <w:rPr>
          <w:rFonts w:ascii="Arial" w:hAnsi="Arial" w:cs="Arial"/>
          <w:color w:val="000000" w:themeColor="text1"/>
          <w:kern w:val="36"/>
          <w:lang w:eastAsia="en-GB"/>
        </w:rPr>
        <w:t>Lampeter: Sophia Centre Press, 2020)</w:t>
      </w:r>
      <w:r>
        <w:rPr>
          <w:rFonts w:ascii="Arial" w:hAnsi="Arial" w:cs="Arial"/>
          <w:color w:val="000000" w:themeColor="text1"/>
        </w:rPr>
        <w:t xml:space="preserve"> pp. 539–62. </w:t>
      </w:r>
    </w:p>
    <w:p w14:paraId="207BA0E0" w14:textId="77777777" w:rsidR="0073001D" w:rsidRDefault="0073001D" w:rsidP="0073001D">
      <w:pPr>
        <w:spacing w:line="240" w:lineRule="auto"/>
        <w:rPr>
          <w:rFonts w:ascii="Arial" w:hAnsi="Arial" w:cs="Arial"/>
          <w:b/>
          <w:bCs/>
        </w:rPr>
      </w:pPr>
    </w:p>
    <w:p w14:paraId="41D767FF" w14:textId="77777777" w:rsidR="0073001D" w:rsidRDefault="0073001D" w:rsidP="0073001D">
      <w:pPr>
        <w:spacing w:line="240" w:lineRule="auto"/>
        <w:rPr>
          <w:rFonts w:ascii="Arial" w:hAnsi="Arial" w:cs="Arial"/>
          <w:b/>
          <w:bCs/>
        </w:rPr>
      </w:pPr>
      <w:r>
        <w:rPr>
          <w:rFonts w:ascii="Arial" w:hAnsi="Arial" w:cs="Arial"/>
          <w:b/>
          <w:bCs/>
        </w:rPr>
        <w:t>SUGGESTED READING</w:t>
      </w:r>
    </w:p>
    <w:p w14:paraId="7FBD8B6F" w14:textId="11049D63" w:rsidR="0073001D" w:rsidRDefault="0073001D" w:rsidP="0073001D">
      <w:pPr>
        <w:spacing w:line="240" w:lineRule="auto"/>
        <w:rPr>
          <w:rFonts w:ascii="Arial" w:hAnsi="Arial" w:cs="Arial"/>
          <w:b/>
          <w:bCs/>
        </w:rPr>
      </w:pPr>
      <w:r>
        <w:rPr>
          <w:rFonts w:ascii="Arial" w:hAnsi="Arial" w:cs="Arial"/>
          <w:b/>
          <w:bCs/>
        </w:rPr>
        <w:t xml:space="preserve">Please be selective and consider what may be important for your second essay. You may wish to conduct further literature searches if your own in </w:t>
      </w:r>
      <w:r w:rsidR="006B745F">
        <w:rPr>
          <w:rFonts w:ascii="Arial" w:hAnsi="Arial" w:cs="Arial"/>
          <w:b/>
          <w:bCs/>
        </w:rPr>
        <w:t>line with your interests.</w:t>
      </w:r>
    </w:p>
    <w:p w14:paraId="259B0D73" w14:textId="77777777" w:rsidR="0073001D" w:rsidRDefault="0073001D" w:rsidP="0073001D">
      <w:pPr>
        <w:spacing w:line="240" w:lineRule="auto"/>
        <w:rPr>
          <w:rFonts w:ascii="Arial" w:hAnsi="Arial" w:cs="Arial"/>
          <w:b/>
          <w:bCs/>
        </w:rPr>
      </w:pPr>
      <w:r>
        <w:rPr>
          <w:rFonts w:ascii="Arial" w:hAnsi="Arial" w:cs="Arial"/>
          <w:b/>
          <w:bCs/>
        </w:rPr>
        <w:t>Community and Architecture</w:t>
      </w:r>
    </w:p>
    <w:p w14:paraId="485FAC73" w14:textId="77777777" w:rsidR="0073001D" w:rsidRDefault="0073001D" w:rsidP="0073001D">
      <w:pPr>
        <w:spacing w:line="240" w:lineRule="auto"/>
        <w:rPr>
          <w:rFonts w:ascii="Arial" w:hAnsi="Arial" w:cs="Arial"/>
          <w:color w:val="000000" w:themeColor="text1"/>
        </w:rPr>
      </w:pPr>
      <w:r>
        <w:rPr>
          <w:rFonts w:ascii="Arial" w:hAnsi="Arial" w:cs="Arial"/>
          <w:color w:val="000000" w:themeColor="text1"/>
        </w:rPr>
        <w:t>Davies, Tania, ‘An Investigation into Well-Being in Wales’, i</w:t>
      </w:r>
      <w:r>
        <w:rPr>
          <w:rFonts w:ascii="Arial" w:hAnsi="Arial" w:cs="Arial"/>
          <w:color w:val="000000" w:themeColor="text1"/>
          <w:kern w:val="36"/>
          <w:lang w:eastAsia="en-GB"/>
        </w:rPr>
        <w:t xml:space="preserve">n </w:t>
      </w:r>
      <w:r>
        <w:rPr>
          <w:rFonts w:ascii="Arial" w:hAnsi="Arial" w:cs="Arial"/>
          <w:i/>
          <w:color w:val="000000" w:themeColor="text1"/>
          <w:kern w:val="36"/>
          <w:lang w:eastAsia="en-GB"/>
        </w:rPr>
        <w:t xml:space="preserve">The Harmony Debates: </w:t>
      </w:r>
      <w:r>
        <w:rPr>
          <w:rFonts w:ascii="Arial" w:hAnsi="Arial" w:cs="Arial"/>
          <w:i/>
          <w:color w:val="000000" w:themeColor="text1"/>
          <w:kern w:val="36"/>
          <w:shd w:val="clear" w:color="auto" w:fill="FFFFFF"/>
          <w:lang w:eastAsia="en-GB"/>
        </w:rPr>
        <w:t>Exploring a practical philosophy for a sustainable future</w:t>
      </w:r>
      <w:r>
        <w:rPr>
          <w:rFonts w:ascii="Arial" w:hAnsi="Arial" w:cs="Arial"/>
          <w:color w:val="000000" w:themeColor="text1"/>
          <w:kern w:val="36"/>
          <w:lang w:eastAsia="en-GB"/>
        </w:rPr>
        <w:t xml:space="preserve">, edited by Nicholas Campion </w:t>
      </w:r>
      <w:r>
        <w:rPr>
          <w:rFonts w:ascii="Arial" w:hAnsi="Arial" w:cs="Arial"/>
          <w:color w:val="000000" w:themeColor="text1"/>
        </w:rPr>
        <w:t>(</w:t>
      </w:r>
      <w:r>
        <w:rPr>
          <w:rFonts w:ascii="Arial" w:hAnsi="Arial" w:cs="Arial"/>
          <w:color w:val="000000" w:themeColor="text1"/>
          <w:kern w:val="36"/>
          <w:lang w:eastAsia="en-GB"/>
        </w:rPr>
        <w:t xml:space="preserve">Lampeter: Sophia Centre Press, 2020) </w:t>
      </w:r>
      <w:r>
        <w:rPr>
          <w:rFonts w:ascii="Arial" w:hAnsi="Arial" w:cs="Arial"/>
          <w:color w:val="000000" w:themeColor="text1"/>
        </w:rPr>
        <w:t xml:space="preserve">pp. 497–506. </w:t>
      </w:r>
    </w:p>
    <w:p w14:paraId="1967900C" w14:textId="77777777" w:rsidR="0073001D" w:rsidRDefault="0073001D" w:rsidP="0073001D">
      <w:pPr>
        <w:spacing w:line="240" w:lineRule="auto"/>
        <w:rPr>
          <w:rFonts w:ascii="Arial" w:hAnsi="Arial" w:cs="Arial"/>
          <w:color w:val="000000" w:themeColor="text1"/>
        </w:rPr>
      </w:pPr>
      <w:r>
        <w:rPr>
          <w:rFonts w:ascii="Arial" w:hAnsi="Arial" w:cs="Arial"/>
          <w:color w:val="000000" w:themeColor="text1"/>
        </w:rPr>
        <w:t>Durke, Mike. ‘From Despair to Hope: Building Harmony in a Challenged Community’, i</w:t>
      </w:r>
      <w:r>
        <w:rPr>
          <w:rFonts w:ascii="Arial" w:hAnsi="Arial" w:cs="Arial"/>
          <w:color w:val="000000" w:themeColor="text1"/>
          <w:kern w:val="36"/>
          <w:lang w:eastAsia="en-GB"/>
        </w:rPr>
        <w:t xml:space="preserve">n </w:t>
      </w:r>
      <w:r>
        <w:rPr>
          <w:rFonts w:ascii="Arial" w:hAnsi="Arial" w:cs="Arial"/>
          <w:i/>
          <w:color w:val="000000" w:themeColor="text1"/>
          <w:kern w:val="36"/>
          <w:lang w:eastAsia="en-GB"/>
        </w:rPr>
        <w:t xml:space="preserve">The Harmony Debates: </w:t>
      </w:r>
      <w:r>
        <w:rPr>
          <w:rFonts w:ascii="Arial" w:hAnsi="Arial" w:cs="Arial"/>
          <w:i/>
          <w:color w:val="000000" w:themeColor="text1"/>
          <w:kern w:val="36"/>
          <w:shd w:val="clear" w:color="auto" w:fill="FFFFFF"/>
          <w:lang w:eastAsia="en-GB"/>
        </w:rPr>
        <w:t>Exploring a practical philosophy for a sustainable future</w:t>
      </w:r>
      <w:r>
        <w:rPr>
          <w:rFonts w:ascii="Arial" w:hAnsi="Arial" w:cs="Arial"/>
          <w:color w:val="000000" w:themeColor="text1"/>
          <w:kern w:val="36"/>
          <w:lang w:eastAsia="en-GB"/>
        </w:rPr>
        <w:t xml:space="preserve">, edited by Nicholas Campion </w:t>
      </w:r>
      <w:r>
        <w:rPr>
          <w:rFonts w:ascii="Arial" w:hAnsi="Arial" w:cs="Arial"/>
          <w:color w:val="000000" w:themeColor="text1"/>
        </w:rPr>
        <w:t>(</w:t>
      </w:r>
      <w:r>
        <w:rPr>
          <w:rFonts w:ascii="Arial" w:hAnsi="Arial" w:cs="Arial"/>
          <w:color w:val="000000" w:themeColor="text1"/>
          <w:kern w:val="36"/>
          <w:lang w:eastAsia="en-GB"/>
        </w:rPr>
        <w:t xml:space="preserve">Lampeter: Sophia Centre Press, 2020) </w:t>
      </w:r>
      <w:r>
        <w:rPr>
          <w:rFonts w:ascii="Arial" w:hAnsi="Arial" w:cs="Arial"/>
          <w:color w:val="000000" w:themeColor="text1"/>
        </w:rPr>
        <w:t xml:space="preserve">pp. 515–32. </w:t>
      </w:r>
      <w:r>
        <w:rPr>
          <w:rFonts w:ascii="Arial" w:hAnsi="Arial" w:cs="Arial"/>
          <w:color w:val="000000" w:themeColor="text1"/>
          <w:kern w:val="36"/>
          <w:lang w:eastAsia="en-GB"/>
        </w:rPr>
        <w:t>#</w:t>
      </w:r>
    </w:p>
    <w:p w14:paraId="350DCECA" w14:textId="77777777" w:rsidR="0073001D" w:rsidRDefault="0073001D" w:rsidP="0073001D">
      <w:pPr>
        <w:shd w:val="clear" w:color="auto" w:fill="FFFFFF"/>
        <w:spacing w:after="48" w:line="24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Howard, </w:t>
      </w:r>
      <w:proofErr w:type="gramStart"/>
      <w:r>
        <w:rPr>
          <w:rFonts w:ascii="Arial" w:eastAsia="Times New Roman" w:hAnsi="Arial" w:cs="Arial"/>
          <w:color w:val="000000" w:themeColor="text1"/>
          <w:kern w:val="0"/>
          <w:lang w:eastAsia="en-GB"/>
          <w14:ligatures w14:val="none"/>
        </w:rPr>
        <w:t>Deborah</w:t>
      </w:r>
      <w:proofErr w:type="gramEnd"/>
      <w:r>
        <w:rPr>
          <w:rFonts w:ascii="Arial" w:eastAsia="Times New Roman" w:hAnsi="Arial" w:cs="Arial"/>
          <w:color w:val="000000" w:themeColor="text1"/>
          <w:kern w:val="0"/>
          <w:lang w:eastAsia="en-GB"/>
          <w14:ligatures w14:val="none"/>
        </w:rPr>
        <w:t xml:space="preserve"> and Malcolm </w:t>
      </w:r>
      <w:proofErr w:type="spellStart"/>
      <w:r>
        <w:rPr>
          <w:rFonts w:ascii="Arial" w:eastAsia="Times New Roman" w:hAnsi="Arial" w:cs="Arial"/>
          <w:color w:val="000000" w:themeColor="text1"/>
          <w:kern w:val="0"/>
          <w:lang w:eastAsia="en-GB"/>
          <w14:ligatures w14:val="none"/>
        </w:rPr>
        <w:t>Longair</w:t>
      </w:r>
      <w:proofErr w:type="spellEnd"/>
      <w:r>
        <w:rPr>
          <w:rFonts w:ascii="Arial" w:eastAsia="Times New Roman" w:hAnsi="Arial" w:cs="Arial"/>
          <w:color w:val="000000" w:themeColor="text1"/>
          <w:kern w:val="0"/>
          <w:lang w:eastAsia="en-GB"/>
          <w14:ligatures w14:val="none"/>
        </w:rPr>
        <w:t>, ‘Harmonic Proportion and Palladio's "Quattro Libri"’</w:t>
      </w:r>
    </w:p>
    <w:p w14:paraId="6DC2D839" w14:textId="77777777" w:rsidR="0073001D" w:rsidRDefault="0073001D" w:rsidP="0073001D">
      <w:pPr>
        <w:shd w:val="clear" w:color="auto" w:fill="FFFFFF"/>
        <w:spacing w:after="48" w:line="240" w:lineRule="auto"/>
        <w:rPr>
          <w:rFonts w:ascii="Arial" w:eastAsia="Times New Roman" w:hAnsi="Arial" w:cs="Arial"/>
          <w:color w:val="000000" w:themeColor="text1"/>
          <w:kern w:val="0"/>
          <w:lang w:eastAsia="en-GB"/>
          <w14:ligatures w14:val="none"/>
        </w:rPr>
      </w:pPr>
      <w:r>
        <w:rPr>
          <w:rFonts w:ascii="Arial" w:eastAsia="Times New Roman" w:hAnsi="Arial" w:cs="Arial"/>
          <w:i/>
          <w:iCs/>
          <w:color w:val="000000" w:themeColor="text1"/>
          <w:kern w:val="0"/>
          <w:lang w:eastAsia="en-GB"/>
          <w14:ligatures w14:val="none"/>
        </w:rPr>
        <w:t>Journal of the Society of Architectural Historians</w:t>
      </w:r>
      <w:r>
        <w:rPr>
          <w:rFonts w:ascii="Arial" w:eastAsia="Times New Roman" w:hAnsi="Arial" w:cs="Arial"/>
          <w:color w:val="000000" w:themeColor="text1"/>
          <w:kern w:val="0"/>
          <w:lang w:eastAsia="en-GB"/>
          <w14:ligatures w14:val="none"/>
        </w:rPr>
        <w:t>, 1982, Vol.41 (2), p.116-143</w:t>
      </w:r>
    </w:p>
    <w:p w14:paraId="66EDEF6D" w14:textId="77777777" w:rsidR="0073001D" w:rsidRDefault="0073001D" w:rsidP="0073001D">
      <w:pPr>
        <w:spacing w:line="240" w:lineRule="auto"/>
        <w:contextualSpacing/>
        <w:rPr>
          <w:rFonts w:ascii="Arial" w:hAnsi="Arial" w:cs="Arial"/>
          <w:color w:val="000000" w:themeColor="text1"/>
        </w:rPr>
      </w:pPr>
    </w:p>
    <w:p w14:paraId="51071804" w14:textId="77777777" w:rsidR="0073001D" w:rsidRDefault="0073001D" w:rsidP="0073001D">
      <w:pPr>
        <w:shd w:val="clear" w:color="auto" w:fill="FFFFFF"/>
        <w:spacing w:line="240" w:lineRule="auto"/>
        <w:rPr>
          <w:rFonts w:ascii="Arial" w:hAnsi="Arial" w:cs="Arial"/>
          <w:color w:val="000000" w:themeColor="text1"/>
        </w:rPr>
      </w:pPr>
      <w:r>
        <w:rPr>
          <w:rFonts w:ascii="Arial" w:hAnsi="Arial" w:cs="Arial"/>
          <w:color w:val="000000" w:themeColor="text1"/>
        </w:rPr>
        <w:t xml:space="preserve">Ip, Po-Keung, ‘Harmony as Happiness? Social Harmony in Two Chinese Societies’. </w:t>
      </w:r>
      <w:r>
        <w:rPr>
          <w:rFonts w:ascii="Arial" w:hAnsi="Arial" w:cs="Arial"/>
          <w:i/>
          <w:iCs/>
          <w:color w:val="000000" w:themeColor="text1"/>
        </w:rPr>
        <w:t>Dordrecht: Springer, Social Indicators Research</w:t>
      </w:r>
      <w:r>
        <w:rPr>
          <w:rFonts w:ascii="Arial" w:hAnsi="Arial" w:cs="Arial"/>
          <w:color w:val="000000" w:themeColor="text1"/>
        </w:rPr>
        <w:t xml:space="preserve"> 117, no. 3 (2014): pp. 719–41. </w:t>
      </w:r>
      <w:r>
        <w:rPr>
          <w:rFonts w:ascii="Arial" w:eastAsia="Times New Roman" w:hAnsi="Arial" w:cs="Arial"/>
          <w:color w:val="000000" w:themeColor="text1"/>
          <w:lang w:eastAsia="en-GB"/>
        </w:rPr>
        <w:t>Online</w:t>
      </w:r>
      <w:r>
        <w:rPr>
          <w:rFonts w:ascii="Arial" w:eastAsia="Times New Roman" w:hAnsi="Arial" w:cs="Arial"/>
          <w:b/>
          <w:bCs/>
          <w:color w:val="000000" w:themeColor="text1"/>
          <w:lang w:eastAsia="en-GB"/>
        </w:rPr>
        <w:t xml:space="preserve"> </w:t>
      </w:r>
      <w:r>
        <w:rPr>
          <w:rFonts w:ascii="Arial" w:hAnsi="Arial" w:cs="Arial"/>
          <w:color w:val="000000" w:themeColor="text1"/>
        </w:rPr>
        <w:t>University Library.</w:t>
      </w:r>
    </w:p>
    <w:p w14:paraId="18312F1E" w14:textId="77777777" w:rsidR="0073001D" w:rsidRDefault="0073001D" w:rsidP="0073001D">
      <w:pPr>
        <w:spacing w:line="240" w:lineRule="auto"/>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Parker, Rachel, ‘Harmony and Societal Challenges: Empowering Communities’</w:t>
      </w:r>
      <w:r>
        <w:rPr>
          <w:rFonts w:ascii="Arial" w:hAnsi="Arial" w:cs="Arial"/>
          <w:color w:val="000000" w:themeColor="text1"/>
        </w:rPr>
        <w:t>, i</w:t>
      </w:r>
      <w:r>
        <w:rPr>
          <w:rFonts w:ascii="Arial" w:hAnsi="Arial" w:cs="Arial"/>
          <w:color w:val="000000" w:themeColor="text1"/>
          <w:kern w:val="36"/>
          <w:lang w:eastAsia="en-GB"/>
        </w:rPr>
        <w:t xml:space="preserve">n </w:t>
      </w:r>
      <w:r>
        <w:rPr>
          <w:rFonts w:ascii="Arial" w:hAnsi="Arial" w:cs="Arial"/>
          <w:i/>
          <w:color w:val="000000" w:themeColor="text1"/>
          <w:kern w:val="36"/>
          <w:lang w:eastAsia="en-GB"/>
        </w:rPr>
        <w:t xml:space="preserve">The Harmony Debates: </w:t>
      </w:r>
      <w:r>
        <w:rPr>
          <w:rFonts w:ascii="Arial" w:hAnsi="Arial" w:cs="Arial"/>
          <w:i/>
          <w:color w:val="000000" w:themeColor="text1"/>
          <w:kern w:val="36"/>
          <w:shd w:val="clear" w:color="auto" w:fill="FFFFFF"/>
          <w:lang w:eastAsia="en-GB"/>
        </w:rPr>
        <w:t>Exploring a practical philosophy for a sustainable future</w:t>
      </w:r>
      <w:r>
        <w:rPr>
          <w:rFonts w:ascii="Arial" w:hAnsi="Arial" w:cs="Arial"/>
          <w:color w:val="000000" w:themeColor="text1"/>
          <w:kern w:val="36"/>
          <w:lang w:eastAsia="en-GB"/>
        </w:rPr>
        <w:t xml:space="preserve">, edited by Nicholas Campion </w:t>
      </w:r>
      <w:r>
        <w:rPr>
          <w:rFonts w:ascii="Arial" w:hAnsi="Arial" w:cs="Arial"/>
          <w:color w:val="000000" w:themeColor="text1"/>
        </w:rPr>
        <w:t>(</w:t>
      </w:r>
      <w:r>
        <w:rPr>
          <w:rFonts w:ascii="Arial" w:hAnsi="Arial" w:cs="Arial"/>
          <w:color w:val="000000" w:themeColor="text1"/>
          <w:kern w:val="36"/>
          <w:lang w:eastAsia="en-GB"/>
        </w:rPr>
        <w:t xml:space="preserve">Lampeter: Sophia Centre Press, 2020) </w:t>
      </w:r>
      <w:r>
        <w:rPr>
          <w:rFonts w:ascii="Arial" w:hAnsi="Arial" w:cs="Arial"/>
          <w:color w:val="000000" w:themeColor="text1"/>
        </w:rPr>
        <w:t xml:space="preserve">pp. 507–14. </w:t>
      </w:r>
    </w:p>
    <w:p w14:paraId="31E94753" w14:textId="77777777" w:rsidR="0073001D" w:rsidRDefault="0073001D" w:rsidP="0073001D">
      <w:pPr>
        <w:rPr>
          <w:rFonts w:ascii="Arial" w:hAnsi="Arial" w:cs="Arial"/>
        </w:rPr>
      </w:pPr>
      <w:r>
        <w:rPr>
          <w:rFonts w:ascii="Arial" w:hAnsi="Arial" w:cs="Arial"/>
        </w:rPr>
        <w:t xml:space="preserve">Winston, Anna, ‘Prince Charles reveals 10 principles for “more mature view” of urban design, </w:t>
      </w:r>
      <w:proofErr w:type="spellStart"/>
      <w:r>
        <w:rPr>
          <w:rFonts w:ascii="Arial" w:hAnsi="Arial" w:cs="Arial"/>
          <w:i/>
          <w:iCs/>
        </w:rPr>
        <w:t>dezeen</w:t>
      </w:r>
      <w:proofErr w:type="spellEnd"/>
      <w:r>
        <w:rPr>
          <w:rFonts w:ascii="Arial" w:hAnsi="Arial" w:cs="Arial"/>
          <w:i/>
          <w:iCs/>
        </w:rPr>
        <w:t>,</w:t>
      </w:r>
      <w:r>
        <w:rPr>
          <w:rFonts w:ascii="Arial" w:hAnsi="Arial" w:cs="Arial"/>
        </w:rPr>
        <w:t xml:space="preserve"> 21 December 2014, https://www.dezeen.com/2014/12/21/prince-charles-reveals-10-principles-for-more-mature-view-of-urban-design/? [accessed 6 March 2024].</w:t>
      </w:r>
    </w:p>
    <w:p w14:paraId="5D62022F" w14:textId="77777777" w:rsidR="0073001D" w:rsidRDefault="0073001D" w:rsidP="0073001D">
      <w:pPr>
        <w:shd w:val="clear" w:color="auto" w:fill="FFFFFF"/>
        <w:spacing w:line="240" w:lineRule="auto"/>
        <w:rPr>
          <w:rFonts w:ascii="Arial" w:hAnsi="Arial" w:cs="Arial"/>
          <w:color w:val="000000" w:themeColor="text1"/>
        </w:rPr>
      </w:pPr>
      <w:r>
        <w:rPr>
          <w:rFonts w:ascii="Arial" w:eastAsia="Times New Roman" w:hAnsi="Arial" w:cs="Arial"/>
          <w:color w:val="000000" w:themeColor="text1"/>
          <w:lang w:eastAsia="en-GB"/>
        </w:rPr>
        <w:t xml:space="preserve">Zhang, </w:t>
      </w:r>
      <w:proofErr w:type="spellStart"/>
      <w:r>
        <w:rPr>
          <w:rFonts w:ascii="Arial" w:eastAsia="Times New Roman" w:hAnsi="Arial" w:cs="Arial"/>
          <w:color w:val="000000" w:themeColor="text1"/>
          <w:lang w:eastAsia="en-GB"/>
        </w:rPr>
        <w:t>Shaoying</w:t>
      </w:r>
      <w:proofErr w:type="spellEnd"/>
      <w:r>
        <w:rPr>
          <w:rFonts w:ascii="Arial" w:eastAsia="Times New Roman" w:hAnsi="Arial" w:cs="Arial"/>
          <w:color w:val="000000" w:themeColor="text1"/>
          <w:lang w:eastAsia="en-GB"/>
        </w:rPr>
        <w:t xml:space="preserve">, and Derek McGhee, ‘Governing for and through harmonious community: the emergence of moral clinics in China’, </w:t>
      </w:r>
      <w:r>
        <w:rPr>
          <w:rFonts w:ascii="Arial" w:eastAsia="Times New Roman" w:hAnsi="Arial" w:cs="Arial"/>
          <w:i/>
          <w:iCs/>
          <w:color w:val="000000" w:themeColor="text1"/>
          <w:lang w:eastAsia="en-GB"/>
        </w:rPr>
        <w:t>Urban studies</w:t>
      </w:r>
      <w:r>
        <w:rPr>
          <w:rFonts w:ascii="Arial" w:eastAsia="Times New Roman" w:hAnsi="Arial" w:cs="Arial"/>
          <w:color w:val="000000" w:themeColor="text1"/>
          <w:lang w:eastAsia="en-GB"/>
        </w:rPr>
        <w:t xml:space="preserve"> 58, no. 11 (2021): pp. 2369–85. Online</w:t>
      </w:r>
      <w:r>
        <w:rPr>
          <w:rFonts w:ascii="Arial" w:eastAsia="Times New Roman" w:hAnsi="Arial" w:cs="Arial"/>
          <w:b/>
          <w:bCs/>
          <w:color w:val="000000" w:themeColor="text1"/>
          <w:lang w:eastAsia="en-GB"/>
        </w:rPr>
        <w:t xml:space="preserve"> </w:t>
      </w:r>
      <w:r>
        <w:rPr>
          <w:rFonts w:ascii="Arial" w:hAnsi="Arial" w:cs="Arial"/>
          <w:color w:val="000000" w:themeColor="text1"/>
        </w:rPr>
        <w:t>University Library</w:t>
      </w:r>
    </w:p>
    <w:p w14:paraId="13FAA669" w14:textId="77777777" w:rsidR="0073001D" w:rsidRDefault="0073001D" w:rsidP="0073001D">
      <w:pPr>
        <w:pStyle w:val="FootnoteText"/>
        <w:rPr>
          <w:rFonts w:ascii="Arial" w:hAnsi="Arial" w:cs="Arial"/>
          <w:b/>
          <w:bCs/>
          <w:color w:val="000000" w:themeColor="text1"/>
          <w:spacing w:val="-5"/>
          <w:sz w:val="22"/>
          <w:szCs w:val="22"/>
          <w:shd w:val="clear" w:color="auto" w:fill="FFFFFF"/>
        </w:rPr>
      </w:pPr>
    </w:p>
    <w:p w14:paraId="11CEBBC0" w14:textId="77777777" w:rsidR="0073001D" w:rsidRDefault="0073001D" w:rsidP="0073001D">
      <w:pPr>
        <w:pStyle w:val="FootnoteText"/>
        <w:spacing w:after="160"/>
        <w:rPr>
          <w:rFonts w:ascii="Arial" w:hAnsi="Arial" w:cs="Arial"/>
          <w:b/>
          <w:bCs/>
          <w:color w:val="000000" w:themeColor="text1"/>
          <w:sz w:val="22"/>
          <w:szCs w:val="22"/>
        </w:rPr>
      </w:pPr>
      <w:r>
        <w:rPr>
          <w:rFonts w:ascii="Arial" w:hAnsi="Arial" w:cs="Arial"/>
          <w:b/>
          <w:bCs/>
          <w:color w:val="000000" w:themeColor="text1"/>
          <w:sz w:val="22"/>
          <w:szCs w:val="22"/>
        </w:rPr>
        <w:t>Business</w:t>
      </w:r>
    </w:p>
    <w:p w14:paraId="430571AB" w14:textId="77777777" w:rsidR="0073001D" w:rsidRDefault="0073001D" w:rsidP="0073001D">
      <w:pPr>
        <w:spacing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Cohen, Steven. ‘Defining The Sustainable City’, in </w:t>
      </w:r>
      <w:r>
        <w:rPr>
          <w:rFonts w:ascii="Arial" w:eastAsia="Times New Roman" w:hAnsi="Arial" w:cs="Arial"/>
          <w:i/>
          <w:iCs/>
          <w:color w:val="000000" w:themeColor="text1"/>
          <w:lang w:eastAsia="en-GB"/>
        </w:rPr>
        <w:t>The Sustainable City</w:t>
      </w:r>
      <w:r>
        <w:rPr>
          <w:rFonts w:ascii="Arial" w:eastAsia="Times New Roman" w:hAnsi="Arial" w:cs="Arial"/>
          <w:color w:val="000000" w:themeColor="text1"/>
          <w:lang w:eastAsia="en-GB"/>
        </w:rPr>
        <w:t xml:space="preserve"> (New York: Columbia University Press, 2018). pp. 3–14. </w:t>
      </w:r>
      <w:hyperlink r:id="rId7" w:history="1">
        <w:r>
          <w:rPr>
            <w:rStyle w:val="Hyperlink"/>
            <w:rFonts w:ascii="Arial" w:eastAsia="Times New Roman" w:hAnsi="Arial" w:cs="Arial"/>
            <w:color w:val="000000" w:themeColor="text1"/>
            <w:lang w:eastAsia="en-GB"/>
          </w:rPr>
          <w:t>http://www.jstor.org/stable/10.7312/cohe18204.5</w:t>
        </w:r>
      </w:hyperlink>
      <w:r>
        <w:rPr>
          <w:rFonts w:ascii="Arial" w:eastAsia="Times New Roman" w:hAnsi="Arial" w:cs="Arial"/>
          <w:color w:val="000000" w:themeColor="text1"/>
          <w:lang w:eastAsia="en-GB"/>
        </w:rPr>
        <w:t xml:space="preserve"> [accessed 5 Oct. 2023].</w:t>
      </w:r>
    </w:p>
    <w:p w14:paraId="42E67A72" w14:textId="77777777" w:rsidR="0073001D" w:rsidRDefault="0073001D" w:rsidP="0073001D">
      <w:pPr>
        <w:shd w:val="clear" w:color="auto" w:fill="FFFFFF"/>
        <w:spacing w:line="240" w:lineRule="auto"/>
        <w:contextualSpacing/>
        <w:rPr>
          <w:rFonts w:ascii="Arial" w:hAnsi="Arial" w:cs="Arial"/>
          <w:color w:val="000000" w:themeColor="text1"/>
        </w:rPr>
      </w:pPr>
      <w:r>
        <w:rPr>
          <w:rFonts w:ascii="Arial" w:eastAsia="Times New Roman" w:hAnsi="Arial" w:cs="Arial"/>
          <w:color w:val="000000" w:themeColor="text1"/>
          <w:lang w:eastAsia="en-GB"/>
        </w:rPr>
        <w:t xml:space="preserve">Dorn, James A, ‘Creating Financial Harmony: lessons for China’. </w:t>
      </w:r>
      <w:r>
        <w:rPr>
          <w:rFonts w:ascii="Arial" w:eastAsia="Times New Roman" w:hAnsi="Arial" w:cs="Arial"/>
          <w:i/>
          <w:iCs/>
          <w:color w:val="000000" w:themeColor="text1"/>
          <w:lang w:eastAsia="en-GB"/>
        </w:rPr>
        <w:t>The Cato Journal</w:t>
      </w:r>
      <w:r>
        <w:rPr>
          <w:rFonts w:ascii="Arial" w:eastAsia="Times New Roman" w:hAnsi="Arial" w:cs="Arial"/>
          <w:color w:val="000000" w:themeColor="text1"/>
          <w:lang w:eastAsia="en-GB"/>
        </w:rPr>
        <w:t xml:space="preserve"> 28, no.3 (2008): pp. 535–53.</w:t>
      </w:r>
    </w:p>
    <w:p w14:paraId="1EF452A4" w14:textId="77777777" w:rsidR="0073001D" w:rsidRDefault="0073001D" w:rsidP="0073001D">
      <w:pPr>
        <w:spacing w:line="240" w:lineRule="auto"/>
        <w:contextualSpacing/>
        <w:rPr>
          <w:rFonts w:ascii="Arial" w:hAnsi="Arial" w:cs="Arial"/>
          <w:color w:val="000000" w:themeColor="text1"/>
          <w:kern w:val="0"/>
          <w14:ligatures w14:val="none"/>
        </w:rPr>
      </w:pPr>
    </w:p>
    <w:p w14:paraId="1E130E49" w14:textId="77777777" w:rsidR="0073001D" w:rsidRDefault="0073001D" w:rsidP="0073001D">
      <w:pPr>
        <w:spacing w:after="240" w:line="240" w:lineRule="auto"/>
        <w:rPr>
          <w:rFonts w:ascii="Arial" w:hAnsi="Arial" w:cs="Arial"/>
          <w:color w:val="000000" w:themeColor="text1"/>
        </w:rPr>
      </w:pPr>
      <w:r>
        <w:rPr>
          <w:rFonts w:ascii="Arial" w:hAnsi="Arial" w:cs="Arial"/>
          <w:color w:val="000000" w:themeColor="text1"/>
        </w:rPr>
        <w:t xml:space="preserve">Downer, Leo’ ‘Implementing Harmony: Wellness Tourism’, in Nicholas Campion, ed., </w:t>
      </w:r>
      <w:r>
        <w:rPr>
          <w:rFonts w:ascii="Arial" w:hAnsi="Arial" w:cs="Arial"/>
          <w:i/>
          <w:color w:val="000000" w:themeColor="text1"/>
        </w:rPr>
        <w:t>The Harmony Debates:</w:t>
      </w:r>
      <w:r>
        <w:rPr>
          <w:rFonts w:ascii="Arial" w:hAnsi="Arial" w:cs="Arial"/>
          <w:color w:val="000000" w:themeColor="text1"/>
        </w:rPr>
        <w:t xml:space="preserve"> </w:t>
      </w:r>
      <w:r>
        <w:rPr>
          <w:rFonts w:ascii="Arial" w:hAnsi="Arial" w:cs="Arial"/>
          <w:i/>
          <w:color w:val="000000" w:themeColor="text1"/>
          <w:shd w:val="clear" w:color="auto" w:fill="FFFFFF"/>
        </w:rPr>
        <w:t>Exploring a practical philosophy for a sustainable future</w:t>
      </w:r>
      <w:r>
        <w:rPr>
          <w:rFonts w:ascii="Arial" w:hAnsi="Arial" w:cs="Arial"/>
          <w:color w:val="000000" w:themeColor="text1"/>
        </w:rPr>
        <w:t xml:space="preserve"> (Lampeter: Sophia Centre Press, 2020), pp. 569-70.</w:t>
      </w:r>
    </w:p>
    <w:p w14:paraId="5C17BC8B" w14:textId="77777777" w:rsidR="0073001D" w:rsidRDefault="0073001D" w:rsidP="0073001D">
      <w:pPr>
        <w:shd w:val="clear" w:color="auto" w:fill="FFFFFF"/>
        <w:spacing w:after="48" w:line="240" w:lineRule="auto"/>
        <w:rPr>
          <w:rFonts w:ascii="Arial" w:eastAsia="Times New Roman" w:hAnsi="Arial" w:cs="Arial"/>
          <w:color w:val="3A3A3A"/>
          <w:kern w:val="0"/>
          <w:lang w:eastAsia="en-GB"/>
          <w14:ligatures w14:val="none"/>
        </w:rPr>
      </w:pPr>
      <w:proofErr w:type="spellStart"/>
      <w:r>
        <w:rPr>
          <w:rFonts w:ascii="Arial" w:eastAsia="Times New Roman" w:hAnsi="Arial" w:cs="Arial"/>
          <w:color w:val="3A3A3A"/>
          <w:kern w:val="0"/>
          <w:lang w:eastAsia="en-GB"/>
          <w14:ligatures w14:val="none"/>
        </w:rPr>
        <w:t>Fulder</w:t>
      </w:r>
      <w:proofErr w:type="spellEnd"/>
      <w:r>
        <w:rPr>
          <w:rFonts w:ascii="Arial" w:eastAsia="Times New Roman" w:hAnsi="Arial" w:cs="Arial"/>
          <w:color w:val="3A3A3A"/>
          <w:kern w:val="0"/>
          <w:lang w:eastAsia="en-GB"/>
          <w14:ligatures w14:val="none"/>
        </w:rPr>
        <w:t xml:space="preserve">, Stephen, </w:t>
      </w:r>
      <w:r>
        <w:rPr>
          <w:rFonts w:ascii="Arial" w:eastAsia="Times New Roman" w:hAnsi="Arial" w:cs="Arial"/>
          <w:i/>
          <w:iCs/>
          <w:color w:val="3A3A3A"/>
          <w:kern w:val="0"/>
          <w:lang w:eastAsia="en-GB"/>
          <w14:ligatures w14:val="none"/>
        </w:rPr>
        <w:t>Tao </w:t>
      </w:r>
      <w:proofErr w:type="gramStart"/>
      <w:r>
        <w:rPr>
          <w:rFonts w:ascii="Arial" w:eastAsia="Times New Roman" w:hAnsi="Arial" w:cs="Arial"/>
          <w:i/>
          <w:iCs/>
          <w:color w:val="3A3A3A"/>
          <w:kern w:val="0"/>
          <w:lang w:eastAsia="en-GB"/>
          <w14:ligatures w14:val="none"/>
        </w:rPr>
        <w:t>Of</w:t>
      </w:r>
      <w:proofErr w:type="gramEnd"/>
      <w:r>
        <w:rPr>
          <w:rFonts w:ascii="Arial" w:eastAsia="Times New Roman" w:hAnsi="Arial" w:cs="Arial"/>
          <w:i/>
          <w:iCs/>
          <w:color w:val="3A3A3A"/>
          <w:kern w:val="0"/>
          <w:lang w:eastAsia="en-GB"/>
          <w14:ligatures w14:val="none"/>
        </w:rPr>
        <w:t xml:space="preserve"> Medicine: Oriental Remedies And The Pharmacology Of Harmony</w:t>
      </w:r>
      <w:r>
        <w:rPr>
          <w:rFonts w:ascii="Arial" w:eastAsia="Times New Roman" w:hAnsi="Arial" w:cs="Arial"/>
          <w:color w:val="3A3A3A"/>
          <w:kern w:val="0"/>
          <w:lang w:eastAsia="en-GB"/>
          <w14:ligatures w14:val="none"/>
        </w:rPr>
        <w:t xml:space="preserve"> (Destiny Books, 1987). NOT IN THE UNIVERSITY LIBRARY</w:t>
      </w:r>
    </w:p>
    <w:p w14:paraId="15A8F8EA" w14:textId="77777777" w:rsidR="0073001D" w:rsidRDefault="0073001D" w:rsidP="0073001D">
      <w:pPr>
        <w:shd w:val="clear" w:color="auto" w:fill="FFFFFF"/>
        <w:spacing w:after="48" w:line="240" w:lineRule="auto"/>
        <w:rPr>
          <w:rFonts w:ascii="Arial" w:eastAsia="Times New Roman" w:hAnsi="Arial" w:cs="Arial"/>
          <w:color w:val="3A3A3A"/>
          <w:kern w:val="0"/>
          <w:lang w:eastAsia="en-GB"/>
          <w14:ligatures w14:val="none"/>
        </w:rPr>
      </w:pPr>
    </w:p>
    <w:p w14:paraId="0E61E960"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Giovanni, Pietro de (ed.), </w:t>
      </w:r>
      <w:r>
        <w:rPr>
          <w:rFonts w:ascii="Arial" w:eastAsia="Times New Roman" w:hAnsi="Arial" w:cs="Arial"/>
          <w:i/>
          <w:iCs/>
          <w:color w:val="000000" w:themeColor="text1"/>
          <w:lang w:eastAsia="en-GB"/>
        </w:rPr>
        <w:t>Cases on Circular Economy in Practice</w:t>
      </w:r>
      <w:r>
        <w:rPr>
          <w:rFonts w:ascii="Arial" w:eastAsia="Times New Roman" w:hAnsi="Arial" w:cs="Arial"/>
          <w:color w:val="000000" w:themeColor="text1"/>
          <w:lang w:eastAsia="en-GB"/>
        </w:rPr>
        <w:t xml:space="preserve"> (IGI Global, Business Science Reference, 2022)</w:t>
      </w:r>
    </w:p>
    <w:p w14:paraId="5D42BC79"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p>
    <w:p w14:paraId="64455B6D"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Göpel</w:t>
      </w:r>
      <w:proofErr w:type="spellEnd"/>
      <w:r>
        <w:rPr>
          <w:rFonts w:ascii="Arial" w:eastAsia="Times New Roman" w:hAnsi="Arial" w:cs="Arial"/>
          <w:color w:val="000000" w:themeColor="text1"/>
          <w:lang w:eastAsia="en-GB"/>
        </w:rPr>
        <w:t xml:space="preserve">, Maja, </w:t>
      </w:r>
      <w:r>
        <w:rPr>
          <w:rFonts w:ascii="Arial" w:eastAsia="Times New Roman" w:hAnsi="Arial" w:cs="Arial"/>
          <w:i/>
          <w:iCs/>
          <w:color w:val="000000" w:themeColor="text1"/>
          <w:lang w:eastAsia="en-GB"/>
        </w:rPr>
        <w:t>The Great Mindshift: How a New Economic Paradigm and Sustainability Transformation Go Hand in Hand,</w:t>
      </w:r>
      <w:r>
        <w:rPr>
          <w:rFonts w:ascii="Arial" w:eastAsia="Times New Roman" w:hAnsi="Arial" w:cs="Arial"/>
          <w:color w:val="000000" w:themeColor="text1"/>
          <w:lang w:eastAsia="en-GB"/>
        </w:rPr>
        <w:t xml:space="preserve"> (Springer Nature, 2016)</w:t>
      </w:r>
    </w:p>
    <w:p w14:paraId="53D14CE6" w14:textId="77777777" w:rsidR="0073001D" w:rsidRDefault="0073001D" w:rsidP="0073001D">
      <w:pPr>
        <w:spacing w:line="240" w:lineRule="auto"/>
        <w:contextualSpacing/>
        <w:rPr>
          <w:rFonts w:ascii="Arial" w:eastAsia="Times New Roman" w:hAnsi="Arial" w:cs="Arial"/>
          <w:color w:val="000000" w:themeColor="text1"/>
          <w:lang w:eastAsia="en-GB"/>
        </w:rPr>
      </w:pPr>
    </w:p>
    <w:p w14:paraId="1F7FE767" w14:textId="77777777" w:rsidR="0073001D" w:rsidRDefault="0073001D" w:rsidP="0073001D">
      <w:pPr>
        <w:spacing w:line="240" w:lineRule="auto"/>
        <w:contextualSpacing/>
        <w:rPr>
          <w:rFonts w:ascii="Arial" w:hAnsi="Arial" w:cs="Arial"/>
          <w:color w:val="000000" w:themeColor="text1"/>
        </w:rPr>
      </w:pPr>
      <w:r>
        <w:rPr>
          <w:rFonts w:ascii="Arial" w:eastAsia="Times New Roman" w:hAnsi="Arial" w:cs="Arial"/>
          <w:color w:val="000000" w:themeColor="text1"/>
          <w:lang w:eastAsia="en-GB"/>
        </w:rPr>
        <w:t>Goyder, Mark. ‘</w:t>
      </w:r>
      <w:r>
        <w:rPr>
          <w:rFonts w:ascii="Arial" w:hAnsi="Arial" w:cs="Arial"/>
          <w:color w:val="000000" w:themeColor="text1"/>
        </w:rPr>
        <w:t>Rediscovering the Human Purposes of Business’, i</w:t>
      </w:r>
      <w:r>
        <w:rPr>
          <w:rFonts w:ascii="Arial" w:hAnsi="Arial" w:cs="Arial"/>
          <w:color w:val="000000" w:themeColor="text1"/>
          <w:kern w:val="36"/>
          <w:lang w:eastAsia="en-GB"/>
        </w:rPr>
        <w:t xml:space="preserve">n </w:t>
      </w:r>
      <w:r>
        <w:rPr>
          <w:rFonts w:ascii="Arial" w:hAnsi="Arial" w:cs="Arial"/>
          <w:i/>
          <w:color w:val="000000" w:themeColor="text1"/>
          <w:kern w:val="36"/>
          <w:lang w:eastAsia="en-GB"/>
        </w:rPr>
        <w:t xml:space="preserve">The Harmony Debates: </w:t>
      </w:r>
      <w:r>
        <w:rPr>
          <w:rFonts w:ascii="Arial" w:hAnsi="Arial" w:cs="Arial"/>
          <w:i/>
          <w:color w:val="000000" w:themeColor="text1"/>
          <w:kern w:val="36"/>
          <w:shd w:val="clear" w:color="auto" w:fill="FFFFFF"/>
          <w:lang w:eastAsia="en-GB"/>
        </w:rPr>
        <w:t>Exploring a practical philosophy for a sustainable future</w:t>
      </w:r>
      <w:r>
        <w:rPr>
          <w:rFonts w:ascii="Arial" w:hAnsi="Arial" w:cs="Arial"/>
          <w:color w:val="000000" w:themeColor="text1"/>
          <w:kern w:val="36"/>
          <w:lang w:eastAsia="en-GB"/>
        </w:rPr>
        <w:t xml:space="preserve">, edited by Nicholas Campion </w:t>
      </w:r>
      <w:r>
        <w:rPr>
          <w:rFonts w:ascii="Arial" w:hAnsi="Arial" w:cs="Arial"/>
          <w:color w:val="000000" w:themeColor="text1"/>
        </w:rPr>
        <w:t>(</w:t>
      </w:r>
      <w:r>
        <w:rPr>
          <w:rFonts w:ascii="Arial" w:hAnsi="Arial" w:cs="Arial"/>
          <w:color w:val="000000" w:themeColor="text1"/>
          <w:kern w:val="36"/>
          <w:lang w:eastAsia="en-GB"/>
        </w:rPr>
        <w:t>Lampeter: Sophia Centre Press, 2020)</w:t>
      </w:r>
      <w:r>
        <w:rPr>
          <w:rFonts w:ascii="Arial" w:hAnsi="Arial" w:cs="Arial"/>
          <w:color w:val="000000" w:themeColor="text1"/>
        </w:rPr>
        <w:t xml:space="preserve"> pp. 539–62. </w:t>
      </w:r>
    </w:p>
    <w:p w14:paraId="08DD17B7" w14:textId="77777777" w:rsidR="0073001D" w:rsidRDefault="0073001D" w:rsidP="0073001D">
      <w:pPr>
        <w:spacing w:line="240" w:lineRule="auto"/>
        <w:contextualSpacing/>
        <w:rPr>
          <w:rFonts w:ascii="Arial" w:eastAsia="Times New Roman" w:hAnsi="Arial" w:cs="Arial"/>
          <w:color w:val="000000" w:themeColor="text1"/>
          <w:lang w:eastAsia="en-GB"/>
        </w:rPr>
      </w:pPr>
    </w:p>
    <w:p w14:paraId="24E36AEC" w14:textId="77777777" w:rsidR="0073001D" w:rsidRDefault="0073001D" w:rsidP="0073001D">
      <w:pPr>
        <w:spacing w:line="240" w:lineRule="auto"/>
        <w:rPr>
          <w:rFonts w:ascii="Arial" w:hAnsi="Arial" w:cs="Arial"/>
          <w:color w:val="000000" w:themeColor="text1"/>
        </w:rPr>
      </w:pPr>
      <w:r>
        <w:rPr>
          <w:rFonts w:ascii="Arial" w:eastAsia="Times New Roman" w:hAnsi="Arial" w:cs="Arial"/>
          <w:color w:val="000000" w:themeColor="text1"/>
          <w:lang w:eastAsia="en-GB"/>
        </w:rPr>
        <w:t xml:space="preserve">Jie, Yu, </w:t>
      </w:r>
      <w:proofErr w:type="spellStart"/>
      <w:r>
        <w:rPr>
          <w:rFonts w:ascii="Arial" w:eastAsia="Times New Roman" w:hAnsi="Arial" w:cs="Arial"/>
          <w:color w:val="000000" w:themeColor="text1"/>
          <w:lang w:eastAsia="en-GB"/>
        </w:rPr>
        <w:t>Bahodirhon</w:t>
      </w:r>
      <w:proofErr w:type="spellEnd"/>
      <w:r>
        <w:rPr>
          <w:rFonts w:ascii="Arial" w:eastAsia="Times New Roman" w:hAnsi="Arial" w:cs="Arial"/>
          <w:color w:val="000000" w:themeColor="text1"/>
          <w:lang w:eastAsia="en-GB"/>
        </w:rPr>
        <w:t xml:space="preserve"> Safarov, Yi Lu, </w:t>
      </w:r>
      <w:proofErr w:type="spellStart"/>
      <w:r>
        <w:rPr>
          <w:rFonts w:ascii="Arial" w:eastAsia="Times New Roman" w:hAnsi="Arial" w:cs="Arial"/>
          <w:color w:val="000000" w:themeColor="text1"/>
          <w:lang w:eastAsia="en-GB"/>
        </w:rPr>
        <w:t>Makhina</w:t>
      </w:r>
      <w:proofErr w:type="spellEnd"/>
      <w:r>
        <w:rPr>
          <w:rFonts w:ascii="Arial" w:eastAsia="Times New Roman" w:hAnsi="Arial" w:cs="Arial"/>
          <w:color w:val="000000" w:themeColor="text1"/>
          <w:lang w:eastAsia="en-GB"/>
        </w:rPr>
        <w:t xml:space="preserve"> </w:t>
      </w:r>
      <w:proofErr w:type="spellStart"/>
      <w:r>
        <w:rPr>
          <w:rFonts w:ascii="Arial" w:eastAsia="Times New Roman" w:hAnsi="Arial" w:cs="Arial"/>
          <w:color w:val="000000" w:themeColor="text1"/>
          <w:lang w:eastAsia="en-GB"/>
        </w:rPr>
        <w:t>Buzrukova</w:t>
      </w:r>
      <w:proofErr w:type="spellEnd"/>
      <w:r>
        <w:rPr>
          <w:rFonts w:ascii="Arial" w:eastAsia="Times New Roman" w:hAnsi="Arial" w:cs="Arial"/>
          <w:color w:val="000000" w:themeColor="text1"/>
          <w:lang w:eastAsia="en-GB"/>
        </w:rPr>
        <w:t xml:space="preserve"> and </w:t>
      </w:r>
      <w:proofErr w:type="spellStart"/>
      <w:r>
        <w:rPr>
          <w:rFonts w:ascii="Arial" w:eastAsia="Times New Roman" w:hAnsi="Arial" w:cs="Arial"/>
          <w:color w:val="000000" w:themeColor="text1"/>
          <w:lang w:eastAsia="en-GB"/>
        </w:rPr>
        <w:t>Bekzot</w:t>
      </w:r>
      <w:proofErr w:type="spellEnd"/>
      <w:r>
        <w:rPr>
          <w:rFonts w:ascii="Arial" w:eastAsia="Times New Roman" w:hAnsi="Arial" w:cs="Arial"/>
          <w:color w:val="000000" w:themeColor="text1"/>
          <w:lang w:eastAsia="en-GB"/>
        </w:rPr>
        <w:t xml:space="preserve"> </w:t>
      </w:r>
      <w:proofErr w:type="spellStart"/>
      <w:r>
        <w:rPr>
          <w:rFonts w:ascii="Arial" w:eastAsia="Times New Roman" w:hAnsi="Arial" w:cs="Arial"/>
          <w:color w:val="000000" w:themeColor="text1"/>
          <w:lang w:eastAsia="en-GB"/>
        </w:rPr>
        <w:t>Janzakov</w:t>
      </w:r>
      <w:proofErr w:type="spellEnd"/>
      <w:r>
        <w:rPr>
          <w:rFonts w:ascii="Arial" w:eastAsia="Times New Roman" w:hAnsi="Arial" w:cs="Arial"/>
          <w:color w:val="000000" w:themeColor="text1"/>
          <w:lang w:eastAsia="en-GB"/>
        </w:rPr>
        <w:t>. ‘</w:t>
      </w:r>
      <w:hyperlink r:id="rId8" w:history="1">
        <w:r>
          <w:rPr>
            <w:rStyle w:val="Hyperlink"/>
            <w:rFonts w:ascii="Arial" w:hAnsi="Arial" w:cs="Arial"/>
            <w:color w:val="000000" w:themeColor="text1"/>
            <w:shd w:val="clear" w:color="auto" w:fill="FFFFFF"/>
          </w:rPr>
          <w:t>The Adaptive Evolution of Cultural Ecosystems along the Silk Road and Cultural Tourism Heritage: A Case Study of 22 Cultural Sites on the Chinese Section of the Silk Road World Heritage</w:t>
        </w:r>
      </w:hyperlink>
      <w:r>
        <w:rPr>
          <w:rFonts w:ascii="Arial" w:eastAsia="Times New Roman" w:hAnsi="Arial" w:cs="Arial"/>
          <w:color w:val="000000" w:themeColor="text1"/>
          <w:lang w:eastAsia="en-GB"/>
        </w:rPr>
        <w:t xml:space="preserve">’. </w:t>
      </w:r>
      <w:r>
        <w:rPr>
          <w:rFonts w:ascii="Arial" w:eastAsia="Times New Roman" w:hAnsi="Arial" w:cs="Arial"/>
          <w:i/>
          <w:iCs/>
          <w:color w:val="000000" w:themeColor="text1"/>
          <w:lang w:eastAsia="en-GB"/>
        </w:rPr>
        <w:t>Sustainability</w:t>
      </w:r>
      <w:r>
        <w:rPr>
          <w:rFonts w:ascii="Arial" w:eastAsia="Times New Roman" w:hAnsi="Arial" w:cs="Arial"/>
          <w:color w:val="000000" w:themeColor="text1"/>
          <w:lang w:eastAsia="en-GB"/>
        </w:rPr>
        <w:t xml:space="preserve"> 15, no. 3 (</w:t>
      </w:r>
      <w:r>
        <w:rPr>
          <w:rFonts w:ascii="Arial" w:hAnsi="Arial" w:cs="Arial"/>
          <w:color w:val="000000" w:themeColor="text1"/>
          <w:shd w:val="clear" w:color="auto" w:fill="FFFFFF"/>
        </w:rPr>
        <w:t>2023): p. 2465. </w:t>
      </w:r>
      <w:hyperlink r:id="rId9" w:history="1">
        <w:r>
          <w:rPr>
            <w:rStyle w:val="Hyperlink"/>
            <w:rFonts w:ascii="Arial" w:hAnsi="Arial" w:cs="Arial"/>
            <w:color w:val="000000" w:themeColor="text1"/>
            <w:shd w:val="clear" w:color="auto" w:fill="FFFFFF"/>
          </w:rPr>
          <w:t>https://doi.org/10.3390/su15032465</w:t>
        </w:r>
      </w:hyperlink>
      <w:r>
        <w:rPr>
          <w:rFonts w:ascii="Arial" w:hAnsi="Arial" w:cs="Arial"/>
          <w:color w:val="000000" w:themeColor="text1"/>
          <w:shd w:val="clear" w:color="auto" w:fill="FFFFFF"/>
        </w:rPr>
        <w:t> .</w:t>
      </w:r>
    </w:p>
    <w:p w14:paraId="4389B65A" w14:textId="77777777" w:rsidR="0073001D" w:rsidRDefault="0073001D" w:rsidP="0073001D">
      <w:pPr>
        <w:spacing w:line="240" w:lineRule="auto"/>
        <w:rPr>
          <w:rFonts w:ascii="Arial" w:hAnsi="Arial" w:cs="Arial"/>
          <w:color w:val="000000" w:themeColor="text1"/>
        </w:rPr>
      </w:pPr>
      <w:r>
        <w:rPr>
          <w:rFonts w:ascii="Arial" w:hAnsi="Arial" w:cs="Arial"/>
          <w:color w:val="000000" w:themeColor="text1"/>
        </w:rPr>
        <w:t>Juniper, Tony, ‘</w:t>
      </w:r>
      <w:r>
        <w:rPr>
          <w:rFonts w:ascii="Arial" w:eastAsia="Calibri" w:hAnsi="Arial" w:cs="Arial"/>
          <w:color w:val="000000" w:themeColor="text1"/>
        </w:rPr>
        <w:t>Harmony and Natural Capital’</w:t>
      </w:r>
      <w:r>
        <w:rPr>
          <w:rFonts w:ascii="Arial" w:hAnsi="Arial" w:cs="Arial"/>
          <w:color w:val="000000" w:themeColor="text1"/>
        </w:rPr>
        <w:t>, i</w:t>
      </w:r>
      <w:r>
        <w:rPr>
          <w:rFonts w:ascii="Arial" w:hAnsi="Arial" w:cs="Arial"/>
          <w:color w:val="000000" w:themeColor="text1"/>
          <w:kern w:val="36"/>
          <w:lang w:eastAsia="en-GB"/>
        </w:rPr>
        <w:t xml:space="preserve">n </w:t>
      </w:r>
      <w:r>
        <w:rPr>
          <w:rFonts w:ascii="Arial" w:hAnsi="Arial" w:cs="Arial"/>
          <w:i/>
          <w:color w:val="000000" w:themeColor="text1"/>
          <w:kern w:val="36"/>
          <w:lang w:eastAsia="en-GB"/>
        </w:rPr>
        <w:t xml:space="preserve">The Harmony Debates: </w:t>
      </w:r>
      <w:r>
        <w:rPr>
          <w:rFonts w:ascii="Arial" w:hAnsi="Arial" w:cs="Arial"/>
          <w:i/>
          <w:color w:val="000000" w:themeColor="text1"/>
          <w:kern w:val="36"/>
          <w:shd w:val="clear" w:color="auto" w:fill="FFFFFF"/>
          <w:lang w:eastAsia="en-GB"/>
        </w:rPr>
        <w:t>Exploring a practical philosophy for a sustainable future</w:t>
      </w:r>
      <w:r>
        <w:rPr>
          <w:rFonts w:ascii="Arial" w:hAnsi="Arial" w:cs="Arial"/>
          <w:color w:val="000000" w:themeColor="text1"/>
          <w:kern w:val="36"/>
          <w:lang w:eastAsia="en-GB"/>
        </w:rPr>
        <w:t xml:space="preserve">, edited by Nicholas Campion </w:t>
      </w:r>
      <w:r>
        <w:rPr>
          <w:rFonts w:ascii="Arial" w:hAnsi="Arial" w:cs="Arial"/>
          <w:color w:val="000000" w:themeColor="text1"/>
        </w:rPr>
        <w:t>(</w:t>
      </w:r>
      <w:r>
        <w:rPr>
          <w:rFonts w:ascii="Arial" w:hAnsi="Arial" w:cs="Arial"/>
          <w:color w:val="000000" w:themeColor="text1"/>
          <w:kern w:val="36"/>
          <w:lang w:eastAsia="en-GB"/>
        </w:rPr>
        <w:t xml:space="preserve">Lampeter: Sophia Centre Press, 2020) </w:t>
      </w:r>
      <w:r>
        <w:rPr>
          <w:rFonts w:ascii="Arial" w:hAnsi="Arial" w:cs="Arial"/>
          <w:color w:val="000000" w:themeColor="text1"/>
        </w:rPr>
        <w:t xml:space="preserve">pp. 533–38. </w:t>
      </w:r>
    </w:p>
    <w:p w14:paraId="152573A3"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Korhonen, </w:t>
      </w:r>
      <w:proofErr w:type="gramStart"/>
      <w:r>
        <w:rPr>
          <w:rFonts w:ascii="Arial" w:eastAsia="Times New Roman" w:hAnsi="Arial" w:cs="Arial"/>
          <w:color w:val="000000" w:themeColor="text1"/>
          <w:lang w:eastAsia="en-GB"/>
        </w:rPr>
        <w:t xml:space="preserve">Jouni;  </w:t>
      </w:r>
      <w:proofErr w:type="spellStart"/>
      <w:r>
        <w:rPr>
          <w:rFonts w:ascii="Arial" w:eastAsia="Times New Roman" w:hAnsi="Arial" w:cs="Arial"/>
          <w:color w:val="000000" w:themeColor="text1"/>
          <w:lang w:eastAsia="en-GB"/>
        </w:rPr>
        <w:t>Honkasalo</w:t>
      </w:r>
      <w:proofErr w:type="spellEnd"/>
      <w:proofErr w:type="gramEnd"/>
      <w:r>
        <w:rPr>
          <w:rFonts w:ascii="Arial" w:eastAsia="Times New Roman" w:hAnsi="Arial" w:cs="Arial"/>
          <w:color w:val="000000" w:themeColor="text1"/>
          <w:lang w:eastAsia="en-GB"/>
        </w:rPr>
        <w:t xml:space="preserve">, Antero and Seppälä, Jyri, ‘Circular Economy: the Concept and its Limitations’, </w:t>
      </w:r>
      <w:r>
        <w:rPr>
          <w:rFonts w:ascii="Arial" w:eastAsia="Times New Roman" w:hAnsi="Arial" w:cs="Arial"/>
          <w:i/>
          <w:iCs/>
          <w:color w:val="000000" w:themeColor="text1"/>
          <w:lang w:eastAsia="en-GB"/>
        </w:rPr>
        <w:t>Ecological Economics</w:t>
      </w:r>
      <w:r>
        <w:rPr>
          <w:rFonts w:ascii="Arial" w:eastAsia="Times New Roman" w:hAnsi="Arial" w:cs="Arial"/>
          <w:color w:val="000000" w:themeColor="text1"/>
          <w:lang w:eastAsia="en-GB"/>
        </w:rPr>
        <w:t>, 2018, Vol.143, p.37-46</w:t>
      </w:r>
    </w:p>
    <w:p w14:paraId="58D1FEFE" w14:textId="77777777" w:rsidR="0073001D" w:rsidRDefault="0073001D" w:rsidP="0073001D">
      <w:pPr>
        <w:pStyle w:val="FootnoteText"/>
        <w:rPr>
          <w:rFonts w:ascii="Arial" w:hAnsi="Arial" w:cs="Arial"/>
          <w:color w:val="000000" w:themeColor="text1"/>
          <w:sz w:val="22"/>
          <w:szCs w:val="22"/>
        </w:rPr>
      </w:pPr>
    </w:p>
    <w:p w14:paraId="0B303AC1" w14:textId="77777777" w:rsidR="0073001D" w:rsidRDefault="0073001D" w:rsidP="0073001D">
      <w:pPr>
        <w:pStyle w:val="FootnoteText"/>
        <w:rPr>
          <w:rFonts w:ascii="Arial" w:hAnsi="Arial" w:cs="Arial"/>
          <w:color w:val="000000" w:themeColor="text1"/>
          <w:sz w:val="22"/>
          <w:szCs w:val="22"/>
        </w:rPr>
      </w:pPr>
      <w:r>
        <w:rPr>
          <w:rFonts w:ascii="Arial" w:hAnsi="Arial" w:cs="Arial"/>
          <w:color w:val="000000" w:themeColor="text1"/>
          <w:sz w:val="22"/>
          <w:szCs w:val="22"/>
        </w:rPr>
        <w:t xml:space="preserve">Kovacic, Zora, Thomas </w:t>
      </w:r>
      <w:proofErr w:type="gramStart"/>
      <w:r>
        <w:rPr>
          <w:rFonts w:ascii="Arial" w:hAnsi="Arial" w:cs="Arial"/>
          <w:color w:val="000000" w:themeColor="text1"/>
          <w:sz w:val="22"/>
          <w:szCs w:val="22"/>
        </w:rPr>
        <w:t>Volker</w:t>
      </w:r>
      <w:proofErr w:type="gramEnd"/>
      <w:r>
        <w:rPr>
          <w:rFonts w:ascii="Arial" w:hAnsi="Arial" w:cs="Arial"/>
          <w:color w:val="000000" w:themeColor="text1"/>
          <w:sz w:val="22"/>
          <w:szCs w:val="22"/>
        </w:rPr>
        <w:t xml:space="preserve"> and Roger Strand. </w:t>
      </w:r>
      <w:r>
        <w:rPr>
          <w:rFonts w:ascii="Arial" w:hAnsi="Arial" w:cs="Arial"/>
          <w:i/>
          <w:iCs/>
          <w:color w:val="000000" w:themeColor="text1"/>
          <w:sz w:val="22"/>
          <w:szCs w:val="22"/>
        </w:rPr>
        <w:t>The Circular Economy in Europe: critical perspectives on policies and imaginaries</w:t>
      </w:r>
      <w:r>
        <w:rPr>
          <w:rFonts w:ascii="Arial" w:hAnsi="Arial" w:cs="Arial"/>
          <w:color w:val="000000" w:themeColor="text1"/>
          <w:sz w:val="22"/>
          <w:szCs w:val="22"/>
        </w:rPr>
        <w:t>. New York: Routledge, 2020.</w:t>
      </w:r>
    </w:p>
    <w:p w14:paraId="544AC7D8" w14:textId="77777777" w:rsidR="0073001D" w:rsidRDefault="0073001D" w:rsidP="0073001D">
      <w:pPr>
        <w:spacing w:line="240" w:lineRule="auto"/>
        <w:rPr>
          <w:rFonts w:ascii="Arial" w:hAnsi="Arial" w:cs="Arial"/>
          <w:color w:val="000000" w:themeColor="text1"/>
        </w:rPr>
      </w:pPr>
      <w:r>
        <w:rPr>
          <w:rFonts w:ascii="Arial" w:hAnsi="Arial" w:cs="Arial"/>
          <w:color w:val="000000" w:themeColor="text1"/>
        </w:rPr>
        <w:t xml:space="preserve">Kuo, F.E., ‘Coping with poverty: Impacts on environment and attention in the inner city’. </w:t>
      </w:r>
      <w:r>
        <w:rPr>
          <w:rFonts w:ascii="Arial" w:hAnsi="Arial" w:cs="Arial"/>
          <w:i/>
          <w:iCs/>
          <w:color w:val="000000" w:themeColor="text1"/>
        </w:rPr>
        <w:t>Environmental Behaviour</w:t>
      </w:r>
      <w:r>
        <w:rPr>
          <w:rFonts w:ascii="Arial" w:hAnsi="Arial" w:cs="Arial"/>
          <w:color w:val="000000" w:themeColor="text1"/>
        </w:rPr>
        <w:t xml:space="preserve"> 331 (2001): pp. 5–34.</w:t>
      </w:r>
    </w:p>
    <w:p w14:paraId="53E1791E" w14:textId="77777777" w:rsidR="0073001D" w:rsidRDefault="0073001D" w:rsidP="0073001D">
      <w:pPr>
        <w:shd w:val="clear" w:color="auto" w:fill="FFFFFF"/>
        <w:spacing w:line="240" w:lineRule="auto"/>
        <w:contextualSpacing/>
        <w:rPr>
          <w:rFonts w:ascii="Arial" w:hAnsi="Arial" w:cs="Arial"/>
          <w:color w:val="000000" w:themeColor="text1"/>
          <w:spacing w:val="-5"/>
          <w:shd w:val="clear" w:color="auto" w:fill="FFFFFF"/>
        </w:rPr>
      </w:pPr>
      <w:r>
        <w:rPr>
          <w:rFonts w:ascii="Arial" w:hAnsi="Arial" w:cs="Arial"/>
          <w:color w:val="000000" w:themeColor="text1"/>
          <w:spacing w:val="-5"/>
          <w:shd w:val="clear" w:color="auto" w:fill="FFFFFF"/>
        </w:rPr>
        <w:lastRenderedPageBreak/>
        <w:t xml:space="preserve">Lewis, Michael J. ‘Harmony’, In </w:t>
      </w:r>
      <w:r>
        <w:rPr>
          <w:rFonts w:ascii="Arial" w:hAnsi="Arial" w:cs="Arial"/>
          <w:i/>
          <w:iCs/>
          <w:color w:val="000000" w:themeColor="text1"/>
          <w:spacing w:val="-5"/>
          <w:shd w:val="clear" w:color="auto" w:fill="FFFFFF"/>
        </w:rPr>
        <w:t>City of Refuge: Separatists and Utopian Town Planning</w:t>
      </w:r>
      <w:r>
        <w:rPr>
          <w:rFonts w:ascii="Arial" w:hAnsi="Arial" w:cs="Arial"/>
          <w:color w:val="000000" w:themeColor="text1"/>
          <w:spacing w:val="-5"/>
          <w:shd w:val="clear" w:color="auto" w:fill="FFFFFF"/>
        </w:rPr>
        <w:t>, pp. 131–</w:t>
      </w:r>
    </w:p>
    <w:p w14:paraId="0BF050F6" w14:textId="77777777" w:rsidR="0073001D" w:rsidRDefault="0073001D" w:rsidP="0073001D">
      <w:pPr>
        <w:shd w:val="clear" w:color="auto" w:fill="FFFFFF"/>
        <w:spacing w:line="240" w:lineRule="auto"/>
        <w:contextualSpacing/>
        <w:rPr>
          <w:rFonts w:ascii="Arial" w:hAnsi="Arial" w:cs="Arial"/>
          <w:color w:val="000000" w:themeColor="text1"/>
          <w:spacing w:val="-5"/>
          <w:kern w:val="0"/>
          <w:shd w:val="clear" w:color="auto" w:fill="FFFFFF"/>
        </w:rPr>
      </w:pPr>
      <w:r>
        <w:rPr>
          <w:rFonts w:ascii="Arial" w:hAnsi="Arial" w:cs="Arial"/>
          <w:color w:val="000000" w:themeColor="text1"/>
          <w:spacing w:val="-5"/>
          <w:shd w:val="clear" w:color="auto" w:fill="FFFFFF"/>
        </w:rPr>
        <w:t xml:space="preserve">68. Princeton University Press, 2016. </w:t>
      </w:r>
      <w:r>
        <w:rPr>
          <w:rFonts w:ascii="Arial" w:hAnsi="Arial" w:cs="Arial"/>
          <w:i/>
          <w:iCs/>
          <w:color w:val="000000" w:themeColor="text1"/>
          <w:spacing w:val="-5"/>
          <w:shd w:val="clear" w:color="auto" w:fill="FFFFFF"/>
        </w:rPr>
        <w:t>JSTOR</w:t>
      </w:r>
      <w:r>
        <w:rPr>
          <w:rFonts w:ascii="Arial" w:hAnsi="Arial" w:cs="Arial"/>
          <w:color w:val="000000" w:themeColor="text1"/>
          <w:spacing w:val="-5"/>
          <w:shd w:val="clear" w:color="auto" w:fill="FFFFFF"/>
        </w:rPr>
        <w:t>. </w:t>
      </w:r>
    </w:p>
    <w:p w14:paraId="1D5EB7C6"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p>
    <w:p w14:paraId="55BCE891" w14:textId="77777777" w:rsidR="0073001D" w:rsidRDefault="0073001D" w:rsidP="0073001D">
      <w:pPr>
        <w:shd w:val="clear" w:color="auto" w:fill="FFFFFF"/>
        <w:spacing w:line="240" w:lineRule="auto"/>
        <w:contextualSpacing/>
        <w:rPr>
          <w:rStyle w:val="Hyperlink"/>
          <w:color w:val="000000" w:themeColor="text1"/>
        </w:rPr>
      </w:pPr>
      <w:r>
        <w:rPr>
          <w:rFonts w:ascii="Arial" w:eastAsia="Times New Roman" w:hAnsi="Arial" w:cs="Arial"/>
          <w:color w:val="000000" w:themeColor="text1"/>
          <w:lang w:eastAsia="en-GB"/>
        </w:rPr>
        <w:t xml:space="preserve">Lomas, J. Derek, and Haian Xue, ‘Harmony in Design: A Synthesis of Literature from Classical Philosophy, the Sciences, Economics, and Design’, </w:t>
      </w:r>
      <w:r>
        <w:rPr>
          <w:rFonts w:ascii="Arial" w:eastAsia="Times New Roman" w:hAnsi="Arial" w:cs="Arial"/>
          <w:i/>
          <w:iCs/>
          <w:color w:val="000000" w:themeColor="text1"/>
          <w:lang w:eastAsia="en-GB"/>
        </w:rPr>
        <w:t xml:space="preserve">She Ji: </w:t>
      </w:r>
      <w:r>
        <w:rPr>
          <w:rFonts w:ascii="Arial" w:hAnsi="Arial" w:cs="Arial"/>
          <w:i/>
          <w:iCs/>
          <w:color w:val="000000" w:themeColor="text1"/>
          <w:shd w:val="clear" w:color="auto" w:fill="FFFFFF"/>
        </w:rPr>
        <w:t>Journal of Design, Economics and Innovation</w:t>
      </w:r>
      <w:r>
        <w:rPr>
          <w:rFonts w:ascii="Arial" w:hAnsi="Arial" w:cs="Arial"/>
          <w:color w:val="000000" w:themeColor="text1"/>
          <w:shd w:val="clear" w:color="auto" w:fill="FFFFFF"/>
        </w:rPr>
        <w:t xml:space="preserve"> 8, no. 1 (</w:t>
      </w:r>
      <w:r>
        <w:rPr>
          <w:rFonts w:ascii="Arial" w:eastAsia="Times New Roman" w:hAnsi="Arial" w:cs="Arial"/>
          <w:color w:val="000000" w:themeColor="text1"/>
          <w:lang w:eastAsia="en-GB"/>
        </w:rPr>
        <w:t xml:space="preserve">2022): pp. 5–64. </w:t>
      </w:r>
      <w:hyperlink r:id="rId10" w:history="1">
        <w:r>
          <w:rPr>
            <w:rStyle w:val="Hyperlink"/>
            <w:rFonts w:ascii="Arial" w:hAnsi="Arial" w:cs="Arial"/>
            <w:color w:val="000000" w:themeColor="text1"/>
            <w:spacing w:val="-5"/>
            <w:shd w:val="clear" w:color="auto" w:fill="FFFFFF"/>
          </w:rPr>
          <w:t>https://www.sciencedirect.com/science/article/pii/S240587262200003X</w:t>
        </w:r>
      </w:hyperlink>
      <w:r>
        <w:rPr>
          <w:rStyle w:val="Hyperlink"/>
          <w:rFonts w:ascii="Arial" w:hAnsi="Arial" w:cs="Arial"/>
          <w:color w:val="000000" w:themeColor="text1"/>
          <w:spacing w:val="-5"/>
          <w:shd w:val="clear" w:color="auto" w:fill="FFFFFF"/>
        </w:rPr>
        <w:t>.</w:t>
      </w:r>
    </w:p>
    <w:p w14:paraId="4B32E103" w14:textId="77777777" w:rsidR="0073001D" w:rsidRDefault="0073001D" w:rsidP="0073001D">
      <w:pPr>
        <w:spacing w:line="240" w:lineRule="auto"/>
        <w:contextualSpacing/>
      </w:pPr>
    </w:p>
    <w:p w14:paraId="79EEFDDD" w14:textId="77777777" w:rsidR="0073001D" w:rsidRDefault="0073001D" w:rsidP="0073001D">
      <w:pPr>
        <w:spacing w:line="240" w:lineRule="auto"/>
        <w:contextualSpacing/>
        <w:rPr>
          <w:rFonts w:ascii="Arial" w:hAnsi="Arial" w:cs="Arial"/>
        </w:rPr>
      </w:pPr>
      <w:r>
        <w:rPr>
          <w:rFonts w:ascii="Arial" w:hAnsi="Arial" w:cs="Arial"/>
          <w:color w:val="000000" w:themeColor="text1"/>
        </w:rPr>
        <w:t>MacArthur, Dame Ellen. ‘The Circular Economy</w:t>
      </w:r>
      <w:proofErr w:type="gramStart"/>
      <w:r>
        <w:rPr>
          <w:rFonts w:ascii="Arial" w:hAnsi="Arial" w:cs="Arial"/>
          <w:color w:val="000000" w:themeColor="text1"/>
        </w:rPr>
        <w:t>’ ,</w:t>
      </w:r>
      <w:proofErr w:type="gramEnd"/>
      <w:r>
        <w:rPr>
          <w:rFonts w:ascii="Arial" w:hAnsi="Arial" w:cs="Arial"/>
          <w:color w:val="000000" w:themeColor="text1"/>
        </w:rPr>
        <w:t xml:space="preserve"> i</w:t>
      </w:r>
      <w:r>
        <w:rPr>
          <w:rFonts w:ascii="Arial" w:hAnsi="Arial" w:cs="Arial"/>
          <w:color w:val="000000" w:themeColor="text1"/>
          <w:kern w:val="36"/>
          <w:lang w:eastAsia="en-GB"/>
        </w:rPr>
        <w:t xml:space="preserve">n </w:t>
      </w:r>
      <w:r>
        <w:rPr>
          <w:rFonts w:ascii="Arial" w:hAnsi="Arial" w:cs="Arial"/>
          <w:i/>
          <w:color w:val="000000" w:themeColor="text1"/>
          <w:kern w:val="36"/>
          <w:lang w:eastAsia="en-GB"/>
        </w:rPr>
        <w:t xml:space="preserve">The Harmony Debates: </w:t>
      </w:r>
      <w:r>
        <w:rPr>
          <w:rFonts w:ascii="Arial" w:hAnsi="Arial" w:cs="Arial"/>
          <w:i/>
          <w:color w:val="000000" w:themeColor="text1"/>
          <w:kern w:val="36"/>
          <w:shd w:val="clear" w:color="auto" w:fill="FFFFFF"/>
          <w:lang w:eastAsia="en-GB"/>
        </w:rPr>
        <w:t>Exploring a practical philosophy for a sustainable future</w:t>
      </w:r>
      <w:r>
        <w:rPr>
          <w:rFonts w:ascii="Arial" w:hAnsi="Arial" w:cs="Arial"/>
          <w:color w:val="000000" w:themeColor="text1"/>
          <w:kern w:val="36"/>
          <w:lang w:eastAsia="en-GB"/>
        </w:rPr>
        <w:t xml:space="preserve">, edited by Nicholas Campion </w:t>
      </w:r>
      <w:r>
        <w:rPr>
          <w:rFonts w:ascii="Arial" w:hAnsi="Arial" w:cs="Arial"/>
          <w:color w:val="000000" w:themeColor="text1"/>
        </w:rPr>
        <w:t>(</w:t>
      </w:r>
      <w:r>
        <w:rPr>
          <w:rFonts w:ascii="Arial" w:hAnsi="Arial" w:cs="Arial"/>
          <w:color w:val="000000" w:themeColor="text1"/>
          <w:kern w:val="36"/>
          <w:lang w:eastAsia="en-GB"/>
        </w:rPr>
        <w:t xml:space="preserve">Lampeter: Sophia Centre Press, 2020) </w:t>
      </w:r>
      <w:r>
        <w:rPr>
          <w:rFonts w:ascii="Arial" w:hAnsi="Arial" w:cs="Arial"/>
          <w:color w:val="000000" w:themeColor="text1"/>
        </w:rPr>
        <w:t>pp. 563–68.</w:t>
      </w:r>
      <w:r>
        <w:rPr>
          <w:rFonts w:ascii="Arial" w:hAnsi="Arial" w:cs="Arial"/>
          <w:color w:val="000000" w:themeColor="text1"/>
          <w:kern w:val="36"/>
          <w:lang w:eastAsia="en-GB"/>
        </w:rPr>
        <w:t xml:space="preserve"> </w:t>
      </w:r>
    </w:p>
    <w:p w14:paraId="608DF5F4" w14:textId="77777777" w:rsidR="0073001D" w:rsidRDefault="0073001D" w:rsidP="0073001D">
      <w:pPr>
        <w:spacing w:line="240" w:lineRule="auto"/>
        <w:contextualSpacing/>
        <w:rPr>
          <w:rFonts w:ascii="Arial" w:eastAsia="Times New Roman" w:hAnsi="Arial" w:cs="Arial"/>
          <w:color w:val="000000" w:themeColor="text1"/>
          <w:lang w:eastAsia="en-GB"/>
        </w:rPr>
      </w:pPr>
    </w:p>
    <w:p w14:paraId="4121766B" w14:textId="77777777" w:rsidR="0073001D" w:rsidRDefault="0073001D" w:rsidP="0073001D">
      <w:pPr>
        <w:spacing w:line="240" w:lineRule="auto"/>
        <w:contextualSpacing/>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Miller, Leslie J., ‘Violent Families and the Rhetoric of Harmony’, </w:t>
      </w:r>
      <w:r>
        <w:rPr>
          <w:rFonts w:ascii="Arial" w:eastAsia="Times New Roman" w:hAnsi="Arial" w:cs="Arial"/>
          <w:i/>
          <w:iCs/>
          <w:color w:val="000000" w:themeColor="text1"/>
          <w:lang w:eastAsia="en-GB"/>
        </w:rPr>
        <w:t>The British Journal of Sociology</w:t>
      </w:r>
      <w:r>
        <w:rPr>
          <w:rFonts w:ascii="Arial" w:eastAsia="Times New Roman" w:hAnsi="Arial" w:cs="Arial"/>
          <w:color w:val="000000" w:themeColor="text1"/>
          <w:lang w:eastAsia="en-GB"/>
        </w:rPr>
        <w:t xml:space="preserve"> 41, no. 2 (1990): pp. 263–88. </w:t>
      </w:r>
      <w:r>
        <w:rPr>
          <w:rFonts w:ascii="Arial" w:eastAsia="Times New Roman" w:hAnsi="Arial" w:cs="Arial"/>
          <w:i/>
          <w:iCs/>
          <w:color w:val="000000" w:themeColor="text1"/>
          <w:lang w:eastAsia="en-GB"/>
        </w:rPr>
        <w:t>JSTOR</w:t>
      </w:r>
      <w:r>
        <w:rPr>
          <w:rFonts w:ascii="Arial" w:eastAsia="Times New Roman" w:hAnsi="Arial" w:cs="Arial"/>
          <w:color w:val="000000" w:themeColor="text1"/>
          <w:lang w:eastAsia="en-GB"/>
        </w:rPr>
        <w:t xml:space="preserve">, </w:t>
      </w:r>
      <w:hyperlink r:id="rId11" w:history="1">
        <w:r>
          <w:rPr>
            <w:rStyle w:val="Hyperlink"/>
            <w:rFonts w:ascii="Arial" w:eastAsia="Times New Roman" w:hAnsi="Arial" w:cs="Arial"/>
            <w:color w:val="000000" w:themeColor="text1"/>
            <w:lang w:eastAsia="en-GB"/>
          </w:rPr>
          <w:t>https://doi.org/10.2307/590873</w:t>
        </w:r>
      </w:hyperlink>
      <w:r>
        <w:rPr>
          <w:rFonts w:ascii="Arial" w:eastAsia="Times New Roman" w:hAnsi="Arial" w:cs="Arial"/>
          <w:color w:val="000000" w:themeColor="text1"/>
          <w:lang w:eastAsia="en-GB"/>
        </w:rPr>
        <w:t xml:space="preserve"> [accessed 5 Oct. 2023].</w:t>
      </w:r>
    </w:p>
    <w:p w14:paraId="3BC8CC79" w14:textId="77777777" w:rsidR="0073001D" w:rsidRDefault="0073001D" w:rsidP="0073001D">
      <w:pPr>
        <w:spacing w:line="240" w:lineRule="auto"/>
        <w:contextualSpacing/>
        <w:rPr>
          <w:rFonts w:ascii="Arial" w:eastAsia="Times New Roman" w:hAnsi="Arial" w:cs="Arial"/>
          <w:color w:val="000000" w:themeColor="text1"/>
          <w:lang w:eastAsia="en-GB"/>
        </w:rPr>
      </w:pPr>
    </w:p>
    <w:p w14:paraId="2159237D" w14:textId="77777777" w:rsidR="0073001D" w:rsidRDefault="0073001D" w:rsidP="0073001D">
      <w:pPr>
        <w:spacing w:line="240" w:lineRule="auto"/>
        <w:contextualSpacing/>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Overvold, Gary E. ‘The Imperative of Organizational Harmony: A Critique of Contemporary Human Relations Theory’, </w:t>
      </w:r>
      <w:r>
        <w:rPr>
          <w:rFonts w:ascii="Arial" w:eastAsia="Times New Roman" w:hAnsi="Arial" w:cs="Arial"/>
          <w:i/>
          <w:iCs/>
          <w:color w:val="000000" w:themeColor="text1"/>
          <w:lang w:eastAsia="en-GB"/>
        </w:rPr>
        <w:t>Journal of Business Ethics</w:t>
      </w:r>
      <w:r>
        <w:rPr>
          <w:rFonts w:ascii="Arial" w:eastAsia="Times New Roman" w:hAnsi="Arial" w:cs="Arial"/>
          <w:color w:val="000000" w:themeColor="text1"/>
          <w:lang w:eastAsia="en-GB"/>
        </w:rPr>
        <w:t xml:space="preserve"> 6, no. 7 (1987): pp. 559–65. </w:t>
      </w:r>
      <w:r>
        <w:rPr>
          <w:rFonts w:ascii="Arial" w:eastAsia="Times New Roman" w:hAnsi="Arial" w:cs="Arial"/>
          <w:i/>
          <w:iCs/>
          <w:color w:val="000000" w:themeColor="text1"/>
          <w:lang w:eastAsia="en-GB"/>
        </w:rPr>
        <w:t>JSTOR</w:t>
      </w:r>
      <w:r>
        <w:rPr>
          <w:rFonts w:ascii="Arial" w:eastAsia="Times New Roman" w:hAnsi="Arial" w:cs="Arial"/>
          <w:color w:val="000000" w:themeColor="text1"/>
          <w:lang w:eastAsia="en-GB"/>
        </w:rPr>
        <w:t xml:space="preserve">, </w:t>
      </w:r>
      <w:hyperlink r:id="rId12" w:history="1">
        <w:r>
          <w:rPr>
            <w:rStyle w:val="Hyperlink"/>
            <w:rFonts w:ascii="Arial" w:eastAsia="Times New Roman" w:hAnsi="Arial" w:cs="Arial"/>
            <w:color w:val="000000" w:themeColor="text1"/>
            <w:lang w:eastAsia="en-GB"/>
          </w:rPr>
          <w:t>http://www.jstor.org/stable/25071699</w:t>
        </w:r>
      </w:hyperlink>
      <w:r>
        <w:rPr>
          <w:rFonts w:ascii="Arial" w:eastAsia="Times New Roman" w:hAnsi="Arial" w:cs="Arial"/>
          <w:color w:val="000000" w:themeColor="text1"/>
          <w:lang w:eastAsia="en-GB"/>
        </w:rPr>
        <w:t xml:space="preserve"> [accessed 5 Oct. 2023].</w:t>
      </w:r>
    </w:p>
    <w:p w14:paraId="73B32A9B"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p>
    <w:p w14:paraId="3B765EFD"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Raworth, Kate, ‘Why it’s time for Doughnut Economics’, </w:t>
      </w:r>
      <w:r>
        <w:rPr>
          <w:rFonts w:ascii="Arial" w:eastAsia="Times New Roman" w:hAnsi="Arial" w:cs="Arial"/>
          <w:i/>
          <w:iCs/>
          <w:color w:val="000000" w:themeColor="text1"/>
          <w:lang w:eastAsia="en-GB"/>
        </w:rPr>
        <w:t>IPPR progressive review</w:t>
      </w:r>
      <w:r>
        <w:rPr>
          <w:rFonts w:ascii="Arial" w:eastAsia="Times New Roman" w:hAnsi="Arial" w:cs="Arial"/>
          <w:color w:val="000000" w:themeColor="text1"/>
          <w:lang w:eastAsia="en-GB"/>
        </w:rPr>
        <w:t>, 2017, Vol.24 (3), p.216-222.</w:t>
      </w:r>
    </w:p>
    <w:p w14:paraId="4726F24A"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p>
    <w:p w14:paraId="3C29EDAE" w14:textId="77777777" w:rsidR="0073001D" w:rsidRDefault="0073001D" w:rsidP="0073001D">
      <w:pPr>
        <w:shd w:val="clear" w:color="auto" w:fill="FFFFFF"/>
        <w:spacing w:line="240" w:lineRule="auto"/>
        <w:contextualSpacing/>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Stahel, Walter R, ‘The Circular Economy’, </w:t>
      </w:r>
      <w:r>
        <w:rPr>
          <w:rFonts w:ascii="Arial" w:eastAsia="Times New Roman" w:hAnsi="Arial" w:cs="Arial"/>
          <w:i/>
          <w:iCs/>
          <w:color w:val="000000" w:themeColor="text1"/>
          <w:lang w:eastAsia="en-GB"/>
        </w:rPr>
        <w:t>Nature</w:t>
      </w:r>
      <w:r>
        <w:rPr>
          <w:rFonts w:ascii="Arial" w:eastAsia="Times New Roman" w:hAnsi="Arial" w:cs="Arial"/>
          <w:color w:val="000000" w:themeColor="text1"/>
          <w:lang w:eastAsia="en-GB"/>
        </w:rPr>
        <w:t>, 2016, Vol.531 (7595), pp.435-438</w:t>
      </w:r>
    </w:p>
    <w:p w14:paraId="2F8FFC29" w14:textId="77777777" w:rsidR="0073001D" w:rsidRDefault="0073001D" w:rsidP="0073001D">
      <w:pPr>
        <w:pStyle w:val="FootnoteText"/>
        <w:rPr>
          <w:rFonts w:ascii="Arial" w:hAnsi="Arial" w:cs="Arial"/>
          <w:color w:val="000000" w:themeColor="text1"/>
          <w:sz w:val="22"/>
          <w:szCs w:val="22"/>
        </w:rPr>
      </w:pPr>
    </w:p>
    <w:p w14:paraId="41C98377" w14:textId="77777777" w:rsidR="0073001D" w:rsidRDefault="0073001D" w:rsidP="0073001D">
      <w:pPr>
        <w:pStyle w:val="FootnoteText"/>
        <w:rPr>
          <w:rFonts w:ascii="Arial" w:hAnsi="Arial" w:cs="Arial"/>
          <w:color w:val="000000" w:themeColor="text1"/>
          <w:sz w:val="22"/>
          <w:szCs w:val="22"/>
        </w:rPr>
      </w:pPr>
      <w:r>
        <w:rPr>
          <w:rFonts w:ascii="Arial" w:hAnsi="Arial" w:cs="Arial"/>
          <w:color w:val="000000" w:themeColor="text1"/>
          <w:sz w:val="22"/>
          <w:szCs w:val="22"/>
        </w:rPr>
        <w:t xml:space="preserve">Torre, Stefano Della, Sara Cattaneo, Camilla Lenzi and Alessandra Zanelli, eds. </w:t>
      </w:r>
      <w:r>
        <w:rPr>
          <w:rFonts w:ascii="Arial" w:hAnsi="Arial" w:cs="Arial"/>
          <w:i/>
          <w:iCs/>
          <w:color w:val="000000" w:themeColor="text1"/>
          <w:sz w:val="22"/>
          <w:szCs w:val="22"/>
        </w:rPr>
        <w:t>Regeneration of the Built Environment from a Circular Economy Perspective</w:t>
      </w:r>
      <w:r>
        <w:rPr>
          <w:rFonts w:ascii="Arial" w:hAnsi="Arial" w:cs="Arial"/>
          <w:color w:val="000000" w:themeColor="text1"/>
          <w:sz w:val="22"/>
          <w:szCs w:val="22"/>
        </w:rPr>
        <w:t>. Cham: Springer international Publishing, 2020.</w:t>
      </w:r>
    </w:p>
    <w:p w14:paraId="6AC54C83" w14:textId="77777777" w:rsidR="0073001D" w:rsidRDefault="0073001D" w:rsidP="0073001D">
      <w:pPr>
        <w:shd w:val="clear" w:color="auto" w:fill="FFFFFF"/>
        <w:spacing w:line="240" w:lineRule="auto"/>
        <w:rPr>
          <w:rFonts w:ascii="Arial" w:eastAsia="Times New Roman" w:hAnsi="Arial" w:cs="Arial"/>
          <w:color w:val="000000" w:themeColor="text1"/>
          <w:lang w:eastAsia="en-GB"/>
        </w:rPr>
      </w:pPr>
    </w:p>
    <w:p w14:paraId="37ABA20A" w14:textId="5C701660" w:rsidR="0035419F" w:rsidRDefault="0073001D" w:rsidP="0073001D">
      <w:pPr>
        <w:shd w:val="clear" w:color="auto" w:fill="FFFFFF"/>
        <w:spacing w:line="240" w:lineRule="auto"/>
        <w:contextualSpacing/>
      </w:pPr>
      <w:r>
        <w:rPr>
          <w:rFonts w:ascii="Arial" w:eastAsia="Times New Roman" w:hAnsi="Arial" w:cs="Arial"/>
          <w:color w:val="000000" w:themeColor="text1"/>
          <w:lang w:eastAsia="en-GB"/>
        </w:rPr>
        <w:t xml:space="preserve">Wahlund, Madeleine and Hansen, Teis, ‘Exploring Alternative Economic Pathways: a comparison of foundational economy and doughnut economics’, </w:t>
      </w:r>
      <w:r>
        <w:rPr>
          <w:rFonts w:ascii="Arial" w:eastAsia="Times New Roman" w:hAnsi="Arial" w:cs="Arial"/>
          <w:i/>
          <w:iCs/>
          <w:color w:val="000000" w:themeColor="text1"/>
          <w:lang w:eastAsia="en-GB"/>
        </w:rPr>
        <w:t>Sustainability: science, practice, &amp; policy</w:t>
      </w:r>
      <w:r>
        <w:rPr>
          <w:rFonts w:ascii="Arial" w:eastAsia="Times New Roman" w:hAnsi="Arial" w:cs="Arial"/>
          <w:color w:val="000000" w:themeColor="text1"/>
          <w:lang w:eastAsia="en-GB"/>
        </w:rPr>
        <w:t>, 2022, Vol.18 (1), p.171-186</w:t>
      </w:r>
      <w:r>
        <w:rPr>
          <w:rFonts w:ascii="Arial" w:eastAsia="Times New Roman" w:hAnsi="Arial" w:cs="Arial"/>
          <w:color w:val="000000" w:themeColor="text1"/>
          <w:lang w:eastAsia="en-GB"/>
        </w:rPr>
        <w:t>.</w:t>
      </w:r>
    </w:p>
    <w:sectPr w:rsidR="003541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F3D8E" w14:textId="77777777" w:rsidR="004B6F09" w:rsidRDefault="004B6F09" w:rsidP="0073001D">
      <w:pPr>
        <w:spacing w:after="0" w:line="240" w:lineRule="auto"/>
      </w:pPr>
      <w:r>
        <w:separator/>
      </w:r>
    </w:p>
  </w:endnote>
  <w:endnote w:type="continuationSeparator" w:id="0">
    <w:p w14:paraId="6D0E50E2" w14:textId="77777777" w:rsidR="004B6F09" w:rsidRDefault="004B6F09" w:rsidP="00730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90A7F" w14:textId="77777777" w:rsidR="004B6F09" w:rsidRDefault="004B6F09" w:rsidP="0073001D">
      <w:pPr>
        <w:spacing w:after="0" w:line="240" w:lineRule="auto"/>
      </w:pPr>
      <w:r>
        <w:separator/>
      </w:r>
    </w:p>
  </w:footnote>
  <w:footnote w:type="continuationSeparator" w:id="0">
    <w:p w14:paraId="37DD7E34" w14:textId="77777777" w:rsidR="004B6F09" w:rsidRDefault="004B6F09" w:rsidP="0073001D">
      <w:pPr>
        <w:spacing w:after="0" w:line="240" w:lineRule="auto"/>
      </w:pPr>
      <w:r>
        <w:continuationSeparator/>
      </w:r>
    </w:p>
  </w:footnote>
  <w:footnote w:id="1">
    <w:p w14:paraId="3F3E9B64" w14:textId="77777777" w:rsidR="0073001D" w:rsidRDefault="0073001D" w:rsidP="0073001D">
      <w:pPr>
        <w:pStyle w:val="Heading3"/>
        <w:shd w:val="clear" w:color="auto" w:fill="FFFFFF"/>
        <w:spacing w:before="0"/>
        <w:rPr>
          <w:rFonts w:ascii="Arial" w:hAnsi="Arial" w:cs="Arial"/>
          <w:color w:val="737373"/>
          <w:sz w:val="22"/>
          <w:szCs w:val="22"/>
        </w:rPr>
      </w:pPr>
      <w:r>
        <w:rPr>
          <w:rStyle w:val="FootnoteReference"/>
          <w:rFonts w:ascii="Arial" w:hAnsi="Arial" w:cs="Arial"/>
          <w:sz w:val="22"/>
          <w:szCs w:val="22"/>
        </w:rPr>
        <w:footnoteRef/>
      </w:r>
      <w:r>
        <w:rPr>
          <w:rFonts w:ascii="Arial" w:hAnsi="Arial" w:cs="Arial"/>
          <w:sz w:val="22"/>
          <w:szCs w:val="22"/>
        </w:rPr>
        <w:t xml:space="preserve"> </w:t>
      </w:r>
      <w:r>
        <w:rPr>
          <w:rFonts w:ascii="Arial" w:hAnsi="Arial" w:cs="Arial"/>
          <w:color w:val="1B1B1B"/>
          <w:sz w:val="22"/>
          <w:szCs w:val="22"/>
        </w:rPr>
        <w:t xml:space="preserve">Rachel Nuwer, ‘History of Wildlife Conservation: An </w:t>
      </w:r>
      <w:proofErr w:type="gramStart"/>
      <w:r>
        <w:rPr>
          <w:rFonts w:ascii="Arial" w:hAnsi="Arial" w:cs="Arial"/>
          <w:color w:val="1B1B1B"/>
          <w:sz w:val="22"/>
          <w:szCs w:val="22"/>
        </w:rPr>
        <w:t>Open Eyed</w:t>
      </w:r>
      <w:proofErr w:type="gramEnd"/>
      <w:r>
        <w:rPr>
          <w:rFonts w:ascii="Arial" w:hAnsi="Arial" w:cs="Arial"/>
          <w:color w:val="1B1B1B"/>
          <w:sz w:val="22"/>
          <w:szCs w:val="22"/>
        </w:rPr>
        <w:t xml:space="preserve"> Account’, Conservation Mag, 14 April 2021, https://conservationmag.org/en/wildlife/an-open-eyed-history-of-wildlife-conservation</w:t>
      </w:r>
      <w:r>
        <w:rPr>
          <w:rFonts w:ascii="Arial" w:hAnsi="Arial" w:cs="Arial"/>
          <w:kern w:val="0"/>
          <w:sz w:val="22"/>
          <w:szCs w:val="22"/>
        </w:rPr>
        <w:t xml:space="preserve"> </w:t>
      </w:r>
      <w:r>
        <w:rPr>
          <w:rFonts w:ascii="Arial" w:hAnsi="Arial" w:cs="Arial"/>
          <w:kern w:val="0"/>
          <w:sz w:val="22"/>
          <w:szCs w:val="22"/>
          <w14:ligatures w14:val="none"/>
        </w:rPr>
        <w:t xml:space="preserve">[accessed 9 Feb. 2024]. And see </w:t>
      </w:r>
      <w:r>
        <w:rPr>
          <w:rFonts w:ascii="Arial" w:hAnsi="Arial" w:cs="Arial"/>
          <w:color w:val="1F1F1F"/>
          <w:kern w:val="0"/>
          <w:sz w:val="22"/>
          <w:szCs w:val="22"/>
          <w14:ligatures w14:val="none"/>
        </w:rPr>
        <w:t xml:space="preserve">Michelle Nijhuis, </w:t>
      </w:r>
      <w:r>
        <w:rPr>
          <w:rFonts w:ascii="Arial" w:hAnsi="Arial" w:cs="Arial"/>
          <w:i/>
          <w:iCs/>
          <w:color w:val="1F1F1F"/>
          <w:kern w:val="0"/>
          <w:sz w:val="22"/>
          <w:szCs w:val="22"/>
          <w14:ligatures w14:val="none"/>
        </w:rPr>
        <w:t>Beloved Beasts: Fighting for Life in an Age of Extinction</w:t>
      </w:r>
      <w:r>
        <w:rPr>
          <w:rFonts w:ascii="Arial" w:hAnsi="Arial" w:cs="Arial"/>
          <w:color w:val="1F1F1F"/>
          <w:kern w:val="0"/>
          <w:sz w:val="22"/>
          <w:szCs w:val="22"/>
          <w14:ligatures w14:val="none"/>
        </w:rPr>
        <w:t>, (New York W. W. Norton &amp; Company, 2021).</w:t>
      </w:r>
    </w:p>
    <w:p w14:paraId="5FDC1B46" w14:textId="77777777" w:rsidR="0073001D" w:rsidRDefault="0073001D" w:rsidP="0073001D">
      <w:pPr>
        <w:rPr>
          <w:rFonts w:ascii="Arial" w:hAnsi="Arial" w:cs="Arial"/>
        </w:rPr>
      </w:pPr>
    </w:p>
    <w:p w14:paraId="1A0F455E" w14:textId="77777777" w:rsidR="0073001D" w:rsidRDefault="0073001D" w:rsidP="0073001D">
      <w:pPr>
        <w:pStyle w:val="FootnoteText"/>
        <w:rPr>
          <w:rFonts w:ascii="Arial" w:hAnsi="Arial" w:cs="Arial"/>
          <w:sz w:val="22"/>
          <w:szCs w:val="22"/>
        </w:rPr>
      </w:pPr>
    </w:p>
  </w:footnote>
  <w:footnote w:id="2">
    <w:p w14:paraId="56E4E111" w14:textId="77777777" w:rsidR="0073001D" w:rsidRDefault="0073001D" w:rsidP="0073001D">
      <w:pPr>
        <w:shd w:val="clear" w:color="auto" w:fill="FFFFFF"/>
        <w:spacing w:after="0" w:line="240" w:lineRule="auto"/>
        <w:rPr>
          <w:rFonts w:ascii="Arial" w:eastAsia="Times New Roman" w:hAnsi="Arial" w:cs="Arial"/>
          <w:color w:val="222222"/>
          <w:kern w:val="0"/>
          <w:lang w:eastAsia="en-GB"/>
          <w14:ligatures w14:val="none"/>
        </w:rPr>
      </w:pPr>
      <w:r>
        <w:rPr>
          <w:rStyle w:val="FootnoteReference"/>
          <w:rFonts w:ascii="Arial" w:hAnsi="Arial" w:cs="Arial"/>
        </w:rPr>
        <w:footnoteRef/>
      </w:r>
      <w:r>
        <w:rPr>
          <w:rFonts w:ascii="Arial" w:hAnsi="Arial" w:cs="Arial"/>
        </w:rPr>
        <w:t xml:space="preserve"> </w:t>
      </w:r>
      <w:r>
        <w:rPr>
          <w:rFonts w:ascii="Arial" w:eastAsia="Times New Roman" w:hAnsi="Arial" w:cs="Arial"/>
          <w:color w:val="222222"/>
          <w:kern w:val="0"/>
          <w:lang w:eastAsia="en-GB"/>
          <w14:ligatures w14:val="none"/>
        </w:rPr>
        <w:t xml:space="preserve">Oliver Balch, ‘The curse of “white oil”: electric vehicles’ dirty secret’, </w:t>
      </w:r>
      <w:r>
        <w:rPr>
          <w:rFonts w:ascii="Arial" w:eastAsia="Times New Roman" w:hAnsi="Arial" w:cs="Arial"/>
          <w:i/>
          <w:iCs/>
          <w:color w:val="222222"/>
          <w:kern w:val="0"/>
          <w:lang w:eastAsia="en-GB"/>
          <w14:ligatures w14:val="none"/>
        </w:rPr>
        <w:t>The Guardian</w:t>
      </w:r>
      <w:r>
        <w:rPr>
          <w:rFonts w:ascii="Arial" w:eastAsia="Times New Roman" w:hAnsi="Arial" w:cs="Arial"/>
          <w:color w:val="222222"/>
          <w:kern w:val="0"/>
          <w:lang w:eastAsia="en-GB"/>
          <w14:ligatures w14:val="none"/>
        </w:rPr>
        <w:t>,</w:t>
      </w:r>
    </w:p>
    <w:p w14:paraId="259B32AD" w14:textId="77777777" w:rsidR="0073001D" w:rsidRDefault="0073001D" w:rsidP="0073001D">
      <w:pPr>
        <w:shd w:val="clear" w:color="auto" w:fill="FFFFFF"/>
        <w:spacing w:after="0" w:line="240" w:lineRule="auto"/>
        <w:rPr>
          <w:rFonts w:ascii="Arial" w:hAnsi="Arial" w:cs="Arial"/>
        </w:rPr>
      </w:pPr>
      <w:r>
        <w:rPr>
          <w:rFonts w:ascii="Arial" w:eastAsia="Times New Roman" w:hAnsi="Arial" w:cs="Arial"/>
          <w:color w:val="222222"/>
          <w:kern w:val="0"/>
          <w:lang w:eastAsia="en-GB"/>
          <w14:ligatures w14:val="none"/>
        </w:rPr>
        <w:t xml:space="preserve">8 December 2020, </w:t>
      </w:r>
      <w:hyperlink r:id="rId1" w:history="1">
        <w:r>
          <w:rPr>
            <w:rStyle w:val="Hyperlink"/>
            <w:rFonts w:ascii="Arial" w:hAnsi="Arial" w:cs="Arial"/>
          </w:rPr>
          <w:t>https://www.theguardian.com/news/2020/dec/08/the-curse-of-white-oil-electric-vehicles-dirty-secret-lithium</w:t>
        </w:r>
      </w:hyperlink>
      <w:r>
        <w:rPr>
          <w:rFonts w:ascii="Arial" w:hAnsi="Arial" w:cs="Arial"/>
        </w:rPr>
        <w:t xml:space="preserve"> [accessed 9 Feb 2024].</w:t>
      </w:r>
    </w:p>
    <w:p w14:paraId="4DF3E718" w14:textId="77777777" w:rsidR="0073001D" w:rsidRDefault="0073001D" w:rsidP="0073001D">
      <w:pPr>
        <w:pStyle w:val="FootnoteText"/>
        <w:rPr>
          <w:rFonts w:ascii="Arial" w:hAnsi="Arial" w:cs="Arial"/>
          <w:sz w:val="22"/>
          <w:szCs w:val="22"/>
        </w:rPr>
      </w:pPr>
    </w:p>
  </w:footnote>
  <w:footnote w:id="3">
    <w:p w14:paraId="20F5722A" w14:textId="77777777" w:rsidR="0073001D" w:rsidRDefault="0073001D" w:rsidP="0073001D">
      <w:pPr>
        <w:spacing w:after="0" w:line="240" w:lineRule="auto"/>
        <w:rPr>
          <w:rFonts w:ascii="Arial" w:eastAsia="Times New Roman" w:hAnsi="Arial" w:cs="Arial"/>
          <w:kern w:val="0"/>
          <w:lang w:eastAsia="en-GB"/>
          <w14:ligatures w14:val="none"/>
        </w:rPr>
      </w:pPr>
      <w:r>
        <w:rPr>
          <w:rStyle w:val="FootnoteReference"/>
          <w:rFonts w:ascii="Arial" w:hAnsi="Arial" w:cs="Arial"/>
        </w:rPr>
        <w:footnoteRef/>
      </w:r>
      <w:r>
        <w:rPr>
          <w:rFonts w:ascii="Arial" w:hAnsi="Arial" w:cs="Arial"/>
        </w:rPr>
        <w:t xml:space="preserve"> </w:t>
      </w:r>
      <w:r>
        <w:rPr>
          <w:rFonts w:ascii="Arial" w:eastAsia="Times New Roman" w:hAnsi="Arial" w:cs="Arial"/>
          <w:color w:val="222222"/>
          <w:kern w:val="0"/>
          <w:shd w:val="clear" w:color="auto" w:fill="FFFFFF"/>
          <w:lang w:eastAsia="en-GB"/>
          <w14:ligatures w14:val="none"/>
        </w:rPr>
        <w:t xml:space="preserve">Alexandra, Gillespie, Your Next Car May Be Built </w:t>
      </w:r>
      <w:proofErr w:type="gramStart"/>
      <w:r>
        <w:rPr>
          <w:rFonts w:ascii="Arial" w:eastAsia="Times New Roman" w:hAnsi="Arial" w:cs="Arial"/>
          <w:color w:val="222222"/>
          <w:kern w:val="0"/>
          <w:shd w:val="clear" w:color="auto" w:fill="FFFFFF"/>
          <w:lang w:eastAsia="en-GB"/>
          <w14:ligatures w14:val="none"/>
        </w:rPr>
        <w:t>With</w:t>
      </w:r>
      <w:proofErr w:type="gramEnd"/>
      <w:r>
        <w:rPr>
          <w:rFonts w:ascii="Arial" w:eastAsia="Times New Roman" w:hAnsi="Arial" w:cs="Arial"/>
          <w:color w:val="222222"/>
          <w:kern w:val="0"/>
          <w:shd w:val="clear" w:color="auto" w:fill="FFFFFF"/>
          <w:lang w:eastAsia="en-GB"/>
          <w14:ligatures w14:val="none"/>
        </w:rPr>
        <w:t xml:space="preserve"> Ocean Rocks. Scientists Can’t Agree If That’s Good, 3 September 2021, </w:t>
      </w:r>
      <w:r>
        <w:rPr>
          <w:rFonts w:ascii="Arial" w:eastAsia="Times New Roman" w:hAnsi="Arial" w:cs="Arial"/>
          <w:i/>
          <w:iCs/>
          <w:color w:val="222222"/>
          <w:kern w:val="0"/>
          <w:shd w:val="clear" w:color="auto" w:fill="FFFFFF"/>
          <w:lang w:eastAsia="en-GB"/>
          <w14:ligatures w14:val="none"/>
        </w:rPr>
        <w:t>NPR</w:t>
      </w:r>
    </w:p>
    <w:p w14:paraId="0329850F" w14:textId="77777777" w:rsidR="0073001D" w:rsidRDefault="0073001D" w:rsidP="0073001D">
      <w:pPr>
        <w:shd w:val="clear" w:color="auto" w:fill="FFFFFF"/>
        <w:spacing w:after="0" w:line="240" w:lineRule="auto"/>
        <w:rPr>
          <w:rFonts w:ascii="Arial" w:eastAsia="Times New Roman" w:hAnsi="Arial" w:cs="Arial"/>
          <w:color w:val="222222"/>
          <w:kern w:val="0"/>
          <w:lang w:eastAsia="en-GB"/>
          <w14:ligatures w14:val="none"/>
        </w:rPr>
      </w:pPr>
      <w:hyperlink r:id="rId2" w:history="1">
        <w:r>
          <w:rPr>
            <w:rStyle w:val="Hyperlink"/>
            <w:rFonts w:ascii="Arial" w:eastAsia="Times New Roman" w:hAnsi="Arial" w:cs="Arial"/>
            <w:kern w:val="0"/>
            <w:lang w:eastAsia="en-GB"/>
            <w14:ligatures w14:val="none"/>
          </w:rPr>
          <w:t>https://www.npr.org/2021/09/03/1031434711/your-next-car-may-be-built-with-ocean-rocks-scientists-cant-agree-if-thats-good</w:t>
        </w:r>
      </w:hyperlink>
      <w:r>
        <w:rPr>
          <w:rFonts w:ascii="Arial" w:eastAsia="Times New Roman" w:hAnsi="Arial" w:cs="Arial"/>
          <w:color w:val="222222"/>
          <w:kern w:val="0"/>
          <w:lang w:eastAsia="en-GB"/>
          <w14:ligatures w14:val="none"/>
        </w:rPr>
        <w:t xml:space="preserve"> [accessed 9 Feb 2024].</w:t>
      </w:r>
    </w:p>
    <w:p w14:paraId="6AE25515" w14:textId="77777777" w:rsidR="0073001D" w:rsidRDefault="0073001D" w:rsidP="0073001D">
      <w:pPr>
        <w:pStyle w:val="FootnoteText"/>
        <w:rPr>
          <w:rFonts w:ascii="Arial" w:hAnsi="Arial" w:cs="Arial"/>
          <w:sz w:val="22"/>
          <w:szCs w:val="22"/>
        </w:rPr>
      </w:pPr>
    </w:p>
  </w:footnote>
  <w:footnote w:id="4">
    <w:p w14:paraId="07E6EF29" w14:textId="77777777" w:rsidR="0073001D" w:rsidRDefault="0073001D" w:rsidP="0073001D">
      <w:pPr>
        <w:shd w:val="clear" w:color="auto" w:fill="FFFFFF"/>
        <w:spacing w:after="0" w:line="240" w:lineRule="auto"/>
        <w:rPr>
          <w:rFonts w:ascii="Arial" w:hAnsi="Arial" w:cs="Arial"/>
          <w:color w:val="333333"/>
          <w:spacing w:val="5"/>
          <w:shd w:val="clear" w:color="auto" w:fill="FFFFFF"/>
        </w:rPr>
      </w:pPr>
      <w:r>
        <w:rPr>
          <w:rStyle w:val="FootnoteReference"/>
          <w:rFonts w:ascii="Arial" w:hAnsi="Arial" w:cs="Arial"/>
        </w:rPr>
        <w:footnoteRef/>
      </w:r>
      <w:r>
        <w:rPr>
          <w:rFonts w:ascii="Arial" w:hAnsi="Arial" w:cs="Arial"/>
        </w:rPr>
        <w:t xml:space="preserve"> </w:t>
      </w:r>
      <w:r>
        <w:rPr>
          <w:rFonts w:ascii="Arial" w:hAnsi="Arial" w:cs="Arial"/>
          <w:color w:val="222222"/>
          <w:shd w:val="clear" w:color="auto" w:fill="FFFFFF"/>
        </w:rPr>
        <w:t xml:space="preserve">Greenpeace UK, ‘Electric cars are greener than petrol cars – but they are not perfect’, 11th September 2020, </w:t>
      </w:r>
      <w:hyperlink r:id="rId3" w:history="1">
        <w:r>
          <w:rPr>
            <w:rStyle w:val="Hyperlink"/>
            <w:rFonts w:ascii="Arial" w:hAnsi="Arial" w:cs="Arial"/>
          </w:rPr>
          <w:t>https://www.greenpeace.org.uk/news/electric-cars-greener-petrol-cars/</w:t>
        </w:r>
      </w:hyperlink>
      <w:r>
        <w:rPr>
          <w:rFonts w:ascii="Arial" w:hAnsi="Arial" w:cs="Arial"/>
        </w:rPr>
        <w:t xml:space="preserve"> [accessed 9 Feb 2024]; </w:t>
      </w:r>
      <w:r>
        <w:rPr>
          <w:rFonts w:ascii="Arial" w:hAnsi="Arial" w:cs="Arial"/>
          <w:color w:val="222222"/>
          <w:shd w:val="clear" w:color="auto" w:fill="FFFFFF"/>
        </w:rPr>
        <w:t>Greenpeace East Asia, ‘Greenpeace report troubleshoots China’s electric vehicles boom, highlights critical supply risks for lithium – ion batteries’, 30 October 2020</w:t>
      </w:r>
      <w:r>
        <w:rPr>
          <w:rFonts w:ascii="Arial" w:hAnsi="Arial" w:cs="Arial"/>
        </w:rPr>
        <w:t xml:space="preserve">, </w:t>
      </w:r>
      <w:hyperlink r:id="rId4" w:history="1">
        <w:r>
          <w:rPr>
            <w:rStyle w:val="Hyperlink"/>
            <w:rFonts w:ascii="Arial" w:hAnsi="Arial" w:cs="Arial"/>
          </w:rPr>
          <w:t>https://www.greenpeace.org/eastasia/press/6175/greenpeace-report-troubleshoots-chinas-electric-vehicles-boom-highlights-critical-supply-risks-for-lithium-ion-batteries/</w:t>
        </w:r>
      </w:hyperlink>
      <w:r>
        <w:rPr>
          <w:rFonts w:ascii="Arial" w:hAnsi="Arial" w:cs="Arial"/>
        </w:rPr>
        <w:t xml:space="preserve"> [accessed 9 Feb 2024]; </w:t>
      </w:r>
      <w:r>
        <w:rPr>
          <w:rFonts w:ascii="Arial" w:eastAsia="Times New Roman" w:hAnsi="Arial" w:cs="Arial"/>
          <w:color w:val="222222"/>
          <w:kern w:val="0"/>
          <w:lang w:eastAsia="en-GB"/>
          <w14:ligatures w14:val="none"/>
        </w:rPr>
        <w:t xml:space="preserve">Greenpeace UK, ‘Deep sea mining industry fails to get green light, but remains a threat’, 28 July 2023, </w:t>
      </w:r>
      <w:hyperlink r:id="rId5" w:history="1">
        <w:r>
          <w:rPr>
            <w:rStyle w:val="Hyperlink"/>
            <w:rFonts w:ascii="Arial" w:hAnsi="Arial" w:cs="Arial"/>
            <w:spacing w:val="5"/>
            <w:shd w:val="clear" w:color="auto" w:fill="FFFFFF"/>
          </w:rPr>
          <w:t>https://www.greenpeace.org.uk/news/deep-sea-mining-industry-fails-to-get-green-light-but-remains-a-threat/</w:t>
        </w:r>
      </w:hyperlink>
      <w:r>
        <w:rPr>
          <w:rFonts w:ascii="Arial" w:hAnsi="Arial" w:cs="Arial"/>
          <w:color w:val="333333"/>
          <w:spacing w:val="5"/>
          <w:shd w:val="clear" w:color="auto" w:fill="FFFFFF"/>
        </w:rPr>
        <w:t xml:space="preserve"> </w:t>
      </w:r>
      <w:r>
        <w:rPr>
          <w:rFonts w:ascii="Arial" w:hAnsi="Arial" w:cs="Arial"/>
          <w:kern w:val="0"/>
          <w14:ligatures w14:val="none"/>
        </w:rPr>
        <w:t>[accessed 9 Feb 2024].</w:t>
      </w:r>
    </w:p>
    <w:p w14:paraId="4171AAEC" w14:textId="77777777" w:rsidR="0073001D" w:rsidRDefault="0073001D" w:rsidP="0073001D">
      <w:pPr>
        <w:pStyle w:val="FootnoteText"/>
        <w:rPr>
          <w:rFonts w:ascii="Arial" w:hAnsi="Arial" w:cs="Arial"/>
          <w:sz w:val="22"/>
          <w:szCs w:val="22"/>
        </w:rPr>
      </w:pPr>
    </w:p>
  </w:footnote>
  <w:footnote w:id="5">
    <w:p w14:paraId="40B6EDF6" w14:textId="77777777" w:rsidR="0073001D" w:rsidRDefault="0073001D" w:rsidP="0073001D">
      <w:pPr>
        <w:pStyle w:val="FootnoteText"/>
        <w:rPr>
          <w:rFonts w:ascii="Arial" w:hAnsi="Arial" w:cs="Arial"/>
          <w:color w:val="333333"/>
          <w:sz w:val="22"/>
          <w:szCs w:val="22"/>
          <w:shd w:val="clear" w:color="auto" w:fill="FCFCFC"/>
        </w:rPr>
      </w:pPr>
      <w:r>
        <w:rPr>
          <w:rStyle w:val="FootnoteReference"/>
          <w:rFonts w:ascii="Arial" w:hAnsi="Arial" w:cs="Arial"/>
          <w:sz w:val="22"/>
          <w:szCs w:val="22"/>
        </w:rPr>
        <w:footnoteRef/>
      </w:r>
      <w:r>
        <w:rPr>
          <w:rFonts w:ascii="Arial" w:hAnsi="Arial" w:cs="Arial"/>
          <w:sz w:val="22"/>
          <w:szCs w:val="22"/>
        </w:rPr>
        <w:t xml:space="preserve"> </w:t>
      </w:r>
      <w:r>
        <w:rPr>
          <w:rFonts w:ascii="Arial" w:hAnsi="Arial" w:cs="Arial"/>
          <w:color w:val="333333"/>
          <w:sz w:val="22"/>
          <w:szCs w:val="22"/>
          <w:shd w:val="clear" w:color="auto" w:fill="FCFCFC"/>
        </w:rPr>
        <w:t xml:space="preserve">Rubino, F.E., Veltri, S. (2020). Accounting for Sustainability—Could Cost Accounting Be the Right </w:t>
      </w:r>
      <w:proofErr w:type="gramStart"/>
      <w:r>
        <w:rPr>
          <w:rFonts w:ascii="Arial" w:hAnsi="Arial" w:cs="Arial"/>
          <w:color w:val="333333"/>
          <w:sz w:val="22"/>
          <w:szCs w:val="22"/>
          <w:shd w:val="clear" w:color="auto" w:fill="FCFCFC"/>
        </w:rPr>
        <w:t>Tool?.</w:t>
      </w:r>
      <w:proofErr w:type="gramEnd"/>
      <w:r>
        <w:rPr>
          <w:rFonts w:ascii="Arial" w:hAnsi="Arial" w:cs="Arial"/>
          <w:color w:val="333333"/>
          <w:sz w:val="22"/>
          <w:szCs w:val="22"/>
          <w:shd w:val="clear" w:color="auto" w:fill="FCFCFC"/>
        </w:rPr>
        <w:t xml:space="preserve"> In: Del Baldo, M., Dillard, J., Baldarelli, MG., </w:t>
      </w:r>
      <w:proofErr w:type="spellStart"/>
      <w:r>
        <w:rPr>
          <w:rFonts w:ascii="Arial" w:hAnsi="Arial" w:cs="Arial"/>
          <w:color w:val="333333"/>
          <w:sz w:val="22"/>
          <w:szCs w:val="22"/>
          <w:shd w:val="clear" w:color="auto" w:fill="FCFCFC"/>
        </w:rPr>
        <w:t>Ciambotti</w:t>
      </w:r>
      <w:proofErr w:type="spellEnd"/>
      <w:r>
        <w:rPr>
          <w:rFonts w:ascii="Arial" w:hAnsi="Arial" w:cs="Arial"/>
          <w:color w:val="333333"/>
          <w:sz w:val="22"/>
          <w:szCs w:val="22"/>
          <w:shd w:val="clear" w:color="auto" w:fill="FCFCFC"/>
        </w:rPr>
        <w:t xml:space="preserve">, M. (eds) Accounting, Accountability and Society. CSR, Sustainability, Ethics &amp; Governance. Springer, Cham. </w:t>
      </w:r>
      <w:hyperlink r:id="rId6" w:history="1">
        <w:r>
          <w:rPr>
            <w:rStyle w:val="Hyperlink"/>
            <w:rFonts w:ascii="Arial" w:hAnsi="Arial" w:cs="Arial"/>
            <w:sz w:val="22"/>
            <w:szCs w:val="22"/>
            <w:shd w:val="clear" w:color="auto" w:fill="FCFCFC"/>
          </w:rPr>
          <w:t>https://doi.org/10.1007/978-3-030-41142-8_5</w:t>
        </w:r>
      </w:hyperlink>
    </w:p>
    <w:p w14:paraId="44D3C21F" w14:textId="77777777" w:rsidR="0073001D" w:rsidRDefault="0073001D" w:rsidP="0073001D">
      <w:pPr>
        <w:pStyle w:val="FootnoteText"/>
        <w:rPr>
          <w:rFonts w:ascii="Arial" w:hAnsi="Arial" w:cs="Arial"/>
          <w:sz w:val="22"/>
          <w:szCs w:val="22"/>
        </w:rPr>
      </w:pPr>
    </w:p>
  </w:footnote>
  <w:footnote w:id="6">
    <w:p w14:paraId="0ACAEB3E" w14:textId="77777777" w:rsidR="0073001D" w:rsidRDefault="0073001D" w:rsidP="0073001D">
      <w:pPr>
        <w:spacing w:line="240" w:lineRule="auto"/>
        <w:rPr>
          <w:rFonts w:ascii="Arial" w:hAnsi="Arial" w:cs="Arial"/>
        </w:rPr>
      </w:pPr>
      <w:r>
        <w:rPr>
          <w:rStyle w:val="FootnoteReference"/>
          <w:rFonts w:ascii="Arial" w:hAnsi="Arial" w:cs="Arial"/>
        </w:rPr>
        <w:footnoteRef/>
      </w:r>
      <w:r>
        <w:rPr>
          <w:rFonts w:ascii="Arial" w:hAnsi="Arial" w:cs="Arial"/>
        </w:rPr>
        <w:t xml:space="preserve"> ‘What is a Circular Economy’, </w:t>
      </w:r>
      <w:r>
        <w:rPr>
          <w:rFonts w:ascii="Arial" w:hAnsi="Arial" w:cs="Arial"/>
          <w:i/>
          <w:iCs/>
        </w:rPr>
        <w:t>Circular Economy Introduction</w:t>
      </w:r>
      <w:r>
        <w:rPr>
          <w:rFonts w:ascii="Arial" w:hAnsi="Arial" w:cs="Arial"/>
        </w:rPr>
        <w:t xml:space="preserve">, Ellen MacArthur Foundation,  </w:t>
      </w:r>
      <w:hyperlink r:id="rId7" w:history="1">
        <w:r>
          <w:rPr>
            <w:rStyle w:val="Hyperlink"/>
            <w:rFonts w:ascii="Arial" w:hAnsi="Arial" w:cs="Arial"/>
          </w:rPr>
          <w:t>https://www.ellenmacarthurfoundation.org/topics/circular-economy-introduction/overview</w:t>
        </w:r>
      </w:hyperlink>
      <w:r>
        <w:rPr>
          <w:rFonts w:ascii="Arial" w:hAnsi="Arial" w:cs="Arial"/>
        </w:rPr>
        <w:t xml:space="preserve"> [accessed 9 Feb 2024].</w:t>
      </w:r>
    </w:p>
  </w:footnote>
  <w:footnote w:id="7">
    <w:p w14:paraId="25AF640B" w14:textId="77777777" w:rsidR="0073001D" w:rsidRDefault="0073001D" w:rsidP="0073001D">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Doughnut Economics Action Lab, https://doughnuteconomics.org/ [accessed 9 Feb 2024].</w:t>
      </w:r>
    </w:p>
    <w:p w14:paraId="549DCE84" w14:textId="77777777" w:rsidR="0073001D" w:rsidRDefault="0073001D" w:rsidP="0073001D">
      <w:pPr>
        <w:pStyle w:val="FootnoteText"/>
        <w:rPr>
          <w:rFonts w:ascii="Arial" w:hAnsi="Arial" w:cs="Arial"/>
          <w:sz w:val="22"/>
          <w:szCs w:val="22"/>
        </w:rPr>
      </w:pPr>
    </w:p>
  </w:footnote>
  <w:footnote w:id="8">
    <w:p w14:paraId="45087399" w14:textId="77777777" w:rsidR="0073001D" w:rsidRDefault="0073001D" w:rsidP="0073001D">
      <w:pPr>
        <w:shd w:val="clear" w:color="auto" w:fill="FFFFFF"/>
        <w:spacing w:line="240" w:lineRule="auto"/>
        <w:outlineLvl w:val="0"/>
        <w:rPr>
          <w:rFonts w:ascii="Arial" w:hAnsi="Arial" w:cs="Arial"/>
        </w:rPr>
      </w:pPr>
      <w:r>
        <w:rPr>
          <w:rStyle w:val="FootnoteReference"/>
          <w:rFonts w:ascii="Arial" w:hAnsi="Arial" w:cs="Arial"/>
        </w:rPr>
        <w:footnoteRef/>
      </w:r>
      <w:r>
        <w:rPr>
          <w:rFonts w:ascii="Arial" w:hAnsi="Arial" w:cs="Arial"/>
        </w:rPr>
        <w:t xml:space="preserve"> </w:t>
      </w:r>
      <w:r>
        <w:rPr>
          <w:rFonts w:ascii="Arial" w:eastAsia="Times New Roman" w:hAnsi="Arial" w:cs="Arial"/>
          <w:color w:val="333333"/>
          <w:kern w:val="36"/>
          <w:lang w:eastAsia="en-GB"/>
          <w14:ligatures w14:val="none"/>
        </w:rPr>
        <w:t xml:space="preserve">Harold Sack, ‘Andrea Palladio and the Rules of Harmony’, </w:t>
      </w:r>
      <w:proofErr w:type="spellStart"/>
      <w:r>
        <w:rPr>
          <w:rFonts w:ascii="Arial" w:eastAsia="Times New Roman" w:hAnsi="Arial" w:cs="Arial"/>
          <w:i/>
          <w:iCs/>
          <w:color w:val="333333"/>
          <w:kern w:val="36"/>
          <w:lang w:eastAsia="en-GB"/>
          <w14:ligatures w14:val="none"/>
        </w:rPr>
        <w:t>SciHi</w:t>
      </w:r>
      <w:proofErr w:type="spellEnd"/>
      <w:r>
        <w:rPr>
          <w:rFonts w:ascii="Arial" w:eastAsia="Times New Roman" w:hAnsi="Arial" w:cs="Arial"/>
          <w:i/>
          <w:iCs/>
          <w:color w:val="333333"/>
          <w:kern w:val="36"/>
          <w:lang w:eastAsia="en-GB"/>
          <w14:ligatures w14:val="none"/>
        </w:rPr>
        <w:t xml:space="preserve"> Blog</w:t>
      </w:r>
      <w:r>
        <w:rPr>
          <w:rFonts w:ascii="Arial" w:eastAsia="Times New Roman" w:hAnsi="Arial" w:cs="Arial"/>
          <w:color w:val="333333"/>
          <w:kern w:val="36"/>
          <w:lang w:eastAsia="en-GB"/>
          <w14:ligatures w14:val="none"/>
        </w:rPr>
        <w:t>, 30 November 2020</w:t>
      </w:r>
    </w:p>
    <w:p w14:paraId="70477FA8" w14:textId="77777777" w:rsidR="0073001D" w:rsidRDefault="0073001D" w:rsidP="0073001D">
      <w:pPr>
        <w:spacing w:line="240" w:lineRule="auto"/>
        <w:contextualSpacing/>
        <w:rPr>
          <w:rFonts w:ascii="Arial" w:hAnsi="Arial" w:cs="Arial"/>
        </w:rPr>
      </w:pPr>
      <w:hyperlink r:id="rId8" w:history="1">
        <w:r>
          <w:rPr>
            <w:rStyle w:val="Hyperlink"/>
            <w:rFonts w:ascii="Arial" w:hAnsi="Arial" w:cs="Arial"/>
          </w:rPr>
          <w:t>http://scihi.org/andrea-palladio-rules-harmony/</w:t>
        </w:r>
      </w:hyperlink>
      <w:r>
        <w:rPr>
          <w:rFonts w:ascii="Arial" w:hAnsi="Arial" w:cs="Arial"/>
        </w:rPr>
        <w:t xml:space="preserve"> [accessed 5 Feb. 2024]; J. Boyd-Brent, ‘Harmony and Proportion. Palladio: The Proportions of Rooms,</w:t>
      </w:r>
      <w:r>
        <w:rPr>
          <w:rFonts w:ascii="Arial" w:hAnsi="Arial" w:cs="Arial"/>
          <w:i/>
          <w:iCs/>
        </w:rPr>
        <w:t xml:space="preserve"> About Scotland</w:t>
      </w:r>
      <w:r>
        <w:rPr>
          <w:rFonts w:ascii="Arial" w:hAnsi="Arial" w:cs="Arial"/>
        </w:rPr>
        <w:t xml:space="preserve">, </w:t>
      </w:r>
    </w:p>
    <w:p w14:paraId="01F95063" w14:textId="77777777" w:rsidR="0073001D" w:rsidRDefault="0073001D" w:rsidP="0073001D">
      <w:pPr>
        <w:spacing w:line="240" w:lineRule="auto"/>
        <w:contextualSpacing/>
        <w:rPr>
          <w:rFonts w:ascii="Arial" w:hAnsi="Arial" w:cs="Arial"/>
        </w:rPr>
      </w:pPr>
      <w:hyperlink r:id="rId9" w:history="1">
        <w:r>
          <w:rPr>
            <w:rStyle w:val="Hyperlink"/>
            <w:rFonts w:ascii="Arial" w:hAnsi="Arial" w:cs="Arial"/>
          </w:rPr>
          <w:t>https://www.aboutscotland.com/harmony/prop3.html</w:t>
        </w:r>
      </w:hyperlink>
      <w:r>
        <w:rPr>
          <w:rFonts w:ascii="Arial" w:hAnsi="Arial" w:cs="Arial"/>
        </w:rPr>
        <w:t xml:space="preserve"> [accessed 5 Feb. 2024].</w:t>
      </w:r>
    </w:p>
    <w:p w14:paraId="548D9F49" w14:textId="77777777" w:rsidR="0073001D" w:rsidRDefault="0073001D" w:rsidP="0073001D">
      <w:pPr>
        <w:pStyle w:val="FootnoteText"/>
        <w:rPr>
          <w:rFonts w:ascii="Arial" w:hAnsi="Arial" w:cs="Arial"/>
          <w:sz w:val="22"/>
          <w:szCs w:val="22"/>
        </w:rPr>
      </w:pPr>
    </w:p>
  </w:footnote>
  <w:footnote w:id="9">
    <w:p w14:paraId="58248BA3" w14:textId="77777777" w:rsidR="0073001D" w:rsidRDefault="0073001D" w:rsidP="0073001D">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Poundbury. </w:t>
      </w:r>
      <w:hyperlink r:id="rId10" w:history="1">
        <w:r>
          <w:rPr>
            <w:rStyle w:val="Hyperlink"/>
            <w:rFonts w:ascii="Arial" w:hAnsi="Arial" w:cs="Arial"/>
            <w:sz w:val="22"/>
            <w:szCs w:val="22"/>
          </w:rPr>
          <w:t>https://poundbury.co.uk/</w:t>
        </w:r>
      </w:hyperlink>
      <w:r>
        <w:rPr>
          <w:rFonts w:ascii="Arial" w:hAnsi="Arial" w:cs="Arial"/>
          <w:sz w:val="22"/>
          <w:szCs w:val="22"/>
        </w:rPr>
        <w:t xml:space="preserve"> [accessed 5 February 2024.</w:t>
      </w:r>
    </w:p>
    <w:p w14:paraId="0D0DCE13" w14:textId="77777777" w:rsidR="0073001D" w:rsidRDefault="0073001D" w:rsidP="0073001D">
      <w:pPr>
        <w:pStyle w:val="FootnoteText"/>
        <w:rPr>
          <w:rFonts w:ascii="Arial" w:hAnsi="Arial" w:cs="Arial"/>
          <w:sz w:val="22"/>
          <w:szCs w:val="22"/>
        </w:rPr>
      </w:pPr>
    </w:p>
  </w:footnote>
  <w:footnote w:id="10">
    <w:p w14:paraId="65A76AEB" w14:textId="77777777" w:rsidR="0073001D" w:rsidRDefault="0073001D" w:rsidP="0073001D">
      <w:pPr>
        <w:rPr>
          <w:rFonts w:ascii="Arial" w:hAnsi="Arial" w:cs="Arial"/>
          <w:kern w:val="0"/>
          <w14:ligatures w14:val="none"/>
        </w:rPr>
      </w:pPr>
      <w:r>
        <w:rPr>
          <w:rStyle w:val="FootnoteReference"/>
          <w:rFonts w:ascii="Arial" w:hAnsi="Arial" w:cs="Arial"/>
        </w:rPr>
        <w:footnoteRef/>
      </w:r>
      <w:r>
        <w:rPr>
          <w:rFonts w:ascii="Arial" w:hAnsi="Arial" w:cs="Arial"/>
        </w:rPr>
        <w:t xml:space="preserve"> The King’s Foundation, </w:t>
      </w:r>
      <w:hyperlink r:id="rId11" w:history="1">
        <w:r>
          <w:rPr>
            <w:rStyle w:val="Hyperlink"/>
            <w:rFonts w:ascii="Arial" w:hAnsi="Arial" w:cs="Arial"/>
          </w:rPr>
          <w:t>https://www.kings-foundation.org/about</w:t>
        </w:r>
      </w:hyperlink>
      <w:r>
        <w:rPr>
          <w:rFonts w:ascii="Arial" w:hAnsi="Arial" w:cs="Arial"/>
        </w:rPr>
        <w:t xml:space="preserve"> </w:t>
      </w:r>
      <w:r>
        <w:rPr>
          <w:rFonts w:ascii="Arial" w:hAnsi="Arial" w:cs="Arial"/>
          <w:kern w:val="0"/>
          <w14:ligatures w14:val="none"/>
        </w:rPr>
        <w:t xml:space="preserve">[accessed 9 Feb. 2024];King’s Foundation School of Traditional Arts, </w:t>
      </w:r>
      <w:hyperlink r:id="rId12" w:history="1">
        <w:r>
          <w:rPr>
            <w:rStyle w:val="Hyperlink"/>
            <w:rFonts w:ascii="Arial" w:hAnsi="Arial" w:cs="Arial"/>
          </w:rPr>
          <w:t>https://www.kings-foundation.org/school-of-traditional-arts</w:t>
        </w:r>
      </w:hyperlink>
      <w:r>
        <w:rPr>
          <w:rFonts w:ascii="Arial" w:hAnsi="Arial" w:cs="Arial"/>
        </w:rPr>
        <w:t xml:space="preserve"> </w:t>
      </w:r>
      <w:r>
        <w:rPr>
          <w:rFonts w:ascii="Arial" w:hAnsi="Arial" w:cs="Arial"/>
          <w:kern w:val="0"/>
          <w14:ligatures w14:val="none"/>
        </w:rPr>
        <w:t>[accessed 9 Feb. 2024].</w:t>
      </w:r>
    </w:p>
    <w:p w14:paraId="62BDA62A" w14:textId="77777777" w:rsidR="0073001D" w:rsidRDefault="0073001D" w:rsidP="0073001D">
      <w:pPr>
        <w:pStyle w:val="FootnoteText"/>
        <w:rPr>
          <w:rFonts w:ascii="Arial" w:hAnsi="Arial" w:cs="Arial"/>
          <w:sz w:val="22"/>
          <w:szCs w:val="22"/>
        </w:rPr>
      </w:pPr>
    </w:p>
  </w:footnote>
  <w:footnote w:id="11">
    <w:p w14:paraId="209C8F92" w14:textId="77777777" w:rsidR="0073001D" w:rsidRDefault="0073001D" w:rsidP="0073001D">
      <w:pPr>
        <w:rPr>
          <w:rFonts w:ascii="Arial" w:hAnsi="Arial" w:cs="Arial"/>
        </w:rPr>
      </w:pPr>
      <w:r>
        <w:rPr>
          <w:rStyle w:val="FootnoteReference"/>
          <w:rFonts w:ascii="Arial" w:hAnsi="Arial" w:cs="Arial"/>
        </w:rPr>
        <w:footnoteRef/>
      </w:r>
      <w:r>
        <w:rPr>
          <w:rFonts w:ascii="Arial" w:hAnsi="Arial" w:cs="Arial"/>
        </w:rPr>
        <w:t xml:space="preserve"> Anna Winston, ‘Prince Charles reveals 10 principles for “more mature view” of urban design, </w:t>
      </w:r>
      <w:proofErr w:type="spellStart"/>
      <w:r>
        <w:rPr>
          <w:rFonts w:ascii="Arial" w:hAnsi="Arial" w:cs="Arial"/>
          <w:i/>
          <w:iCs/>
        </w:rPr>
        <w:t>dezeen</w:t>
      </w:r>
      <w:proofErr w:type="spellEnd"/>
      <w:r>
        <w:rPr>
          <w:rFonts w:ascii="Arial" w:hAnsi="Arial" w:cs="Arial"/>
          <w:i/>
          <w:iCs/>
        </w:rPr>
        <w:t>,</w:t>
      </w:r>
      <w:r>
        <w:rPr>
          <w:rFonts w:ascii="Arial" w:hAnsi="Arial" w:cs="Arial"/>
        </w:rPr>
        <w:t xml:space="preserve"> 21 December 2014, https://www.dezeen.com/2014/12/21/prince-charles-reveals-10-principles-for-more-mature-view-of-urban-design/? [accessed 6 March 2024].</w:t>
      </w:r>
    </w:p>
    <w:p w14:paraId="313CA69C" w14:textId="77777777" w:rsidR="0073001D" w:rsidRDefault="0073001D" w:rsidP="0073001D">
      <w:pPr>
        <w:pStyle w:val="FootnoteText"/>
      </w:pPr>
    </w:p>
  </w:footnote>
  <w:footnote w:id="12">
    <w:p w14:paraId="7ED08EF4" w14:textId="77777777" w:rsidR="0073001D" w:rsidRDefault="0073001D" w:rsidP="0073001D">
      <w:pPr>
        <w:pStyle w:val="Heading1"/>
        <w:shd w:val="clear" w:color="auto" w:fill="FFFFFF"/>
        <w:spacing w:before="0" w:after="0"/>
        <w:textAlignment w:val="baseline"/>
        <w:rPr>
          <w:rFonts w:ascii="Arial" w:hAnsi="Arial" w:cs="Arial"/>
          <w:kern w:val="0"/>
          <w:sz w:val="22"/>
          <w:szCs w:val="22"/>
        </w:rPr>
      </w:pPr>
      <w:r>
        <w:rPr>
          <w:rStyle w:val="FootnoteReference"/>
          <w:rFonts w:ascii="Arial" w:hAnsi="Arial" w:cs="Arial"/>
          <w:b/>
          <w:bCs/>
          <w:sz w:val="22"/>
          <w:szCs w:val="22"/>
        </w:rPr>
        <w:footnoteRef/>
      </w:r>
      <w:r>
        <w:rPr>
          <w:rFonts w:ascii="Arial" w:hAnsi="Arial" w:cs="Arial"/>
          <w:b/>
          <w:bCs/>
          <w:sz w:val="22"/>
          <w:szCs w:val="22"/>
        </w:rPr>
        <w:t xml:space="preserve"> </w:t>
      </w:r>
      <w:r>
        <w:rPr>
          <w:rFonts w:ascii="Arial" w:hAnsi="Arial" w:cs="Arial"/>
          <w:sz w:val="22"/>
          <w:szCs w:val="22"/>
        </w:rPr>
        <w:t xml:space="preserve">‘Prince Charles’ National Gallery Speech’, </w:t>
      </w:r>
      <w:hyperlink r:id="rId13" w:anchor="id=2&amp;vid=e94ff913c51a0bf95a6a3dcd10f17550&amp;action=click" w:history="1">
        <w:r>
          <w:rPr>
            <w:rStyle w:val="Hyperlink"/>
            <w:rFonts w:ascii="Arial" w:hAnsi="Arial" w:cs="Arial"/>
            <w:sz w:val="22"/>
            <w:szCs w:val="22"/>
          </w:rPr>
          <w:t>https://uk.video.search.yahoo.com/search/video?fr=mcafee&amp;ei=UTF-8&amp;p=Prince+Charles+monstrous+carbuncle&amp;type=E210GB105G0#id=2&amp;vid=e94ff913c51a0bf95a6a3dcd10f17550&amp;action=click</w:t>
        </w:r>
      </w:hyperlink>
      <w:r>
        <w:rPr>
          <w:rFonts w:ascii="Arial" w:hAnsi="Arial" w:cs="Arial"/>
          <w:sz w:val="22"/>
          <w:szCs w:val="22"/>
        </w:rPr>
        <w:t xml:space="preserve">, </w:t>
      </w:r>
      <w:r>
        <w:rPr>
          <w:rFonts w:ascii="Arial" w:hAnsi="Arial" w:cs="Arial"/>
          <w:kern w:val="0"/>
          <w:sz w:val="22"/>
          <w:szCs w:val="22"/>
        </w:rPr>
        <w:t xml:space="preserve">[accessed 9 Feb. 2024]; Also see Mara Bar-Hillel and Will Hurst, ‘Prince Charles: When I said monstrous carbuncle...’, </w:t>
      </w:r>
      <w:r>
        <w:rPr>
          <w:rFonts w:ascii="Arial" w:hAnsi="Arial" w:cs="Arial"/>
          <w:i/>
          <w:iCs/>
          <w:kern w:val="0"/>
          <w:sz w:val="22"/>
          <w:szCs w:val="22"/>
        </w:rPr>
        <w:t>The Evening Standard</w:t>
      </w:r>
      <w:r>
        <w:rPr>
          <w:rFonts w:ascii="Arial" w:hAnsi="Arial" w:cs="Arial"/>
          <w:kern w:val="0"/>
          <w:sz w:val="22"/>
          <w:szCs w:val="22"/>
        </w:rPr>
        <w:t xml:space="preserve">, 13 April 2012, </w:t>
      </w:r>
      <w:hyperlink r:id="rId14" w:history="1">
        <w:r>
          <w:rPr>
            <w:rStyle w:val="Hyperlink"/>
            <w:rFonts w:ascii="Arial" w:hAnsi="Arial" w:cs="Arial"/>
            <w:sz w:val="22"/>
            <w:szCs w:val="22"/>
          </w:rPr>
          <w:t>https://www.standard.co.uk/hp/front/prince-charles-when-i-said-monstrous-carbuncle-6774545.html</w:t>
        </w:r>
      </w:hyperlink>
      <w:r>
        <w:rPr>
          <w:rFonts w:ascii="Arial" w:hAnsi="Arial" w:cs="Arial"/>
          <w:sz w:val="22"/>
          <w:szCs w:val="22"/>
        </w:rPr>
        <w:t xml:space="preserve"> </w:t>
      </w:r>
      <w:r>
        <w:rPr>
          <w:rFonts w:ascii="Arial" w:hAnsi="Arial" w:cs="Arial"/>
          <w:kern w:val="0"/>
          <w:sz w:val="22"/>
          <w:szCs w:val="22"/>
        </w:rPr>
        <w:t>[accessed 9 Feb. 2024].</w:t>
      </w:r>
    </w:p>
    <w:p w14:paraId="22091024" w14:textId="77777777" w:rsidR="0073001D" w:rsidRDefault="0073001D" w:rsidP="0073001D">
      <w:pPr>
        <w:pStyle w:val="FootnoteText"/>
        <w:rPr>
          <w:rFonts w:ascii="Arial" w:hAnsi="Arial" w:cs="Arial"/>
          <w:sz w:val="22"/>
          <w:szCs w:val="22"/>
        </w:rPr>
      </w:pPr>
    </w:p>
  </w:footnote>
  <w:footnote w:id="13">
    <w:p w14:paraId="50BD0553" w14:textId="77777777" w:rsidR="0073001D" w:rsidRDefault="0073001D" w:rsidP="0073001D">
      <w:pPr>
        <w:spacing w:line="240" w:lineRule="auto"/>
        <w:rPr>
          <w:rFonts w:ascii="Arial" w:hAnsi="Arial" w:cs="Arial"/>
          <w:kern w:val="0"/>
          <w14:ligatures w14:val="none"/>
        </w:rPr>
      </w:pPr>
      <w:r>
        <w:rPr>
          <w:rStyle w:val="FootnoteReference"/>
          <w:rFonts w:ascii="Arial" w:hAnsi="Arial" w:cs="Arial"/>
        </w:rPr>
        <w:footnoteRef/>
      </w:r>
      <w:r>
        <w:rPr>
          <w:rFonts w:ascii="Arial" w:hAnsi="Arial" w:cs="Arial"/>
        </w:rPr>
        <w:t xml:space="preserve"> </w:t>
      </w:r>
      <w:r>
        <w:rPr>
          <w:rFonts w:ascii="Arial" w:hAnsi="Arial" w:cs="Arial"/>
          <w:color w:val="222222"/>
          <w:shd w:val="clear" w:color="auto" w:fill="FFFFFF"/>
        </w:rPr>
        <w:t xml:space="preserve">‘Mondrian and Theosophy’, </w:t>
      </w:r>
      <w:r>
        <w:rPr>
          <w:rFonts w:ascii="Arial" w:hAnsi="Arial" w:cs="Arial"/>
          <w:i/>
          <w:iCs/>
          <w:color w:val="222222"/>
          <w:kern w:val="0"/>
          <w:shd w:val="clear" w:color="auto" w:fill="FFFFFF"/>
          <w14:ligatures w14:val="none"/>
        </w:rPr>
        <w:t>Theosophy and arts: the spiritual in arts</w:t>
      </w:r>
      <w:r>
        <w:rPr>
          <w:rFonts w:ascii="Arial" w:hAnsi="Arial" w:cs="Arial"/>
        </w:rPr>
        <w:t xml:space="preserve">, </w:t>
      </w:r>
      <w:hyperlink r:id="rId15" w:history="1">
        <w:r>
          <w:rPr>
            <w:rStyle w:val="Hyperlink"/>
            <w:rFonts w:ascii="Arial" w:hAnsi="Arial" w:cs="Arial"/>
          </w:rPr>
          <w:t>https://theosophyart.org/2017/09/27/mondrian/</w:t>
        </w:r>
      </w:hyperlink>
      <w:r>
        <w:rPr>
          <w:rFonts w:ascii="Arial" w:hAnsi="Arial" w:cs="Arial"/>
        </w:rPr>
        <w:t xml:space="preserve"> </w:t>
      </w:r>
      <w:r>
        <w:rPr>
          <w:rFonts w:ascii="Arial" w:hAnsi="Arial" w:cs="Arial"/>
          <w:kern w:val="0"/>
          <w14:ligatures w14:val="none"/>
        </w:rPr>
        <w:t>[accessed 9 Feb. 2024]; Jonathan Jones, ‘</w:t>
      </w:r>
      <w:r>
        <w:rPr>
          <w:rFonts w:ascii="Arial" w:eastAsia="Times New Roman" w:hAnsi="Arial" w:cs="Arial"/>
          <w:kern w:val="36"/>
          <w:lang w:eastAsia="en-GB"/>
          <w14:ligatures w14:val="none"/>
        </w:rPr>
        <w:t xml:space="preserve">The oblong and winding road: Mondrian's tortured journey to gridlock genius’, </w:t>
      </w:r>
      <w:r>
        <w:rPr>
          <w:rFonts w:ascii="Arial" w:eastAsia="Times New Roman" w:hAnsi="Arial" w:cs="Arial"/>
          <w:i/>
          <w:iCs/>
          <w:kern w:val="36"/>
          <w:lang w:eastAsia="en-GB"/>
          <w14:ligatures w14:val="none"/>
        </w:rPr>
        <w:t>The Guardian</w:t>
      </w:r>
      <w:r>
        <w:rPr>
          <w:rFonts w:ascii="Arial" w:eastAsia="Times New Roman" w:hAnsi="Arial" w:cs="Arial"/>
          <w:kern w:val="36"/>
          <w:lang w:eastAsia="en-GB"/>
          <w14:ligatures w14:val="none"/>
        </w:rPr>
        <w:t xml:space="preserve">, 2 June 2017, </w:t>
      </w:r>
      <w:hyperlink r:id="rId16" w:history="1">
        <w:r>
          <w:rPr>
            <w:rStyle w:val="Hyperlink"/>
            <w:rFonts w:ascii="Arial" w:eastAsia="Times New Roman" w:hAnsi="Arial" w:cs="Arial"/>
            <w:kern w:val="36"/>
            <w:lang w:eastAsia="en-GB"/>
            <w14:ligatures w14:val="none"/>
          </w:rPr>
          <w:t>h</w:t>
        </w:r>
        <w:r>
          <w:rPr>
            <w:rStyle w:val="Hyperlink"/>
            <w:rFonts w:ascii="Arial" w:hAnsi="Arial" w:cs="Arial"/>
            <w:kern w:val="0"/>
            <w14:ligatures w14:val="none"/>
          </w:rPr>
          <w:t>ttps://www.theguardian.com/artanddesign/2017/jun/02/mondrian-tortured-quest-for-spiritual-salvation-gemeentemuseum-hague</w:t>
        </w:r>
      </w:hyperlink>
      <w:r>
        <w:rPr>
          <w:rFonts w:ascii="Arial" w:hAnsi="Arial" w:cs="Arial"/>
        </w:rPr>
        <w:t xml:space="preserve"> </w:t>
      </w:r>
      <w:r>
        <w:rPr>
          <w:rFonts w:ascii="Arial" w:hAnsi="Arial" w:cs="Arial"/>
          <w:kern w:val="0"/>
          <w14:ligatures w14:val="none"/>
        </w:rPr>
        <w:t>[accessed 9 Feb. 2024]</w:t>
      </w:r>
    </w:p>
    <w:p w14:paraId="7E822F98" w14:textId="77777777" w:rsidR="0073001D" w:rsidRDefault="0073001D" w:rsidP="0073001D">
      <w:pPr>
        <w:pStyle w:val="FootnoteText"/>
        <w:rPr>
          <w:rFonts w:ascii="Arial" w:hAnsi="Arial" w:cs="Arial"/>
          <w:sz w:val="22"/>
          <w:szCs w:val="22"/>
        </w:rPr>
      </w:pPr>
    </w:p>
  </w:footnote>
  <w:footnote w:id="14">
    <w:p w14:paraId="6368D061" w14:textId="77777777" w:rsidR="0073001D" w:rsidRDefault="0073001D" w:rsidP="0073001D">
      <w:pPr>
        <w:spacing w:after="0" w:line="240" w:lineRule="auto"/>
        <w:rPr>
          <w:rFonts w:ascii="Arial" w:hAnsi="Arial" w:cs="Arial"/>
          <w:i/>
          <w:iCs/>
          <w:color w:val="262626"/>
        </w:rPr>
      </w:pPr>
      <w:r>
        <w:rPr>
          <w:rStyle w:val="FootnoteReference"/>
          <w:rFonts w:ascii="Arial" w:hAnsi="Arial" w:cs="Arial"/>
        </w:rPr>
        <w:footnoteRef/>
      </w:r>
      <w:r>
        <w:rPr>
          <w:rFonts w:ascii="Arial" w:hAnsi="Arial" w:cs="Arial"/>
        </w:rPr>
        <w:t xml:space="preserve"> ‘Esoteric Thought’,  </w:t>
      </w:r>
      <w:hyperlink r:id="rId17" w:history="1">
        <w:r>
          <w:rPr>
            <w:rStyle w:val="Hyperlink"/>
            <w:rFonts w:ascii="Arial" w:hAnsi="Arial" w:cs="Arial"/>
          </w:rPr>
          <w:t>https://www.getty.edu/research/exhibitions_events/exhibitions/bauhaus/new_artist/body_spirit/esoteric/</w:t>
        </w:r>
      </w:hyperlink>
      <w:r>
        <w:rPr>
          <w:rFonts w:ascii="Arial" w:hAnsi="Arial" w:cs="Arial"/>
        </w:rPr>
        <w:t xml:space="preserve"> </w:t>
      </w:r>
      <w:r>
        <w:rPr>
          <w:rFonts w:ascii="Arial" w:hAnsi="Arial" w:cs="Arial"/>
          <w:kern w:val="0"/>
          <w14:ligatures w14:val="none"/>
        </w:rPr>
        <w:t xml:space="preserve">[accessed 9 Feb. 2024]; </w:t>
      </w:r>
      <w:r>
        <w:rPr>
          <w:rFonts w:ascii="Arial" w:hAnsi="Arial" w:cs="Arial"/>
          <w:color w:val="262626"/>
          <w:kern w:val="0"/>
          <w14:ligatures w14:val="none"/>
        </w:rPr>
        <w:t xml:space="preserve">Beatriz </w:t>
      </w:r>
      <w:proofErr w:type="spellStart"/>
      <w:r>
        <w:rPr>
          <w:rFonts w:ascii="Arial" w:hAnsi="Arial" w:cs="Arial"/>
          <w:color w:val="262626"/>
          <w:kern w:val="0"/>
          <w14:ligatures w14:val="none"/>
        </w:rPr>
        <w:t>Colomina</w:t>
      </w:r>
      <w:proofErr w:type="spellEnd"/>
      <w:r>
        <w:rPr>
          <w:rFonts w:ascii="Arial" w:hAnsi="Arial" w:cs="Arial"/>
          <w:color w:val="262626"/>
          <w:kern w:val="0"/>
          <w14:ligatures w14:val="none"/>
        </w:rPr>
        <w:t xml:space="preserve">, ‘Far from Being a Temple to Rationality, the Bauhaus Was a “Cauldron of Perversions”’, Metropolis Magazine, 21 </w:t>
      </w:r>
      <w:r>
        <w:rPr>
          <w:rFonts w:ascii="Arial" w:hAnsi="Arial" w:cs="Arial"/>
          <w:color w:val="262626"/>
          <w:kern w:val="0"/>
          <w:shd w:val="clear" w:color="auto" w:fill="FFFFFF"/>
          <w14:ligatures w14:val="none"/>
        </w:rPr>
        <w:t>October 2019</w:t>
      </w:r>
      <w:r>
        <w:rPr>
          <w:rFonts w:ascii="Arial" w:hAnsi="Arial" w:cs="Arial"/>
          <w:kern w:val="0"/>
          <w14:ligatures w14:val="none"/>
        </w:rPr>
        <w:t xml:space="preserve">, </w:t>
      </w:r>
      <w:hyperlink r:id="rId18" w:history="1">
        <w:r>
          <w:rPr>
            <w:rStyle w:val="Hyperlink"/>
            <w:rFonts w:ascii="Arial" w:hAnsi="Arial" w:cs="Arial"/>
          </w:rPr>
          <w:t>https://metropolismag.com/viewpoints/bauhaus-perversions/</w:t>
        </w:r>
      </w:hyperlink>
      <w:r>
        <w:rPr>
          <w:rFonts w:ascii="Arial" w:hAnsi="Arial" w:cs="Arial"/>
        </w:rPr>
        <w:t xml:space="preserve"> [accessed 9 Feb. 2024]. And see </w:t>
      </w:r>
      <w:r>
        <w:rPr>
          <w:rFonts w:ascii="Arial" w:hAnsi="Arial" w:cs="Arial"/>
          <w:color w:val="262626"/>
        </w:rPr>
        <w:t xml:space="preserve">Peter McMahon; Barry Bergdoll and Leah Dickerman, </w:t>
      </w:r>
      <w:r>
        <w:rPr>
          <w:rFonts w:ascii="Arial" w:hAnsi="Arial" w:cs="Arial"/>
          <w:i/>
          <w:iCs/>
          <w:color w:val="262626"/>
        </w:rPr>
        <w:t>Bauhaus 1919-1933: Workshops for Modernity</w:t>
      </w:r>
      <w:r>
        <w:rPr>
          <w:rFonts w:ascii="Arial" w:hAnsi="Arial" w:cs="Arial"/>
          <w:color w:val="262626"/>
        </w:rPr>
        <w:t xml:space="preserve"> (New York: The Museum of Modern Art, 2009).</w:t>
      </w:r>
    </w:p>
    <w:p w14:paraId="470F0450" w14:textId="77777777" w:rsidR="0073001D" w:rsidRDefault="0073001D" w:rsidP="0073001D">
      <w:pPr>
        <w:pStyle w:val="FootnoteText"/>
        <w:rPr>
          <w:rFonts w:ascii="Arial" w:hAnsi="Arial" w:cs="Arial"/>
          <w:sz w:val="22"/>
          <w:szCs w:val="22"/>
        </w:rPr>
      </w:pPr>
    </w:p>
  </w:footnote>
  <w:footnote w:id="15">
    <w:p w14:paraId="26253A32" w14:textId="77777777" w:rsidR="0073001D" w:rsidRDefault="0073001D" w:rsidP="0073001D">
      <w:pPr>
        <w:spacing w:after="0" w:line="240" w:lineRule="auto"/>
        <w:rPr>
          <w:rFonts w:ascii="Arial" w:hAnsi="Arial" w:cs="Arial"/>
          <w:kern w:val="0"/>
          <w14:ligatures w14:val="none"/>
        </w:rPr>
      </w:pPr>
      <w:r>
        <w:rPr>
          <w:rStyle w:val="FootnoteReference"/>
          <w:rFonts w:ascii="Arial" w:hAnsi="Arial" w:cs="Arial"/>
        </w:rPr>
        <w:footnoteRef/>
      </w:r>
      <w:r>
        <w:rPr>
          <w:rFonts w:ascii="Arial" w:hAnsi="Arial" w:cs="Arial"/>
        </w:rPr>
        <w:t xml:space="preserve"> </w:t>
      </w:r>
      <w:r>
        <w:rPr>
          <w:rFonts w:ascii="Arial" w:hAnsi="Arial" w:cs="Arial"/>
          <w:color w:val="222222"/>
          <w:shd w:val="clear" w:color="auto" w:fill="FFFFFF"/>
        </w:rPr>
        <w:t>See for example ‘Modern minimalist house design: architectural harmony in modern minimalist home design</w:t>
      </w:r>
      <w:r>
        <w:rPr>
          <w:rFonts w:ascii="Arial" w:hAnsi="Arial" w:cs="Arial"/>
        </w:rPr>
        <w:t xml:space="preserve">’ </w:t>
      </w:r>
      <w:hyperlink r:id="rId19" w:anchor="id=2&amp;vid=2f517de63c78ed8b9708795ab8507b3d&amp;action=click" w:history="1">
        <w:r>
          <w:rPr>
            <w:rStyle w:val="Hyperlink"/>
            <w:rFonts w:ascii="Arial" w:hAnsi="Arial" w:cs="Arial"/>
          </w:rPr>
          <w:t>https://uk.video.search.yahoo.com/search/video?fr=mcafee&amp;ei=UTF-8&amp;p=modernist+architecture+harmony&amp;type=E210GB105G0#id=2&amp;vid=2f517de63c78ed8b9708795ab8507b3d&amp;action=click</w:t>
        </w:r>
      </w:hyperlink>
      <w:r>
        <w:rPr>
          <w:rFonts w:ascii="Arial" w:hAnsi="Arial" w:cs="Arial"/>
        </w:rPr>
        <w:t xml:space="preserve"> </w:t>
      </w:r>
      <w:r>
        <w:rPr>
          <w:rFonts w:ascii="Arial" w:hAnsi="Arial" w:cs="Arial"/>
          <w:kern w:val="0"/>
          <w14:ligatures w14:val="none"/>
        </w:rPr>
        <w:t>[accessed 9 Feb. 2024].</w:t>
      </w:r>
    </w:p>
    <w:p w14:paraId="7D364E6D" w14:textId="77777777" w:rsidR="0073001D" w:rsidRDefault="0073001D" w:rsidP="0073001D">
      <w:pPr>
        <w:pStyle w:val="FootnoteText"/>
        <w:rPr>
          <w:rFonts w:ascii="Arial" w:hAnsi="Arial" w:cs="Arial"/>
          <w:sz w:val="22"/>
          <w:szCs w:val="22"/>
        </w:rPr>
      </w:pPr>
    </w:p>
  </w:footnote>
  <w:footnote w:id="16">
    <w:p w14:paraId="276BA9A1" w14:textId="77777777" w:rsidR="0073001D" w:rsidRDefault="0073001D" w:rsidP="0073001D">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NHS England, ‘Sick Building Syndrome’, </w:t>
      </w:r>
      <w:proofErr w:type="gramStart"/>
      <w:r>
        <w:rPr>
          <w:rFonts w:ascii="Arial" w:hAnsi="Arial" w:cs="Arial"/>
          <w:sz w:val="22"/>
          <w:szCs w:val="22"/>
        </w:rPr>
        <w:t>https://www.nhs.uk/conditions/sick-building-syndrome/[</w:t>
      </w:r>
      <w:proofErr w:type="gramEnd"/>
      <w:r>
        <w:rPr>
          <w:rFonts w:ascii="Arial" w:hAnsi="Arial" w:cs="Arial"/>
          <w:sz w:val="22"/>
          <w:szCs w:val="22"/>
        </w:rPr>
        <w:t>accessed 9 Feb. 2024].</w:t>
      </w:r>
    </w:p>
    <w:p w14:paraId="68574D0B" w14:textId="77777777" w:rsidR="0073001D" w:rsidRDefault="0073001D" w:rsidP="0073001D">
      <w:pPr>
        <w:pStyle w:val="FootnoteText"/>
        <w:rPr>
          <w:rFonts w:ascii="Arial" w:hAnsi="Arial" w:cs="Arial"/>
          <w:sz w:val="22"/>
          <w:szCs w:val="22"/>
        </w:rPr>
      </w:pPr>
    </w:p>
  </w:footnote>
  <w:footnote w:id="17">
    <w:p w14:paraId="78338ABD" w14:textId="77777777" w:rsidR="0073001D" w:rsidRDefault="0073001D" w:rsidP="0073001D">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NKS, ‘</w:t>
      </w:r>
      <w:proofErr w:type="spellStart"/>
      <w:r>
        <w:rPr>
          <w:rFonts w:ascii="Arial" w:hAnsi="Arial" w:cs="Arial"/>
          <w:sz w:val="22"/>
          <w:szCs w:val="22"/>
        </w:rPr>
        <w:t>Thalaseemia</w:t>
      </w:r>
      <w:proofErr w:type="spellEnd"/>
      <w:r>
        <w:rPr>
          <w:rFonts w:ascii="Arial" w:hAnsi="Arial" w:cs="Arial"/>
          <w:sz w:val="22"/>
          <w:szCs w:val="22"/>
        </w:rPr>
        <w:t xml:space="preserve">’, </w:t>
      </w:r>
      <w:hyperlink r:id="rId20" w:history="1">
        <w:r>
          <w:rPr>
            <w:rStyle w:val="Hyperlink"/>
            <w:rFonts w:ascii="Arial" w:hAnsi="Arial" w:cs="Arial"/>
            <w:sz w:val="22"/>
            <w:szCs w:val="22"/>
          </w:rPr>
          <w:t>https://www.nhs.uk/conditions/thalassaemia/</w:t>
        </w:r>
      </w:hyperlink>
      <w:r>
        <w:rPr>
          <w:rFonts w:ascii="Arial" w:hAnsi="Arial" w:cs="Arial"/>
          <w:sz w:val="22"/>
          <w:szCs w:val="22"/>
        </w:rPr>
        <w:t xml:space="preserve"> [accessed 9 Feb. 2024].</w:t>
      </w:r>
    </w:p>
  </w:footnote>
  <w:footnote w:id="18">
    <w:p w14:paraId="6C5E7C81" w14:textId="77777777" w:rsidR="0073001D" w:rsidRDefault="0073001D" w:rsidP="0073001D">
      <w:pPr>
        <w:pStyle w:val="FootnoteText"/>
        <w:rPr>
          <w:rFonts w:ascii="Arial" w:hAnsi="Arial" w:cs="Arial"/>
          <w:sz w:val="22"/>
          <w:szCs w:val="22"/>
        </w:rPr>
      </w:pPr>
      <w:r>
        <w:rPr>
          <w:rStyle w:val="FootnoteReference"/>
          <w:rFonts w:ascii="Arial" w:hAnsi="Arial" w:cs="Arial"/>
          <w:sz w:val="22"/>
          <w:szCs w:val="22"/>
        </w:rPr>
        <w:footnoteRef/>
      </w:r>
      <w:r>
        <w:rPr>
          <w:rFonts w:ascii="Arial" w:hAnsi="Arial" w:cs="Arial"/>
          <w:sz w:val="22"/>
          <w:szCs w:val="22"/>
        </w:rPr>
        <w:t xml:space="preserve"> NHS England, ‘Social Prescribing’, </w:t>
      </w:r>
      <w:hyperlink r:id="rId21" w:history="1">
        <w:r>
          <w:rPr>
            <w:rStyle w:val="Hyperlink"/>
            <w:rFonts w:ascii="Arial" w:hAnsi="Arial" w:cs="Arial"/>
            <w:sz w:val="22"/>
            <w:szCs w:val="22"/>
          </w:rPr>
          <w:t>https://www.england.nhs.uk/personalisedcare/social-prescribing/</w:t>
        </w:r>
      </w:hyperlink>
      <w:r>
        <w:rPr>
          <w:rFonts w:ascii="Arial" w:hAnsi="Arial" w:cs="Arial"/>
          <w:sz w:val="22"/>
          <w:szCs w:val="22"/>
        </w:rPr>
        <w:t xml:space="preserve"> [accessed 9 Feb. 2024].</w:t>
      </w:r>
    </w:p>
    <w:p w14:paraId="7FDB46D6" w14:textId="77777777" w:rsidR="0073001D" w:rsidRDefault="0073001D" w:rsidP="0073001D">
      <w:pPr>
        <w:pStyle w:val="FootnoteText"/>
        <w:rPr>
          <w:rFonts w:ascii="Arial" w:hAnsi="Arial" w:cs="Arial"/>
          <w:sz w:val="22"/>
          <w:szCs w:val="22"/>
        </w:rPr>
      </w:pPr>
    </w:p>
  </w:footnote>
  <w:footnote w:id="19">
    <w:p w14:paraId="1A398830" w14:textId="77777777" w:rsidR="0073001D" w:rsidRDefault="0073001D" w:rsidP="0073001D">
      <w:pPr>
        <w:shd w:val="clear" w:color="auto" w:fill="FFFFFF"/>
        <w:spacing w:line="240" w:lineRule="auto"/>
        <w:rPr>
          <w:rFonts w:ascii="Arial" w:eastAsia="Times New Roman" w:hAnsi="Arial" w:cs="Arial"/>
          <w:color w:val="222222"/>
          <w:kern w:val="0"/>
          <w:lang w:eastAsia="en-GB"/>
          <w14:ligatures w14:val="none"/>
        </w:rPr>
      </w:pPr>
      <w:r>
        <w:rPr>
          <w:rStyle w:val="FootnoteReference"/>
          <w:rFonts w:ascii="Arial" w:hAnsi="Arial" w:cs="Arial"/>
        </w:rPr>
        <w:footnoteRef/>
      </w:r>
      <w:r>
        <w:rPr>
          <w:rFonts w:ascii="Arial" w:hAnsi="Arial" w:cs="Arial"/>
        </w:rPr>
        <w:t xml:space="preserve"> </w:t>
      </w:r>
      <w:r>
        <w:rPr>
          <w:rFonts w:ascii="Arial" w:eastAsia="Times New Roman" w:hAnsi="Arial" w:cs="Arial"/>
          <w:color w:val="222222"/>
          <w:kern w:val="0"/>
          <w:lang w:eastAsia="en-GB"/>
          <w14:ligatures w14:val="none"/>
        </w:rPr>
        <w:t xml:space="preserve">David Buck and Leo </w:t>
      </w:r>
      <w:proofErr w:type="spellStart"/>
      <w:r>
        <w:rPr>
          <w:rFonts w:ascii="Arial" w:eastAsia="Times New Roman" w:hAnsi="Arial" w:cs="Arial"/>
          <w:color w:val="222222"/>
          <w:kern w:val="0"/>
          <w:lang w:eastAsia="en-GB"/>
          <w14:ligatures w14:val="none"/>
        </w:rPr>
        <w:t>Ewebank</w:t>
      </w:r>
      <w:proofErr w:type="spellEnd"/>
      <w:r>
        <w:rPr>
          <w:rFonts w:ascii="Arial" w:eastAsia="Times New Roman" w:hAnsi="Arial" w:cs="Arial"/>
          <w:color w:val="222222"/>
          <w:kern w:val="0"/>
          <w:lang w:eastAsia="en-GB"/>
          <w14:ligatures w14:val="none"/>
        </w:rPr>
        <w:t xml:space="preserve">, ‘What is Social Prescribing?’, The Kings Fund, 4 November 2020, </w:t>
      </w:r>
      <w:hyperlink r:id="rId22" w:history="1">
        <w:r>
          <w:rPr>
            <w:rStyle w:val="Hyperlink"/>
            <w:rFonts w:ascii="Arial" w:eastAsia="Times New Roman" w:hAnsi="Arial" w:cs="Arial"/>
            <w:kern w:val="0"/>
            <w:lang w:eastAsia="en-GB"/>
            <w14:ligatures w14:val="none"/>
          </w:rPr>
          <w:t>https://www.kingsfund.org.uk/insight-and-analysis/long-reads/social-prescribing</w:t>
        </w:r>
      </w:hyperlink>
      <w:r>
        <w:rPr>
          <w:rFonts w:ascii="Arial" w:eastAsia="Times New Roman" w:hAnsi="Arial" w:cs="Arial"/>
          <w:color w:val="222222"/>
          <w:kern w:val="0"/>
          <w:lang w:eastAsia="en-GB"/>
          <w14:ligatures w14:val="none"/>
        </w:rPr>
        <w:t xml:space="preserve"> </w:t>
      </w:r>
      <w:r>
        <w:rPr>
          <w:rFonts w:ascii="Arial" w:hAnsi="Arial" w:cs="Arial"/>
          <w:kern w:val="0"/>
          <w14:ligatures w14:val="none"/>
        </w:rPr>
        <w:t>[accessed 9 Feb. 2024].</w:t>
      </w:r>
    </w:p>
    <w:p w14:paraId="2C2A6A70" w14:textId="77777777" w:rsidR="0073001D" w:rsidRDefault="0073001D" w:rsidP="0073001D">
      <w:pPr>
        <w:pStyle w:val="FootnoteText"/>
        <w:rPr>
          <w:rFonts w:ascii="Arial" w:hAnsi="Arial" w:cs="Arial"/>
          <w:sz w:val="22"/>
          <w:szCs w:val="22"/>
        </w:rPr>
      </w:pPr>
    </w:p>
  </w:footnote>
  <w:footnote w:id="20">
    <w:p w14:paraId="72420BB9" w14:textId="77777777" w:rsidR="0073001D" w:rsidRDefault="0073001D" w:rsidP="0073001D">
      <w:pPr>
        <w:pStyle w:val="FootnoteText"/>
      </w:pPr>
      <w:r>
        <w:rPr>
          <w:rStyle w:val="FootnoteReference"/>
          <w:rFonts w:ascii="Arial" w:hAnsi="Arial" w:cs="Arial"/>
          <w:sz w:val="22"/>
          <w:szCs w:val="22"/>
        </w:rPr>
        <w:footnoteRef/>
      </w:r>
      <w:r>
        <w:rPr>
          <w:rFonts w:ascii="Arial" w:hAnsi="Arial" w:cs="Arial"/>
          <w:sz w:val="22"/>
          <w:szCs w:val="22"/>
        </w:rPr>
        <w:t xml:space="preserve"> College of Medicine and Integrated Health, ‘Abouts Us’, </w:t>
      </w:r>
      <w:hyperlink r:id="rId23" w:history="1">
        <w:r>
          <w:rPr>
            <w:rStyle w:val="Hyperlink"/>
            <w:rFonts w:ascii="Arial" w:hAnsi="Arial" w:cs="Arial"/>
            <w:sz w:val="22"/>
            <w:szCs w:val="22"/>
          </w:rPr>
          <w:t>https://collegeofmedicine.org.uk/</w:t>
        </w:r>
      </w:hyperlink>
      <w:r>
        <w:rPr>
          <w:rFonts w:ascii="Arial" w:hAnsi="Arial" w:cs="Arial"/>
          <w:sz w:val="22"/>
          <w:szCs w:val="22"/>
        </w:rPr>
        <w:t xml:space="preserve"> [accessed 9 Feb.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D0244C"/>
    <w:multiLevelType w:val="hybridMultilevel"/>
    <w:tmpl w:val="2F6462BC"/>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5100036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01D"/>
    <w:rsid w:val="000C3E24"/>
    <w:rsid w:val="00104940"/>
    <w:rsid w:val="001859C5"/>
    <w:rsid w:val="0035419F"/>
    <w:rsid w:val="004B6F09"/>
    <w:rsid w:val="006B745F"/>
    <w:rsid w:val="0073001D"/>
    <w:rsid w:val="008E6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40052"/>
  <w15:chartTrackingRefBased/>
  <w15:docId w15:val="{94BC2030-EB6A-4A2F-92A8-A53123D5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01D"/>
    <w:pPr>
      <w:spacing w:line="254" w:lineRule="auto"/>
    </w:pPr>
  </w:style>
  <w:style w:type="paragraph" w:styleId="Heading1">
    <w:name w:val="heading 1"/>
    <w:basedOn w:val="Normal"/>
    <w:next w:val="Normal"/>
    <w:link w:val="Heading1Char"/>
    <w:uiPriority w:val="9"/>
    <w:qFormat/>
    <w:rsid w:val="007300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00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00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0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0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0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0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0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0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0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00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0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0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0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01D"/>
    <w:rPr>
      <w:rFonts w:eastAsiaTheme="majorEastAsia" w:cstheme="majorBidi"/>
      <w:color w:val="272727" w:themeColor="text1" w:themeTint="D8"/>
    </w:rPr>
  </w:style>
  <w:style w:type="paragraph" w:styleId="Title">
    <w:name w:val="Title"/>
    <w:basedOn w:val="Normal"/>
    <w:next w:val="Normal"/>
    <w:link w:val="TitleChar"/>
    <w:uiPriority w:val="10"/>
    <w:qFormat/>
    <w:rsid w:val="00730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0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01D"/>
    <w:pPr>
      <w:spacing w:before="160"/>
      <w:jc w:val="center"/>
    </w:pPr>
    <w:rPr>
      <w:i/>
      <w:iCs/>
      <w:color w:val="404040" w:themeColor="text1" w:themeTint="BF"/>
    </w:rPr>
  </w:style>
  <w:style w:type="character" w:customStyle="1" w:styleId="QuoteChar">
    <w:name w:val="Quote Char"/>
    <w:basedOn w:val="DefaultParagraphFont"/>
    <w:link w:val="Quote"/>
    <w:uiPriority w:val="29"/>
    <w:rsid w:val="0073001D"/>
    <w:rPr>
      <w:i/>
      <w:iCs/>
      <w:color w:val="404040" w:themeColor="text1" w:themeTint="BF"/>
    </w:rPr>
  </w:style>
  <w:style w:type="paragraph" w:styleId="ListParagraph">
    <w:name w:val="List Paragraph"/>
    <w:basedOn w:val="Normal"/>
    <w:uiPriority w:val="34"/>
    <w:qFormat/>
    <w:rsid w:val="0073001D"/>
    <w:pPr>
      <w:ind w:left="720"/>
      <w:contextualSpacing/>
    </w:pPr>
  </w:style>
  <w:style w:type="character" w:styleId="IntenseEmphasis">
    <w:name w:val="Intense Emphasis"/>
    <w:basedOn w:val="DefaultParagraphFont"/>
    <w:uiPriority w:val="21"/>
    <w:qFormat/>
    <w:rsid w:val="0073001D"/>
    <w:rPr>
      <w:i/>
      <w:iCs/>
      <w:color w:val="0F4761" w:themeColor="accent1" w:themeShade="BF"/>
    </w:rPr>
  </w:style>
  <w:style w:type="paragraph" w:styleId="IntenseQuote">
    <w:name w:val="Intense Quote"/>
    <w:basedOn w:val="Normal"/>
    <w:next w:val="Normal"/>
    <w:link w:val="IntenseQuoteChar"/>
    <w:uiPriority w:val="30"/>
    <w:qFormat/>
    <w:rsid w:val="007300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01D"/>
    <w:rPr>
      <w:i/>
      <w:iCs/>
      <w:color w:val="0F4761" w:themeColor="accent1" w:themeShade="BF"/>
    </w:rPr>
  </w:style>
  <w:style w:type="character" w:styleId="IntenseReference">
    <w:name w:val="Intense Reference"/>
    <w:basedOn w:val="DefaultParagraphFont"/>
    <w:uiPriority w:val="32"/>
    <w:qFormat/>
    <w:rsid w:val="0073001D"/>
    <w:rPr>
      <w:b/>
      <w:bCs/>
      <w:smallCaps/>
      <w:color w:val="0F4761" w:themeColor="accent1" w:themeShade="BF"/>
      <w:spacing w:val="5"/>
    </w:rPr>
  </w:style>
  <w:style w:type="character" w:styleId="Hyperlink">
    <w:name w:val="Hyperlink"/>
    <w:basedOn w:val="DefaultParagraphFont"/>
    <w:uiPriority w:val="99"/>
    <w:semiHidden/>
    <w:unhideWhenUsed/>
    <w:rsid w:val="0073001D"/>
    <w:rPr>
      <w:color w:val="467886" w:themeColor="hyperlink"/>
      <w:u w:val="single"/>
    </w:rPr>
  </w:style>
  <w:style w:type="paragraph" w:styleId="NormalWeb">
    <w:name w:val="Normal (Web)"/>
    <w:basedOn w:val="Normal"/>
    <w:uiPriority w:val="99"/>
    <w:semiHidden/>
    <w:unhideWhenUsed/>
    <w:rsid w:val="007300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ootnoteTextChar">
    <w:name w:val="Footnote Text Char"/>
    <w:aliases w:val="Footnote Text Char Char Char1,Footnote Text Char Char Char Char Char Char Char Char Char,Footnote Text Char Char Char Char1,Footnote Text Char Char Char Char Char Char Char Char1,Footnote Text Char Char Char Char Char"/>
    <w:basedOn w:val="DefaultParagraphFont"/>
    <w:link w:val="FootnoteText"/>
    <w:uiPriority w:val="99"/>
    <w:semiHidden/>
    <w:locked/>
    <w:rsid w:val="0073001D"/>
    <w:rPr>
      <w:kern w:val="0"/>
      <w:sz w:val="20"/>
      <w:szCs w:val="20"/>
      <w14:ligatures w14:val="none"/>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semiHidden/>
    <w:unhideWhenUsed/>
    <w:rsid w:val="0073001D"/>
    <w:pPr>
      <w:spacing w:after="0" w:line="240" w:lineRule="auto"/>
    </w:pPr>
    <w:rPr>
      <w:kern w:val="0"/>
      <w:sz w:val="20"/>
      <w:szCs w:val="20"/>
      <w14:ligatures w14:val="none"/>
    </w:rPr>
  </w:style>
  <w:style w:type="character" w:customStyle="1" w:styleId="FootnoteTextChar1">
    <w:name w:val="Footnote Text Char1"/>
    <w:basedOn w:val="DefaultParagraphFont"/>
    <w:uiPriority w:val="99"/>
    <w:semiHidden/>
    <w:rsid w:val="0073001D"/>
    <w:rPr>
      <w:sz w:val="20"/>
      <w:szCs w:val="20"/>
    </w:rPr>
  </w:style>
  <w:style w:type="character" w:styleId="FootnoteReference">
    <w:name w:val="footnote reference"/>
    <w:basedOn w:val="DefaultParagraphFont"/>
    <w:uiPriority w:val="99"/>
    <w:semiHidden/>
    <w:unhideWhenUsed/>
    <w:qFormat/>
    <w:rsid w:val="0073001D"/>
    <w:rPr>
      <w:vertAlign w:val="superscript"/>
    </w:rPr>
  </w:style>
  <w:style w:type="character" w:styleId="Strong">
    <w:name w:val="Strong"/>
    <w:basedOn w:val="DefaultParagraphFont"/>
    <w:uiPriority w:val="22"/>
    <w:qFormat/>
    <w:rsid w:val="0073001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576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cihi.org/andrea-palladio-rules-harmony/" TargetMode="External"/><Relationship Id="rId13" Type="http://schemas.openxmlformats.org/officeDocument/2006/relationships/hyperlink" Target="https://uk.video.search.yahoo.com/search/video?fr=mcafee&amp;ei=UTF-8&amp;p=Prince+Charles+monstrous+carbuncle&amp;type=E210GB105G0" TargetMode="External"/><Relationship Id="rId18" Type="http://schemas.openxmlformats.org/officeDocument/2006/relationships/hyperlink" Target="https://metropolismag.com/viewpoints/bauhaus-perversions/" TargetMode="External"/><Relationship Id="rId3" Type="http://schemas.openxmlformats.org/officeDocument/2006/relationships/hyperlink" Target="https://www.greenpeace.org.uk/news/electric-cars-greener-petrol-cars/" TargetMode="External"/><Relationship Id="rId21" Type="http://schemas.openxmlformats.org/officeDocument/2006/relationships/hyperlink" Target="https://www.england.nhs.uk/personalisedcare/social-prescribing/" TargetMode="External"/><Relationship Id="rId7" Type="http://schemas.openxmlformats.org/officeDocument/2006/relationships/hyperlink" Target="https://www.ellenmacarthurfoundation.org/topics/circular-economy-introduction/overview" TargetMode="External"/><Relationship Id="rId12" Type="http://schemas.openxmlformats.org/officeDocument/2006/relationships/hyperlink" Target="https://www.kings-foundation.org/school-of-traditional-arts" TargetMode="External"/><Relationship Id="rId17" Type="http://schemas.openxmlformats.org/officeDocument/2006/relationships/hyperlink" Target="https://www.getty.edu/research/exhibitions_events/exhibitions/bauhaus/new_artist/body_spirit/esoteric/" TargetMode="External"/><Relationship Id="rId2" Type="http://schemas.openxmlformats.org/officeDocument/2006/relationships/hyperlink" Target="https://www.npr.org/2021/09/03/1031434711/your-next-car-may-be-built-with-ocean-rocks-scientists-cant-agree-if-thats-good" TargetMode="External"/><Relationship Id="rId16" Type="http://schemas.openxmlformats.org/officeDocument/2006/relationships/hyperlink" Target="https://www.theguardian.com/artanddesign/2017/jun/02/mondrian-tortured-quest-for-spiritual-salvation-gemeentemuseum-hague" TargetMode="External"/><Relationship Id="rId20" Type="http://schemas.openxmlformats.org/officeDocument/2006/relationships/hyperlink" Target="https://www.nhs.uk/conditions/thalassaemia/" TargetMode="External"/><Relationship Id="rId1" Type="http://schemas.openxmlformats.org/officeDocument/2006/relationships/hyperlink" Target="https://www.theguardian.com/news/2020/dec/08/the-curse-of-white-oil-electric-vehicles-dirty-secret-lithium" TargetMode="External"/><Relationship Id="rId6" Type="http://schemas.openxmlformats.org/officeDocument/2006/relationships/hyperlink" Target="https://doi.org/10.1007/978-3-030-41142-8_5" TargetMode="External"/><Relationship Id="rId11" Type="http://schemas.openxmlformats.org/officeDocument/2006/relationships/hyperlink" Target="https://www.kings-foundation.org/about" TargetMode="External"/><Relationship Id="rId5" Type="http://schemas.openxmlformats.org/officeDocument/2006/relationships/hyperlink" Target="https://www.greenpeace.org.uk/news/deep-sea-mining-industry-fails-to-get-green-light-but-remains-a-threat/" TargetMode="External"/><Relationship Id="rId15" Type="http://schemas.openxmlformats.org/officeDocument/2006/relationships/hyperlink" Target="https://theosophyart.org/2017/09/27/mondrian/" TargetMode="External"/><Relationship Id="rId23" Type="http://schemas.openxmlformats.org/officeDocument/2006/relationships/hyperlink" Target="https://collegeofmedicine.org.uk/" TargetMode="External"/><Relationship Id="rId10" Type="http://schemas.openxmlformats.org/officeDocument/2006/relationships/hyperlink" Target="https://poundbury.co.uk/" TargetMode="External"/><Relationship Id="rId19" Type="http://schemas.openxmlformats.org/officeDocument/2006/relationships/hyperlink" Target="https://uk.video.search.yahoo.com/search/video?fr=mcafee&amp;ei=UTF-8&amp;p=modernist+architecture+harmony&amp;type=E210GB105G0" TargetMode="External"/><Relationship Id="rId4" Type="http://schemas.openxmlformats.org/officeDocument/2006/relationships/hyperlink" Target="https://www.greenpeace.org/eastasia/press/6175/greenpeace-report-troubleshoots-chinas-electric-vehicles-boom-highlights-critical-supply-risks-for-lithium-ion-batteries/" TargetMode="External"/><Relationship Id="rId9" Type="http://schemas.openxmlformats.org/officeDocument/2006/relationships/hyperlink" Target="https://www.aboutscotland.com/harmony/prop3.html" TargetMode="External"/><Relationship Id="rId14" Type="http://schemas.openxmlformats.org/officeDocument/2006/relationships/hyperlink" Target="https://www.standard.co.uk/hp/front/prince-charles-when-i-said-monstrous-carbuncle-6774545.html" TargetMode="External"/><Relationship Id="rId22" Type="http://schemas.openxmlformats.org/officeDocument/2006/relationships/hyperlink" Target="https://www.kingsfund.org.uk/insight-and-analysis/long-reads/social-prescrib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3131</Words>
  <Characters>17850</Characters>
  <Application>Microsoft Office Word</Application>
  <DocSecurity>0</DocSecurity>
  <Lines>148</Lines>
  <Paragraphs>41</Paragraphs>
  <ScaleCrop>false</ScaleCrop>
  <Company/>
  <LinksUpToDate>false</LinksUpToDate>
  <CharactersWithSpaces>20940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Campion</dc:creator>
  <cp:keywords/>
  <dc:description/>
  <cp:lastModifiedBy>Nicholas Campion</cp:lastModifiedBy>
  <cp:revision>3</cp:revision>
  <dcterms:created xsi:type="dcterms:W3CDTF">2024-03-07T14:25:00Z</dcterms:created>
  <dcterms:modified xsi:type="dcterms:W3CDTF">2024-03-07T14:32:00Z</dcterms:modified>
</cp:coreProperties>
</file>