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71245" w14:textId="6875F393" w:rsidR="008D1D7D" w:rsidRDefault="008D1D7D" w:rsidP="555FA4E4">
      <w:pPr>
        <w:spacing w:after="0" w:line="360" w:lineRule="auto"/>
        <w:jc w:val="center"/>
        <w:rPr>
          <w:rFonts w:ascii="Times New Roman" w:eastAsia="Times New Roman" w:hAnsi="Times New Roman" w:cs="Times New Roman"/>
          <w:color w:val="000000" w:themeColor="text1"/>
        </w:rPr>
      </w:pPr>
    </w:p>
    <w:p w14:paraId="71AA0823" w14:textId="0EE344BA" w:rsidR="008D1D7D" w:rsidRDefault="008D1D7D" w:rsidP="555FA4E4">
      <w:pPr>
        <w:spacing w:after="0" w:line="360" w:lineRule="auto"/>
        <w:jc w:val="center"/>
        <w:rPr>
          <w:rFonts w:ascii="Times New Roman" w:eastAsia="Times New Roman" w:hAnsi="Times New Roman" w:cs="Times New Roman"/>
          <w:color w:val="000000" w:themeColor="text1"/>
        </w:rPr>
      </w:pPr>
    </w:p>
    <w:p w14:paraId="7DA466E3" w14:textId="5E34DDB7" w:rsidR="008D1D7D" w:rsidRDefault="008D1D7D" w:rsidP="555FA4E4">
      <w:pPr>
        <w:spacing w:after="0" w:line="360" w:lineRule="auto"/>
        <w:jc w:val="center"/>
        <w:rPr>
          <w:rFonts w:ascii="Times New Roman" w:eastAsia="Times New Roman" w:hAnsi="Times New Roman" w:cs="Times New Roman"/>
          <w:color w:val="000000" w:themeColor="text1"/>
        </w:rPr>
      </w:pPr>
    </w:p>
    <w:p w14:paraId="6A0A9D14" w14:textId="170E09FF" w:rsidR="008D1D7D" w:rsidRDefault="008D1D7D" w:rsidP="555FA4E4">
      <w:pPr>
        <w:spacing w:after="0" w:line="360" w:lineRule="auto"/>
        <w:jc w:val="center"/>
        <w:rPr>
          <w:rFonts w:ascii="Times New Roman" w:eastAsia="Times New Roman" w:hAnsi="Times New Roman" w:cs="Times New Roman"/>
          <w:color w:val="000000" w:themeColor="text1"/>
        </w:rPr>
      </w:pPr>
    </w:p>
    <w:p w14:paraId="4A22200F" w14:textId="301398BC" w:rsidR="008D1D7D" w:rsidRDefault="008D1D7D" w:rsidP="555FA4E4">
      <w:pPr>
        <w:spacing w:after="0" w:line="360" w:lineRule="auto"/>
        <w:jc w:val="center"/>
        <w:rPr>
          <w:rFonts w:ascii="Times New Roman" w:eastAsia="Times New Roman" w:hAnsi="Times New Roman" w:cs="Times New Roman"/>
          <w:color w:val="000000" w:themeColor="text1"/>
        </w:rPr>
      </w:pPr>
    </w:p>
    <w:p w14:paraId="548CF538" w14:textId="7AED0046" w:rsidR="008D1D7D" w:rsidRDefault="008D1D7D" w:rsidP="555FA4E4">
      <w:pPr>
        <w:spacing w:after="0" w:line="360" w:lineRule="auto"/>
        <w:jc w:val="center"/>
        <w:rPr>
          <w:rFonts w:ascii="Times New Roman" w:eastAsia="Times New Roman" w:hAnsi="Times New Roman" w:cs="Times New Roman"/>
          <w:color w:val="000000" w:themeColor="text1"/>
        </w:rPr>
      </w:pPr>
    </w:p>
    <w:p w14:paraId="0ACE02A5" w14:textId="5DD4ED2F" w:rsidR="008D1D7D" w:rsidRDefault="008D1D7D" w:rsidP="555FA4E4">
      <w:pPr>
        <w:spacing w:after="0" w:line="360" w:lineRule="auto"/>
        <w:jc w:val="center"/>
        <w:rPr>
          <w:rFonts w:ascii="Times New Roman" w:eastAsia="Times New Roman" w:hAnsi="Times New Roman" w:cs="Times New Roman"/>
          <w:color w:val="000000" w:themeColor="text1"/>
        </w:rPr>
      </w:pPr>
    </w:p>
    <w:p w14:paraId="4E175FA0" w14:textId="41C6124E" w:rsidR="008D1D7D" w:rsidRDefault="008D1D7D" w:rsidP="555FA4E4">
      <w:pPr>
        <w:spacing w:after="0" w:line="360" w:lineRule="auto"/>
        <w:jc w:val="center"/>
        <w:rPr>
          <w:rFonts w:ascii="Times New Roman" w:eastAsia="Times New Roman" w:hAnsi="Times New Roman" w:cs="Times New Roman"/>
          <w:color w:val="000000" w:themeColor="text1"/>
        </w:rPr>
      </w:pPr>
    </w:p>
    <w:p w14:paraId="47100BCE" w14:textId="0A29E88D" w:rsidR="008D1D7D" w:rsidRDefault="008D1D7D" w:rsidP="555FA4E4">
      <w:pPr>
        <w:spacing w:after="0" w:line="360" w:lineRule="auto"/>
        <w:jc w:val="center"/>
        <w:rPr>
          <w:rFonts w:ascii="Times New Roman" w:eastAsia="Times New Roman" w:hAnsi="Times New Roman" w:cs="Times New Roman"/>
          <w:color w:val="000000" w:themeColor="text1"/>
          <w:sz w:val="32"/>
          <w:szCs w:val="32"/>
        </w:rPr>
      </w:pPr>
    </w:p>
    <w:p w14:paraId="47668DDF" w14:textId="7D28412E" w:rsidR="008D1D7D" w:rsidRDefault="37E2770E" w:rsidP="555FA4E4">
      <w:pPr>
        <w:spacing w:after="0" w:line="360" w:lineRule="auto"/>
        <w:jc w:val="center"/>
        <w:rPr>
          <w:rFonts w:ascii="Times New Roman" w:eastAsia="Times New Roman" w:hAnsi="Times New Roman" w:cs="Times New Roman"/>
          <w:color w:val="000000" w:themeColor="text1"/>
          <w:sz w:val="32"/>
          <w:szCs w:val="32"/>
        </w:rPr>
      </w:pPr>
      <w:r w:rsidRPr="555FA4E4">
        <w:rPr>
          <w:rFonts w:ascii="Times New Roman" w:eastAsia="Times New Roman" w:hAnsi="Times New Roman" w:cs="Times New Roman"/>
          <w:b/>
          <w:bCs/>
          <w:color w:val="000000" w:themeColor="text1"/>
          <w:sz w:val="32"/>
          <w:szCs w:val="32"/>
          <w:lang w:val="en-GB"/>
        </w:rPr>
        <w:t>Module: International Meetings Management for the Hotel Industry</w:t>
      </w:r>
    </w:p>
    <w:p w14:paraId="28561779" w14:textId="04AC0F0A" w:rsidR="008D1D7D" w:rsidRDefault="37E2770E" w:rsidP="555FA4E4">
      <w:pPr>
        <w:spacing w:after="0" w:line="360" w:lineRule="auto"/>
        <w:jc w:val="center"/>
        <w:rPr>
          <w:rFonts w:ascii="Times New Roman" w:eastAsia="Times New Roman" w:hAnsi="Times New Roman" w:cs="Times New Roman"/>
          <w:color w:val="000000" w:themeColor="text1"/>
          <w:sz w:val="32"/>
          <w:szCs w:val="32"/>
        </w:rPr>
      </w:pPr>
      <w:r w:rsidRPr="555FA4E4">
        <w:rPr>
          <w:rFonts w:ascii="Times New Roman" w:eastAsia="Times New Roman" w:hAnsi="Times New Roman" w:cs="Times New Roman"/>
          <w:b/>
          <w:bCs/>
          <w:color w:val="000000" w:themeColor="text1"/>
          <w:sz w:val="32"/>
          <w:szCs w:val="32"/>
          <w:lang w:val="en-GB"/>
        </w:rPr>
        <w:t>Module code: BMIH6007</w:t>
      </w:r>
    </w:p>
    <w:p w14:paraId="0BF0EDF1" w14:textId="1E3C28E6" w:rsidR="008D1D7D" w:rsidRDefault="37E2770E" w:rsidP="555FA4E4">
      <w:pPr>
        <w:spacing w:after="0" w:line="360" w:lineRule="auto"/>
        <w:jc w:val="center"/>
        <w:rPr>
          <w:rFonts w:ascii="Times New Roman" w:eastAsia="Times New Roman" w:hAnsi="Times New Roman" w:cs="Times New Roman"/>
          <w:color w:val="000000" w:themeColor="text1"/>
          <w:sz w:val="32"/>
          <w:szCs w:val="32"/>
        </w:rPr>
      </w:pPr>
      <w:r w:rsidRPr="555FA4E4">
        <w:rPr>
          <w:rFonts w:ascii="Times New Roman" w:eastAsia="Times New Roman" w:hAnsi="Times New Roman" w:cs="Times New Roman"/>
          <w:b/>
          <w:bCs/>
          <w:color w:val="000000" w:themeColor="text1"/>
          <w:sz w:val="32"/>
          <w:szCs w:val="32"/>
          <w:lang w:val="en-GB"/>
        </w:rPr>
        <w:t>Assignment Title:</w:t>
      </w:r>
      <w:r w:rsidR="69B9C43E" w:rsidRPr="555FA4E4">
        <w:rPr>
          <w:rFonts w:ascii="Times New Roman" w:eastAsia="Times New Roman" w:hAnsi="Times New Roman" w:cs="Times New Roman"/>
          <w:b/>
          <w:bCs/>
          <w:color w:val="000000" w:themeColor="text1"/>
          <w:sz w:val="32"/>
          <w:szCs w:val="32"/>
          <w:lang w:val="en-GB"/>
        </w:rPr>
        <w:t xml:space="preserve"> </w:t>
      </w:r>
      <w:r w:rsidRPr="555FA4E4">
        <w:rPr>
          <w:rFonts w:ascii="Times New Roman" w:eastAsia="Times New Roman" w:hAnsi="Times New Roman" w:cs="Times New Roman"/>
          <w:b/>
          <w:bCs/>
          <w:color w:val="000000" w:themeColor="text1"/>
          <w:sz w:val="32"/>
          <w:szCs w:val="32"/>
          <w:lang w:val="en-GB"/>
        </w:rPr>
        <w:t xml:space="preserve">Feasibility Plan for an International Meeting </w:t>
      </w:r>
    </w:p>
    <w:p w14:paraId="70559973" w14:textId="77777777" w:rsidR="004073EC" w:rsidRDefault="6B8112C4" w:rsidP="004526EF">
      <w:pPr>
        <w:spacing w:after="0" w:line="360" w:lineRule="auto"/>
        <w:jc w:val="center"/>
        <w:rPr>
          <w:rFonts w:ascii="Times New Roman" w:eastAsia="Times New Roman" w:hAnsi="Times New Roman" w:cs="Times New Roman"/>
          <w:b/>
          <w:bCs/>
          <w:color w:val="000000" w:themeColor="text1"/>
          <w:sz w:val="32"/>
          <w:szCs w:val="32"/>
          <w:lang w:val="en-GB"/>
        </w:rPr>
      </w:pPr>
      <w:r w:rsidRPr="555FA4E4">
        <w:rPr>
          <w:rFonts w:ascii="Times New Roman" w:eastAsia="Times New Roman" w:hAnsi="Times New Roman" w:cs="Times New Roman"/>
          <w:b/>
          <w:bCs/>
          <w:color w:val="000000" w:themeColor="text1"/>
          <w:sz w:val="32"/>
          <w:szCs w:val="32"/>
          <w:lang w:val="en-GB"/>
        </w:rPr>
        <w:t>Student name: Ana Maria Stoica(2210328)</w:t>
      </w:r>
      <w:r w:rsidR="004073EC">
        <w:rPr>
          <w:rFonts w:ascii="Times New Roman" w:eastAsia="Times New Roman" w:hAnsi="Times New Roman" w:cs="Times New Roman"/>
          <w:b/>
          <w:bCs/>
          <w:color w:val="000000" w:themeColor="text1"/>
          <w:sz w:val="32"/>
          <w:szCs w:val="32"/>
          <w:lang w:val="en-GB"/>
        </w:rPr>
        <w:t xml:space="preserve"> </w:t>
      </w:r>
    </w:p>
    <w:p w14:paraId="4EE9A95A" w14:textId="48C6090A" w:rsidR="008D1D7D" w:rsidRDefault="6B8112C4" w:rsidP="004526EF">
      <w:pPr>
        <w:spacing w:after="0" w:line="360" w:lineRule="auto"/>
        <w:jc w:val="center"/>
        <w:rPr>
          <w:rFonts w:ascii="Times New Roman" w:eastAsia="Times New Roman" w:hAnsi="Times New Roman" w:cs="Times New Roman"/>
          <w:b/>
          <w:bCs/>
          <w:color w:val="000000" w:themeColor="text1"/>
          <w:sz w:val="32"/>
          <w:szCs w:val="32"/>
          <w:lang w:val="en-GB"/>
        </w:rPr>
      </w:pPr>
      <w:r w:rsidRPr="555FA4E4">
        <w:rPr>
          <w:rFonts w:ascii="Times New Roman" w:eastAsia="Times New Roman" w:hAnsi="Times New Roman" w:cs="Times New Roman"/>
          <w:b/>
          <w:bCs/>
          <w:color w:val="000000" w:themeColor="text1"/>
          <w:sz w:val="32"/>
          <w:szCs w:val="32"/>
          <w:lang w:val="en-GB"/>
        </w:rPr>
        <w:t xml:space="preserve">Lecturer name: Kathryn Flynn </w:t>
      </w:r>
    </w:p>
    <w:p w14:paraId="0B14C292" w14:textId="79B84792"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4DF42C6B" w14:textId="001DA756" w:rsidR="008D1D7D" w:rsidRPr="005A2AC1" w:rsidRDefault="008D1D7D" w:rsidP="555FA4E4">
      <w:pPr>
        <w:spacing w:after="0" w:line="360" w:lineRule="auto"/>
        <w:jc w:val="center"/>
        <w:rPr>
          <w:rFonts w:ascii="Times New Roman" w:eastAsia="Times New Roman" w:hAnsi="Times New Roman" w:cs="Times New Roman"/>
          <w:b/>
          <w:bCs/>
          <w:color w:val="000000" w:themeColor="text1"/>
          <w:sz w:val="32"/>
          <w:szCs w:val="32"/>
          <w:lang w:val="ro-RO"/>
        </w:rPr>
      </w:pPr>
    </w:p>
    <w:p w14:paraId="40E814D9" w14:textId="1A4BA119"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44EE493B" w14:textId="4EC8A4F4"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7AC03203" w14:textId="173204C5"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6D2366B5" w14:textId="763281B1"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367D0D91" w14:textId="2CCABB39" w:rsidR="008D1D7D" w:rsidRDefault="008D1D7D" w:rsidP="555FA4E4">
      <w:pPr>
        <w:spacing w:after="0" w:line="360" w:lineRule="auto"/>
        <w:jc w:val="center"/>
        <w:rPr>
          <w:rFonts w:ascii="Times New Roman" w:eastAsia="Times New Roman" w:hAnsi="Times New Roman" w:cs="Times New Roman"/>
          <w:b/>
          <w:bCs/>
          <w:color w:val="000000" w:themeColor="text1"/>
          <w:sz w:val="32"/>
          <w:szCs w:val="32"/>
          <w:lang w:val="en-GB"/>
        </w:rPr>
      </w:pPr>
    </w:p>
    <w:p w14:paraId="00E94887" w14:textId="0D98B2C6" w:rsidR="008D1D7D" w:rsidRDefault="37E2770E" w:rsidP="555FA4E4">
      <w:pPr>
        <w:spacing w:after="200" w:line="276" w:lineRule="auto"/>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I acknowledge that I have not used any AI tools during this assignment. I also confirm that I have not deciphered any kind of AI-enabled materials to design my work. I further confirm my use of drafts and notes as evidence of my work as an AI-free assignment. </w:t>
      </w:r>
    </w:p>
    <w:p w14:paraId="7F9A3B8A" w14:textId="343D37BA" w:rsidR="008D1D7D" w:rsidRDefault="008D1D7D" w:rsidP="555FA4E4">
      <w:pPr>
        <w:spacing w:after="200" w:line="276" w:lineRule="auto"/>
        <w:rPr>
          <w:rFonts w:ascii="Times New Roman" w:eastAsia="Times New Roman" w:hAnsi="Times New Roman" w:cs="Times New Roman"/>
          <w:color w:val="000000" w:themeColor="text1"/>
          <w:lang w:val="en-GB"/>
        </w:rPr>
      </w:pPr>
    </w:p>
    <w:p w14:paraId="52A6CD2B" w14:textId="4EB91EAE" w:rsidR="008D1D7D" w:rsidRDefault="008D1D7D" w:rsidP="555FA4E4">
      <w:pPr>
        <w:spacing w:after="200" w:line="276" w:lineRule="auto"/>
        <w:rPr>
          <w:rFonts w:ascii="Times New Roman" w:eastAsia="Times New Roman" w:hAnsi="Times New Roman" w:cs="Times New Roman"/>
          <w:color w:val="000000" w:themeColor="text1"/>
          <w:lang w:val="en-GB"/>
        </w:rPr>
      </w:pPr>
    </w:p>
    <w:p w14:paraId="0744FDC2" w14:textId="19634242" w:rsidR="008D1D7D" w:rsidRDefault="008D1D7D" w:rsidP="555FA4E4">
      <w:pPr>
        <w:spacing w:after="200" w:line="276" w:lineRule="auto"/>
        <w:rPr>
          <w:rFonts w:ascii="Times New Roman" w:eastAsia="Times New Roman" w:hAnsi="Times New Roman" w:cs="Times New Roman"/>
          <w:color w:val="000000" w:themeColor="text1"/>
          <w:lang w:val="en-GB"/>
        </w:rPr>
      </w:pPr>
    </w:p>
    <w:p w14:paraId="6459848F" w14:textId="0569AAF9" w:rsidR="008D1D7D" w:rsidRDefault="008D1D7D" w:rsidP="555FA4E4">
      <w:pPr>
        <w:spacing w:after="200" w:line="276" w:lineRule="auto"/>
        <w:rPr>
          <w:rFonts w:ascii="Times New Roman" w:eastAsia="Times New Roman" w:hAnsi="Times New Roman" w:cs="Times New Roman"/>
          <w:color w:val="000000" w:themeColor="text1"/>
          <w:lang w:val="en-GB"/>
        </w:rPr>
      </w:pPr>
    </w:p>
    <w:p w14:paraId="01B3C335" w14:textId="6391F01E" w:rsidR="008D1D7D" w:rsidRDefault="008D1D7D" w:rsidP="555FA4E4">
      <w:pPr>
        <w:spacing w:after="200" w:line="276" w:lineRule="auto"/>
        <w:rPr>
          <w:rFonts w:ascii="Times New Roman" w:eastAsia="Times New Roman" w:hAnsi="Times New Roman" w:cs="Times New Roman"/>
          <w:color w:val="000000" w:themeColor="text1"/>
          <w:lang w:val="en-GB"/>
        </w:rPr>
      </w:pPr>
    </w:p>
    <w:p w14:paraId="6FCC8B02" w14:textId="50450EC1"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Executive Summary</w:t>
      </w:r>
    </w:p>
    <w:p w14:paraId="57ED1CCD" w14:textId="11E5AFAE"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This study aims to evaluate a winter-themed wonderland gala to ensure a sustainable hospitality initiative to promote the social well-being of people across the UK by targeting business leaders, and investors or cultural enthusiasts as their core target audiences, this gala event can provide exquisite gourmet dining and aerial act experiences to tourists, hosted in the Savoy Hotel, London as an indoor event.  Aiming to generate a revenue of 325000 </w:t>
      </w:r>
      <w:r w:rsidR="563E1173" w:rsidRPr="555FA4E4">
        <w:rPr>
          <w:rFonts w:ascii="Times New Roman" w:eastAsia="Times New Roman" w:hAnsi="Times New Roman" w:cs="Times New Roman"/>
          <w:color w:val="000000" w:themeColor="text1"/>
          <w:lang w:val="en-GB"/>
        </w:rPr>
        <w:t>pounds</w:t>
      </w:r>
      <w:r w:rsidRPr="555FA4E4">
        <w:rPr>
          <w:rFonts w:ascii="Times New Roman" w:eastAsia="Times New Roman" w:hAnsi="Times New Roman" w:cs="Times New Roman"/>
          <w:color w:val="000000" w:themeColor="text1"/>
          <w:lang w:val="en-GB"/>
        </w:rPr>
        <w:t xml:space="preserve"> and maintain a profitability base of approximately 117000 </w:t>
      </w:r>
      <w:r w:rsidR="578F0602" w:rsidRPr="555FA4E4">
        <w:rPr>
          <w:rFonts w:ascii="Times New Roman" w:eastAsia="Times New Roman" w:hAnsi="Times New Roman" w:cs="Times New Roman"/>
          <w:color w:val="000000" w:themeColor="text1"/>
          <w:lang w:val="en-GB"/>
        </w:rPr>
        <w:t>pounds</w:t>
      </w:r>
      <w:r w:rsidRPr="555FA4E4">
        <w:rPr>
          <w:rFonts w:ascii="Times New Roman" w:eastAsia="Times New Roman" w:hAnsi="Times New Roman" w:cs="Times New Roman"/>
          <w:color w:val="000000" w:themeColor="text1"/>
          <w:lang w:val="en-GB"/>
        </w:rPr>
        <w:t xml:space="preserve">, this event has promoted social engagement to uplift the UK hospitality industry economy to a great extent. Further, by following the Event cycle of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xml:space="preserve">, this feasibility study has showcased the relevance of event planning and execution to cater to the guests’ tailored satisfaction standards and retention chances at large. Overall, the aspect of corporate social responsibility of the UK hospitality industry has been uplifted through such an event. </w:t>
      </w:r>
    </w:p>
    <w:p w14:paraId="02360C70" w14:textId="1FC549AD" w:rsidR="008D1D7D" w:rsidRDefault="008D1D7D" w:rsidP="555FA4E4">
      <w:pPr>
        <w:spacing w:after="0" w:line="276" w:lineRule="auto"/>
        <w:rPr>
          <w:rFonts w:ascii="Times New Roman" w:eastAsia="Times New Roman" w:hAnsi="Times New Roman" w:cs="Times New Roman"/>
          <w:color w:val="000000" w:themeColor="text1"/>
          <w:sz w:val="28"/>
          <w:szCs w:val="28"/>
        </w:rPr>
      </w:pPr>
    </w:p>
    <w:p w14:paraId="0341C851" w14:textId="672A3263" w:rsidR="008D1D7D" w:rsidRDefault="37E2770E" w:rsidP="555FA4E4">
      <w:pPr>
        <w:keepNext/>
        <w:keepLines/>
        <w:spacing w:before="240" w:after="0" w:line="259" w:lineRule="auto"/>
        <w:jc w:val="center"/>
        <w:rPr>
          <w:rFonts w:ascii="Cambria" w:eastAsia="Cambria" w:hAnsi="Cambria" w:cs="Cambria"/>
          <w:color w:val="365F91"/>
          <w:sz w:val="28"/>
          <w:szCs w:val="28"/>
        </w:rPr>
      </w:pPr>
      <w:r w:rsidRPr="555FA4E4">
        <w:rPr>
          <w:rFonts w:ascii="Times New Roman" w:eastAsia="Times New Roman" w:hAnsi="Times New Roman" w:cs="Times New Roman"/>
          <w:color w:val="365F91"/>
          <w:lang w:val="en-GB"/>
        </w:rPr>
        <w:t xml:space="preserve">  </w:t>
      </w:r>
      <w:r w:rsidRPr="555FA4E4">
        <w:rPr>
          <w:rFonts w:ascii="Cambria" w:eastAsia="Cambria" w:hAnsi="Cambria" w:cs="Cambria"/>
          <w:b/>
          <w:bCs/>
          <w:color w:val="365F91"/>
          <w:sz w:val="28"/>
          <w:szCs w:val="28"/>
        </w:rPr>
        <w:t>Table of Contents</w:t>
      </w:r>
    </w:p>
    <w:p w14:paraId="7EEFEAD6" w14:textId="440E7AAB"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799AE8C9" w:rsidRPr="555FA4E4">
        <w:rPr>
          <w:rFonts w:ascii="Times New Roman" w:eastAsia="Times New Roman" w:hAnsi="Times New Roman" w:cs="Times New Roman"/>
          <w:color w:val="0000FF"/>
          <w:u w:val="single"/>
          <w:lang w:val="en-GB"/>
        </w:rPr>
        <w:t>Introduction</w:t>
      </w:r>
    </w:p>
    <w:p w14:paraId="3B203ADE" w14:textId="71F0C7BB"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36DD723E" w:rsidRPr="555FA4E4">
        <w:rPr>
          <w:rFonts w:ascii="Times New Roman" w:eastAsia="Times New Roman" w:hAnsi="Times New Roman" w:cs="Times New Roman"/>
          <w:color w:val="0000FF"/>
          <w:u w:val="single"/>
          <w:lang w:val="en-GB"/>
        </w:rPr>
        <w:t>The Event Cycle</w:t>
      </w:r>
    </w:p>
    <w:p w14:paraId="6D7E4539" w14:textId="4141B101"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0896D269" w:rsidRPr="555FA4E4">
        <w:rPr>
          <w:rFonts w:ascii="Times New Roman" w:eastAsia="Times New Roman" w:hAnsi="Times New Roman" w:cs="Times New Roman"/>
          <w:color w:val="0000FF"/>
          <w:u w:val="single"/>
          <w:lang w:val="en-GB"/>
        </w:rPr>
        <w:t>Concept o</w:t>
      </w:r>
      <w:r w:rsidR="13749334" w:rsidRPr="555FA4E4">
        <w:rPr>
          <w:rFonts w:ascii="Times New Roman" w:eastAsia="Times New Roman" w:hAnsi="Times New Roman" w:cs="Times New Roman"/>
          <w:color w:val="0000FF"/>
          <w:u w:val="single"/>
          <w:lang w:val="en-GB"/>
        </w:rPr>
        <w:t xml:space="preserve">f Event </w:t>
      </w:r>
    </w:p>
    <w:p w14:paraId="6423E7D9" w14:textId="5DF2C02E"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4808E263" w:rsidRPr="555FA4E4">
        <w:rPr>
          <w:rFonts w:ascii="Times New Roman" w:eastAsia="Times New Roman" w:hAnsi="Times New Roman" w:cs="Times New Roman"/>
          <w:color w:val="0000FF"/>
          <w:u w:val="single"/>
          <w:lang w:val="en-GB"/>
        </w:rPr>
        <w:t>Aim and O</w:t>
      </w:r>
      <w:r w:rsidR="5CE8D910" w:rsidRPr="555FA4E4">
        <w:rPr>
          <w:rFonts w:ascii="Times New Roman" w:eastAsia="Times New Roman" w:hAnsi="Times New Roman" w:cs="Times New Roman"/>
          <w:color w:val="0000FF"/>
          <w:u w:val="single"/>
          <w:lang w:val="en-GB"/>
        </w:rPr>
        <w:t xml:space="preserve">bjectives of the event </w:t>
      </w:r>
    </w:p>
    <w:p w14:paraId="3C214AA9" w14:textId="09DD98AD"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6A3C4300" w:rsidRPr="555FA4E4">
        <w:rPr>
          <w:rFonts w:ascii="Times New Roman" w:eastAsia="Times New Roman" w:hAnsi="Times New Roman" w:cs="Times New Roman"/>
          <w:color w:val="0000FF"/>
          <w:u w:val="single"/>
          <w:lang w:val="en-GB"/>
        </w:rPr>
        <w:t xml:space="preserve">Management of the Event </w:t>
      </w:r>
    </w:p>
    <w:p w14:paraId="4AE001F0" w14:textId="7E1C881C"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54336E2A" w:rsidRPr="555FA4E4">
        <w:rPr>
          <w:rFonts w:ascii="Times New Roman" w:eastAsia="Times New Roman" w:hAnsi="Times New Roman" w:cs="Times New Roman"/>
          <w:color w:val="0000FF"/>
          <w:u w:val="single"/>
          <w:lang w:val="en-GB"/>
        </w:rPr>
        <w:t xml:space="preserve">Budget of the Event </w:t>
      </w:r>
    </w:p>
    <w:p w14:paraId="439A6CA6" w14:textId="4481B022"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5E947BAD" w:rsidRPr="555FA4E4">
        <w:rPr>
          <w:rFonts w:ascii="Times New Roman" w:eastAsia="Times New Roman" w:hAnsi="Times New Roman" w:cs="Times New Roman"/>
          <w:color w:val="0000FF"/>
          <w:u w:val="single"/>
          <w:lang w:val="en-GB"/>
        </w:rPr>
        <w:t>Industry trends/Issues/Impacts</w:t>
      </w:r>
    </w:p>
    <w:p w14:paraId="199974F0" w14:textId="16497032"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3BB8BFD5" w:rsidRPr="555FA4E4">
        <w:rPr>
          <w:rFonts w:ascii="Times New Roman" w:eastAsia="Times New Roman" w:hAnsi="Times New Roman" w:cs="Times New Roman"/>
          <w:color w:val="0000FF"/>
          <w:u w:val="single"/>
          <w:lang w:val="en-GB"/>
        </w:rPr>
        <w:t xml:space="preserve">Situational and Cultural Considerations </w:t>
      </w:r>
    </w:p>
    <w:p w14:paraId="1B027B8F" w14:textId="5FCA12DB" w:rsidR="008D1D7D" w:rsidRDefault="37E2770E"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61CA4FF8" w:rsidRPr="555FA4E4">
        <w:rPr>
          <w:rFonts w:ascii="Times New Roman" w:eastAsia="Times New Roman" w:hAnsi="Times New Roman" w:cs="Times New Roman"/>
          <w:color w:val="0000FF"/>
          <w:u w:val="single"/>
          <w:lang w:val="en-GB"/>
        </w:rPr>
        <w:t xml:space="preserve">Conclusion </w:t>
      </w:r>
    </w:p>
    <w:p w14:paraId="13A3FBD0" w14:textId="3886B225" w:rsidR="008D1D7D" w:rsidRDefault="1D9D24E3" w:rsidP="555FA4E4">
      <w:pPr>
        <w:tabs>
          <w:tab w:val="right" w:leader="dot" w:pos="9350"/>
        </w:tabs>
        <w:spacing w:after="100" w:line="360" w:lineRule="auto"/>
        <w:jc w:val="both"/>
        <w:rPr>
          <w:rFonts w:ascii="Times New Roman" w:eastAsia="Times New Roman" w:hAnsi="Times New Roman" w:cs="Times New Roman"/>
          <w:color w:val="0000FF"/>
          <w:u w:val="single"/>
          <w:lang w:val="en-GB"/>
        </w:rPr>
      </w:pPr>
      <w:r w:rsidRPr="555FA4E4">
        <w:rPr>
          <w:rFonts w:ascii="Times New Roman" w:eastAsia="Times New Roman" w:hAnsi="Times New Roman" w:cs="Times New Roman"/>
          <w:color w:val="0000FF"/>
          <w:u w:val="single"/>
          <w:lang w:val="en-GB"/>
        </w:rPr>
        <w:t xml:space="preserve">  </w:t>
      </w:r>
      <w:r w:rsidR="37E2770E" w:rsidRPr="555FA4E4">
        <w:rPr>
          <w:rFonts w:ascii="Times New Roman" w:eastAsia="Times New Roman" w:hAnsi="Times New Roman" w:cs="Times New Roman"/>
          <w:color w:val="0000FF"/>
          <w:u w:val="single"/>
          <w:lang w:val="en-GB"/>
        </w:rPr>
        <w:t xml:space="preserve"> </w:t>
      </w:r>
      <w:r w:rsidR="3F96530C" w:rsidRPr="555FA4E4">
        <w:rPr>
          <w:rFonts w:ascii="Times New Roman" w:eastAsia="Times New Roman" w:hAnsi="Times New Roman" w:cs="Times New Roman"/>
          <w:color w:val="0000FF"/>
          <w:u w:val="single"/>
          <w:lang w:val="en-GB"/>
        </w:rPr>
        <w:t>References</w:t>
      </w:r>
    </w:p>
    <w:p w14:paraId="0B05F9A1" w14:textId="496F0629" w:rsidR="008D1D7D" w:rsidRDefault="37E2770E" w:rsidP="555FA4E4">
      <w:pPr>
        <w:tabs>
          <w:tab w:val="right" w:leader="dot" w:pos="9350"/>
        </w:tabs>
        <w:spacing w:after="100" w:line="360" w:lineRule="auto"/>
        <w:ind w:left="240"/>
        <w:jc w:val="both"/>
        <w:rPr>
          <w:rFonts w:ascii="Calibri" w:eastAsia="Calibri" w:hAnsi="Calibri" w:cs="Calibri"/>
          <w:color w:val="000000" w:themeColor="text1"/>
          <w:sz w:val="22"/>
          <w:szCs w:val="22"/>
        </w:rPr>
      </w:pPr>
      <w:r w:rsidRPr="555FA4E4">
        <w:rPr>
          <w:rFonts w:ascii="Times New Roman" w:eastAsia="Times New Roman" w:hAnsi="Times New Roman" w:cs="Times New Roman"/>
          <w:color w:val="0000FF"/>
          <w:u w:val="single"/>
          <w:lang w:val="en-GB"/>
        </w:rPr>
        <w:t xml:space="preserve"> </w:t>
      </w:r>
      <w:r w:rsidR="1A5FB2C0" w:rsidRPr="555FA4E4">
        <w:rPr>
          <w:rFonts w:ascii="Times New Roman" w:eastAsia="Times New Roman" w:hAnsi="Times New Roman" w:cs="Times New Roman"/>
          <w:color w:val="0000FF"/>
          <w:u w:val="single"/>
          <w:lang w:val="en-GB"/>
        </w:rPr>
        <w:t>Appendix</w:t>
      </w:r>
      <w:r w:rsidR="2CA6F822" w:rsidRPr="555FA4E4">
        <w:rPr>
          <w:rFonts w:ascii="Times New Roman" w:eastAsia="Times New Roman" w:hAnsi="Times New Roman" w:cs="Times New Roman"/>
          <w:color w:val="0000FF"/>
          <w:u w:val="single"/>
          <w:lang w:val="en-GB"/>
        </w:rPr>
        <w:t xml:space="preserve"> SWOT and PESTLE Analysis </w:t>
      </w:r>
    </w:p>
    <w:p w14:paraId="0417C532" w14:textId="52A822C1" w:rsidR="008D1D7D" w:rsidRDefault="37E2770E" w:rsidP="555FA4E4">
      <w:pPr>
        <w:spacing w:after="0" w:line="360" w:lineRule="auto"/>
        <w:jc w:val="both"/>
        <w:rPr>
          <w:rFonts w:ascii="Times New Roman" w:eastAsia="Times New Roman" w:hAnsi="Times New Roman" w:cs="Times New Roman"/>
          <w:b/>
          <w:bCs/>
          <w:color w:val="000000" w:themeColor="text1"/>
          <w:lang w:val="en-GB"/>
        </w:rPr>
      </w:pPr>
      <w:r w:rsidRPr="555FA4E4">
        <w:rPr>
          <w:rFonts w:ascii="Times New Roman" w:eastAsia="Times New Roman" w:hAnsi="Times New Roman" w:cs="Times New Roman"/>
          <w:color w:val="000000" w:themeColor="text1"/>
          <w:lang w:val="en-GB"/>
        </w:rPr>
        <w:t xml:space="preserve"> </w:t>
      </w:r>
      <w:r w:rsidRPr="555FA4E4">
        <w:rPr>
          <w:rFonts w:ascii="Times New Roman" w:eastAsia="Times New Roman" w:hAnsi="Times New Roman" w:cs="Times New Roman"/>
          <w:b/>
          <w:bCs/>
          <w:color w:val="000000" w:themeColor="text1"/>
          <w:lang w:val="en-GB"/>
        </w:rPr>
        <w:t xml:space="preserve"> </w:t>
      </w:r>
    </w:p>
    <w:p w14:paraId="7B171485" w14:textId="3300C070" w:rsidR="008D1D7D" w:rsidRDefault="008D1D7D" w:rsidP="555FA4E4">
      <w:pPr>
        <w:spacing w:after="0" w:line="276" w:lineRule="auto"/>
        <w:rPr>
          <w:rFonts w:ascii="Times New Roman" w:eastAsia="Times New Roman" w:hAnsi="Times New Roman" w:cs="Times New Roman"/>
          <w:color w:val="000000" w:themeColor="text1"/>
          <w:sz w:val="28"/>
          <w:szCs w:val="28"/>
        </w:rPr>
      </w:pPr>
    </w:p>
    <w:p w14:paraId="2F6B9E52" w14:textId="153D928E"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 xml:space="preserve">Introduction </w:t>
      </w:r>
    </w:p>
    <w:p w14:paraId="7D95F0C5" w14:textId="415CCFE4"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winter-themed wonderland gala event is considered one of the far-reaching events to efficiently meet the aim of raising funds for the social well-being of individuals across the UK. To ensure a sustainable contribution to the event with high-end elegance, and luxurious sophistication in entertainment, this gala can extensively allure business professionals, corporate leaders, and investors to the gala event to experience live music, gourmet dining, and aerial artists' live performances. </w:t>
      </w:r>
    </w:p>
    <w:p w14:paraId="6CAE0EDD" w14:textId="063E5E3C"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proposed location for this event will be the Savoy Hotel, London due to its artistic atmosphere and supreme indoor capacity to accommodate many targeted audiences without creating disharmony among event stakeholders. With its king-size ballroom, which is appropriate for such a gala event, and its luxurious grandeur and incumbency, the high-profile guests can avail the benefits of sophisticated entertainment thoroughly (The Savoy London, 2024). This winter-themed wonderland gala was selected as a high-class event to accommodate high-profile guests and delegates for several reasons. First, this event can extensively promote the luxurious festivity of the holidays during Christmas by providing guests with a sophisticated event experience (Business Events Geelong, 2024). Secondly, the prevalence of live music performances and aerial artists’ magical performances can help entertain guests extensively leading them to create positive social networks during the event along with stimulating their intensity for investment (Betterworld.org, 2024). Finally, the Wonderland event can also help business professionals to participate in auctions and provide donations as a core fundraising activity, leading to the sustainable success of this event. Therefore, the decision to organise the winter-themed Wonderland gala event in the Savoy Hotel is a rational choice. </w:t>
      </w:r>
    </w:p>
    <w:p w14:paraId="4CCB2B78" w14:textId="0B4C99C4"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 xml:space="preserve">The Event Cycle </w:t>
      </w:r>
    </w:p>
    <w:p w14:paraId="6241CE85" w14:textId="5808A842"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event cycle is referred to as the key procedure to planning, organising, measuring, analysing, and finally sharing the final event outcomes with the targeted audience to lure new targets and retain the existing groups. The event’s overall success and sustainability depend on the core managerial approach of the firm which consists of researching, designing, planning, coordinating, and reaching the conclusion of the event successfully. To this end, the Event management life cycle by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xml:space="preserve"> has been undertaken (Lee and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2020). In the first phase of the event cycle, the event planner extensively researches the core purpose and goals of the event along with determining the target market. Secondly, the event is designed based on the availability of the venue, its suitability, logistics integration, and overall budget allocation along with other core resources (Thomas and Stephens, 2022). Thirdly, regarding pre-event preparation, the event planner will extensively focus on stakeholder coordination to maintain communicative transparency and harmony among them. Fourthly, the event will be delivered to the targeted audience to raise funds and investments for the future social well-being of people across the UK (</w:t>
      </w:r>
      <w:proofErr w:type="spellStart"/>
      <w:r w:rsidRPr="555FA4E4">
        <w:rPr>
          <w:rFonts w:ascii="Times New Roman" w:eastAsia="Times New Roman" w:hAnsi="Times New Roman" w:cs="Times New Roman"/>
          <w:color w:val="000000" w:themeColor="text1"/>
          <w:lang w:val="en-GB"/>
        </w:rPr>
        <w:t>Berridge</w:t>
      </w:r>
      <w:proofErr w:type="spellEnd"/>
      <w:r w:rsidRPr="555FA4E4">
        <w:rPr>
          <w:rFonts w:ascii="Times New Roman" w:eastAsia="Times New Roman" w:hAnsi="Times New Roman" w:cs="Times New Roman"/>
          <w:color w:val="000000" w:themeColor="text1"/>
          <w:lang w:val="en-GB"/>
        </w:rPr>
        <w:t xml:space="preserve">, 2020). Finally, in the post-event scenario, the event success will be analysed by the event planner by ascertaining the standards of retention of the targeted audience along with identifying the room for improvement. </w:t>
      </w:r>
    </w:p>
    <w:p w14:paraId="13DC836A" w14:textId="0BF7E9E8"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Applying this event management cycle of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xml:space="preserve"> to the winter-themed Wonderland Gala event can be significant to its long-term success and sustainability among its targeted audiences. First, the concept of the Wonderland Gala is created to entertain the target high-profile business personnel, investors, and art enthusiasts by considering the seasonal demands of festivity during Christmas and featuring performers like aerial artists or live music performers in this event. Secondly, the selection of Savoy Hotel London is for providing long-standing luxurious experiences to the audience bases and providing them with expert care and service staff to maintain the standards of the event at large. Thirdly, during the pre-event preparation, the rental of the venue is confirmed apart from maintaining the ticket sales and providing cost leadership in the pricing policies (Allen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2022). Fourthly, the event delivery is ascertained by the welcoming of guests, management of overall performances, and maintaining harmony through coordination across the event. This can also help the guests gain a positive and more engaging experience throughout the event, leading to an increased scope of future investment and fundraising for social welfare. Finally, in the post-event scenario, the success of the event is ascertained based on the feedback of event participants (</w:t>
      </w:r>
      <w:proofErr w:type="spellStart"/>
      <w:r w:rsidRPr="555FA4E4">
        <w:rPr>
          <w:rFonts w:ascii="Times New Roman" w:eastAsia="Times New Roman" w:hAnsi="Times New Roman" w:cs="Times New Roman"/>
          <w:color w:val="000000" w:themeColor="text1"/>
          <w:lang w:val="en-GB"/>
        </w:rPr>
        <w:t>Radoglou-Grammatikis</w:t>
      </w:r>
      <w:proofErr w:type="spellEnd"/>
      <w:r w:rsidRPr="555FA4E4">
        <w:rPr>
          <w:rFonts w:ascii="Times New Roman" w:eastAsia="Times New Roman" w:hAnsi="Times New Roman" w:cs="Times New Roman"/>
          <w:color w:val="000000" w:themeColor="text1"/>
          <w:lang w:val="en-GB"/>
        </w:rPr>
        <w:t xml:space="preserve">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2021). The positive outcome of the event through the investment and fund generation can determine the profitability of the event to a great extent. To this end, the capability of the event planner through the identification of KPIs can ensure long-term accountability of the event to the targeted audiences. Thus, the event cycle can help the event planner deliver a meticulously managed harmonious event delivery by leveraging guest satisfaction standards to a significant extent. </w:t>
      </w:r>
    </w:p>
    <w:p w14:paraId="2944CABB" w14:textId="61BC4B15"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Concept of the Event</w:t>
      </w:r>
      <w:r w:rsidR="3549340C" w:rsidRPr="555FA4E4">
        <w:rPr>
          <w:rFonts w:ascii="Times New Roman" w:eastAsia="Times New Roman" w:hAnsi="Times New Roman" w:cs="Times New Roman"/>
          <w:b/>
          <w:bCs/>
          <w:color w:val="000000" w:themeColor="text1"/>
          <w:sz w:val="28"/>
          <w:szCs w:val="28"/>
          <w:lang w:val="en-GB"/>
        </w:rPr>
        <w:t xml:space="preserve"> </w:t>
      </w:r>
    </w:p>
    <w:p w14:paraId="22AAD66B" w14:textId="265EFC35" w:rsidR="008D1D7D" w:rsidRDefault="008D1D7D" w:rsidP="555FA4E4">
      <w:pPr>
        <w:rPr>
          <w:lang w:val="en-GB"/>
        </w:rPr>
      </w:pPr>
    </w:p>
    <w:p w14:paraId="7FA5CE11" w14:textId="048A9CD5"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winter-themed Wonderland Gala aims to provide a mesmerising experience to the targeted audience bases by raising the investment standards of the business professional toward social welfare and integrity in the form of charitable donations at large. The delegates of the event will be provided with magnificent aerial acts, concert-like live music, and gourmet dining experiences, leading them to experience a potentially positive experience throughout the event. The complete itinerary of the event will be provided further. </w:t>
      </w:r>
    </w:p>
    <w:p w14:paraId="1FF403F9" w14:textId="76812A50"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event will start at 5.30 pm at the Ballroom of the Savoy Hotel London. Guests will enter the ballroom through the red carpet by showcasing high-end elegance to experience the wonder-themed décor of the grand event. Welcome drinks will be served to the delegates including champagne, cocktails, and many others while adoring the magical indoor experience and being clicked by photographers. At around 7 pm, the grand event will formally commence with the guest speaker and the host of the event to provide a brief of the entire event. Apart from this, a brief note on charity also will be given to the targeted audience ensuring their voluntary engagement in investment and fundraising activity of the event. At 7.30 pm, the first course of gourmet dining will be served to the audience by helping them enjoy the musical elegance of the concert-like ambiance by live performers. Then, the ice-skating and aerial art performers will lead the event to another level of engagement with their breathtaking experiences nearly from 8 pm. However, at 8.30 pm, the dinner will be served to the guests and delegates paired with wine. Finally, at 9 pm, the charity auction will take place as an investment and fundraising activity aiming at long-term social welfare and harmony. Nearly around 10 pm, there will be another olive music concert of the eminent musical brands by maintaining the vibrant dynamism standards of the event. The declaration of the aggregated fund during the event will be announced before bidding farewell to the guests and ensuring their retention by gaining constructive feedback on the guests’ ends regarding the event. Thus, the entire event comes to an end leading to a more sophisticated experience for the guests and delegates extensively. </w:t>
      </w:r>
    </w:p>
    <w:p w14:paraId="3C36F30E" w14:textId="72815826"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 xml:space="preserve">Aim and Objectives of the meeting/event </w:t>
      </w:r>
    </w:p>
    <w:p w14:paraId="754D43FC" w14:textId="3B09589E" w:rsidR="008D1D7D" w:rsidRDefault="008D1D7D" w:rsidP="555FA4E4">
      <w:pPr>
        <w:rPr>
          <w:lang w:val="en-GB"/>
        </w:rPr>
      </w:pPr>
    </w:p>
    <w:p w14:paraId="32C2F293" w14:textId="0E4D3F86"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This meeting/event aims to showcase a memorable and exquisite event experience to the targeted event audiences by providing the ecstasy of gourmet dining, and luxurious winter experiences along with live music and aerial performers’ acts and helping them understand the impact of social well-being through fundraising and charity. To this end, the research objectives using the SMART framework will be provided as follows:</w:t>
      </w:r>
    </w:p>
    <w:p w14:paraId="75451194" w14:textId="4340E427"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i/>
          <w:iCs/>
          <w:color w:val="000000" w:themeColor="text1"/>
          <w:lang w:val="en-GB"/>
        </w:rPr>
        <w:t xml:space="preserve">Objective 1: Enhancing the event experience by around 20% compared to the previous year’s gala events </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555FA4E4" w14:paraId="0C160A59" w14:textId="77777777" w:rsidTr="555FA4E4">
        <w:trPr>
          <w:trHeight w:val="300"/>
        </w:trPr>
        <w:tc>
          <w:tcPr>
            <w:tcW w:w="1789" w:type="dxa"/>
            <w:tcMar>
              <w:left w:w="105" w:type="dxa"/>
              <w:right w:w="105" w:type="dxa"/>
            </w:tcMar>
          </w:tcPr>
          <w:p w14:paraId="1C60B004" w14:textId="5180185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Specific</w:t>
            </w:r>
          </w:p>
        </w:tc>
        <w:tc>
          <w:tcPr>
            <w:tcW w:w="1893" w:type="dxa"/>
            <w:tcMar>
              <w:left w:w="105" w:type="dxa"/>
              <w:right w:w="105" w:type="dxa"/>
            </w:tcMar>
          </w:tcPr>
          <w:p w14:paraId="0DCDF9DB" w14:textId="1516E296"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Measurable</w:t>
            </w:r>
          </w:p>
        </w:tc>
        <w:tc>
          <w:tcPr>
            <w:tcW w:w="1893" w:type="dxa"/>
            <w:tcMar>
              <w:left w:w="105" w:type="dxa"/>
              <w:right w:w="105" w:type="dxa"/>
            </w:tcMar>
          </w:tcPr>
          <w:p w14:paraId="4AD88F1D" w14:textId="56E765D9"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Attainable</w:t>
            </w:r>
          </w:p>
        </w:tc>
        <w:tc>
          <w:tcPr>
            <w:tcW w:w="1893" w:type="dxa"/>
            <w:tcMar>
              <w:left w:w="105" w:type="dxa"/>
              <w:right w:w="105" w:type="dxa"/>
            </w:tcMar>
          </w:tcPr>
          <w:p w14:paraId="6C506609" w14:textId="3AC1987A"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Relevant</w:t>
            </w:r>
          </w:p>
        </w:tc>
        <w:tc>
          <w:tcPr>
            <w:tcW w:w="1893" w:type="dxa"/>
            <w:tcMar>
              <w:left w:w="105" w:type="dxa"/>
              <w:right w:w="105" w:type="dxa"/>
            </w:tcMar>
          </w:tcPr>
          <w:p w14:paraId="36285749" w14:textId="1BE89FD5"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Time-bound</w:t>
            </w:r>
          </w:p>
        </w:tc>
      </w:tr>
      <w:tr w:rsidR="555FA4E4" w14:paraId="62373A5A" w14:textId="77777777" w:rsidTr="555FA4E4">
        <w:trPr>
          <w:trHeight w:val="300"/>
        </w:trPr>
        <w:tc>
          <w:tcPr>
            <w:tcW w:w="1789" w:type="dxa"/>
            <w:tcMar>
              <w:left w:w="105" w:type="dxa"/>
              <w:right w:w="105" w:type="dxa"/>
            </w:tcMar>
          </w:tcPr>
          <w:p w14:paraId="07D68AC5" w14:textId="6CB711F2"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attract at least 500 new guests to the event </w:t>
            </w:r>
          </w:p>
        </w:tc>
        <w:tc>
          <w:tcPr>
            <w:tcW w:w="1893" w:type="dxa"/>
            <w:tcMar>
              <w:left w:w="105" w:type="dxa"/>
              <w:right w:w="105" w:type="dxa"/>
            </w:tcMar>
          </w:tcPr>
          <w:p w14:paraId="02382A62" w14:textId="27DAEC32"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keep existing guests and delegates of the event informed about this event with an RSVP follow-up. </w:t>
            </w:r>
          </w:p>
        </w:tc>
        <w:tc>
          <w:tcPr>
            <w:tcW w:w="1893" w:type="dxa"/>
            <w:tcMar>
              <w:left w:w="105" w:type="dxa"/>
              <w:right w:w="105" w:type="dxa"/>
            </w:tcMar>
          </w:tcPr>
          <w:p w14:paraId="5593E02D" w14:textId="64D8D97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foster diverse personalised marketing campaigns to attract business leaders and delegates to the event to ensure future event growth </w:t>
            </w:r>
          </w:p>
        </w:tc>
        <w:tc>
          <w:tcPr>
            <w:tcW w:w="1893" w:type="dxa"/>
            <w:tcMar>
              <w:left w:w="105" w:type="dxa"/>
              <w:right w:w="105" w:type="dxa"/>
            </w:tcMar>
          </w:tcPr>
          <w:p w14:paraId="75EE4DF6" w14:textId="063CA433"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An increased number of guests and delegates to the event is a sign of the previous event’s success and sustainability </w:t>
            </w:r>
          </w:p>
        </w:tc>
        <w:tc>
          <w:tcPr>
            <w:tcW w:w="1893" w:type="dxa"/>
            <w:tcMar>
              <w:left w:w="105" w:type="dxa"/>
              <w:right w:w="105" w:type="dxa"/>
            </w:tcMar>
          </w:tcPr>
          <w:p w14:paraId="070A8904" w14:textId="3B4B190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45 days </w:t>
            </w:r>
          </w:p>
        </w:tc>
      </w:tr>
    </w:tbl>
    <w:p w14:paraId="76D42D82" w14:textId="0A0CD79A" w:rsidR="008D1D7D" w:rsidRDefault="008D1D7D" w:rsidP="555FA4E4">
      <w:pPr>
        <w:spacing w:after="0" w:line="360" w:lineRule="auto"/>
        <w:jc w:val="both"/>
        <w:rPr>
          <w:rFonts w:ascii="Times New Roman" w:eastAsia="Times New Roman" w:hAnsi="Times New Roman" w:cs="Times New Roman"/>
          <w:color w:val="000000" w:themeColor="text1"/>
        </w:rPr>
      </w:pPr>
    </w:p>
    <w:p w14:paraId="438C3450" w14:textId="386F8FCE"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i/>
          <w:iCs/>
          <w:color w:val="000000" w:themeColor="text1"/>
          <w:lang w:val="en-GB"/>
        </w:rPr>
        <w:t xml:space="preserve">Objective 2: Increase the fundraising bar by 25% to reach 70000 euros through charity-based auctions </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555FA4E4" w14:paraId="1A5AA538" w14:textId="77777777" w:rsidTr="555FA4E4">
        <w:trPr>
          <w:trHeight w:val="300"/>
        </w:trPr>
        <w:tc>
          <w:tcPr>
            <w:tcW w:w="1789" w:type="dxa"/>
            <w:tcMar>
              <w:left w:w="105" w:type="dxa"/>
              <w:right w:w="105" w:type="dxa"/>
            </w:tcMar>
          </w:tcPr>
          <w:p w14:paraId="31577B8F" w14:textId="6E10CE9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Specific</w:t>
            </w:r>
          </w:p>
        </w:tc>
        <w:tc>
          <w:tcPr>
            <w:tcW w:w="1893" w:type="dxa"/>
            <w:tcMar>
              <w:left w:w="105" w:type="dxa"/>
              <w:right w:w="105" w:type="dxa"/>
            </w:tcMar>
          </w:tcPr>
          <w:p w14:paraId="090171C3" w14:textId="5993EB43"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Measurable</w:t>
            </w:r>
          </w:p>
        </w:tc>
        <w:tc>
          <w:tcPr>
            <w:tcW w:w="1893" w:type="dxa"/>
            <w:tcMar>
              <w:left w:w="105" w:type="dxa"/>
              <w:right w:w="105" w:type="dxa"/>
            </w:tcMar>
          </w:tcPr>
          <w:p w14:paraId="012F4585" w14:textId="4D41A849"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Attainable</w:t>
            </w:r>
          </w:p>
        </w:tc>
        <w:tc>
          <w:tcPr>
            <w:tcW w:w="1893" w:type="dxa"/>
            <w:tcMar>
              <w:left w:w="105" w:type="dxa"/>
              <w:right w:w="105" w:type="dxa"/>
            </w:tcMar>
          </w:tcPr>
          <w:p w14:paraId="00617CFD" w14:textId="21C4BB84"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Relevant</w:t>
            </w:r>
          </w:p>
        </w:tc>
        <w:tc>
          <w:tcPr>
            <w:tcW w:w="1893" w:type="dxa"/>
            <w:tcMar>
              <w:left w:w="105" w:type="dxa"/>
              <w:right w:w="105" w:type="dxa"/>
            </w:tcMar>
          </w:tcPr>
          <w:p w14:paraId="4082F36F" w14:textId="299B8926"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Time-bound</w:t>
            </w:r>
          </w:p>
        </w:tc>
      </w:tr>
      <w:tr w:rsidR="555FA4E4" w14:paraId="58B5D0F5" w14:textId="77777777" w:rsidTr="555FA4E4">
        <w:trPr>
          <w:trHeight w:val="300"/>
        </w:trPr>
        <w:tc>
          <w:tcPr>
            <w:tcW w:w="1789" w:type="dxa"/>
            <w:tcMar>
              <w:left w:w="105" w:type="dxa"/>
              <w:right w:w="105" w:type="dxa"/>
            </w:tcMar>
          </w:tcPr>
          <w:p w14:paraId="701D58B0" w14:textId="79A5C499"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raise the standards of aggregated funds by £70000 through auctions </w:t>
            </w:r>
          </w:p>
        </w:tc>
        <w:tc>
          <w:tcPr>
            <w:tcW w:w="1893" w:type="dxa"/>
            <w:tcMar>
              <w:left w:w="105" w:type="dxa"/>
              <w:right w:w="105" w:type="dxa"/>
            </w:tcMar>
          </w:tcPr>
          <w:p w14:paraId="51AB4976" w14:textId="1F24393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To identify the scope for fundraising by tracking the investor’s intensity and investment integration</w:t>
            </w:r>
          </w:p>
        </w:tc>
        <w:tc>
          <w:tcPr>
            <w:tcW w:w="1893" w:type="dxa"/>
            <w:tcMar>
              <w:left w:w="105" w:type="dxa"/>
              <w:right w:w="105" w:type="dxa"/>
            </w:tcMar>
          </w:tcPr>
          <w:p w14:paraId="536C9464" w14:textId="7C684BA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encourage the charity-based bidding process aiming to overall social welfare and harmony through this event </w:t>
            </w:r>
          </w:p>
        </w:tc>
        <w:tc>
          <w:tcPr>
            <w:tcW w:w="1893" w:type="dxa"/>
            <w:tcMar>
              <w:left w:w="105" w:type="dxa"/>
              <w:right w:w="105" w:type="dxa"/>
            </w:tcMar>
          </w:tcPr>
          <w:p w14:paraId="5D6C5A27" w14:textId="7B3D98C7"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The fundraising activity or charitable precision can help the event leverage its emotional standards to target more emerging markets with new audiences. </w:t>
            </w:r>
          </w:p>
        </w:tc>
        <w:tc>
          <w:tcPr>
            <w:tcW w:w="1893" w:type="dxa"/>
            <w:tcMar>
              <w:left w:w="105" w:type="dxa"/>
              <w:right w:w="105" w:type="dxa"/>
            </w:tcMar>
          </w:tcPr>
          <w:p w14:paraId="61611226" w14:textId="752B7BC7"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45 days </w:t>
            </w:r>
          </w:p>
        </w:tc>
      </w:tr>
    </w:tbl>
    <w:p w14:paraId="745AF0D9" w14:textId="6E0DB4DF" w:rsidR="008D1D7D" w:rsidRDefault="008D1D7D" w:rsidP="555FA4E4">
      <w:pPr>
        <w:spacing w:after="0" w:line="360" w:lineRule="auto"/>
        <w:jc w:val="both"/>
        <w:rPr>
          <w:rFonts w:ascii="Times New Roman" w:eastAsia="Times New Roman" w:hAnsi="Times New Roman" w:cs="Times New Roman"/>
          <w:color w:val="000000" w:themeColor="text1"/>
        </w:rPr>
      </w:pPr>
    </w:p>
    <w:p w14:paraId="25FBB1A3" w14:textId="2142F5C5"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i/>
          <w:iCs/>
          <w:color w:val="000000" w:themeColor="text1"/>
          <w:lang w:val="en-GB"/>
        </w:rPr>
        <w:t>Objective 3: Increase guest and delegates’ retention rate by 30%</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555FA4E4" w14:paraId="0A4C6952" w14:textId="77777777" w:rsidTr="555FA4E4">
        <w:trPr>
          <w:trHeight w:val="300"/>
        </w:trPr>
        <w:tc>
          <w:tcPr>
            <w:tcW w:w="1789" w:type="dxa"/>
            <w:tcMar>
              <w:left w:w="105" w:type="dxa"/>
              <w:right w:w="105" w:type="dxa"/>
            </w:tcMar>
          </w:tcPr>
          <w:p w14:paraId="4F1CD2FE" w14:textId="462A075A"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Specific</w:t>
            </w:r>
          </w:p>
        </w:tc>
        <w:tc>
          <w:tcPr>
            <w:tcW w:w="1893" w:type="dxa"/>
            <w:tcMar>
              <w:left w:w="105" w:type="dxa"/>
              <w:right w:w="105" w:type="dxa"/>
            </w:tcMar>
          </w:tcPr>
          <w:p w14:paraId="17220EA2" w14:textId="37E1FD63"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Measurable</w:t>
            </w:r>
          </w:p>
        </w:tc>
        <w:tc>
          <w:tcPr>
            <w:tcW w:w="1893" w:type="dxa"/>
            <w:tcMar>
              <w:left w:w="105" w:type="dxa"/>
              <w:right w:w="105" w:type="dxa"/>
            </w:tcMar>
          </w:tcPr>
          <w:p w14:paraId="113AA638" w14:textId="5077D6A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Attainable</w:t>
            </w:r>
          </w:p>
        </w:tc>
        <w:tc>
          <w:tcPr>
            <w:tcW w:w="1893" w:type="dxa"/>
            <w:tcMar>
              <w:left w:w="105" w:type="dxa"/>
              <w:right w:w="105" w:type="dxa"/>
            </w:tcMar>
          </w:tcPr>
          <w:p w14:paraId="04857D4A" w14:textId="1BDE400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Relevant</w:t>
            </w:r>
          </w:p>
        </w:tc>
        <w:tc>
          <w:tcPr>
            <w:tcW w:w="1893" w:type="dxa"/>
            <w:tcMar>
              <w:left w:w="105" w:type="dxa"/>
              <w:right w:w="105" w:type="dxa"/>
            </w:tcMar>
          </w:tcPr>
          <w:p w14:paraId="1D53197E" w14:textId="3000F2F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Time-bound</w:t>
            </w:r>
          </w:p>
        </w:tc>
      </w:tr>
      <w:tr w:rsidR="555FA4E4" w14:paraId="23E05612" w14:textId="77777777" w:rsidTr="555FA4E4">
        <w:trPr>
          <w:trHeight w:val="300"/>
        </w:trPr>
        <w:tc>
          <w:tcPr>
            <w:tcW w:w="1789" w:type="dxa"/>
            <w:tcMar>
              <w:left w:w="105" w:type="dxa"/>
              <w:right w:w="105" w:type="dxa"/>
            </w:tcMar>
          </w:tcPr>
          <w:p w14:paraId="59CBCBCA" w14:textId="228BEC7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gain a retention rate from existing guests and delegates of 30% higher than the previous year </w:t>
            </w:r>
          </w:p>
        </w:tc>
        <w:tc>
          <w:tcPr>
            <w:tcW w:w="1893" w:type="dxa"/>
            <w:tcMar>
              <w:left w:w="105" w:type="dxa"/>
              <w:right w:w="105" w:type="dxa"/>
            </w:tcMar>
          </w:tcPr>
          <w:p w14:paraId="3DFFF139" w14:textId="7D946B1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distribute a feedback survey to the guests and delegates via Google forms </w:t>
            </w:r>
          </w:p>
        </w:tc>
        <w:tc>
          <w:tcPr>
            <w:tcW w:w="1893" w:type="dxa"/>
            <w:tcMar>
              <w:left w:w="105" w:type="dxa"/>
              <w:right w:w="105" w:type="dxa"/>
            </w:tcMar>
          </w:tcPr>
          <w:p w14:paraId="041B3D47" w14:textId="34E8C9E2"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To consistently offer a positively engaging experience to the guests aiming to increase future fundraising standards </w:t>
            </w:r>
          </w:p>
        </w:tc>
        <w:tc>
          <w:tcPr>
            <w:tcW w:w="1893" w:type="dxa"/>
            <w:tcMar>
              <w:left w:w="105" w:type="dxa"/>
              <w:right w:w="105" w:type="dxa"/>
            </w:tcMar>
          </w:tcPr>
          <w:p w14:paraId="38C3DA4F" w14:textId="6518EB21"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Increased retention rates of guests and delegates can be instrumental in promoting event success and sustainability. </w:t>
            </w:r>
          </w:p>
        </w:tc>
        <w:tc>
          <w:tcPr>
            <w:tcW w:w="1893" w:type="dxa"/>
            <w:tcMar>
              <w:left w:w="105" w:type="dxa"/>
              <w:right w:w="105" w:type="dxa"/>
            </w:tcMar>
          </w:tcPr>
          <w:p w14:paraId="059F807C" w14:textId="6629ACC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45 days</w:t>
            </w:r>
          </w:p>
        </w:tc>
      </w:tr>
    </w:tbl>
    <w:p w14:paraId="54FA0F9A" w14:textId="6A2E68E4" w:rsidR="008D1D7D" w:rsidRDefault="008D1D7D" w:rsidP="555FA4E4">
      <w:pPr>
        <w:spacing w:after="0" w:line="360" w:lineRule="auto"/>
        <w:jc w:val="both"/>
        <w:rPr>
          <w:rFonts w:ascii="Times New Roman" w:eastAsia="Times New Roman" w:hAnsi="Times New Roman" w:cs="Times New Roman"/>
          <w:color w:val="000000" w:themeColor="text1"/>
        </w:rPr>
      </w:pPr>
    </w:p>
    <w:p w14:paraId="7ACCD820" w14:textId="083135A1"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Management of the Event</w:t>
      </w:r>
    </w:p>
    <w:p w14:paraId="7B49ADF0" w14:textId="0151AA22"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To ensure a successful completion of the Wonderland Gala event in the Savoy Hotel, London, a strategic combination of skills, resources, planning, and marketing activities is mandated. First, regarding the operational activities, the event planner needs to focus on the subordinates’ core skills and expertise to maintain the flow of the event and mitigate any unprecedented risk (</w:t>
      </w:r>
      <w:proofErr w:type="spellStart"/>
      <w:r w:rsidRPr="555FA4E4">
        <w:rPr>
          <w:rFonts w:ascii="Times New Roman" w:eastAsia="Times New Roman" w:hAnsi="Times New Roman" w:cs="Times New Roman"/>
          <w:color w:val="000000" w:themeColor="text1"/>
          <w:lang w:val="en-GB"/>
        </w:rPr>
        <w:t>Elahi</w:t>
      </w:r>
      <w:proofErr w:type="spellEnd"/>
      <w:r w:rsidRPr="555FA4E4">
        <w:rPr>
          <w:rFonts w:ascii="Times New Roman" w:eastAsia="Times New Roman" w:hAnsi="Times New Roman" w:cs="Times New Roman"/>
          <w:color w:val="000000" w:themeColor="text1"/>
          <w:lang w:val="en-GB"/>
        </w:rPr>
        <w:t xml:space="preserve">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2022). Apart from this, the teamwork and collaborative agenda of the staff can help build a credible dependency in fulfilling the aim of the event more successfully. Secondly, the required resources for the event will be based on the availability and suitability of the venue and its prominence to the targeted audience base (</w:t>
      </w:r>
      <w:proofErr w:type="spellStart"/>
      <w:r w:rsidRPr="555FA4E4">
        <w:rPr>
          <w:rFonts w:ascii="Times New Roman" w:eastAsia="Times New Roman" w:hAnsi="Times New Roman" w:cs="Times New Roman"/>
          <w:color w:val="000000" w:themeColor="text1"/>
          <w:lang w:val="en-GB"/>
        </w:rPr>
        <w:t>Hoang</w:t>
      </w:r>
      <w:proofErr w:type="spellEnd"/>
      <w:r w:rsidRPr="555FA4E4">
        <w:rPr>
          <w:rFonts w:ascii="Times New Roman" w:eastAsia="Times New Roman" w:hAnsi="Times New Roman" w:cs="Times New Roman"/>
          <w:color w:val="000000" w:themeColor="text1"/>
          <w:lang w:val="en-GB"/>
        </w:rPr>
        <w:t xml:space="preserve">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2022). Along with providing gourmet dining exquisites, and memorable performances of live music and aerial acts, the guests and delegates of the event can remain engaged to the event by leveraging the chances of retention in the future. Further, the potential accommodating and transportation facilities along with the use of guest management software can help the event planner to follow up with existing guests sufficiently (LinkedIn, 2024). Also, regarding the planning activities, the event planner needs to be potentially analytical in developing the budget management decisions regarding venue management, marketing cost management, and maintaining overall profitability at the end of the event. Keeping transparency with the dining service providers and the event technician teams can help guests maintain the standards of the event thoroughly by upscaling guest satisfaction standards at large. To this end, the required resources include the inclusion of event management software in which event timelines and budgetary details followed by stakeholder communication records will be kept (De Luca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2022). Regarding the health and safety of the staff and the guests or delegates, a detailed risk assessment needs to be performed by the event planner to mitigate unforeseen risks and adversities at large. Finally, regarding the marketing activities, this gala event requires staff proficiency in the digital marketing framework to showcase engaging campaigns regarding this event to attract business leaders, and professionals to a great extent. Apart from this, the audiences need to be managed through social media engagement leading to a more prominent media outcome in terms of leveraging its authenticity and credibility to a great extent (</w:t>
      </w:r>
      <w:proofErr w:type="spellStart"/>
      <w:r w:rsidRPr="555FA4E4">
        <w:rPr>
          <w:rFonts w:ascii="Times New Roman" w:eastAsia="Times New Roman" w:hAnsi="Times New Roman" w:cs="Times New Roman"/>
          <w:color w:val="000000" w:themeColor="text1"/>
          <w:lang w:val="en-GB"/>
        </w:rPr>
        <w:t>Ullah</w:t>
      </w:r>
      <w:proofErr w:type="spellEnd"/>
      <w:r w:rsidRPr="555FA4E4">
        <w:rPr>
          <w:rFonts w:ascii="Times New Roman" w:eastAsia="Times New Roman" w:hAnsi="Times New Roman" w:cs="Times New Roman"/>
          <w:color w:val="000000" w:themeColor="text1"/>
          <w:lang w:val="en-GB"/>
        </w:rPr>
        <w:t xml:space="preserve"> </w:t>
      </w:r>
      <w:r w:rsidRPr="555FA4E4">
        <w:rPr>
          <w:rFonts w:ascii="Times New Roman" w:eastAsia="Times New Roman" w:hAnsi="Times New Roman" w:cs="Times New Roman"/>
          <w:i/>
          <w:iCs/>
          <w:color w:val="000000" w:themeColor="text1"/>
          <w:lang w:val="en-GB"/>
        </w:rPr>
        <w:t>et al.,</w:t>
      </w:r>
      <w:r w:rsidRPr="555FA4E4">
        <w:rPr>
          <w:rFonts w:ascii="Times New Roman" w:eastAsia="Times New Roman" w:hAnsi="Times New Roman" w:cs="Times New Roman"/>
          <w:color w:val="000000" w:themeColor="text1"/>
          <w:lang w:val="en-GB"/>
        </w:rPr>
        <w:t xml:space="preserve"> 2021). To this end, the key resources will be the influencers’ collaboration and partnership in highlighting the event to the targeted audiences along with creating personalised advertisements through press and media coverage at large. Further, potential coordination needs to be maintained between the event staff and the planner to maintain potential harmony throughout the event and lead to a more successful and sustainable outcome. </w:t>
      </w:r>
    </w:p>
    <w:p w14:paraId="167DEB2B" w14:textId="09B1E756"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Budget of the Event</w:t>
      </w:r>
    </w:p>
    <w:p w14:paraId="1F96258C" w14:textId="5588B024" w:rsidR="008D1D7D" w:rsidRDefault="37E2770E" w:rsidP="555FA4E4">
      <w:pPr>
        <w:pStyle w:val="Listparagraf"/>
        <w:numPr>
          <w:ilvl w:val="0"/>
          <w:numId w:val="5"/>
        </w:num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Estimated costs for the event </w:t>
      </w:r>
    </w:p>
    <w:tbl>
      <w:tblPr>
        <w:tblStyle w:val="Tabelgril"/>
        <w:tblW w:w="0" w:type="auto"/>
        <w:tblInd w:w="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00"/>
        <w:gridCol w:w="3160"/>
      </w:tblGrid>
      <w:tr w:rsidR="555FA4E4" w14:paraId="4D209580" w14:textId="77777777" w:rsidTr="555FA4E4">
        <w:trPr>
          <w:trHeight w:val="300"/>
        </w:trPr>
        <w:tc>
          <w:tcPr>
            <w:tcW w:w="6200" w:type="dxa"/>
            <w:tcMar>
              <w:left w:w="105" w:type="dxa"/>
              <w:right w:w="105" w:type="dxa"/>
            </w:tcMar>
          </w:tcPr>
          <w:p w14:paraId="66CC9C2C" w14:textId="77D984CE"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Cost category</w:t>
            </w:r>
          </w:p>
        </w:tc>
        <w:tc>
          <w:tcPr>
            <w:tcW w:w="3160" w:type="dxa"/>
            <w:tcMar>
              <w:left w:w="105" w:type="dxa"/>
              <w:right w:w="105" w:type="dxa"/>
            </w:tcMar>
          </w:tcPr>
          <w:p w14:paraId="4DB40B7F" w14:textId="10C568F4"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Cost Estimation (in pounds)</w:t>
            </w:r>
          </w:p>
        </w:tc>
      </w:tr>
      <w:tr w:rsidR="555FA4E4" w14:paraId="4F6150AF" w14:textId="77777777" w:rsidTr="555FA4E4">
        <w:trPr>
          <w:trHeight w:val="300"/>
        </w:trPr>
        <w:tc>
          <w:tcPr>
            <w:tcW w:w="6200" w:type="dxa"/>
            <w:tcMar>
              <w:left w:w="105" w:type="dxa"/>
              <w:right w:w="105" w:type="dxa"/>
            </w:tcMar>
          </w:tcPr>
          <w:p w14:paraId="3A7AD822" w14:textId="0BF09FF9"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Rental of the Savoy Hotel</w:t>
            </w:r>
          </w:p>
        </w:tc>
        <w:tc>
          <w:tcPr>
            <w:tcW w:w="3160" w:type="dxa"/>
            <w:tcMar>
              <w:left w:w="105" w:type="dxa"/>
              <w:right w:w="105" w:type="dxa"/>
            </w:tcMar>
          </w:tcPr>
          <w:p w14:paraId="2FF8165B" w14:textId="73C1758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70,000</w:t>
            </w:r>
          </w:p>
        </w:tc>
      </w:tr>
      <w:tr w:rsidR="555FA4E4" w14:paraId="5D7B88BE" w14:textId="77777777" w:rsidTr="555FA4E4">
        <w:trPr>
          <w:trHeight w:val="300"/>
        </w:trPr>
        <w:tc>
          <w:tcPr>
            <w:tcW w:w="6200" w:type="dxa"/>
            <w:tcMar>
              <w:left w:w="105" w:type="dxa"/>
              <w:right w:w="105" w:type="dxa"/>
            </w:tcMar>
          </w:tcPr>
          <w:p w14:paraId="715C0F4A" w14:textId="16D8897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Dining resources</w:t>
            </w:r>
          </w:p>
        </w:tc>
        <w:tc>
          <w:tcPr>
            <w:tcW w:w="3160" w:type="dxa"/>
            <w:tcMar>
              <w:left w:w="105" w:type="dxa"/>
              <w:right w:w="105" w:type="dxa"/>
            </w:tcMar>
          </w:tcPr>
          <w:p w14:paraId="38FCCD38" w14:textId="437C048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25,000</w:t>
            </w:r>
          </w:p>
        </w:tc>
      </w:tr>
      <w:tr w:rsidR="555FA4E4" w14:paraId="12C77702" w14:textId="77777777" w:rsidTr="555FA4E4">
        <w:trPr>
          <w:trHeight w:val="300"/>
        </w:trPr>
        <w:tc>
          <w:tcPr>
            <w:tcW w:w="6200" w:type="dxa"/>
            <w:tcMar>
              <w:left w:w="105" w:type="dxa"/>
              <w:right w:w="105" w:type="dxa"/>
            </w:tcMar>
          </w:tcPr>
          <w:p w14:paraId="0BE4D32E" w14:textId="66A202C5"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Event decoration for winter theme</w:t>
            </w:r>
          </w:p>
        </w:tc>
        <w:tc>
          <w:tcPr>
            <w:tcW w:w="3160" w:type="dxa"/>
            <w:tcMar>
              <w:left w:w="105" w:type="dxa"/>
              <w:right w:w="105" w:type="dxa"/>
            </w:tcMar>
          </w:tcPr>
          <w:p w14:paraId="473E0CBD" w14:textId="74319037"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45,000</w:t>
            </w:r>
          </w:p>
        </w:tc>
      </w:tr>
      <w:tr w:rsidR="555FA4E4" w14:paraId="04CB4597" w14:textId="77777777" w:rsidTr="555FA4E4">
        <w:trPr>
          <w:trHeight w:val="300"/>
        </w:trPr>
        <w:tc>
          <w:tcPr>
            <w:tcW w:w="6200" w:type="dxa"/>
            <w:tcMar>
              <w:left w:w="105" w:type="dxa"/>
              <w:right w:w="105" w:type="dxa"/>
            </w:tcMar>
          </w:tcPr>
          <w:p w14:paraId="3B131AFB" w14:textId="78D3A81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Live music and aerial act performers </w:t>
            </w:r>
          </w:p>
        </w:tc>
        <w:tc>
          <w:tcPr>
            <w:tcW w:w="3160" w:type="dxa"/>
            <w:tcMar>
              <w:left w:w="105" w:type="dxa"/>
              <w:right w:w="105" w:type="dxa"/>
            </w:tcMar>
          </w:tcPr>
          <w:p w14:paraId="6133299B" w14:textId="32ACE32E"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15,000</w:t>
            </w:r>
          </w:p>
        </w:tc>
      </w:tr>
      <w:tr w:rsidR="555FA4E4" w14:paraId="74D90EC5" w14:textId="77777777" w:rsidTr="555FA4E4">
        <w:trPr>
          <w:trHeight w:val="300"/>
        </w:trPr>
        <w:tc>
          <w:tcPr>
            <w:tcW w:w="6200" w:type="dxa"/>
            <w:tcMar>
              <w:left w:w="105" w:type="dxa"/>
              <w:right w:w="105" w:type="dxa"/>
            </w:tcMar>
          </w:tcPr>
          <w:p w14:paraId="247698CF" w14:textId="718D2143"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Lighting and sound </w:t>
            </w:r>
          </w:p>
        </w:tc>
        <w:tc>
          <w:tcPr>
            <w:tcW w:w="3160" w:type="dxa"/>
            <w:tcMar>
              <w:left w:w="105" w:type="dxa"/>
              <w:right w:w="105" w:type="dxa"/>
            </w:tcMar>
          </w:tcPr>
          <w:p w14:paraId="15ECC7B6" w14:textId="52C60C1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12,000</w:t>
            </w:r>
          </w:p>
        </w:tc>
      </w:tr>
      <w:tr w:rsidR="555FA4E4" w14:paraId="05ADA9EC" w14:textId="77777777" w:rsidTr="555FA4E4">
        <w:trPr>
          <w:trHeight w:val="300"/>
        </w:trPr>
        <w:tc>
          <w:tcPr>
            <w:tcW w:w="6200" w:type="dxa"/>
            <w:tcMar>
              <w:left w:w="105" w:type="dxa"/>
              <w:right w:w="105" w:type="dxa"/>
            </w:tcMar>
          </w:tcPr>
          <w:p w14:paraId="483E7259" w14:textId="12353412"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Promotional venture of the event</w:t>
            </w:r>
          </w:p>
        </w:tc>
        <w:tc>
          <w:tcPr>
            <w:tcW w:w="3160" w:type="dxa"/>
            <w:tcMar>
              <w:left w:w="105" w:type="dxa"/>
              <w:right w:w="105" w:type="dxa"/>
            </w:tcMar>
          </w:tcPr>
          <w:p w14:paraId="31ACCB59" w14:textId="6E042DF3"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8,000</w:t>
            </w:r>
          </w:p>
        </w:tc>
      </w:tr>
      <w:tr w:rsidR="555FA4E4" w14:paraId="67E6222D" w14:textId="77777777" w:rsidTr="555FA4E4">
        <w:trPr>
          <w:trHeight w:val="300"/>
        </w:trPr>
        <w:tc>
          <w:tcPr>
            <w:tcW w:w="6200" w:type="dxa"/>
            <w:tcMar>
              <w:left w:w="105" w:type="dxa"/>
              <w:right w:w="105" w:type="dxa"/>
            </w:tcMar>
          </w:tcPr>
          <w:p w14:paraId="2866C69C" w14:textId="6E89588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Staff compensation</w:t>
            </w:r>
          </w:p>
        </w:tc>
        <w:tc>
          <w:tcPr>
            <w:tcW w:w="3160" w:type="dxa"/>
            <w:tcMar>
              <w:left w:w="105" w:type="dxa"/>
              <w:right w:w="105" w:type="dxa"/>
            </w:tcMar>
          </w:tcPr>
          <w:p w14:paraId="2CD75D5D" w14:textId="6D4BAEB1"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25,000</w:t>
            </w:r>
          </w:p>
        </w:tc>
      </w:tr>
      <w:tr w:rsidR="555FA4E4" w14:paraId="78110734" w14:textId="77777777" w:rsidTr="555FA4E4">
        <w:trPr>
          <w:trHeight w:val="300"/>
        </w:trPr>
        <w:tc>
          <w:tcPr>
            <w:tcW w:w="6200" w:type="dxa"/>
            <w:tcMar>
              <w:left w:w="105" w:type="dxa"/>
              <w:right w:w="105" w:type="dxa"/>
            </w:tcMar>
          </w:tcPr>
          <w:p w14:paraId="5E042EBA" w14:textId="20947CF4"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Insurance</w:t>
            </w:r>
          </w:p>
        </w:tc>
        <w:tc>
          <w:tcPr>
            <w:tcW w:w="3160" w:type="dxa"/>
            <w:tcMar>
              <w:left w:w="105" w:type="dxa"/>
              <w:right w:w="105" w:type="dxa"/>
            </w:tcMar>
          </w:tcPr>
          <w:p w14:paraId="132D0D26" w14:textId="2769B468"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5,000</w:t>
            </w:r>
          </w:p>
        </w:tc>
      </w:tr>
      <w:tr w:rsidR="555FA4E4" w14:paraId="2994B56D" w14:textId="77777777" w:rsidTr="555FA4E4">
        <w:trPr>
          <w:trHeight w:val="300"/>
        </w:trPr>
        <w:tc>
          <w:tcPr>
            <w:tcW w:w="6200" w:type="dxa"/>
            <w:tcMar>
              <w:left w:w="105" w:type="dxa"/>
              <w:right w:w="105" w:type="dxa"/>
            </w:tcMar>
          </w:tcPr>
          <w:p w14:paraId="68EA0F85" w14:textId="1C9AD64A"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Other costs </w:t>
            </w:r>
          </w:p>
        </w:tc>
        <w:tc>
          <w:tcPr>
            <w:tcW w:w="3160" w:type="dxa"/>
            <w:tcMar>
              <w:left w:w="105" w:type="dxa"/>
              <w:right w:w="105" w:type="dxa"/>
            </w:tcMar>
          </w:tcPr>
          <w:p w14:paraId="7EE0E432" w14:textId="611BC4A5"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3,000</w:t>
            </w:r>
          </w:p>
        </w:tc>
      </w:tr>
      <w:tr w:rsidR="555FA4E4" w14:paraId="7B666A55" w14:textId="77777777" w:rsidTr="555FA4E4">
        <w:trPr>
          <w:trHeight w:val="300"/>
        </w:trPr>
        <w:tc>
          <w:tcPr>
            <w:tcW w:w="6200" w:type="dxa"/>
            <w:tcMar>
              <w:left w:w="105" w:type="dxa"/>
              <w:right w:w="105" w:type="dxa"/>
            </w:tcMar>
          </w:tcPr>
          <w:p w14:paraId="62F36B54" w14:textId="0AC7D1F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Total estimated costs</w:t>
            </w:r>
          </w:p>
        </w:tc>
        <w:tc>
          <w:tcPr>
            <w:tcW w:w="3160" w:type="dxa"/>
            <w:tcMar>
              <w:left w:w="105" w:type="dxa"/>
              <w:right w:w="105" w:type="dxa"/>
            </w:tcMar>
          </w:tcPr>
          <w:p w14:paraId="37CFA390" w14:textId="13AD975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208,000</w:t>
            </w:r>
          </w:p>
        </w:tc>
      </w:tr>
    </w:tbl>
    <w:p w14:paraId="18D44227" w14:textId="4062697A" w:rsidR="008D1D7D" w:rsidRDefault="008D1D7D" w:rsidP="555FA4E4">
      <w:pPr>
        <w:spacing w:after="0" w:line="360" w:lineRule="auto"/>
        <w:ind w:left="720"/>
        <w:jc w:val="both"/>
        <w:rPr>
          <w:rFonts w:ascii="Times New Roman" w:eastAsia="Times New Roman" w:hAnsi="Times New Roman" w:cs="Times New Roman"/>
          <w:color w:val="000000" w:themeColor="text1"/>
        </w:rPr>
      </w:pPr>
    </w:p>
    <w:p w14:paraId="61568DB0" w14:textId="67A7E5B1" w:rsidR="008D1D7D" w:rsidRDefault="37E2770E" w:rsidP="555FA4E4">
      <w:pPr>
        <w:pStyle w:val="Listparagraf"/>
        <w:numPr>
          <w:ilvl w:val="0"/>
          <w:numId w:val="5"/>
        </w:num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Estimated revenue for the event </w:t>
      </w:r>
    </w:p>
    <w:tbl>
      <w:tblPr>
        <w:tblStyle w:val="Tabelgril"/>
        <w:tblW w:w="0" w:type="auto"/>
        <w:tblInd w:w="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99"/>
        <w:gridCol w:w="2261"/>
      </w:tblGrid>
      <w:tr w:rsidR="555FA4E4" w14:paraId="180C166E" w14:textId="77777777" w:rsidTr="555FA4E4">
        <w:trPr>
          <w:trHeight w:val="300"/>
        </w:trPr>
        <w:tc>
          <w:tcPr>
            <w:tcW w:w="7099" w:type="dxa"/>
            <w:tcMar>
              <w:left w:w="105" w:type="dxa"/>
              <w:right w:w="105" w:type="dxa"/>
            </w:tcMar>
          </w:tcPr>
          <w:p w14:paraId="652E5597" w14:textId="4AFA5E1E"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Revenue category</w:t>
            </w:r>
          </w:p>
        </w:tc>
        <w:tc>
          <w:tcPr>
            <w:tcW w:w="2261" w:type="dxa"/>
            <w:tcMar>
              <w:left w:w="105" w:type="dxa"/>
              <w:right w:w="105" w:type="dxa"/>
            </w:tcMar>
          </w:tcPr>
          <w:p w14:paraId="60CE6BBA" w14:textId="11F45130"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Revenue (in pounds)</w:t>
            </w:r>
          </w:p>
        </w:tc>
      </w:tr>
      <w:tr w:rsidR="555FA4E4" w14:paraId="2A5C86AC" w14:textId="77777777" w:rsidTr="555FA4E4">
        <w:trPr>
          <w:trHeight w:val="300"/>
        </w:trPr>
        <w:tc>
          <w:tcPr>
            <w:tcW w:w="7099" w:type="dxa"/>
            <w:tcMar>
              <w:left w:w="105" w:type="dxa"/>
              <w:right w:w="105" w:type="dxa"/>
            </w:tcMar>
          </w:tcPr>
          <w:p w14:paraId="13D3E8D1" w14:textId="1379938F"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Event ticket sales</w:t>
            </w:r>
          </w:p>
        </w:tc>
        <w:tc>
          <w:tcPr>
            <w:tcW w:w="2261" w:type="dxa"/>
            <w:tcMar>
              <w:left w:w="105" w:type="dxa"/>
              <w:right w:w="105" w:type="dxa"/>
            </w:tcMar>
          </w:tcPr>
          <w:p w14:paraId="30FDD7E5" w14:textId="729573E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150,000</w:t>
            </w:r>
          </w:p>
        </w:tc>
      </w:tr>
      <w:tr w:rsidR="555FA4E4" w14:paraId="074B666B" w14:textId="77777777" w:rsidTr="555FA4E4">
        <w:trPr>
          <w:trHeight w:val="300"/>
        </w:trPr>
        <w:tc>
          <w:tcPr>
            <w:tcW w:w="7099" w:type="dxa"/>
            <w:tcMar>
              <w:left w:w="105" w:type="dxa"/>
              <w:right w:w="105" w:type="dxa"/>
            </w:tcMar>
          </w:tcPr>
          <w:p w14:paraId="0D386E26" w14:textId="0377AF8C"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Event Sponsorship</w:t>
            </w:r>
          </w:p>
        </w:tc>
        <w:tc>
          <w:tcPr>
            <w:tcW w:w="2261" w:type="dxa"/>
            <w:tcMar>
              <w:left w:w="105" w:type="dxa"/>
              <w:right w:w="105" w:type="dxa"/>
            </w:tcMar>
          </w:tcPr>
          <w:p w14:paraId="7F7D8529" w14:textId="5E59371F"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80,000</w:t>
            </w:r>
          </w:p>
        </w:tc>
      </w:tr>
      <w:tr w:rsidR="555FA4E4" w14:paraId="0518CD51" w14:textId="77777777" w:rsidTr="555FA4E4">
        <w:trPr>
          <w:trHeight w:val="60"/>
        </w:trPr>
        <w:tc>
          <w:tcPr>
            <w:tcW w:w="7099" w:type="dxa"/>
            <w:tcMar>
              <w:left w:w="105" w:type="dxa"/>
              <w:right w:w="105" w:type="dxa"/>
            </w:tcMar>
          </w:tcPr>
          <w:p w14:paraId="6D9A06C7" w14:textId="10E1628B"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Fundraising activity </w:t>
            </w:r>
          </w:p>
        </w:tc>
        <w:tc>
          <w:tcPr>
            <w:tcW w:w="2261" w:type="dxa"/>
            <w:tcMar>
              <w:left w:w="105" w:type="dxa"/>
              <w:right w:w="105" w:type="dxa"/>
            </w:tcMar>
          </w:tcPr>
          <w:p w14:paraId="2ABB291C" w14:textId="18B966CD"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70,000</w:t>
            </w:r>
          </w:p>
        </w:tc>
      </w:tr>
      <w:tr w:rsidR="555FA4E4" w14:paraId="43EF0383" w14:textId="77777777" w:rsidTr="555FA4E4">
        <w:trPr>
          <w:trHeight w:val="300"/>
        </w:trPr>
        <w:tc>
          <w:tcPr>
            <w:tcW w:w="7099" w:type="dxa"/>
            <w:tcMar>
              <w:left w:w="105" w:type="dxa"/>
              <w:right w:w="105" w:type="dxa"/>
            </w:tcMar>
          </w:tcPr>
          <w:p w14:paraId="1AEAE9CB" w14:textId="5663D8E4"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 xml:space="preserve">Food and dining stall revenue </w:t>
            </w:r>
          </w:p>
        </w:tc>
        <w:tc>
          <w:tcPr>
            <w:tcW w:w="2261" w:type="dxa"/>
            <w:tcMar>
              <w:left w:w="105" w:type="dxa"/>
              <w:right w:w="105" w:type="dxa"/>
            </w:tcMar>
          </w:tcPr>
          <w:p w14:paraId="526CFDCC" w14:textId="2564AEBA"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lang w:val="en-GB"/>
              </w:rPr>
              <w:t>25,000</w:t>
            </w:r>
          </w:p>
        </w:tc>
      </w:tr>
      <w:tr w:rsidR="555FA4E4" w14:paraId="6AA4D158" w14:textId="77777777" w:rsidTr="555FA4E4">
        <w:trPr>
          <w:trHeight w:val="300"/>
        </w:trPr>
        <w:tc>
          <w:tcPr>
            <w:tcW w:w="7099" w:type="dxa"/>
            <w:tcMar>
              <w:left w:w="105" w:type="dxa"/>
              <w:right w:w="105" w:type="dxa"/>
            </w:tcMar>
          </w:tcPr>
          <w:p w14:paraId="082E85CC" w14:textId="39465E82"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Total estimated revenue</w:t>
            </w:r>
          </w:p>
        </w:tc>
        <w:tc>
          <w:tcPr>
            <w:tcW w:w="2261" w:type="dxa"/>
            <w:tcMar>
              <w:left w:w="105" w:type="dxa"/>
              <w:right w:w="105" w:type="dxa"/>
            </w:tcMar>
          </w:tcPr>
          <w:p w14:paraId="2F2BDF67" w14:textId="5E421E84" w:rsidR="555FA4E4" w:rsidRDefault="555FA4E4" w:rsidP="555FA4E4">
            <w:pPr>
              <w:spacing w:line="360" w:lineRule="auto"/>
              <w:jc w:val="both"/>
              <w:rPr>
                <w:rFonts w:ascii="Times New Roman" w:eastAsia="Times New Roman" w:hAnsi="Times New Roman" w:cs="Times New Roman"/>
              </w:rPr>
            </w:pPr>
            <w:r w:rsidRPr="555FA4E4">
              <w:rPr>
                <w:rFonts w:ascii="Times New Roman" w:eastAsia="Times New Roman" w:hAnsi="Times New Roman" w:cs="Times New Roman"/>
                <w:b/>
                <w:bCs/>
                <w:lang w:val="en-GB"/>
              </w:rPr>
              <w:t>325,000</w:t>
            </w:r>
          </w:p>
        </w:tc>
      </w:tr>
    </w:tbl>
    <w:p w14:paraId="7BA1A9E5" w14:textId="2E286E5C"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 xml:space="preserve">Total estimated profit: </w:t>
      </w:r>
      <w:r w:rsidRPr="555FA4E4">
        <w:rPr>
          <w:rFonts w:ascii="Times New Roman" w:eastAsia="Times New Roman" w:hAnsi="Times New Roman" w:cs="Times New Roman"/>
          <w:color w:val="000000" w:themeColor="text1"/>
          <w:lang w:val="en-GB"/>
        </w:rPr>
        <w:t>(325,000-208,000) =117000 pounds</w:t>
      </w:r>
    </w:p>
    <w:p w14:paraId="1A4210D9" w14:textId="1AF14C7B"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Regarding the cost estimation, the core factors include the booking cost of Savoy Hotel and gourmet dining expenditure. Live performers' costs including music and aerial art performers enhance the satisfaction level of guests and delegates including art enthusiasts, business leaders, corporate professionals, and other high-profile individuals. The overall estimated cost of the event will be 208,000 pounds. In the country, the revenue budget of the event showcases the involvement of ticket pricing, auction-based fundraising, sponsorship, and gourmet dining stall revenues among others, which have combined to 325,000 pounds. To this end, the Wonderland Gala event is found to create big profits for the firm leading to a more optimised event outcome at large. The profit is estimated to be 117,000 pounds which showcases the positive engagement of the guests and delegates to the event at large. </w:t>
      </w:r>
    </w:p>
    <w:p w14:paraId="62D8CE94" w14:textId="1DBA113B"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Industry Trends/Issues/Impacts</w:t>
      </w:r>
    </w:p>
    <w:p w14:paraId="7CBC12D4" w14:textId="69891747"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Regarding industry trends, the event management industry of the UK is critically following sustainability and eco-consciousness in primarily promoting environmental preservation. By showcasing the locally resourced gourmet cuisine and using biodegradable décor in the decoration of the winter-themed gala event, the event planner can showcase environmental alignment with the overall success and sustainability of the event (Exhibit Interactive, 2023). Apart from this, the trend of CSR and charitable or fundraising events like the Wonderland Gala is significant since it undertakes relevant social initiatives in positively impacting the overall well-being of people and the community. However, the issue of the cost-of-living crisis can also limit such events and people’s participation in them (</w:t>
      </w:r>
      <w:proofErr w:type="spellStart"/>
      <w:r w:rsidRPr="555FA4E4">
        <w:rPr>
          <w:rFonts w:ascii="Times New Roman" w:eastAsia="Times New Roman" w:hAnsi="Times New Roman" w:cs="Times New Roman"/>
          <w:color w:val="000000" w:themeColor="text1"/>
          <w:lang w:val="en-GB"/>
        </w:rPr>
        <w:t>Sportsmedia</w:t>
      </w:r>
      <w:proofErr w:type="spellEnd"/>
      <w:r w:rsidRPr="555FA4E4">
        <w:rPr>
          <w:rFonts w:ascii="Times New Roman" w:eastAsia="Times New Roman" w:hAnsi="Times New Roman" w:cs="Times New Roman"/>
          <w:color w:val="000000" w:themeColor="text1"/>
          <w:lang w:val="en-GB"/>
        </w:rPr>
        <w:t xml:space="preserve">, 2023). To this end, a tiring price policy can be impactful for targeting people across multiple communities without specifically focusing on the business leaders or investors to gain an </w:t>
      </w:r>
      <w:proofErr w:type="spellStart"/>
      <w:r w:rsidRPr="555FA4E4">
        <w:rPr>
          <w:rFonts w:ascii="Times New Roman" w:eastAsia="Times New Roman" w:hAnsi="Times New Roman" w:cs="Times New Roman"/>
          <w:color w:val="000000" w:themeColor="text1"/>
          <w:lang w:val="en-GB"/>
        </w:rPr>
        <w:t>optimized</w:t>
      </w:r>
      <w:proofErr w:type="spellEnd"/>
      <w:r w:rsidRPr="555FA4E4">
        <w:rPr>
          <w:rFonts w:ascii="Times New Roman" w:eastAsia="Times New Roman" w:hAnsi="Times New Roman" w:cs="Times New Roman"/>
          <w:color w:val="000000" w:themeColor="text1"/>
          <w:lang w:val="en-GB"/>
        </w:rPr>
        <w:t xml:space="preserve"> event outcome in the end. Therefore, this event is influenced by CSR and charitable or fundraising activities among all the others. </w:t>
      </w:r>
    </w:p>
    <w:p w14:paraId="0FFE24FB" w14:textId="08B48854"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Situational and Cultural Considerations</w:t>
      </w:r>
    </w:p>
    <w:p w14:paraId="67E68BE9" w14:textId="5A051074"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In the Winter-themed Wonderland gala event, a range of situational and cultural factors can impact its success and sustainability. The graduate event takes place at a fine dining restaurant that may be appropriate for such a ceremony. While at the same time being challenging in terms of delivery since most of the features such as catering by professional chefs, aerial and musical performances, are likely to command steep prices in line with the correspondingly upscale service rendered (LinkedIn, 2024). The venue enhances the event’s reputation, but it may challenge popular openness and may narrow the circle of viewers. Nevertheless, being a charity event and compliant with the CSR concept, the event gains a broader cultural appeal and an opportunity to bring global audience interest in the context of the improved community. However, economic conditions such as inflation and economic instability may reduce guest attendance which is a problem the extension has not solved completely (Scoop, 2024). The competition for niche or target market after construction may also be affected by similar parks across the UK.</w:t>
      </w:r>
    </w:p>
    <w:p w14:paraId="30A81F8A" w14:textId="02E083E6"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 </w:t>
      </w:r>
    </w:p>
    <w:p w14:paraId="57C62B36" w14:textId="74D91109"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Conclusion</w:t>
      </w:r>
    </w:p>
    <w:p w14:paraId="17132663" w14:textId="1EA85630"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This study aimed to deliver the impact of the event named Wonderland Gala event in the UK as a fundraising event for social welfare and harmony. Throughout this report, the core concept of the Event cycle with the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xml:space="preserve"> event management model has been discussed. Apart from this, by providing a thorough itinerary of this event, the event planner’s capability and KPIs have been understood. Further, this report has highlighted the issues and impacts of the current situational and cultural trends on the event’s successful delivery. Thus, this event can be a successful one in attracting and retaining guests along with gaining optimal profitability. </w:t>
      </w:r>
    </w:p>
    <w:p w14:paraId="06BBC78F" w14:textId="1D433897" w:rsidR="008D1D7D" w:rsidRDefault="008D1D7D" w:rsidP="555FA4E4">
      <w:pPr>
        <w:spacing w:after="0" w:line="276" w:lineRule="auto"/>
        <w:rPr>
          <w:rFonts w:ascii="Times New Roman" w:eastAsia="Times New Roman" w:hAnsi="Times New Roman" w:cs="Times New Roman"/>
          <w:color w:val="000000" w:themeColor="text1"/>
        </w:rPr>
      </w:pPr>
    </w:p>
    <w:p w14:paraId="752FE67F" w14:textId="1722F6F2"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References</w:t>
      </w:r>
    </w:p>
    <w:p w14:paraId="020B0859" w14:textId="5D036FB8"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Allen, J., Harris, R. and </w:t>
      </w:r>
      <w:proofErr w:type="spellStart"/>
      <w:r w:rsidRPr="555FA4E4">
        <w:rPr>
          <w:rFonts w:ascii="Times New Roman" w:eastAsia="Times New Roman" w:hAnsi="Times New Roman" w:cs="Times New Roman"/>
          <w:color w:val="000000" w:themeColor="text1"/>
          <w:lang w:val="en-GB"/>
        </w:rPr>
        <w:t>Jago</w:t>
      </w:r>
      <w:proofErr w:type="spellEnd"/>
      <w:r w:rsidRPr="555FA4E4">
        <w:rPr>
          <w:rFonts w:ascii="Times New Roman" w:eastAsia="Times New Roman" w:hAnsi="Times New Roman" w:cs="Times New Roman"/>
          <w:color w:val="000000" w:themeColor="text1"/>
          <w:lang w:val="en-GB"/>
        </w:rPr>
        <w:t>, L., 2022. </w:t>
      </w:r>
      <w:r w:rsidRPr="555FA4E4">
        <w:rPr>
          <w:rFonts w:ascii="Times New Roman" w:eastAsia="Times New Roman" w:hAnsi="Times New Roman" w:cs="Times New Roman"/>
          <w:i/>
          <w:iCs/>
          <w:color w:val="000000" w:themeColor="text1"/>
          <w:lang w:val="en-GB"/>
        </w:rPr>
        <w:t>Festival &amp; special event management</w:t>
      </w:r>
      <w:r w:rsidRPr="555FA4E4">
        <w:rPr>
          <w:rFonts w:ascii="Times New Roman" w:eastAsia="Times New Roman" w:hAnsi="Times New Roman" w:cs="Times New Roman"/>
          <w:color w:val="000000" w:themeColor="text1"/>
          <w:lang w:val="en-GB"/>
        </w:rPr>
        <w:t>. John Wiley &amp; Sons.</w:t>
      </w:r>
    </w:p>
    <w:p w14:paraId="5527EA16" w14:textId="7ECE5362"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Berridge</w:t>
      </w:r>
      <w:proofErr w:type="spellEnd"/>
      <w:r w:rsidRPr="555FA4E4">
        <w:rPr>
          <w:rFonts w:ascii="Times New Roman" w:eastAsia="Times New Roman" w:hAnsi="Times New Roman" w:cs="Times New Roman"/>
          <w:color w:val="000000" w:themeColor="text1"/>
          <w:lang w:val="en-GB"/>
        </w:rPr>
        <w:t>, G., 2020. Designing event experiences. In </w:t>
      </w:r>
      <w:r w:rsidRPr="555FA4E4">
        <w:rPr>
          <w:rFonts w:ascii="Times New Roman" w:eastAsia="Times New Roman" w:hAnsi="Times New Roman" w:cs="Times New Roman"/>
          <w:i/>
          <w:iCs/>
          <w:color w:val="000000" w:themeColor="text1"/>
          <w:lang w:val="en-GB"/>
        </w:rPr>
        <w:t xml:space="preserve">The </w:t>
      </w:r>
      <w:proofErr w:type="spellStart"/>
      <w:r w:rsidRPr="555FA4E4">
        <w:rPr>
          <w:rFonts w:ascii="Times New Roman" w:eastAsia="Times New Roman" w:hAnsi="Times New Roman" w:cs="Times New Roman"/>
          <w:i/>
          <w:iCs/>
          <w:color w:val="000000" w:themeColor="text1"/>
          <w:lang w:val="en-GB"/>
        </w:rPr>
        <w:t>Routledge</w:t>
      </w:r>
      <w:proofErr w:type="spellEnd"/>
      <w:r w:rsidRPr="555FA4E4">
        <w:rPr>
          <w:rFonts w:ascii="Times New Roman" w:eastAsia="Times New Roman" w:hAnsi="Times New Roman" w:cs="Times New Roman"/>
          <w:i/>
          <w:iCs/>
          <w:color w:val="000000" w:themeColor="text1"/>
          <w:lang w:val="en-GB"/>
        </w:rPr>
        <w:t xml:space="preserve"> Handbook of Events</w:t>
      </w:r>
      <w:r w:rsidRPr="555FA4E4">
        <w:rPr>
          <w:rFonts w:ascii="Times New Roman" w:eastAsia="Times New Roman" w:hAnsi="Times New Roman" w:cs="Times New Roman"/>
          <w:color w:val="000000" w:themeColor="text1"/>
          <w:lang w:val="en-GB"/>
        </w:rPr>
        <w:t xml:space="preserve"> (pp. 378-395). </w:t>
      </w:r>
      <w:proofErr w:type="spellStart"/>
      <w:r w:rsidRPr="555FA4E4">
        <w:rPr>
          <w:rFonts w:ascii="Times New Roman" w:eastAsia="Times New Roman" w:hAnsi="Times New Roman" w:cs="Times New Roman"/>
          <w:color w:val="000000" w:themeColor="text1"/>
          <w:lang w:val="en-GB"/>
        </w:rPr>
        <w:t>Routledge</w:t>
      </w:r>
      <w:proofErr w:type="spellEnd"/>
      <w:r w:rsidRPr="555FA4E4">
        <w:rPr>
          <w:rFonts w:ascii="Times New Roman" w:eastAsia="Times New Roman" w:hAnsi="Times New Roman" w:cs="Times New Roman"/>
          <w:color w:val="000000" w:themeColor="text1"/>
          <w:lang w:val="en-GB"/>
        </w:rPr>
        <w:t>.</w:t>
      </w:r>
    </w:p>
    <w:p w14:paraId="70CD2C04" w14:textId="2042C44F"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Betterworld.org, 2024. </w:t>
      </w:r>
      <w:r w:rsidRPr="555FA4E4">
        <w:rPr>
          <w:rFonts w:ascii="Times New Roman" w:eastAsia="Times New Roman" w:hAnsi="Times New Roman" w:cs="Times New Roman"/>
          <w:i/>
          <w:iCs/>
          <w:color w:val="000000" w:themeColor="text1"/>
          <w:lang w:val="en-GB"/>
        </w:rPr>
        <w:t>Behind the Scenes: Planning and Executing a Gala Event</w:t>
      </w:r>
      <w:r w:rsidRPr="555FA4E4">
        <w:rPr>
          <w:rFonts w:ascii="Times New Roman" w:eastAsia="Times New Roman" w:hAnsi="Times New Roman" w:cs="Times New Roman"/>
          <w:color w:val="000000" w:themeColor="text1"/>
          <w:lang w:val="en-GB"/>
        </w:rPr>
        <w:t xml:space="preserve">. Available at: </w:t>
      </w:r>
      <w:hyperlink r:id="rId5">
        <w:r w:rsidRPr="555FA4E4">
          <w:rPr>
            <w:rStyle w:val="Hyperlink"/>
            <w:rFonts w:ascii="Times New Roman" w:eastAsia="Times New Roman" w:hAnsi="Times New Roman" w:cs="Times New Roman"/>
            <w:lang w:val="en-GB"/>
          </w:rPr>
          <w:t>https://betterworld.org/blog/events/behind-the-scenes-planning-and-executing-a-gala-event/</w:t>
        </w:r>
      </w:hyperlink>
      <w:r w:rsidRPr="555FA4E4">
        <w:rPr>
          <w:rFonts w:ascii="Times New Roman" w:eastAsia="Times New Roman" w:hAnsi="Times New Roman" w:cs="Times New Roman"/>
          <w:color w:val="000000" w:themeColor="text1"/>
          <w:lang w:val="en-GB"/>
        </w:rPr>
        <w:t xml:space="preserve"> [Accessed on: 3 October 2024].</w:t>
      </w:r>
    </w:p>
    <w:p w14:paraId="71149242" w14:textId="3721266C"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Business Events Geelong, 2024. </w:t>
      </w:r>
      <w:r w:rsidRPr="555FA4E4">
        <w:rPr>
          <w:rFonts w:ascii="Times New Roman" w:eastAsia="Times New Roman" w:hAnsi="Times New Roman" w:cs="Times New Roman"/>
          <w:i/>
          <w:iCs/>
          <w:color w:val="000000" w:themeColor="text1"/>
          <w:lang w:val="en-GB"/>
        </w:rPr>
        <w:t>4 Reasons Why Winter is a Great Time to Plan an Event</w:t>
      </w:r>
      <w:r w:rsidRPr="555FA4E4">
        <w:rPr>
          <w:rFonts w:ascii="Times New Roman" w:eastAsia="Times New Roman" w:hAnsi="Times New Roman" w:cs="Times New Roman"/>
          <w:color w:val="000000" w:themeColor="text1"/>
          <w:lang w:val="en-GB"/>
        </w:rPr>
        <w:t xml:space="preserve">. Available at: </w:t>
      </w:r>
      <w:hyperlink r:id="rId6">
        <w:r w:rsidRPr="555FA4E4">
          <w:rPr>
            <w:rStyle w:val="Hyperlink"/>
            <w:rFonts w:ascii="Times New Roman" w:eastAsia="Times New Roman" w:hAnsi="Times New Roman" w:cs="Times New Roman"/>
            <w:lang w:val="en-GB"/>
          </w:rPr>
          <w:t>https://www.businesseventsgeelong.com.au/be-inspired/4-reasons-why-winter-is-a-great-time-to-plan-an-event/</w:t>
        </w:r>
      </w:hyperlink>
      <w:r w:rsidRPr="555FA4E4">
        <w:rPr>
          <w:rFonts w:ascii="Times New Roman" w:eastAsia="Times New Roman" w:hAnsi="Times New Roman" w:cs="Times New Roman"/>
          <w:color w:val="000000" w:themeColor="text1"/>
          <w:lang w:val="en-GB"/>
        </w:rPr>
        <w:t xml:space="preserve"> [Accessed on: 3 October 2024].</w:t>
      </w:r>
    </w:p>
    <w:p w14:paraId="438CACD7" w14:textId="6212959E"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De Luca, F., </w:t>
      </w:r>
      <w:proofErr w:type="spellStart"/>
      <w:r w:rsidRPr="555FA4E4">
        <w:rPr>
          <w:rFonts w:ascii="Times New Roman" w:eastAsia="Times New Roman" w:hAnsi="Times New Roman" w:cs="Times New Roman"/>
          <w:color w:val="000000" w:themeColor="text1"/>
          <w:lang w:val="en-GB"/>
        </w:rPr>
        <w:t>Iaia</w:t>
      </w:r>
      <w:proofErr w:type="spellEnd"/>
      <w:r w:rsidRPr="555FA4E4">
        <w:rPr>
          <w:rFonts w:ascii="Times New Roman" w:eastAsia="Times New Roman" w:hAnsi="Times New Roman" w:cs="Times New Roman"/>
          <w:color w:val="000000" w:themeColor="text1"/>
          <w:lang w:val="en-GB"/>
        </w:rPr>
        <w:t xml:space="preserve">, L., </w:t>
      </w:r>
      <w:proofErr w:type="spellStart"/>
      <w:r w:rsidRPr="555FA4E4">
        <w:rPr>
          <w:rFonts w:ascii="Times New Roman" w:eastAsia="Times New Roman" w:hAnsi="Times New Roman" w:cs="Times New Roman"/>
          <w:color w:val="000000" w:themeColor="text1"/>
          <w:lang w:val="en-GB"/>
        </w:rPr>
        <w:t>Mehmood</w:t>
      </w:r>
      <w:proofErr w:type="spellEnd"/>
      <w:r w:rsidRPr="555FA4E4">
        <w:rPr>
          <w:rFonts w:ascii="Times New Roman" w:eastAsia="Times New Roman" w:hAnsi="Times New Roman" w:cs="Times New Roman"/>
          <w:color w:val="000000" w:themeColor="text1"/>
          <w:lang w:val="en-GB"/>
        </w:rPr>
        <w:t xml:space="preserve">, A. and </w:t>
      </w:r>
      <w:proofErr w:type="spellStart"/>
      <w:r w:rsidRPr="555FA4E4">
        <w:rPr>
          <w:rFonts w:ascii="Times New Roman" w:eastAsia="Times New Roman" w:hAnsi="Times New Roman" w:cs="Times New Roman"/>
          <w:color w:val="000000" w:themeColor="text1"/>
          <w:lang w:val="en-GB"/>
        </w:rPr>
        <w:t>Vrontis</w:t>
      </w:r>
      <w:proofErr w:type="spellEnd"/>
      <w:r w:rsidRPr="555FA4E4">
        <w:rPr>
          <w:rFonts w:ascii="Times New Roman" w:eastAsia="Times New Roman" w:hAnsi="Times New Roman" w:cs="Times New Roman"/>
          <w:color w:val="000000" w:themeColor="text1"/>
          <w:lang w:val="en-GB"/>
        </w:rPr>
        <w:t>, D., 2022. Can social media improve stakeholder engagement and communication of Sustainable Development Goals? A cross-country analysis. </w:t>
      </w:r>
      <w:r w:rsidRPr="555FA4E4">
        <w:rPr>
          <w:rFonts w:ascii="Times New Roman" w:eastAsia="Times New Roman" w:hAnsi="Times New Roman" w:cs="Times New Roman"/>
          <w:i/>
          <w:iCs/>
          <w:color w:val="000000" w:themeColor="text1"/>
          <w:lang w:val="en-GB"/>
        </w:rPr>
        <w:t>Technological forecasting and social change</w:t>
      </w:r>
      <w:r w:rsidRPr="555FA4E4">
        <w:rPr>
          <w:rFonts w:ascii="Times New Roman" w:eastAsia="Times New Roman" w:hAnsi="Times New Roman" w:cs="Times New Roman"/>
          <w:color w:val="000000" w:themeColor="text1"/>
          <w:lang w:val="en-GB"/>
        </w:rPr>
        <w:t>, </w:t>
      </w:r>
      <w:r w:rsidRPr="555FA4E4">
        <w:rPr>
          <w:rFonts w:ascii="Times New Roman" w:eastAsia="Times New Roman" w:hAnsi="Times New Roman" w:cs="Times New Roman"/>
          <w:i/>
          <w:iCs/>
          <w:color w:val="000000" w:themeColor="text1"/>
          <w:lang w:val="en-GB"/>
        </w:rPr>
        <w:t>177</w:t>
      </w:r>
      <w:r w:rsidRPr="555FA4E4">
        <w:rPr>
          <w:rFonts w:ascii="Times New Roman" w:eastAsia="Times New Roman" w:hAnsi="Times New Roman" w:cs="Times New Roman"/>
          <w:color w:val="000000" w:themeColor="text1"/>
          <w:lang w:val="en-GB"/>
        </w:rPr>
        <w:t>, p.121525.</w:t>
      </w:r>
    </w:p>
    <w:p w14:paraId="3D7F693D" w14:textId="53481306"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Elahi</w:t>
      </w:r>
      <w:proofErr w:type="spellEnd"/>
      <w:r w:rsidRPr="555FA4E4">
        <w:rPr>
          <w:rFonts w:ascii="Times New Roman" w:eastAsia="Times New Roman" w:hAnsi="Times New Roman" w:cs="Times New Roman"/>
          <w:color w:val="000000" w:themeColor="text1"/>
          <w:lang w:val="en-GB"/>
        </w:rPr>
        <w:t xml:space="preserve">, E., Khalid, Z., </w:t>
      </w:r>
      <w:proofErr w:type="spellStart"/>
      <w:r w:rsidRPr="555FA4E4">
        <w:rPr>
          <w:rFonts w:ascii="Times New Roman" w:eastAsia="Times New Roman" w:hAnsi="Times New Roman" w:cs="Times New Roman"/>
          <w:color w:val="000000" w:themeColor="text1"/>
          <w:lang w:val="en-GB"/>
        </w:rPr>
        <w:t>Tauni</w:t>
      </w:r>
      <w:proofErr w:type="spellEnd"/>
      <w:r w:rsidRPr="555FA4E4">
        <w:rPr>
          <w:rFonts w:ascii="Times New Roman" w:eastAsia="Times New Roman" w:hAnsi="Times New Roman" w:cs="Times New Roman"/>
          <w:color w:val="000000" w:themeColor="text1"/>
          <w:lang w:val="en-GB"/>
        </w:rPr>
        <w:t xml:space="preserve">, M.Z., Zhang, H. and </w:t>
      </w:r>
      <w:proofErr w:type="spellStart"/>
      <w:r w:rsidRPr="555FA4E4">
        <w:rPr>
          <w:rFonts w:ascii="Times New Roman" w:eastAsia="Times New Roman" w:hAnsi="Times New Roman" w:cs="Times New Roman"/>
          <w:color w:val="000000" w:themeColor="text1"/>
          <w:lang w:val="en-GB"/>
        </w:rPr>
        <w:t>Lirong</w:t>
      </w:r>
      <w:proofErr w:type="spellEnd"/>
      <w:r w:rsidRPr="555FA4E4">
        <w:rPr>
          <w:rFonts w:ascii="Times New Roman" w:eastAsia="Times New Roman" w:hAnsi="Times New Roman" w:cs="Times New Roman"/>
          <w:color w:val="000000" w:themeColor="text1"/>
          <w:lang w:val="en-GB"/>
        </w:rPr>
        <w:t>, X., 2022. Extreme weather events risk to crop-production and the adaptation of innovative management strategies to mitigate the risk: A retrospective survey of rural Punjab, Pakistan. </w:t>
      </w:r>
      <w:proofErr w:type="spellStart"/>
      <w:r w:rsidRPr="555FA4E4">
        <w:rPr>
          <w:rFonts w:ascii="Times New Roman" w:eastAsia="Times New Roman" w:hAnsi="Times New Roman" w:cs="Times New Roman"/>
          <w:i/>
          <w:iCs/>
          <w:color w:val="000000" w:themeColor="text1"/>
          <w:lang w:val="en-GB"/>
        </w:rPr>
        <w:t>Technovation</w:t>
      </w:r>
      <w:proofErr w:type="spellEnd"/>
      <w:r w:rsidRPr="555FA4E4">
        <w:rPr>
          <w:rFonts w:ascii="Times New Roman" w:eastAsia="Times New Roman" w:hAnsi="Times New Roman" w:cs="Times New Roman"/>
          <w:color w:val="000000" w:themeColor="text1"/>
          <w:lang w:val="en-GB"/>
        </w:rPr>
        <w:t>, </w:t>
      </w:r>
      <w:r w:rsidRPr="555FA4E4">
        <w:rPr>
          <w:rFonts w:ascii="Times New Roman" w:eastAsia="Times New Roman" w:hAnsi="Times New Roman" w:cs="Times New Roman"/>
          <w:i/>
          <w:iCs/>
          <w:color w:val="000000" w:themeColor="text1"/>
          <w:lang w:val="en-GB"/>
        </w:rPr>
        <w:t>117</w:t>
      </w:r>
      <w:r w:rsidRPr="555FA4E4">
        <w:rPr>
          <w:rFonts w:ascii="Times New Roman" w:eastAsia="Times New Roman" w:hAnsi="Times New Roman" w:cs="Times New Roman"/>
          <w:color w:val="000000" w:themeColor="text1"/>
          <w:lang w:val="en-GB"/>
        </w:rPr>
        <w:t>, p.102255.</w:t>
      </w:r>
    </w:p>
    <w:p w14:paraId="4CB9EDC6" w14:textId="44465749"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Exhibit Interactive, 2023. </w:t>
      </w:r>
      <w:r w:rsidRPr="555FA4E4">
        <w:rPr>
          <w:rFonts w:ascii="Times New Roman" w:eastAsia="Times New Roman" w:hAnsi="Times New Roman" w:cs="Times New Roman"/>
          <w:i/>
          <w:iCs/>
          <w:color w:val="000000" w:themeColor="text1"/>
          <w:lang w:val="en-GB"/>
        </w:rPr>
        <w:t>The importance of sustainability at events</w:t>
      </w:r>
      <w:r w:rsidRPr="555FA4E4">
        <w:rPr>
          <w:rFonts w:ascii="Times New Roman" w:eastAsia="Times New Roman" w:hAnsi="Times New Roman" w:cs="Times New Roman"/>
          <w:color w:val="000000" w:themeColor="text1"/>
          <w:lang w:val="en-GB"/>
        </w:rPr>
        <w:t xml:space="preserve">. Available at: </w:t>
      </w:r>
      <w:hyperlink r:id="rId7">
        <w:r w:rsidRPr="555FA4E4">
          <w:rPr>
            <w:rStyle w:val="Hyperlink"/>
            <w:rFonts w:ascii="Times New Roman" w:eastAsia="Times New Roman" w:hAnsi="Times New Roman" w:cs="Times New Roman"/>
            <w:lang w:val="en-GB"/>
          </w:rPr>
          <w:t>https://www.exhibitinteractive.co.uk/the-importance-of-sustainability-at-events/</w:t>
        </w:r>
      </w:hyperlink>
      <w:r w:rsidRPr="555FA4E4">
        <w:rPr>
          <w:rFonts w:ascii="Times New Roman" w:eastAsia="Times New Roman" w:hAnsi="Times New Roman" w:cs="Times New Roman"/>
          <w:color w:val="000000" w:themeColor="text1"/>
          <w:lang w:val="en-GB"/>
        </w:rPr>
        <w:t xml:space="preserve"> [Accessed on: 3 October 2024].</w:t>
      </w:r>
    </w:p>
    <w:p w14:paraId="429C77A0" w14:textId="3F1D19DA"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Hoang</w:t>
      </w:r>
      <w:proofErr w:type="spellEnd"/>
      <w:r w:rsidRPr="555FA4E4">
        <w:rPr>
          <w:rFonts w:ascii="Times New Roman" w:eastAsia="Times New Roman" w:hAnsi="Times New Roman" w:cs="Times New Roman"/>
          <w:color w:val="000000" w:themeColor="text1"/>
          <w:lang w:val="en-GB"/>
        </w:rPr>
        <w:t xml:space="preserve">, A.T., </w:t>
      </w:r>
      <w:proofErr w:type="spellStart"/>
      <w:r w:rsidRPr="555FA4E4">
        <w:rPr>
          <w:rFonts w:ascii="Times New Roman" w:eastAsia="Times New Roman" w:hAnsi="Times New Roman" w:cs="Times New Roman"/>
          <w:color w:val="000000" w:themeColor="text1"/>
          <w:lang w:val="en-GB"/>
        </w:rPr>
        <w:t>Varbanov</w:t>
      </w:r>
      <w:proofErr w:type="spellEnd"/>
      <w:r w:rsidRPr="555FA4E4">
        <w:rPr>
          <w:rFonts w:ascii="Times New Roman" w:eastAsia="Times New Roman" w:hAnsi="Times New Roman" w:cs="Times New Roman"/>
          <w:color w:val="000000" w:themeColor="text1"/>
          <w:lang w:val="en-GB"/>
        </w:rPr>
        <w:t xml:space="preserve">, P.S., </w:t>
      </w:r>
      <w:proofErr w:type="spellStart"/>
      <w:r w:rsidRPr="555FA4E4">
        <w:rPr>
          <w:rFonts w:ascii="Times New Roman" w:eastAsia="Times New Roman" w:hAnsi="Times New Roman" w:cs="Times New Roman"/>
          <w:color w:val="000000" w:themeColor="text1"/>
          <w:lang w:val="en-GB"/>
        </w:rPr>
        <w:t>Nižetić</w:t>
      </w:r>
      <w:proofErr w:type="spellEnd"/>
      <w:r w:rsidRPr="555FA4E4">
        <w:rPr>
          <w:rFonts w:ascii="Times New Roman" w:eastAsia="Times New Roman" w:hAnsi="Times New Roman" w:cs="Times New Roman"/>
          <w:color w:val="000000" w:themeColor="text1"/>
          <w:lang w:val="en-GB"/>
        </w:rPr>
        <w:t xml:space="preserve">, S., </w:t>
      </w:r>
      <w:proofErr w:type="spellStart"/>
      <w:r w:rsidRPr="555FA4E4">
        <w:rPr>
          <w:rFonts w:ascii="Times New Roman" w:eastAsia="Times New Roman" w:hAnsi="Times New Roman" w:cs="Times New Roman"/>
          <w:color w:val="000000" w:themeColor="text1"/>
          <w:lang w:val="en-GB"/>
        </w:rPr>
        <w:t>Sirohi</w:t>
      </w:r>
      <w:proofErr w:type="spellEnd"/>
      <w:r w:rsidRPr="555FA4E4">
        <w:rPr>
          <w:rFonts w:ascii="Times New Roman" w:eastAsia="Times New Roman" w:hAnsi="Times New Roman" w:cs="Times New Roman"/>
          <w:color w:val="000000" w:themeColor="text1"/>
          <w:lang w:val="en-GB"/>
        </w:rPr>
        <w:t xml:space="preserve">, R., </w:t>
      </w:r>
      <w:proofErr w:type="spellStart"/>
      <w:r w:rsidRPr="555FA4E4">
        <w:rPr>
          <w:rFonts w:ascii="Times New Roman" w:eastAsia="Times New Roman" w:hAnsi="Times New Roman" w:cs="Times New Roman"/>
          <w:color w:val="000000" w:themeColor="text1"/>
          <w:lang w:val="en-GB"/>
        </w:rPr>
        <w:t>Pandey</w:t>
      </w:r>
      <w:proofErr w:type="spellEnd"/>
      <w:r w:rsidRPr="555FA4E4">
        <w:rPr>
          <w:rFonts w:ascii="Times New Roman" w:eastAsia="Times New Roman" w:hAnsi="Times New Roman" w:cs="Times New Roman"/>
          <w:color w:val="000000" w:themeColor="text1"/>
          <w:lang w:val="en-GB"/>
        </w:rPr>
        <w:t>, A., Luque, R. and Ng, K.H., 2022. Perspective review on Municipal Solid Waste-to-energy route: Characteristics, management strategy, and role in circular economy. </w:t>
      </w:r>
      <w:r w:rsidRPr="555FA4E4">
        <w:rPr>
          <w:rFonts w:ascii="Times New Roman" w:eastAsia="Times New Roman" w:hAnsi="Times New Roman" w:cs="Times New Roman"/>
          <w:i/>
          <w:iCs/>
          <w:color w:val="000000" w:themeColor="text1"/>
          <w:lang w:val="en-GB"/>
        </w:rPr>
        <w:t>Journal of cleaner production</w:t>
      </w:r>
      <w:r w:rsidRPr="555FA4E4">
        <w:rPr>
          <w:rFonts w:ascii="Times New Roman" w:eastAsia="Times New Roman" w:hAnsi="Times New Roman" w:cs="Times New Roman"/>
          <w:color w:val="000000" w:themeColor="text1"/>
          <w:lang w:val="en-GB"/>
        </w:rPr>
        <w:t>, </w:t>
      </w:r>
      <w:r w:rsidRPr="555FA4E4">
        <w:rPr>
          <w:rFonts w:ascii="Times New Roman" w:eastAsia="Times New Roman" w:hAnsi="Times New Roman" w:cs="Times New Roman"/>
          <w:i/>
          <w:iCs/>
          <w:color w:val="000000" w:themeColor="text1"/>
          <w:lang w:val="en-GB"/>
        </w:rPr>
        <w:t>359</w:t>
      </w:r>
      <w:r w:rsidRPr="555FA4E4">
        <w:rPr>
          <w:rFonts w:ascii="Times New Roman" w:eastAsia="Times New Roman" w:hAnsi="Times New Roman" w:cs="Times New Roman"/>
          <w:color w:val="000000" w:themeColor="text1"/>
          <w:lang w:val="en-GB"/>
        </w:rPr>
        <w:t>, p.131897.</w:t>
      </w:r>
    </w:p>
    <w:p w14:paraId="5E294FF3" w14:textId="5BB12779"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Lee, S. and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J., 2020. </w:t>
      </w:r>
      <w:r w:rsidRPr="555FA4E4">
        <w:rPr>
          <w:rFonts w:ascii="Times New Roman" w:eastAsia="Times New Roman" w:hAnsi="Times New Roman" w:cs="Times New Roman"/>
          <w:i/>
          <w:iCs/>
          <w:color w:val="000000" w:themeColor="text1"/>
          <w:lang w:val="en-GB"/>
        </w:rPr>
        <w:t>Special events: The brave new world for bolder and better live events</w:t>
      </w:r>
      <w:r w:rsidRPr="555FA4E4">
        <w:rPr>
          <w:rFonts w:ascii="Times New Roman" w:eastAsia="Times New Roman" w:hAnsi="Times New Roman" w:cs="Times New Roman"/>
          <w:color w:val="000000" w:themeColor="text1"/>
          <w:lang w:val="en-GB"/>
        </w:rPr>
        <w:t>. John Wiley &amp; Sons.</w:t>
      </w:r>
    </w:p>
    <w:p w14:paraId="6291F290" w14:textId="3227364E"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LinkedIn, 2024. </w:t>
      </w:r>
      <w:r w:rsidRPr="555FA4E4">
        <w:rPr>
          <w:rFonts w:ascii="Times New Roman" w:eastAsia="Times New Roman" w:hAnsi="Times New Roman" w:cs="Times New Roman"/>
          <w:i/>
          <w:iCs/>
          <w:color w:val="000000" w:themeColor="text1"/>
          <w:lang w:val="en-GB"/>
        </w:rPr>
        <w:t>Elevating Your CSR Efforts: A Unique Fundraising Event</w:t>
      </w:r>
      <w:r w:rsidRPr="555FA4E4">
        <w:rPr>
          <w:rFonts w:ascii="Times New Roman" w:eastAsia="Times New Roman" w:hAnsi="Times New Roman" w:cs="Times New Roman"/>
          <w:color w:val="000000" w:themeColor="text1"/>
          <w:lang w:val="en-GB"/>
        </w:rPr>
        <w:t xml:space="preserve">. Available at: </w:t>
      </w:r>
      <w:hyperlink r:id="rId8">
        <w:r w:rsidRPr="555FA4E4">
          <w:rPr>
            <w:rStyle w:val="Hyperlink"/>
            <w:rFonts w:ascii="Times New Roman" w:eastAsia="Times New Roman" w:hAnsi="Times New Roman" w:cs="Times New Roman"/>
            <w:lang w:val="en-GB"/>
          </w:rPr>
          <w:t>https://www.linkedin.com/pulse/elevating-your-csr-efforts-unique-fundraising-0eksc</w:t>
        </w:r>
      </w:hyperlink>
      <w:r w:rsidRPr="555FA4E4">
        <w:rPr>
          <w:rFonts w:ascii="Times New Roman" w:eastAsia="Times New Roman" w:hAnsi="Times New Roman" w:cs="Times New Roman"/>
          <w:color w:val="000000" w:themeColor="text1"/>
          <w:lang w:val="en-GB"/>
        </w:rPr>
        <w:t xml:space="preserve"> [Accessed on: 3 October 2024].</w:t>
      </w:r>
    </w:p>
    <w:p w14:paraId="7C158D0F" w14:textId="4AA02287"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LinkedIn, 2024. </w:t>
      </w:r>
      <w:r w:rsidRPr="555FA4E4">
        <w:rPr>
          <w:rFonts w:ascii="Times New Roman" w:eastAsia="Times New Roman" w:hAnsi="Times New Roman" w:cs="Times New Roman"/>
          <w:i/>
          <w:iCs/>
          <w:color w:val="000000" w:themeColor="text1"/>
          <w:lang w:val="en-GB"/>
        </w:rPr>
        <w:t>Enhancing Event Experiences: The Role of Visitor Management Systems</w:t>
      </w:r>
      <w:r w:rsidRPr="555FA4E4">
        <w:rPr>
          <w:rFonts w:ascii="Times New Roman" w:eastAsia="Times New Roman" w:hAnsi="Times New Roman" w:cs="Times New Roman"/>
          <w:color w:val="000000" w:themeColor="text1"/>
          <w:lang w:val="en-GB"/>
        </w:rPr>
        <w:t xml:space="preserve">. Available at: </w:t>
      </w:r>
      <w:hyperlink r:id="rId9">
        <w:r w:rsidRPr="555FA4E4">
          <w:rPr>
            <w:rStyle w:val="Hyperlink"/>
            <w:rFonts w:ascii="Times New Roman" w:eastAsia="Times New Roman" w:hAnsi="Times New Roman" w:cs="Times New Roman"/>
            <w:lang w:val="en-GB"/>
          </w:rPr>
          <w:t>https://www.linkedin.com/pulse/enhancing-event-experiences-role-visitor-management-catliff-mih-apw2f?trk=organization_guest_main-feed-card_feed-article-content</w:t>
        </w:r>
      </w:hyperlink>
      <w:r w:rsidRPr="555FA4E4">
        <w:rPr>
          <w:rFonts w:ascii="Times New Roman" w:eastAsia="Times New Roman" w:hAnsi="Times New Roman" w:cs="Times New Roman"/>
          <w:color w:val="000000" w:themeColor="text1"/>
          <w:lang w:val="en-GB"/>
        </w:rPr>
        <w:t xml:space="preserve"> [Accessed on: 3 October 2024].</w:t>
      </w:r>
    </w:p>
    <w:p w14:paraId="01A8127B" w14:textId="581D0C8B"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Radoglou-Grammatikis</w:t>
      </w:r>
      <w:proofErr w:type="spellEnd"/>
      <w:r w:rsidRPr="555FA4E4">
        <w:rPr>
          <w:rFonts w:ascii="Times New Roman" w:eastAsia="Times New Roman" w:hAnsi="Times New Roman" w:cs="Times New Roman"/>
          <w:color w:val="000000" w:themeColor="text1"/>
          <w:lang w:val="en-GB"/>
        </w:rPr>
        <w:t xml:space="preserve">, P., </w:t>
      </w:r>
      <w:proofErr w:type="spellStart"/>
      <w:r w:rsidRPr="555FA4E4">
        <w:rPr>
          <w:rFonts w:ascii="Times New Roman" w:eastAsia="Times New Roman" w:hAnsi="Times New Roman" w:cs="Times New Roman"/>
          <w:color w:val="000000" w:themeColor="text1"/>
          <w:lang w:val="en-GB"/>
        </w:rPr>
        <w:t>Sarigiannidis</w:t>
      </w:r>
      <w:proofErr w:type="spellEnd"/>
      <w:r w:rsidRPr="555FA4E4">
        <w:rPr>
          <w:rFonts w:ascii="Times New Roman" w:eastAsia="Times New Roman" w:hAnsi="Times New Roman" w:cs="Times New Roman"/>
          <w:color w:val="000000" w:themeColor="text1"/>
          <w:lang w:val="en-GB"/>
        </w:rPr>
        <w:t xml:space="preserve">, P., </w:t>
      </w:r>
      <w:proofErr w:type="spellStart"/>
      <w:r w:rsidRPr="555FA4E4">
        <w:rPr>
          <w:rFonts w:ascii="Times New Roman" w:eastAsia="Times New Roman" w:hAnsi="Times New Roman" w:cs="Times New Roman"/>
          <w:color w:val="000000" w:themeColor="text1"/>
          <w:lang w:val="en-GB"/>
        </w:rPr>
        <w:t>Iturbe</w:t>
      </w:r>
      <w:proofErr w:type="spellEnd"/>
      <w:r w:rsidRPr="555FA4E4">
        <w:rPr>
          <w:rFonts w:ascii="Times New Roman" w:eastAsia="Times New Roman" w:hAnsi="Times New Roman" w:cs="Times New Roman"/>
          <w:color w:val="000000" w:themeColor="text1"/>
          <w:lang w:val="en-GB"/>
        </w:rPr>
        <w:t xml:space="preserve">, E., Rios, E., Martinez, S., </w:t>
      </w:r>
      <w:proofErr w:type="spellStart"/>
      <w:r w:rsidRPr="555FA4E4">
        <w:rPr>
          <w:rFonts w:ascii="Times New Roman" w:eastAsia="Times New Roman" w:hAnsi="Times New Roman" w:cs="Times New Roman"/>
          <w:color w:val="000000" w:themeColor="text1"/>
          <w:lang w:val="en-GB"/>
        </w:rPr>
        <w:t>Sarigiannidis</w:t>
      </w:r>
      <w:proofErr w:type="spellEnd"/>
      <w:r w:rsidRPr="555FA4E4">
        <w:rPr>
          <w:rFonts w:ascii="Times New Roman" w:eastAsia="Times New Roman" w:hAnsi="Times New Roman" w:cs="Times New Roman"/>
          <w:color w:val="000000" w:themeColor="text1"/>
          <w:lang w:val="en-GB"/>
        </w:rPr>
        <w:t xml:space="preserve">, A., </w:t>
      </w:r>
      <w:proofErr w:type="spellStart"/>
      <w:r w:rsidRPr="555FA4E4">
        <w:rPr>
          <w:rFonts w:ascii="Times New Roman" w:eastAsia="Times New Roman" w:hAnsi="Times New Roman" w:cs="Times New Roman"/>
          <w:color w:val="000000" w:themeColor="text1"/>
          <w:lang w:val="en-GB"/>
        </w:rPr>
        <w:t>Eftathopoulos</w:t>
      </w:r>
      <w:proofErr w:type="spellEnd"/>
      <w:r w:rsidRPr="555FA4E4">
        <w:rPr>
          <w:rFonts w:ascii="Times New Roman" w:eastAsia="Times New Roman" w:hAnsi="Times New Roman" w:cs="Times New Roman"/>
          <w:color w:val="000000" w:themeColor="text1"/>
          <w:lang w:val="en-GB"/>
        </w:rPr>
        <w:t xml:space="preserve">, G., </w:t>
      </w:r>
      <w:proofErr w:type="spellStart"/>
      <w:r w:rsidRPr="555FA4E4">
        <w:rPr>
          <w:rFonts w:ascii="Times New Roman" w:eastAsia="Times New Roman" w:hAnsi="Times New Roman" w:cs="Times New Roman"/>
          <w:color w:val="000000" w:themeColor="text1"/>
          <w:lang w:val="en-GB"/>
        </w:rPr>
        <w:t>Spyridis</w:t>
      </w:r>
      <w:proofErr w:type="spellEnd"/>
      <w:r w:rsidRPr="555FA4E4">
        <w:rPr>
          <w:rFonts w:ascii="Times New Roman" w:eastAsia="Times New Roman" w:hAnsi="Times New Roman" w:cs="Times New Roman"/>
          <w:color w:val="000000" w:themeColor="text1"/>
          <w:lang w:val="en-GB"/>
        </w:rPr>
        <w:t xml:space="preserve">, Y., </w:t>
      </w:r>
      <w:proofErr w:type="spellStart"/>
      <w:r w:rsidRPr="555FA4E4">
        <w:rPr>
          <w:rFonts w:ascii="Times New Roman" w:eastAsia="Times New Roman" w:hAnsi="Times New Roman" w:cs="Times New Roman"/>
          <w:color w:val="000000" w:themeColor="text1"/>
          <w:lang w:val="en-GB"/>
        </w:rPr>
        <w:t>Sesis</w:t>
      </w:r>
      <w:proofErr w:type="spellEnd"/>
      <w:r w:rsidRPr="555FA4E4">
        <w:rPr>
          <w:rFonts w:ascii="Times New Roman" w:eastAsia="Times New Roman" w:hAnsi="Times New Roman" w:cs="Times New Roman"/>
          <w:color w:val="000000" w:themeColor="text1"/>
          <w:lang w:val="en-GB"/>
        </w:rPr>
        <w:t xml:space="preserve">, A., </w:t>
      </w:r>
      <w:proofErr w:type="spellStart"/>
      <w:r w:rsidRPr="555FA4E4">
        <w:rPr>
          <w:rFonts w:ascii="Times New Roman" w:eastAsia="Times New Roman" w:hAnsi="Times New Roman" w:cs="Times New Roman"/>
          <w:color w:val="000000" w:themeColor="text1"/>
          <w:lang w:val="en-GB"/>
        </w:rPr>
        <w:t>Vakakis</w:t>
      </w:r>
      <w:proofErr w:type="spellEnd"/>
      <w:r w:rsidRPr="555FA4E4">
        <w:rPr>
          <w:rFonts w:ascii="Times New Roman" w:eastAsia="Times New Roman" w:hAnsi="Times New Roman" w:cs="Times New Roman"/>
          <w:color w:val="000000" w:themeColor="text1"/>
          <w:lang w:val="en-GB"/>
        </w:rPr>
        <w:t xml:space="preserve">, N. and </w:t>
      </w:r>
      <w:proofErr w:type="spellStart"/>
      <w:r w:rsidRPr="555FA4E4">
        <w:rPr>
          <w:rFonts w:ascii="Times New Roman" w:eastAsia="Times New Roman" w:hAnsi="Times New Roman" w:cs="Times New Roman"/>
          <w:color w:val="000000" w:themeColor="text1"/>
          <w:lang w:val="en-GB"/>
        </w:rPr>
        <w:t>Tzovaras</w:t>
      </w:r>
      <w:proofErr w:type="spellEnd"/>
      <w:r w:rsidRPr="555FA4E4">
        <w:rPr>
          <w:rFonts w:ascii="Times New Roman" w:eastAsia="Times New Roman" w:hAnsi="Times New Roman" w:cs="Times New Roman"/>
          <w:color w:val="000000" w:themeColor="text1"/>
          <w:lang w:val="en-GB"/>
        </w:rPr>
        <w:t xml:space="preserve">, D., 2021. Spear </w:t>
      </w:r>
      <w:proofErr w:type="spellStart"/>
      <w:r w:rsidRPr="555FA4E4">
        <w:rPr>
          <w:rFonts w:ascii="Times New Roman" w:eastAsia="Times New Roman" w:hAnsi="Times New Roman" w:cs="Times New Roman"/>
          <w:color w:val="000000" w:themeColor="text1"/>
          <w:lang w:val="en-GB"/>
        </w:rPr>
        <w:t>siem</w:t>
      </w:r>
      <w:proofErr w:type="spellEnd"/>
      <w:r w:rsidRPr="555FA4E4">
        <w:rPr>
          <w:rFonts w:ascii="Times New Roman" w:eastAsia="Times New Roman" w:hAnsi="Times New Roman" w:cs="Times New Roman"/>
          <w:color w:val="000000" w:themeColor="text1"/>
          <w:lang w:val="en-GB"/>
        </w:rPr>
        <w:t>: A security information and event management system for the smart grid. </w:t>
      </w:r>
      <w:r w:rsidRPr="555FA4E4">
        <w:rPr>
          <w:rFonts w:ascii="Times New Roman" w:eastAsia="Times New Roman" w:hAnsi="Times New Roman" w:cs="Times New Roman"/>
          <w:i/>
          <w:iCs/>
          <w:color w:val="000000" w:themeColor="text1"/>
          <w:lang w:val="en-GB"/>
        </w:rPr>
        <w:t>Computer Networks</w:t>
      </w:r>
      <w:r w:rsidRPr="555FA4E4">
        <w:rPr>
          <w:rFonts w:ascii="Times New Roman" w:eastAsia="Times New Roman" w:hAnsi="Times New Roman" w:cs="Times New Roman"/>
          <w:color w:val="000000" w:themeColor="text1"/>
          <w:lang w:val="en-GB"/>
        </w:rPr>
        <w:t>, </w:t>
      </w:r>
      <w:r w:rsidRPr="555FA4E4">
        <w:rPr>
          <w:rFonts w:ascii="Times New Roman" w:eastAsia="Times New Roman" w:hAnsi="Times New Roman" w:cs="Times New Roman"/>
          <w:i/>
          <w:iCs/>
          <w:color w:val="000000" w:themeColor="text1"/>
          <w:lang w:val="en-GB"/>
        </w:rPr>
        <w:t>193</w:t>
      </w:r>
      <w:r w:rsidRPr="555FA4E4">
        <w:rPr>
          <w:rFonts w:ascii="Times New Roman" w:eastAsia="Times New Roman" w:hAnsi="Times New Roman" w:cs="Times New Roman"/>
          <w:color w:val="000000" w:themeColor="text1"/>
          <w:lang w:val="en-GB"/>
        </w:rPr>
        <w:t>, p.108008.</w:t>
      </w:r>
    </w:p>
    <w:p w14:paraId="34AFF1AB" w14:textId="2B418A08"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Scoop, 2024. </w:t>
      </w:r>
      <w:r w:rsidRPr="555FA4E4">
        <w:rPr>
          <w:rFonts w:ascii="Times New Roman" w:eastAsia="Times New Roman" w:hAnsi="Times New Roman" w:cs="Times New Roman"/>
          <w:i/>
          <w:iCs/>
          <w:color w:val="000000" w:themeColor="text1"/>
          <w:lang w:val="en-GB"/>
        </w:rPr>
        <w:t>What does the cost-of-living crisis mean for festivals and live events?</w:t>
      </w:r>
      <w:r w:rsidRPr="555FA4E4">
        <w:rPr>
          <w:rFonts w:ascii="Times New Roman" w:eastAsia="Times New Roman" w:hAnsi="Times New Roman" w:cs="Times New Roman"/>
          <w:color w:val="000000" w:themeColor="text1"/>
          <w:lang w:val="en-GB"/>
        </w:rPr>
        <w:t xml:space="preserve"> Available at: </w:t>
      </w:r>
      <w:hyperlink r:id="rId10">
        <w:r w:rsidRPr="555FA4E4">
          <w:rPr>
            <w:rStyle w:val="Hyperlink"/>
            <w:rFonts w:ascii="Times New Roman" w:eastAsia="Times New Roman" w:hAnsi="Times New Roman" w:cs="Times New Roman"/>
            <w:lang w:val="en-GB"/>
          </w:rPr>
          <w:t>https://scoopagency.co.uk/news-posts/project-title-8-2-6-2-8-7/</w:t>
        </w:r>
      </w:hyperlink>
      <w:r w:rsidRPr="555FA4E4">
        <w:rPr>
          <w:rFonts w:ascii="Times New Roman" w:eastAsia="Times New Roman" w:hAnsi="Times New Roman" w:cs="Times New Roman"/>
          <w:color w:val="000000" w:themeColor="text1"/>
          <w:lang w:val="en-GB"/>
        </w:rPr>
        <w:t xml:space="preserve"> [Accessed on: 3 October 2024].</w:t>
      </w:r>
    </w:p>
    <w:p w14:paraId="635E7C60" w14:textId="1C096E5B"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Sportsmedia</w:t>
      </w:r>
      <w:proofErr w:type="spellEnd"/>
      <w:r w:rsidRPr="555FA4E4">
        <w:rPr>
          <w:rFonts w:ascii="Times New Roman" w:eastAsia="Times New Roman" w:hAnsi="Times New Roman" w:cs="Times New Roman"/>
          <w:color w:val="000000" w:themeColor="text1"/>
          <w:lang w:val="en-GB"/>
        </w:rPr>
        <w:t xml:space="preserve">, 2023. </w:t>
      </w:r>
      <w:r w:rsidRPr="555FA4E4">
        <w:rPr>
          <w:rFonts w:ascii="Times New Roman" w:eastAsia="Times New Roman" w:hAnsi="Times New Roman" w:cs="Times New Roman"/>
          <w:i/>
          <w:iCs/>
          <w:color w:val="000000" w:themeColor="text1"/>
          <w:lang w:val="en-GB"/>
        </w:rPr>
        <w:t>How the cost-of-living crisis is hitting the UK live events business</w:t>
      </w:r>
      <w:r w:rsidRPr="555FA4E4">
        <w:rPr>
          <w:rFonts w:ascii="Times New Roman" w:eastAsia="Times New Roman" w:hAnsi="Times New Roman" w:cs="Times New Roman"/>
          <w:color w:val="000000" w:themeColor="text1"/>
          <w:lang w:val="en-GB"/>
        </w:rPr>
        <w:t xml:space="preserve">. Available at: </w:t>
      </w:r>
      <w:hyperlink r:id="rId11">
        <w:r w:rsidRPr="555FA4E4">
          <w:rPr>
            <w:rStyle w:val="Hyperlink"/>
            <w:rFonts w:ascii="Times New Roman" w:eastAsia="Times New Roman" w:hAnsi="Times New Roman" w:cs="Times New Roman"/>
            <w:lang w:val="en-GB"/>
          </w:rPr>
          <w:t>https://www.sportspromedia.com/insights/features/cost-of-living-crisis-live-events-industry-inflation-brexit-covid-the-o2/</w:t>
        </w:r>
      </w:hyperlink>
      <w:r w:rsidRPr="555FA4E4">
        <w:rPr>
          <w:rFonts w:ascii="Times New Roman" w:eastAsia="Times New Roman" w:hAnsi="Times New Roman" w:cs="Times New Roman"/>
          <w:color w:val="000000" w:themeColor="text1"/>
          <w:lang w:val="en-GB"/>
        </w:rPr>
        <w:t xml:space="preserve"> [Accessed on: 3 October 2024].</w:t>
      </w:r>
    </w:p>
    <w:p w14:paraId="11C28EDE" w14:textId="24026EAB"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The Savoy London, 2024. </w:t>
      </w:r>
      <w:r w:rsidRPr="555FA4E4">
        <w:rPr>
          <w:rFonts w:ascii="Times New Roman" w:eastAsia="Times New Roman" w:hAnsi="Times New Roman" w:cs="Times New Roman"/>
          <w:i/>
          <w:iCs/>
          <w:color w:val="000000" w:themeColor="text1"/>
          <w:lang w:val="en-GB"/>
        </w:rPr>
        <w:t>Meetings and Events in London | Meeting Room | The Savoy</w:t>
      </w:r>
      <w:r w:rsidRPr="555FA4E4">
        <w:rPr>
          <w:rFonts w:ascii="Times New Roman" w:eastAsia="Times New Roman" w:hAnsi="Times New Roman" w:cs="Times New Roman"/>
          <w:color w:val="000000" w:themeColor="text1"/>
          <w:lang w:val="en-GB"/>
        </w:rPr>
        <w:t xml:space="preserve">. [online] The Savoy London. Available at: </w:t>
      </w:r>
      <w:hyperlink r:id="rId12">
        <w:r w:rsidRPr="555FA4E4">
          <w:rPr>
            <w:rStyle w:val="Hyperlink"/>
            <w:rFonts w:ascii="Times New Roman" w:eastAsia="Times New Roman" w:hAnsi="Times New Roman" w:cs="Times New Roman"/>
            <w:lang w:val="en-GB"/>
          </w:rPr>
          <w:t>https://www.thesavoylondon.com/meetings-events/</w:t>
        </w:r>
      </w:hyperlink>
      <w:r w:rsidRPr="555FA4E4">
        <w:rPr>
          <w:rFonts w:ascii="Times New Roman" w:eastAsia="Times New Roman" w:hAnsi="Times New Roman" w:cs="Times New Roman"/>
          <w:color w:val="000000" w:themeColor="text1"/>
          <w:lang w:val="en-GB"/>
        </w:rPr>
        <w:t xml:space="preserve"> [Accessed on: 3 October 2024].</w:t>
      </w:r>
    </w:p>
    <w:p w14:paraId="76E55F6E" w14:textId="0E45230F" w:rsidR="008D1D7D" w:rsidRDefault="37E2770E" w:rsidP="555FA4E4">
      <w:pPr>
        <w:spacing w:after="0"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Thomas, K. and Stephens, S., 2022. Understanding the Management Theory in Event Management: A Conceptual Framework. </w:t>
      </w:r>
      <w:r w:rsidRPr="555FA4E4">
        <w:rPr>
          <w:rFonts w:ascii="Times New Roman" w:eastAsia="Times New Roman" w:hAnsi="Times New Roman" w:cs="Times New Roman"/>
          <w:i/>
          <w:iCs/>
          <w:color w:val="000000" w:themeColor="text1"/>
          <w:lang w:val="en-GB"/>
        </w:rPr>
        <w:t>Available at SSRN 4051469</w:t>
      </w:r>
      <w:r w:rsidRPr="555FA4E4">
        <w:rPr>
          <w:rFonts w:ascii="Times New Roman" w:eastAsia="Times New Roman" w:hAnsi="Times New Roman" w:cs="Times New Roman"/>
          <w:color w:val="000000" w:themeColor="text1"/>
          <w:lang w:val="en-GB"/>
        </w:rPr>
        <w:t>.</w:t>
      </w:r>
    </w:p>
    <w:p w14:paraId="29FFFAFB" w14:textId="7B12588E" w:rsidR="008D1D7D" w:rsidRDefault="37E2770E" w:rsidP="555FA4E4">
      <w:pPr>
        <w:spacing w:after="0" w:line="360" w:lineRule="auto"/>
        <w:jc w:val="both"/>
        <w:rPr>
          <w:rFonts w:ascii="Times New Roman" w:eastAsia="Times New Roman" w:hAnsi="Times New Roman" w:cs="Times New Roman"/>
          <w:color w:val="000000" w:themeColor="text1"/>
        </w:rPr>
      </w:pPr>
      <w:proofErr w:type="spellStart"/>
      <w:r w:rsidRPr="555FA4E4">
        <w:rPr>
          <w:rFonts w:ascii="Times New Roman" w:eastAsia="Times New Roman" w:hAnsi="Times New Roman" w:cs="Times New Roman"/>
          <w:color w:val="000000" w:themeColor="text1"/>
          <w:lang w:val="en-GB"/>
        </w:rPr>
        <w:t>Ullah</w:t>
      </w:r>
      <w:proofErr w:type="spellEnd"/>
      <w:r w:rsidRPr="555FA4E4">
        <w:rPr>
          <w:rFonts w:ascii="Times New Roman" w:eastAsia="Times New Roman" w:hAnsi="Times New Roman" w:cs="Times New Roman"/>
          <w:color w:val="000000" w:themeColor="text1"/>
          <w:lang w:val="en-GB"/>
        </w:rPr>
        <w:t xml:space="preserve">, F., </w:t>
      </w:r>
      <w:proofErr w:type="spellStart"/>
      <w:r w:rsidRPr="555FA4E4">
        <w:rPr>
          <w:rFonts w:ascii="Times New Roman" w:eastAsia="Times New Roman" w:hAnsi="Times New Roman" w:cs="Times New Roman"/>
          <w:color w:val="000000" w:themeColor="text1"/>
          <w:lang w:val="en-GB"/>
        </w:rPr>
        <w:t>Qayyum</w:t>
      </w:r>
      <w:proofErr w:type="spellEnd"/>
      <w:r w:rsidRPr="555FA4E4">
        <w:rPr>
          <w:rFonts w:ascii="Times New Roman" w:eastAsia="Times New Roman" w:hAnsi="Times New Roman" w:cs="Times New Roman"/>
          <w:color w:val="000000" w:themeColor="text1"/>
          <w:lang w:val="en-GB"/>
        </w:rPr>
        <w:t xml:space="preserve">, S., </w:t>
      </w:r>
      <w:proofErr w:type="spellStart"/>
      <w:r w:rsidRPr="555FA4E4">
        <w:rPr>
          <w:rFonts w:ascii="Times New Roman" w:eastAsia="Times New Roman" w:hAnsi="Times New Roman" w:cs="Times New Roman"/>
          <w:color w:val="000000" w:themeColor="text1"/>
          <w:lang w:val="en-GB"/>
        </w:rPr>
        <w:t>Thaheem</w:t>
      </w:r>
      <w:proofErr w:type="spellEnd"/>
      <w:r w:rsidRPr="555FA4E4">
        <w:rPr>
          <w:rFonts w:ascii="Times New Roman" w:eastAsia="Times New Roman" w:hAnsi="Times New Roman" w:cs="Times New Roman"/>
          <w:color w:val="000000" w:themeColor="text1"/>
          <w:lang w:val="en-GB"/>
        </w:rPr>
        <w:t xml:space="preserve">, M.J., </w:t>
      </w:r>
      <w:proofErr w:type="spellStart"/>
      <w:r w:rsidRPr="555FA4E4">
        <w:rPr>
          <w:rFonts w:ascii="Times New Roman" w:eastAsia="Times New Roman" w:hAnsi="Times New Roman" w:cs="Times New Roman"/>
          <w:color w:val="000000" w:themeColor="text1"/>
          <w:lang w:val="en-GB"/>
        </w:rPr>
        <w:t>Al-Turjman</w:t>
      </w:r>
      <w:proofErr w:type="spellEnd"/>
      <w:r w:rsidRPr="555FA4E4">
        <w:rPr>
          <w:rFonts w:ascii="Times New Roman" w:eastAsia="Times New Roman" w:hAnsi="Times New Roman" w:cs="Times New Roman"/>
          <w:color w:val="000000" w:themeColor="text1"/>
          <w:lang w:val="en-GB"/>
        </w:rPr>
        <w:t xml:space="preserve">, F. and </w:t>
      </w:r>
      <w:proofErr w:type="spellStart"/>
      <w:r w:rsidRPr="555FA4E4">
        <w:rPr>
          <w:rFonts w:ascii="Times New Roman" w:eastAsia="Times New Roman" w:hAnsi="Times New Roman" w:cs="Times New Roman"/>
          <w:color w:val="000000" w:themeColor="text1"/>
          <w:lang w:val="en-GB"/>
        </w:rPr>
        <w:t>Sepasgozar</w:t>
      </w:r>
      <w:proofErr w:type="spellEnd"/>
      <w:r w:rsidRPr="555FA4E4">
        <w:rPr>
          <w:rFonts w:ascii="Times New Roman" w:eastAsia="Times New Roman" w:hAnsi="Times New Roman" w:cs="Times New Roman"/>
          <w:color w:val="000000" w:themeColor="text1"/>
          <w:lang w:val="en-GB"/>
        </w:rPr>
        <w:t>, S.M., 2021. Risk management in sustainable smart cities governance: A TOE framework. </w:t>
      </w:r>
      <w:r w:rsidRPr="555FA4E4">
        <w:rPr>
          <w:rFonts w:ascii="Times New Roman" w:eastAsia="Times New Roman" w:hAnsi="Times New Roman" w:cs="Times New Roman"/>
          <w:i/>
          <w:iCs/>
          <w:color w:val="000000" w:themeColor="text1"/>
          <w:lang w:val="en-GB"/>
        </w:rPr>
        <w:t>Technological Forecasting and Social Change</w:t>
      </w:r>
      <w:r w:rsidRPr="555FA4E4">
        <w:rPr>
          <w:rFonts w:ascii="Times New Roman" w:eastAsia="Times New Roman" w:hAnsi="Times New Roman" w:cs="Times New Roman"/>
          <w:color w:val="000000" w:themeColor="text1"/>
          <w:lang w:val="en-GB"/>
        </w:rPr>
        <w:t>, </w:t>
      </w:r>
      <w:r w:rsidRPr="555FA4E4">
        <w:rPr>
          <w:rFonts w:ascii="Times New Roman" w:eastAsia="Times New Roman" w:hAnsi="Times New Roman" w:cs="Times New Roman"/>
          <w:i/>
          <w:iCs/>
          <w:color w:val="000000" w:themeColor="text1"/>
          <w:lang w:val="en-GB"/>
        </w:rPr>
        <w:t>167</w:t>
      </w:r>
      <w:r w:rsidRPr="555FA4E4">
        <w:rPr>
          <w:rFonts w:ascii="Times New Roman" w:eastAsia="Times New Roman" w:hAnsi="Times New Roman" w:cs="Times New Roman"/>
          <w:color w:val="000000" w:themeColor="text1"/>
          <w:lang w:val="en-GB"/>
        </w:rPr>
        <w:t>, p.120743.</w:t>
      </w:r>
    </w:p>
    <w:p w14:paraId="20391DCD" w14:textId="30D956A8" w:rsidR="008D1D7D" w:rsidRDefault="008D1D7D" w:rsidP="555FA4E4">
      <w:pPr>
        <w:spacing w:after="200" w:line="276" w:lineRule="auto"/>
        <w:rPr>
          <w:rFonts w:ascii="Times New Roman" w:eastAsia="Times New Roman" w:hAnsi="Times New Roman" w:cs="Times New Roman"/>
          <w:color w:val="000000" w:themeColor="text1"/>
        </w:rPr>
      </w:pPr>
    </w:p>
    <w:p w14:paraId="2FA7B83C" w14:textId="4D07D6C7" w:rsidR="008D1D7D" w:rsidRDefault="37E2770E" w:rsidP="555FA4E4">
      <w:pPr>
        <w:pStyle w:val="Titlu1"/>
        <w:spacing w:after="0" w:line="360" w:lineRule="auto"/>
        <w:jc w:val="both"/>
        <w:rPr>
          <w:rFonts w:ascii="Times New Roman" w:eastAsia="Times New Roman" w:hAnsi="Times New Roman" w:cs="Times New Roman"/>
          <w:b/>
          <w:bCs/>
          <w:color w:val="000000" w:themeColor="text1"/>
          <w:sz w:val="28"/>
          <w:szCs w:val="28"/>
        </w:rPr>
      </w:pPr>
      <w:r w:rsidRPr="555FA4E4">
        <w:rPr>
          <w:rFonts w:ascii="Times New Roman" w:eastAsia="Times New Roman" w:hAnsi="Times New Roman" w:cs="Times New Roman"/>
          <w:b/>
          <w:bCs/>
          <w:color w:val="000000" w:themeColor="text1"/>
          <w:sz w:val="28"/>
          <w:szCs w:val="28"/>
          <w:lang w:val="en-GB"/>
        </w:rPr>
        <w:t>Appendix</w:t>
      </w:r>
    </w:p>
    <w:p w14:paraId="2A8DD302" w14:textId="03F5F63E" w:rsidR="008D1D7D" w:rsidRDefault="37E2770E" w:rsidP="555FA4E4">
      <w:pPr>
        <w:pStyle w:val="Titlu2"/>
        <w:spacing w:after="0" w:line="360" w:lineRule="auto"/>
        <w:jc w:val="both"/>
        <w:rPr>
          <w:rFonts w:ascii="Times New Roman" w:eastAsia="Times New Roman" w:hAnsi="Times New Roman" w:cs="Times New Roman"/>
          <w:b/>
          <w:bCs/>
          <w:color w:val="000000" w:themeColor="text1"/>
          <w:sz w:val="24"/>
          <w:szCs w:val="24"/>
        </w:rPr>
      </w:pPr>
      <w:r w:rsidRPr="555FA4E4">
        <w:rPr>
          <w:rFonts w:ascii="Times New Roman" w:eastAsia="Times New Roman" w:hAnsi="Times New Roman" w:cs="Times New Roman"/>
          <w:b/>
          <w:bCs/>
          <w:color w:val="000000" w:themeColor="text1"/>
          <w:sz w:val="24"/>
          <w:szCs w:val="24"/>
          <w:lang w:val="en-GB"/>
        </w:rPr>
        <w:t xml:space="preserve">Appendix 1: SWOT analysis </w:t>
      </w:r>
    </w:p>
    <w:p w14:paraId="5F309C56" w14:textId="4BE5EEEE"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Strengths</w:t>
      </w:r>
    </w:p>
    <w:p w14:paraId="0ADE6621" w14:textId="69B51290" w:rsidR="008D1D7D" w:rsidRDefault="37E2770E" w:rsidP="555FA4E4">
      <w:pPr>
        <w:pStyle w:val="Listparagraf"/>
        <w:numPr>
          <w:ilvl w:val="0"/>
          <w:numId w:val="4"/>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Locational excellence of the Savoy Hotel, London </w:t>
      </w:r>
    </w:p>
    <w:p w14:paraId="281649F5" w14:textId="6529A18A" w:rsidR="008D1D7D" w:rsidRDefault="37E2770E" w:rsidP="555FA4E4">
      <w:pPr>
        <w:pStyle w:val="Listparagraf"/>
        <w:numPr>
          <w:ilvl w:val="0"/>
          <w:numId w:val="4"/>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Targeting tourists’ cultural emotions aligned with Christmas</w:t>
      </w:r>
    </w:p>
    <w:p w14:paraId="36E0D9BA" w14:textId="52DC1B7D" w:rsidR="008D1D7D" w:rsidRDefault="37E2770E" w:rsidP="555FA4E4">
      <w:pPr>
        <w:pStyle w:val="Listparagraf"/>
        <w:numPr>
          <w:ilvl w:val="0"/>
          <w:numId w:val="4"/>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Positive brand image and </w:t>
      </w:r>
      <w:proofErr w:type="spellStart"/>
      <w:r w:rsidRPr="555FA4E4">
        <w:rPr>
          <w:rFonts w:ascii="Times New Roman" w:eastAsia="Times New Roman" w:hAnsi="Times New Roman" w:cs="Times New Roman"/>
          <w:color w:val="000000" w:themeColor="text1"/>
          <w:lang w:val="en-GB"/>
        </w:rPr>
        <w:t>reputational</w:t>
      </w:r>
      <w:proofErr w:type="spellEnd"/>
      <w:r w:rsidRPr="555FA4E4">
        <w:rPr>
          <w:rFonts w:ascii="Times New Roman" w:eastAsia="Times New Roman" w:hAnsi="Times New Roman" w:cs="Times New Roman"/>
          <w:color w:val="000000" w:themeColor="text1"/>
          <w:lang w:val="en-GB"/>
        </w:rPr>
        <w:t xml:space="preserve"> standards of the UK hospitality industry </w:t>
      </w:r>
    </w:p>
    <w:p w14:paraId="46AA88F2" w14:textId="185986A5"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Weaknesses</w:t>
      </w:r>
    </w:p>
    <w:p w14:paraId="2B86D403" w14:textId="40CED75F" w:rsidR="008D1D7D" w:rsidRDefault="37E2770E" w:rsidP="555FA4E4">
      <w:pPr>
        <w:pStyle w:val="Listparagraf"/>
        <w:numPr>
          <w:ilvl w:val="0"/>
          <w:numId w:val="3"/>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Increased costs in planning and executing the event </w:t>
      </w:r>
    </w:p>
    <w:p w14:paraId="538E4FF7" w14:textId="242D5763" w:rsidR="008D1D7D" w:rsidRDefault="37E2770E" w:rsidP="555FA4E4">
      <w:pPr>
        <w:pStyle w:val="Listparagraf"/>
        <w:numPr>
          <w:ilvl w:val="0"/>
          <w:numId w:val="3"/>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Limited scope or accessibility to common mass compared to the investors or industry professionals (Scoop, 2024).</w:t>
      </w:r>
    </w:p>
    <w:p w14:paraId="5A8F4A00" w14:textId="1506BF07"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Opportunities</w:t>
      </w:r>
    </w:p>
    <w:p w14:paraId="152DCC70" w14:textId="2D7074A2" w:rsidR="008D1D7D" w:rsidRDefault="37E2770E" w:rsidP="555FA4E4">
      <w:pPr>
        <w:pStyle w:val="Listparagraf"/>
        <w:numPr>
          <w:ilvl w:val="0"/>
          <w:numId w:val="2"/>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Increasing popularity of such events in the UK to promote social wellbeing (Scoop, 2024).</w:t>
      </w:r>
    </w:p>
    <w:p w14:paraId="66066457" w14:textId="420C2F79" w:rsidR="008D1D7D" w:rsidRDefault="37E2770E" w:rsidP="555FA4E4">
      <w:pPr>
        <w:pStyle w:val="Listparagraf"/>
        <w:numPr>
          <w:ilvl w:val="0"/>
          <w:numId w:val="2"/>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Hospitality industry expansion opportunity to foster community engagement </w:t>
      </w:r>
    </w:p>
    <w:p w14:paraId="5F5AB280" w14:textId="59E93DB6" w:rsidR="008D1D7D" w:rsidRDefault="37E2770E"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Threats</w:t>
      </w:r>
    </w:p>
    <w:p w14:paraId="5A50E791" w14:textId="35AC11E4" w:rsidR="008D1D7D" w:rsidRDefault="37E2770E" w:rsidP="555FA4E4">
      <w:pPr>
        <w:pStyle w:val="Listparagraf"/>
        <w:numPr>
          <w:ilvl w:val="0"/>
          <w:numId w:val="1"/>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Increased economic pressure leading to the cost-of-living crisis </w:t>
      </w:r>
    </w:p>
    <w:p w14:paraId="2E2442DA" w14:textId="55967CC8" w:rsidR="008D1D7D" w:rsidRDefault="37E2770E" w:rsidP="555FA4E4">
      <w:pPr>
        <w:pStyle w:val="Listparagraf"/>
        <w:numPr>
          <w:ilvl w:val="0"/>
          <w:numId w:val="1"/>
        </w:num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High competition across gala event organisers to promote exquisite events to engage people </w:t>
      </w:r>
    </w:p>
    <w:p w14:paraId="79BA2325" w14:textId="4DFEBC9A" w:rsidR="008D1D7D" w:rsidRDefault="008D1D7D" w:rsidP="555FA4E4">
      <w:pPr>
        <w:spacing w:after="200" w:line="276" w:lineRule="auto"/>
        <w:rPr>
          <w:rFonts w:ascii="Times New Roman" w:eastAsia="Times New Roman" w:hAnsi="Times New Roman" w:cs="Times New Roman"/>
          <w:color w:val="000000" w:themeColor="text1"/>
        </w:rPr>
      </w:pPr>
    </w:p>
    <w:p w14:paraId="1B4FBAD5" w14:textId="0F8A7A20" w:rsidR="008D1D7D" w:rsidRDefault="37E2770E" w:rsidP="555FA4E4">
      <w:pPr>
        <w:pStyle w:val="Titlu2"/>
        <w:spacing w:after="0" w:line="360" w:lineRule="auto"/>
        <w:jc w:val="both"/>
        <w:rPr>
          <w:rFonts w:ascii="Times New Roman" w:eastAsia="Times New Roman" w:hAnsi="Times New Roman" w:cs="Times New Roman"/>
          <w:b/>
          <w:bCs/>
          <w:color w:val="000000" w:themeColor="text1"/>
          <w:sz w:val="24"/>
          <w:szCs w:val="24"/>
        </w:rPr>
      </w:pPr>
      <w:r w:rsidRPr="555FA4E4">
        <w:rPr>
          <w:rFonts w:ascii="Times New Roman" w:eastAsia="Times New Roman" w:hAnsi="Times New Roman" w:cs="Times New Roman"/>
          <w:b/>
          <w:bCs/>
          <w:color w:val="000000" w:themeColor="text1"/>
          <w:sz w:val="24"/>
          <w:szCs w:val="24"/>
          <w:lang w:val="en-GB"/>
        </w:rPr>
        <w:t xml:space="preserve">Appendix 2: PESTLE Analysis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130"/>
        <w:gridCol w:w="6900"/>
      </w:tblGrid>
      <w:tr w:rsidR="555FA4E4" w14:paraId="6D1EEF2D" w14:textId="77777777" w:rsidTr="555FA4E4">
        <w:trPr>
          <w:trHeight w:val="300"/>
        </w:trPr>
        <w:tc>
          <w:tcPr>
            <w:tcW w:w="2130" w:type="dxa"/>
            <w:tcMar>
              <w:left w:w="105" w:type="dxa"/>
              <w:right w:w="105" w:type="dxa"/>
            </w:tcMar>
          </w:tcPr>
          <w:p w14:paraId="1E76A8DF" w14:textId="7CD05C59"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PESTLE factors</w:t>
            </w:r>
          </w:p>
        </w:tc>
        <w:tc>
          <w:tcPr>
            <w:tcW w:w="6900" w:type="dxa"/>
            <w:tcMar>
              <w:left w:w="105" w:type="dxa"/>
              <w:right w:w="105" w:type="dxa"/>
            </w:tcMar>
          </w:tcPr>
          <w:p w14:paraId="18CBA41D" w14:textId="000F7517"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Description</w:t>
            </w:r>
          </w:p>
        </w:tc>
      </w:tr>
      <w:tr w:rsidR="555FA4E4" w14:paraId="1BCB82F3" w14:textId="77777777" w:rsidTr="555FA4E4">
        <w:trPr>
          <w:trHeight w:val="300"/>
        </w:trPr>
        <w:tc>
          <w:tcPr>
            <w:tcW w:w="2130" w:type="dxa"/>
            <w:tcMar>
              <w:left w:w="105" w:type="dxa"/>
              <w:right w:w="105" w:type="dxa"/>
            </w:tcMar>
          </w:tcPr>
          <w:p w14:paraId="0C43C365" w14:textId="47D8137D"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Political</w:t>
            </w:r>
          </w:p>
        </w:tc>
        <w:tc>
          <w:tcPr>
            <w:tcW w:w="6900" w:type="dxa"/>
            <w:tcMar>
              <w:left w:w="105" w:type="dxa"/>
              <w:right w:w="105" w:type="dxa"/>
            </w:tcMar>
          </w:tcPr>
          <w:p w14:paraId="0B33D9F4" w14:textId="4559F0E3" w:rsidR="555FA4E4" w:rsidRDefault="555FA4E4"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UK governmental support to promote such hospitality events </w:t>
            </w:r>
          </w:p>
        </w:tc>
      </w:tr>
      <w:tr w:rsidR="555FA4E4" w14:paraId="780A641D" w14:textId="77777777" w:rsidTr="555FA4E4">
        <w:trPr>
          <w:trHeight w:val="300"/>
        </w:trPr>
        <w:tc>
          <w:tcPr>
            <w:tcW w:w="2130" w:type="dxa"/>
            <w:tcMar>
              <w:left w:w="105" w:type="dxa"/>
              <w:right w:w="105" w:type="dxa"/>
            </w:tcMar>
          </w:tcPr>
          <w:p w14:paraId="09B73231" w14:textId="0F5242AF"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Economic</w:t>
            </w:r>
          </w:p>
        </w:tc>
        <w:tc>
          <w:tcPr>
            <w:tcW w:w="6900" w:type="dxa"/>
            <w:tcMar>
              <w:left w:w="105" w:type="dxa"/>
              <w:right w:w="105" w:type="dxa"/>
            </w:tcMar>
          </w:tcPr>
          <w:p w14:paraId="24A458E4" w14:textId="79DAB4FD" w:rsidR="555FA4E4" w:rsidRDefault="555FA4E4"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Increasing inflationary pressure and the cost-of-living crisis impact cultural expenditure on luxury events detrimentally (Lee and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2020).</w:t>
            </w:r>
          </w:p>
        </w:tc>
      </w:tr>
      <w:tr w:rsidR="555FA4E4" w14:paraId="08694BD8" w14:textId="77777777" w:rsidTr="555FA4E4">
        <w:trPr>
          <w:trHeight w:val="300"/>
        </w:trPr>
        <w:tc>
          <w:tcPr>
            <w:tcW w:w="2130" w:type="dxa"/>
            <w:tcMar>
              <w:left w:w="105" w:type="dxa"/>
              <w:right w:w="105" w:type="dxa"/>
            </w:tcMar>
          </w:tcPr>
          <w:p w14:paraId="31A51CFC" w14:textId="34FAB549"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Social</w:t>
            </w:r>
          </w:p>
        </w:tc>
        <w:tc>
          <w:tcPr>
            <w:tcW w:w="6900" w:type="dxa"/>
            <w:tcMar>
              <w:left w:w="105" w:type="dxa"/>
              <w:right w:w="105" w:type="dxa"/>
            </w:tcMar>
          </w:tcPr>
          <w:p w14:paraId="36D60649" w14:textId="21564F11" w:rsidR="555FA4E4" w:rsidRDefault="555FA4E4"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Ongoing demands for such cultural events to promote corporate social responsibility standards in the UK </w:t>
            </w:r>
          </w:p>
        </w:tc>
      </w:tr>
      <w:tr w:rsidR="555FA4E4" w14:paraId="2AF22EB5" w14:textId="77777777" w:rsidTr="555FA4E4">
        <w:trPr>
          <w:trHeight w:val="705"/>
        </w:trPr>
        <w:tc>
          <w:tcPr>
            <w:tcW w:w="2130" w:type="dxa"/>
            <w:tcMar>
              <w:left w:w="105" w:type="dxa"/>
              <w:right w:w="105" w:type="dxa"/>
            </w:tcMar>
          </w:tcPr>
          <w:p w14:paraId="17A34808" w14:textId="629C53A8"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Technological</w:t>
            </w:r>
          </w:p>
        </w:tc>
        <w:tc>
          <w:tcPr>
            <w:tcW w:w="6900" w:type="dxa"/>
            <w:tcMar>
              <w:left w:w="105" w:type="dxa"/>
              <w:right w:w="105" w:type="dxa"/>
            </w:tcMar>
          </w:tcPr>
          <w:p w14:paraId="6AB4CCFE" w14:textId="296E969B" w:rsidR="555FA4E4" w:rsidRDefault="555FA4E4"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Technological investment and the use of event management software positively impact hospitality business efficiency (Lee and </w:t>
            </w:r>
            <w:proofErr w:type="spellStart"/>
            <w:r w:rsidRPr="555FA4E4">
              <w:rPr>
                <w:rFonts w:ascii="Times New Roman" w:eastAsia="Times New Roman" w:hAnsi="Times New Roman" w:cs="Times New Roman"/>
                <w:color w:val="000000" w:themeColor="text1"/>
                <w:lang w:val="en-GB"/>
              </w:rPr>
              <w:t>Goldblatt</w:t>
            </w:r>
            <w:proofErr w:type="spellEnd"/>
            <w:r w:rsidRPr="555FA4E4">
              <w:rPr>
                <w:rFonts w:ascii="Times New Roman" w:eastAsia="Times New Roman" w:hAnsi="Times New Roman" w:cs="Times New Roman"/>
                <w:color w:val="000000" w:themeColor="text1"/>
                <w:lang w:val="en-GB"/>
              </w:rPr>
              <w:t>, 2020).</w:t>
            </w:r>
          </w:p>
        </w:tc>
      </w:tr>
      <w:tr w:rsidR="555FA4E4" w14:paraId="30BBBD24" w14:textId="77777777" w:rsidTr="555FA4E4">
        <w:trPr>
          <w:trHeight w:val="300"/>
        </w:trPr>
        <w:tc>
          <w:tcPr>
            <w:tcW w:w="2130" w:type="dxa"/>
            <w:tcMar>
              <w:left w:w="105" w:type="dxa"/>
              <w:right w:w="105" w:type="dxa"/>
            </w:tcMar>
          </w:tcPr>
          <w:p w14:paraId="5F6D6193" w14:textId="35362AC9" w:rsidR="555FA4E4" w:rsidRDefault="555FA4E4" w:rsidP="555FA4E4">
            <w:pPr>
              <w:spacing w:line="360" w:lineRule="auto"/>
              <w:jc w:val="center"/>
              <w:rPr>
                <w:rFonts w:ascii="Times New Roman" w:eastAsia="Times New Roman" w:hAnsi="Times New Roman" w:cs="Times New Roman"/>
                <w:color w:val="000000" w:themeColor="text1"/>
              </w:rPr>
            </w:pPr>
            <w:r w:rsidRPr="555FA4E4">
              <w:rPr>
                <w:rFonts w:ascii="Times New Roman" w:eastAsia="Times New Roman" w:hAnsi="Times New Roman" w:cs="Times New Roman"/>
                <w:b/>
                <w:bCs/>
                <w:color w:val="000000" w:themeColor="text1"/>
                <w:lang w:val="en-GB"/>
              </w:rPr>
              <w:t>Legal</w:t>
            </w:r>
          </w:p>
        </w:tc>
        <w:tc>
          <w:tcPr>
            <w:tcW w:w="6900" w:type="dxa"/>
            <w:tcMar>
              <w:left w:w="105" w:type="dxa"/>
              <w:right w:w="105" w:type="dxa"/>
            </w:tcMar>
          </w:tcPr>
          <w:p w14:paraId="0B8C0E86" w14:textId="0071E550" w:rsidR="555FA4E4" w:rsidRDefault="555FA4E4" w:rsidP="555FA4E4">
            <w:pPr>
              <w:spacing w:line="360" w:lineRule="auto"/>
              <w:jc w:val="both"/>
              <w:rPr>
                <w:rFonts w:ascii="Times New Roman" w:eastAsia="Times New Roman" w:hAnsi="Times New Roman" w:cs="Times New Roman"/>
                <w:color w:val="000000" w:themeColor="text1"/>
              </w:rPr>
            </w:pPr>
            <w:r w:rsidRPr="555FA4E4">
              <w:rPr>
                <w:rFonts w:ascii="Times New Roman" w:eastAsia="Times New Roman" w:hAnsi="Times New Roman" w:cs="Times New Roman"/>
                <w:color w:val="000000" w:themeColor="text1"/>
                <w:lang w:val="en-GB"/>
              </w:rPr>
              <w:t xml:space="preserve">Compliance with intellectual property rights standards increases the credibility of the events to the targeted audience. </w:t>
            </w:r>
          </w:p>
        </w:tc>
      </w:tr>
    </w:tbl>
    <w:p w14:paraId="4B12A740" w14:textId="53609840" w:rsidR="008D1D7D" w:rsidRDefault="008D1D7D" w:rsidP="555FA4E4">
      <w:pPr>
        <w:spacing w:line="360" w:lineRule="auto"/>
        <w:jc w:val="both"/>
        <w:rPr>
          <w:rFonts w:ascii="Times New Roman" w:eastAsia="Times New Roman" w:hAnsi="Times New Roman" w:cs="Times New Roman"/>
          <w:color w:val="000000" w:themeColor="text1"/>
        </w:rPr>
      </w:pPr>
    </w:p>
    <w:p w14:paraId="3086E376" w14:textId="38AD53E7" w:rsidR="008D1D7D" w:rsidRDefault="008D1D7D" w:rsidP="555FA4E4">
      <w:pPr>
        <w:spacing w:line="360" w:lineRule="auto"/>
        <w:jc w:val="both"/>
        <w:rPr>
          <w:rFonts w:ascii="Times New Roman" w:eastAsia="Times New Roman" w:hAnsi="Times New Roman" w:cs="Times New Roman"/>
          <w:color w:val="000000" w:themeColor="text1"/>
        </w:rPr>
      </w:pPr>
    </w:p>
    <w:p w14:paraId="2D847E5B" w14:textId="2D42183C" w:rsidR="008D1D7D" w:rsidRDefault="008D1D7D" w:rsidP="555FA4E4">
      <w:pPr>
        <w:spacing w:line="360" w:lineRule="auto"/>
        <w:jc w:val="center"/>
        <w:rPr>
          <w:rFonts w:ascii="Times New Roman" w:eastAsia="Times New Roman" w:hAnsi="Times New Roman" w:cs="Times New Roman"/>
          <w:color w:val="000000" w:themeColor="text1"/>
        </w:rPr>
      </w:pPr>
    </w:p>
    <w:p w14:paraId="244BA8A2" w14:textId="76B9300E" w:rsidR="008D1D7D" w:rsidRDefault="008D1D7D" w:rsidP="555FA4E4">
      <w:pPr>
        <w:spacing w:line="360" w:lineRule="auto"/>
        <w:jc w:val="center"/>
        <w:rPr>
          <w:rFonts w:ascii="Times New Roman" w:eastAsia="Times New Roman" w:hAnsi="Times New Roman" w:cs="Times New Roman"/>
          <w:color w:val="000000" w:themeColor="text1"/>
        </w:rPr>
      </w:pPr>
    </w:p>
    <w:p w14:paraId="2C078E63" w14:textId="3BE89884" w:rsidR="008D1D7D" w:rsidRDefault="008D1D7D"/>
    <w:sectPr w:rsidR="008D1D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CE518"/>
    <w:multiLevelType w:val="hybridMultilevel"/>
    <w:tmpl w:val="FFFFFFFF"/>
    <w:lvl w:ilvl="0" w:tplc="2DCA2B58">
      <w:start w:val="1"/>
      <w:numFmt w:val="bullet"/>
      <w:lvlText w:val=""/>
      <w:lvlJc w:val="left"/>
      <w:pPr>
        <w:ind w:left="720" w:hanging="360"/>
      </w:pPr>
      <w:rPr>
        <w:rFonts w:ascii="Symbol" w:hAnsi="Symbol" w:hint="default"/>
      </w:rPr>
    </w:lvl>
    <w:lvl w:ilvl="1" w:tplc="22E4D3F0">
      <w:start w:val="1"/>
      <w:numFmt w:val="bullet"/>
      <w:lvlText w:val="o"/>
      <w:lvlJc w:val="left"/>
      <w:pPr>
        <w:ind w:left="1440" w:hanging="360"/>
      </w:pPr>
      <w:rPr>
        <w:rFonts w:ascii="Courier New" w:hAnsi="Courier New" w:hint="default"/>
      </w:rPr>
    </w:lvl>
    <w:lvl w:ilvl="2" w:tplc="4B487AB6">
      <w:start w:val="1"/>
      <w:numFmt w:val="bullet"/>
      <w:lvlText w:val=""/>
      <w:lvlJc w:val="left"/>
      <w:pPr>
        <w:ind w:left="2160" w:hanging="360"/>
      </w:pPr>
      <w:rPr>
        <w:rFonts w:ascii="Wingdings" w:hAnsi="Wingdings" w:hint="default"/>
      </w:rPr>
    </w:lvl>
    <w:lvl w:ilvl="3" w:tplc="1C24F042">
      <w:start w:val="1"/>
      <w:numFmt w:val="bullet"/>
      <w:lvlText w:val=""/>
      <w:lvlJc w:val="left"/>
      <w:pPr>
        <w:ind w:left="2880" w:hanging="360"/>
      </w:pPr>
      <w:rPr>
        <w:rFonts w:ascii="Symbol" w:hAnsi="Symbol" w:hint="default"/>
      </w:rPr>
    </w:lvl>
    <w:lvl w:ilvl="4" w:tplc="CF48ACB0">
      <w:start w:val="1"/>
      <w:numFmt w:val="bullet"/>
      <w:lvlText w:val="o"/>
      <w:lvlJc w:val="left"/>
      <w:pPr>
        <w:ind w:left="3600" w:hanging="360"/>
      </w:pPr>
      <w:rPr>
        <w:rFonts w:ascii="Courier New" w:hAnsi="Courier New" w:hint="default"/>
      </w:rPr>
    </w:lvl>
    <w:lvl w:ilvl="5" w:tplc="87E01124">
      <w:start w:val="1"/>
      <w:numFmt w:val="bullet"/>
      <w:lvlText w:val=""/>
      <w:lvlJc w:val="left"/>
      <w:pPr>
        <w:ind w:left="4320" w:hanging="360"/>
      </w:pPr>
      <w:rPr>
        <w:rFonts w:ascii="Wingdings" w:hAnsi="Wingdings" w:hint="default"/>
      </w:rPr>
    </w:lvl>
    <w:lvl w:ilvl="6" w:tplc="F956DEC8">
      <w:start w:val="1"/>
      <w:numFmt w:val="bullet"/>
      <w:lvlText w:val=""/>
      <w:lvlJc w:val="left"/>
      <w:pPr>
        <w:ind w:left="5040" w:hanging="360"/>
      </w:pPr>
      <w:rPr>
        <w:rFonts w:ascii="Symbol" w:hAnsi="Symbol" w:hint="default"/>
      </w:rPr>
    </w:lvl>
    <w:lvl w:ilvl="7" w:tplc="32069FD4">
      <w:start w:val="1"/>
      <w:numFmt w:val="bullet"/>
      <w:lvlText w:val="o"/>
      <w:lvlJc w:val="left"/>
      <w:pPr>
        <w:ind w:left="5760" w:hanging="360"/>
      </w:pPr>
      <w:rPr>
        <w:rFonts w:ascii="Courier New" w:hAnsi="Courier New" w:hint="default"/>
      </w:rPr>
    </w:lvl>
    <w:lvl w:ilvl="8" w:tplc="F140D56A">
      <w:start w:val="1"/>
      <w:numFmt w:val="bullet"/>
      <w:lvlText w:val=""/>
      <w:lvlJc w:val="left"/>
      <w:pPr>
        <w:ind w:left="6480" w:hanging="360"/>
      </w:pPr>
      <w:rPr>
        <w:rFonts w:ascii="Wingdings" w:hAnsi="Wingdings" w:hint="default"/>
      </w:rPr>
    </w:lvl>
  </w:abstractNum>
  <w:abstractNum w:abstractNumId="1" w15:restartNumberingAfterBreak="0">
    <w:nsid w:val="2DA0DE4A"/>
    <w:multiLevelType w:val="hybridMultilevel"/>
    <w:tmpl w:val="FFFFFFFF"/>
    <w:lvl w:ilvl="0" w:tplc="73AE6C3E">
      <w:start w:val="1"/>
      <w:numFmt w:val="bullet"/>
      <w:lvlText w:val=""/>
      <w:lvlJc w:val="left"/>
      <w:pPr>
        <w:ind w:left="720" w:hanging="360"/>
      </w:pPr>
      <w:rPr>
        <w:rFonts w:ascii="Symbol" w:hAnsi="Symbol" w:hint="default"/>
      </w:rPr>
    </w:lvl>
    <w:lvl w:ilvl="1" w:tplc="18F48840">
      <w:start w:val="1"/>
      <w:numFmt w:val="bullet"/>
      <w:lvlText w:val="o"/>
      <w:lvlJc w:val="left"/>
      <w:pPr>
        <w:ind w:left="1440" w:hanging="360"/>
      </w:pPr>
      <w:rPr>
        <w:rFonts w:ascii="Courier New" w:hAnsi="Courier New" w:hint="default"/>
      </w:rPr>
    </w:lvl>
    <w:lvl w:ilvl="2" w:tplc="88AE171E">
      <w:start w:val="1"/>
      <w:numFmt w:val="bullet"/>
      <w:lvlText w:val=""/>
      <w:lvlJc w:val="left"/>
      <w:pPr>
        <w:ind w:left="2160" w:hanging="360"/>
      </w:pPr>
      <w:rPr>
        <w:rFonts w:ascii="Wingdings" w:hAnsi="Wingdings" w:hint="default"/>
      </w:rPr>
    </w:lvl>
    <w:lvl w:ilvl="3" w:tplc="182E14B2">
      <w:start w:val="1"/>
      <w:numFmt w:val="bullet"/>
      <w:lvlText w:val=""/>
      <w:lvlJc w:val="left"/>
      <w:pPr>
        <w:ind w:left="2880" w:hanging="360"/>
      </w:pPr>
      <w:rPr>
        <w:rFonts w:ascii="Symbol" w:hAnsi="Symbol" w:hint="default"/>
      </w:rPr>
    </w:lvl>
    <w:lvl w:ilvl="4" w:tplc="7486C88A">
      <w:start w:val="1"/>
      <w:numFmt w:val="bullet"/>
      <w:lvlText w:val="o"/>
      <w:lvlJc w:val="left"/>
      <w:pPr>
        <w:ind w:left="3600" w:hanging="360"/>
      </w:pPr>
      <w:rPr>
        <w:rFonts w:ascii="Courier New" w:hAnsi="Courier New" w:hint="default"/>
      </w:rPr>
    </w:lvl>
    <w:lvl w:ilvl="5" w:tplc="0040ED66">
      <w:start w:val="1"/>
      <w:numFmt w:val="bullet"/>
      <w:lvlText w:val=""/>
      <w:lvlJc w:val="left"/>
      <w:pPr>
        <w:ind w:left="4320" w:hanging="360"/>
      </w:pPr>
      <w:rPr>
        <w:rFonts w:ascii="Wingdings" w:hAnsi="Wingdings" w:hint="default"/>
      </w:rPr>
    </w:lvl>
    <w:lvl w:ilvl="6" w:tplc="009A6552">
      <w:start w:val="1"/>
      <w:numFmt w:val="bullet"/>
      <w:lvlText w:val=""/>
      <w:lvlJc w:val="left"/>
      <w:pPr>
        <w:ind w:left="5040" w:hanging="360"/>
      </w:pPr>
      <w:rPr>
        <w:rFonts w:ascii="Symbol" w:hAnsi="Symbol" w:hint="default"/>
      </w:rPr>
    </w:lvl>
    <w:lvl w:ilvl="7" w:tplc="553E7C20">
      <w:start w:val="1"/>
      <w:numFmt w:val="bullet"/>
      <w:lvlText w:val="o"/>
      <w:lvlJc w:val="left"/>
      <w:pPr>
        <w:ind w:left="5760" w:hanging="360"/>
      </w:pPr>
      <w:rPr>
        <w:rFonts w:ascii="Courier New" w:hAnsi="Courier New" w:hint="default"/>
      </w:rPr>
    </w:lvl>
    <w:lvl w:ilvl="8" w:tplc="3EF480DA">
      <w:start w:val="1"/>
      <w:numFmt w:val="bullet"/>
      <w:lvlText w:val=""/>
      <w:lvlJc w:val="left"/>
      <w:pPr>
        <w:ind w:left="6480" w:hanging="360"/>
      </w:pPr>
      <w:rPr>
        <w:rFonts w:ascii="Wingdings" w:hAnsi="Wingdings" w:hint="default"/>
      </w:rPr>
    </w:lvl>
  </w:abstractNum>
  <w:abstractNum w:abstractNumId="2" w15:restartNumberingAfterBreak="0">
    <w:nsid w:val="368975BE"/>
    <w:multiLevelType w:val="hybridMultilevel"/>
    <w:tmpl w:val="FFFFFFFF"/>
    <w:lvl w:ilvl="0" w:tplc="7DF45C42">
      <w:start w:val="1"/>
      <w:numFmt w:val="bullet"/>
      <w:lvlText w:val=""/>
      <w:lvlJc w:val="left"/>
      <w:pPr>
        <w:ind w:left="720" w:hanging="360"/>
      </w:pPr>
      <w:rPr>
        <w:rFonts w:ascii="Symbol" w:hAnsi="Symbol" w:hint="default"/>
      </w:rPr>
    </w:lvl>
    <w:lvl w:ilvl="1" w:tplc="CBA8A4A4">
      <w:start w:val="1"/>
      <w:numFmt w:val="bullet"/>
      <w:lvlText w:val="o"/>
      <w:lvlJc w:val="left"/>
      <w:pPr>
        <w:ind w:left="1440" w:hanging="360"/>
      </w:pPr>
      <w:rPr>
        <w:rFonts w:ascii="Courier New" w:hAnsi="Courier New" w:hint="default"/>
      </w:rPr>
    </w:lvl>
    <w:lvl w:ilvl="2" w:tplc="CDE2FD5A">
      <w:start w:val="1"/>
      <w:numFmt w:val="bullet"/>
      <w:lvlText w:val=""/>
      <w:lvlJc w:val="left"/>
      <w:pPr>
        <w:ind w:left="2160" w:hanging="360"/>
      </w:pPr>
      <w:rPr>
        <w:rFonts w:ascii="Wingdings" w:hAnsi="Wingdings" w:hint="default"/>
      </w:rPr>
    </w:lvl>
    <w:lvl w:ilvl="3" w:tplc="162C1E56">
      <w:start w:val="1"/>
      <w:numFmt w:val="bullet"/>
      <w:lvlText w:val=""/>
      <w:lvlJc w:val="left"/>
      <w:pPr>
        <w:ind w:left="2880" w:hanging="360"/>
      </w:pPr>
      <w:rPr>
        <w:rFonts w:ascii="Symbol" w:hAnsi="Symbol" w:hint="default"/>
      </w:rPr>
    </w:lvl>
    <w:lvl w:ilvl="4" w:tplc="3A96E90E">
      <w:start w:val="1"/>
      <w:numFmt w:val="bullet"/>
      <w:lvlText w:val="o"/>
      <w:lvlJc w:val="left"/>
      <w:pPr>
        <w:ind w:left="3600" w:hanging="360"/>
      </w:pPr>
      <w:rPr>
        <w:rFonts w:ascii="Courier New" w:hAnsi="Courier New" w:hint="default"/>
      </w:rPr>
    </w:lvl>
    <w:lvl w:ilvl="5" w:tplc="72C69428">
      <w:start w:val="1"/>
      <w:numFmt w:val="bullet"/>
      <w:lvlText w:val=""/>
      <w:lvlJc w:val="left"/>
      <w:pPr>
        <w:ind w:left="4320" w:hanging="360"/>
      </w:pPr>
      <w:rPr>
        <w:rFonts w:ascii="Wingdings" w:hAnsi="Wingdings" w:hint="default"/>
      </w:rPr>
    </w:lvl>
    <w:lvl w:ilvl="6" w:tplc="708E5610">
      <w:start w:val="1"/>
      <w:numFmt w:val="bullet"/>
      <w:lvlText w:val=""/>
      <w:lvlJc w:val="left"/>
      <w:pPr>
        <w:ind w:left="5040" w:hanging="360"/>
      </w:pPr>
      <w:rPr>
        <w:rFonts w:ascii="Symbol" w:hAnsi="Symbol" w:hint="default"/>
      </w:rPr>
    </w:lvl>
    <w:lvl w:ilvl="7" w:tplc="3DC07ED8">
      <w:start w:val="1"/>
      <w:numFmt w:val="bullet"/>
      <w:lvlText w:val="o"/>
      <w:lvlJc w:val="left"/>
      <w:pPr>
        <w:ind w:left="5760" w:hanging="360"/>
      </w:pPr>
      <w:rPr>
        <w:rFonts w:ascii="Courier New" w:hAnsi="Courier New" w:hint="default"/>
      </w:rPr>
    </w:lvl>
    <w:lvl w:ilvl="8" w:tplc="CB48FF7C">
      <w:start w:val="1"/>
      <w:numFmt w:val="bullet"/>
      <w:lvlText w:val=""/>
      <w:lvlJc w:val="left"/>
      <w:pPr>
        <w:ind w:left="6480" w:hanging="360"/>
      </w:pPr>
      <w:rPr>
        <w:rFonts w:ascii="Wingdings" w:hAnsi="Wingdings" w:hint="default"/>
      </w:rPr>
    </w:lvl>
  </w:abstractNum>
  <w:abstractNum w:abstractNumId="3" w15:restartNumberingAfterBreak="0">
    <w:nsid w:val="6302C0F7"/>
    <w:multiLevelType w:val="hybridMultilevel"/>
    <w:tmpl w:val="FFFFFFFF"/>
    <w:lvl w:ilvl="0" w:tplc="38740C1A">
      <w:start w:val="1"/>
      <w:numFmt w:val="bullet"/>
      <w:lvlText w:val=""/>
      <w:lvlJc w:val="left"/>
      <w:pPr>
        <w:ind w:left="720" w:hanging="360"/>
      </w:pPr>
      <w:rPr>
        <w:rFonts w:ascii="Symbol" w:hAnsi="Symbol" w:hint="default"/>
      </w:rPr>
    </w:lvl>
    <w:lvl w:ilvl="1" w:tplc="B09864A0">
      <w:start w:val="1"/>
      <w:numFmt w:val="bullet"/>
      <w:lvlText w:val="o"/>
      <w:lvlJc w:val="left"/>
      <w:pPr>
        <w:ind w:left="1440" w:hanging="360"/>
      </w:pPr>
      <w:rPr>
        <w:rFonts w:ascii="Courier New" w:hAnsi="Courier New" w:hint="default"/>
      </w:rPr>
    </w:lvl>
    <w:lvl w:ilvl="2" w:tplc="CDF6E50A">
      <w:start w:val="1"/>
      <w:numFmt w:val="bullet"/>
      <w:lvlText w:val=""/>
      <w:lvlJc w:val="left"/>
      <w:pPr>
        <w:ind w:left="2160" w:hanging="360"/>
      </w:pPr>
      <w:rPr>
        <w:rFonts w:ascii="Wingdings" w:hAnsi="Wingdings" w:hint="default"/>
      </w:rPr>
    </w:lvl>
    <w:lvl w:ilvl="3" w:tplc="675A563A">
      <w:start w:val="1"/>
      <w:numFmt w:val="bullet"/>
      <w:lvlText w:val=""/>
      <w:lvlJc w:val="left"/>
      <w:pPr>
        <w:ind w:left="2880" w:hanging="360"/>
      </w:pPr>
      <w:rPr>
        <w:rFonts w:ascii="Symbol" w:hAnsi="Symbol" w:hint="default"/>
      </w:rPr>
    </w:lvl>
    <w:lvl w:ilvl="4" w:tplc="7466007A">
      <w:start w:val="1"/>
      <w:numFmt w:val="bullet"/>
      <w:lvlText w:val="o"/>
      <w:lvlJc w:val="left"/>
      <w:pPr>
        <w:ind w:left="3600" w:hanging="360"/>
      </w:pPr>
      <w:rPr>
        <w:rFonts w:ascii="Courier New" w:hAnsi="Courier New" w:hint="default"/>
      </w:rPr>
    </w:lvl>
    <w:lvl w:ilvl="5" w:tplc="83CA83DE">
      <w:start w:val="1"/>
      <w:numFmt w:val="bullet"/>
      <w:lvlText w:val=""/>
      <w:lvlJc w:val="left"/>
      <w:pPr>
        <w:ind w:left="4320" w:hanging="360"/>
      </w:pPr>
      <w:rPr>
        <w:rFonts w:ascii="Wingdings" w:hAnsi="Wingdings" w:hint="default"/>
      </w:rPr>
    </w:lvl>
    <w:lvl w:ilvl="6" w:tplc="58FAC730">
      <w:start w:val="1"/>
      <w:numFmt w:val="bullet"/>
      <w:lvlText w:val=""/>
      <w:lvlJc w:val="left"/>
      <w:pPr>
        <w:ind w:left="5040" w:hanging="360"/>
      </w:pPr>
      <w:rPr>
        <w:rFonts w:ascii="Symbol" w:hAnsi="Symbol" w:hint="default"/>
      </w:rPr>
    </w:lvl>
    <w:lvl w:ilvl="7" w:tplc="17A0BB0C">
      <w:start w:val="1"/>
      <w:numFmt w:val="bullet"/>
      <w:lvlText w:val="o"/>
      <w:lvlJc w:val="left"/>
      <w:pPr>
        <w:ind w:left="5760" w:hanging="360"/>
      </w:pPr>
      <w:rPr>
        <w:rFonts w:ascii="Courier New" w:hAnsi="Courier New" w:hint="default"/>
      </w:rPr>
    </w:lvl>
    <w:lvl w:ilvl="8" w:tplc="3ED831F2">
      <w:start w:val="1"/>
      <w:numFmt w:val="bullet"/>
      <w:lvlText w:val=""/>
      <w:lvlJc w:val="left"/>
      <w:pPr>
        <w:ind w:left="6480" w:hanging="360"/>
      </w:pPr>
      <w:rPr>
        <w:rFonts w:ascii="Wingdings" w:hAnsi="Wingdings" w:hint="default"/>
      </w:rPr>
    </w:lvl>
  </w:abstractNum>
  <w:abstractNum w:abstractNumId="4" w15:restartNumberingAfterBreak="0">
    <w:nsid w:val="65C1DF49"/>
    <w:multiLevelType w:val="hybridMultilevel"/>
    <w:tmpl w:val="FFFFFFFF"/>
    <w:lvl w:ilvl="0" w:tplc="F18C1160">
      <w:start w:val="1"/>
      <w:numFmt w:val="bullet"/>
      <w:lvlText w:val=""/>
      <w:lvlJc w:val="left"/>
      <w:pPr>
        <w:ind w:left="780" w:hanging="360"/>
      </w:pPr>
      <w:rPr>
        <w:rFonts w:ascii="Symbol" w:hAnsi="Symbol" w:hint="default"/>
      </w:rPr>
    </w:lvl>
    <w:lvl w:ilvl="1" w:tplc="E92CE5B2">
      <w:start w:val="1"/>
      <w:numFmt w:val="bullet"/>
      <w:lvlText w:val="o"/>
      <w:lvlJc w:val="left"/>
      <w:pPr>
        <w:ind w:left="1440" w:hanging="360"/>
      </w:pPr>
      <w:rPr>
        <w:rFonts w:ascii="Courier New" w:hAnsi="Courier New" w:hint="default"/>
      </w:rPr>
    </w:lvl>
    <w:lvl w:ilvl="2" w:tplc="945056A8">
      <w:start w:val="1"/>
      <w:numFmt w:val="bullet"/>
      <w:lvlText w:val=""/>
      <w:lvlJc w:val="left"/>
      <w:pPr>
        <w:ind w:left="2160" w:hanging="360"/>
      </w:pPr>
      <w:rPr>
        <w:rFonts w:ascii="Wingdings" w:hAnsi="Wingdings" w:hint="default"/>
      </w:rPr>
    </w:lvl>
    <w:lvl w:ilvl="3" w:tplc="E916A5EE">
      <w:start w:val="1"/>
      <w:numFmt w:val="bullet"/>
      <w:lvlText w:val=""/>
      <w:lvlJc w:val="left"/>
      <w:pPr>
        <w:ind w:left="2880" w:hanging="360"/>
      </w:pPr>
      <w:rPr>
        <w:rFonts w:ascii="Symbol" w:hAnsi="Symbol" w:hint="default"/>
      </w:rPr>
    </w:lvl>
    <w:lvl w:ilvl="4" w:tplc="42286BB8">
      <w:start w:val="1"/>
      <w:numFmt w:val="bullet"/>
      <w:lvlText w:val="o"/>
      <w:lvlJc w:val="left"/>
      <w:pPr>
        <w:ind w:left="3600" w:hanging="360"/>
      </w:pPr>
      <w:rPr>
        <w:rFonts w:ascii="Courier New" w:hAnsi="Courier New" w:hint="default"/>
      </w:rPr>
    </w:lvl>
    <w:lvl w:ilvl="5" w:tplc="F05E0670">
      <w:start w:val="1"/>
      <w:numFmt w:val="bullet"/>
      <w:lvlText w:val=""/>
      <w:lvlJc w:val="left"/>
      <w:pPr>
        <w:ind w:left="4320" w:hanging="360"/>
      </w:pPr>
      <w:rPr>
        <w:rFonts w:ascii="Wingdings" w:hAnsi="Wingdings" w:hint="default"/>
      </w:rPr>
    </w:lvl>
    <w:lvl w:ilvl="6" w:tplc="2EEA12F6">
      <w:start w:val="1"/>
      <w:numFmt w:val="bullet"/>
      <w:lvlText w:val=""/>
      <w:lvlJc w:val="left"/>
      <w:pPr>
        <w:ind w:left="5040" w:hanging="360"/>
      </w:pPr>
      <w:rPr>
        <w:rFonts w:ascii="Symbol" w:hAnsi="Symbol" w:hint="default"/>
      </w:rPr>
    </w:lvl>
    <w:lvl w:ilvl="7" w:tplc="E28CB77E">
      <w:start w:val="1"/>
      <w:numFmt w:val="bullet"/>
      <w:lvlText w:val="o"/>
      <w:lvlJc w:val="left"/>
      <w:pPr>
        <w:ind w:left="5760" w:hanging="360"/>
      </w:pPr>
      <w:rPr>
        <w:rFonts w:ascii="Courier New" w:hAnsi="Courier New" w:hint="default"/>
      </w:rPr>
    </w:lvl>
    <w:lvl w:ilvl="8" w:tplc="097636E6">
      <w:start w:val="1"/>
      <w:numFmt w:val="bullet"/>
      <w:lvlText w:val=""/>
      <w:lvlJc w:val="left"/>
      <w:pPr>
        <w:ind w:left="6480" w:hanging="360"/>
      </w:pPr>
      <w:rPr>
        <w:rFonts w:ascii="Wingdings" w:hAnsi="Wingdings" w:hint="default"/>
      </w:rPr>
    </w:lvl>
  </w:abstractNum>
  <w:num w:numId="1" w16cid:durableId="1487820614">
    <w:abstractNumId w:val="2"/>
  </w:num>
  <w:num w:numId="2" w16cid:durableId="2083873560">
    <w:abstractNumId w:val="4"/>
  </w:num>
  <w:num w:numId="3" w16cid:durableId="1193373323">
    <w:abstractNumId w:val="1"/>
  </w:num>
  <w:num w:numId="4" w16cid:durableId="804662045">
    <w:abstractNumId w:val="0"/>
  </w:num>
  <w:num w:numId="5" w16cid:durableId="5216745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2669BA"/>
    <w:rsid w:val="00000004"/>
    <w:rsid w:val="00067BFA"/>
    <w:rsid w:val="002D2142"/>
    <w:rsid w:val="002D3116"/>
    <w:rsid w:val="0032369F"/>
    <w:rsid w:val="00364263"/>
    <w:rsid w:val="004073EC"/>
    <w:rsid w:val="004526EF"/>
    <w:rsid w:val="005A2AC1"/>
    <w:rsid w:val="008043DF"/>
    <w:rsid w:val="008205C0"/>
    <w:rsid w:val="008D1D7D"/>
    <w:rsid w:val="00972259"/>
    <w:rsid w:val="00BA42DF"/>
    <w:rsid w:val="00F35590"/>
    <w:rsid w:val="00FA44E9"/>
    <w:rsid w:val="05CB6603"/>
    <w:rsid w:val="07A51A25"/>
    <w:rsid w:val="07DC741D"/>
    <w:rsid w:val="0896D269"/>
    <w:rsid w:val="12ABBB6C"/>
    <w:rsid w:val="13749334"/>
    <w:rsid w:val="191A5AE8"/>
    <w:rsid w:val="1A5FB2C0"/>
    <w:rsid w:val="1D9D24E3"/>
    <w:rsid w:val="1FA2F505"/>
    <w:rsid w:val="2BC55F4E"/>
    <w:rsid w:val="2CA6F822"/>
    <w:rsid w:val="3549340C"/>
    <w:rsid w:val="36DD723E"/>
    <w:rsid w:val="37E2770E"/>
    <w:rsid w:val="3BB8BFD5"/>
    <w:rsid w:val="3DD84484"/>
    <w:rsid w:val="3EB505E2"/>
    <w:rsid w:val="3F96530C"/>
    <w:rsid w:val="3FFAC1D9"/>
    <w:rsid w:val="4246A8F6"/>
    <w:rsid w:val="4808E263"/>
    <w:rsid w:val="4870AA14"/>
    <w:rsid w:val="4D05BAFC"/>
    <w:rsid w:val="54336E2A"/>
    <w:rsid w:val="555FA4E4"/>
    <w:rsid w:val="563E1173"/>
    <w:rsid w:val="578F0602"/>
    <w:rsid w:val="5CE8D910"/>
    <w:rsid w:val="5E947BAD"/>
    <w:rsid w:val="61CA4FF8"/>
    <w:rsid w:val="6847246D"/>
    <w:rsid w:val="69B9C43E"/>
    <w:rsid w:val="6A3C4300"/>
    <w:rsid w:val="6B8112C4"/>
    <w:rsid w:val="6DD16E62"/>
    <w:rsid w:val="6E2669BA"/>
    <w:rsid w:val="7022208B"/>
    <w:rsid w:val="734A91A7"/>
    <w:rsid w:val="799AE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69BA"/>
  <w15:chartTrackingRefBased/>
  <w15:docId w15:val="{D82EB92B-165C-4103-87ED-5D64A281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uiPriority w:val="34"/>
    <w:qFormat/>
    <w:pPr>
      <w:ind w:left="720"/>
      <w:contextualSpacing/>
    </w:pPr>
  </w:style>
  <w:style w:type="character" w:styleId="Hyperlink">
    <w:name w:val="Hyperlink"/>
    <w:basedOn w:val="Fontdeparagrafimplici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elevating-your-csr-efforts-unique-fundraising-0eks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xhibitinteractive.co.uk/the-importance-of-sustainability-at-events/" TargetMode="External"/><Relationship Id="rId12" Type="http://schemas.openxmlformats.org/officeDocument/2006/relationships/hyperlink" Target="https://www.thesavoylondon.com/meetings-ev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eventsgeelong.com.au/be-inspired/4-reasons-why-winter-is-a-great-time-to-plan-an-event/" TargetMode="External"/><Relationship Id="rId11" Type="http://schemas.openxmlformats.org/officeDocument/2006/relationships/hyperlink" Target="https://www.sportspromedia.com/insights/features/cost-of-living-crisis-live-events-industry-inflation-brexit-covid-the-o2/" TargetMode="External"/><Relationship Id="rId5" Type="http://schemas.openxmlformats.org/officeDocument/2006/relationships/hyperlink" Target="https://betterworld.org/blog/events/behind-the-scenes-planning-and-executing-a-gala-event/" TargetMode="External"/><Relationship Id="rId10" Type="http://schemas.openxmlformats.org/officeDocument/2006/relationships/hyperlink" Target="https://scoopagency.co.uk/news-posts/project-title-8-2-6-2-8-7/" TargetMode="External"/><Relationship Id="rId4" Type="http://schemas.openxmlformats.org/officeDocument/2006/relationships/webSettings" Target="webSettings.xml"/><Relationship Id="rId9" Type="http://schemas.openxmlformats.org/officeDocument/2006/relationships/hyperlink" Target="https://www.linkedin.com/pulse/enhancing-event-experiences-role-visitor-management-catliff-mih-apw2f?trk=organization_guest_main-feed-card_feed-article-cont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3684</Words>
  <Characters>21370</Characters>
  <Application>Microsoft Office Word</Application>
  <DocSecurity>0</DocSecurity>
  <Lines>178</Lines>
  <Paragraphs>50</Paragraphs>
  <ScaleCrop>false</ScaleCrop>
  <Company/>
  <LinksUpToDate>false</LinksUpToDate>
  <CharactersWithSpaces>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cp:keywords/>
  <dc:description/>
  <cp:lastModifiedBy>Ana Stoica (2210328)</cp:lastModifiedBy>
  <cp:revision>10</cp:revision>
  <dcterms:created xsi:type="dcterms:W3CDTF">2024-11-07T19:40:00Z</dcterms:created>
  <dcterms:modified xsi:type="dcterms:W3CDTF">2024-11-07T20:13:00Z</dcterms:modified>
</cp:coreProperties>
</file>