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620B67" w:rsidRDefault="006055A5">
      <w:pPr>
        <w:rPr>
          <w:b/>
        </w:rPr>
      </w:pPr>
      <w:bookmarkStart w:id="0" w:name="_GoBack"/>
      <w:bookmarkEnd w:id="0"/>
      <w:proofErr w:type="spellStart"/>
      <w:r>
        <w:rPr>
          <w:b/>
          <w:color w:val="222222"/>
          <w:highlight w:val="white"/>
        </w:rPr>
        <w:t>Alaur</w:t>
      </w:r>
      <w:proofErr w:type="spellEnd"/>
      <w:r>
        <w:rPr>
          <w:b/>
          <w:color w:val="222222"/>
          <w:highlight w:val="white"/>
        </w:rPr>
        <w:t xml:space="preserve"> Rahman 2123448</w:t>
      </w:r>
    </w:p>
    <w:p w14:paraId="00000002" w14:textId="77777777" w:rsidR="00620B67" w:rsidRDefault="00620B67">
      <w:pPr>
        <w:rPr>
          <w:b/>
        </w:rPr>
      </w:pPr>
    </w:p>
    <w:p w14:paraId="00000003" w14:textId="77777777" w:rsidR="00620B67" w:rsidRDefault="006055A5">
      <w:pPr>
        <w:rPr>
          <w:b/>
        </w:rPr>
      </w:pPr>
      <w:r>
        <w:rPr>
          <w:b/>
        </w:rPr>
        <w:t>introduction</w:t>
      </w:r>
    </w:p>
    <w:p w14:paraId="00000004" w14:textId="77777777" w:rsidR="00620B67" w:rsidRDefault="006055A5">
      <w:r>
        <w:t>Because it is caused by a virus, rubella can spread easily. The symptoms of rubella are typically modest, including a low-grade fever, sore throat, and a rash that begins on the face and spreads to the rest of the body. If a pregnant woman contracts rubella, her unborn child is at risk for miscarriage or severe birth abnormalities. MMR (measles, mumps, rubella) immunization provides the best defense against rubella.</w:t>
      </w:r>
    </w:p>
    <w:p w14:paraId="00000005" w14:textId="77777777" w:rsidR="00620B67" w:rsidRDefault="006055A5">
      <w:r>
        <w:t xml:space="preserve">A </w:t>
      </w:r>
      <w:proofErr w:type="spellStart"/>
      <w:r>
        <w:t>togavirus</w:t>
      </w:r>
      <w:proofErr w:type="spellEnd"/>
      <w:r>
        <w:t xml:space="preserve"> causes rubella, a minor illness. Prodromal symptoms can include mild fever, malaise, </w:t>
      </w:r>
      <w:proofErr w:type="spellStart"/>
      <w:r>
        <w:t>coryza</w:t>
      </w:r>
      <w:proofErr w:type="spellEnd"/>
      <w:r>
        <w:t>, and conjunctivitis.</w:t>
      </w:r>
    </w:p>
    <w:p w14:paraId="00000006" w14:textId="77777777" w:rsidR="00620B67" w:rsidRDefault="006055A5">
      <w:r>
        <w:t>Post-auricular and sub-occipital lymphadenopathy are two types of lymphadenopathy.</w:t>
      </w:r>
    </w:p>
    <w:p w14:paraId="00000007" w14:textId="77777777" w:rsidR="00620B67" w:rsidRDefault="006055A5">
      <w:r>
        <w:t>bring about the rash. Typically, the rash is short-lived, erythematous, and most noticeable</w:t>
      </w:r>
    </w:p>
    <w:p w14:paraId="00000008" w14:textId="77777777" w:rsidR="00620B67" w:rsidRDefault="006055A5">
      <w:r>
        <w:t>place it on your face, neck, and behind your ears. As a result of this, clinical diagnosis is not dependable.</w:t>
      </w:r>
    </w:p>
    <w:p w14:paraId="00000009" w14:textId="77777777" w:rsidR="00620B67" w:rsidRDefault="006055A5">
      <w:r>
        <w:t>A rash is not always present and is not necessarily caused by rubella.</w:t>
      </w:r>
    </w:p>
    <w:p w14:paraId="0000000A" w14:textId="77777777" w:rsidR="00620B67" w:rsidRDefault="006055A5">
      <w:r>
        <w:t>Transmission of rubella occurs during the droplet stage. The average incubation period is between 14 and 21 days.</w:t>
      </w:r>
    </w:p>
    <w:p w14:paraId="0000000B" w14:textId="77777777" w:rsidR="00620B67" w:rsidRDefault="006055A5">
      <w:r>
        <w:t>days, with the average person developing a rash between days 14 and 17 after</w:t>
      </w:r>
    </w:p>
    <w:p w14:paraId="0000000C" w14:textId="77777777" w:rsidR="00620B67" w:rsidRDefault="006055A5">
      <w:r>
        <w:t>exposure. The incubation period for rubella is one week, beginning one week before the onset of symptoms.</w:t>
      </w:r>
    </w:p>
    <w:p w14:paraId="0000000D" w14:textId="77777777" w:rsidR="00620B67" w:rsidRDefault="006055A5">
      <w:r>
        <w:t>four days after the rash appears, symptoms start to show up.</w:t>
      </w:r>
    </w:p>
    <w:p w14:paraId="0000000E" w14:textId="77777777" w:rsidR="00620B67" w:rsidRDefault="006055A5">
      <w:r>
        <w:t xml:space="preserve">The blood disorder </w:t>
      </w:r>
      <w:proofErr w:type="spellStart"/>
      <w:r>
        <w:t>thrombocytopaenia</w:t>
      </w:r>
      <w:proofErr w:type="spellEnd"/>
      <w:r>
        <w:t xml:space="preserve"> (with a possible incidence of one in</w:t>
      </w:r>
    </w:p>
    <w:p w14:paraId="0000000F" w14:textId="77777777" w:rsidR="00620B67" w:rsidRDefault="006055A5">
      <w:r>
        <w:t xml:space="preserve">One in every 3,000 cases of infection is followed by </w:t>
      </w:r>
      <w:proofErr w:type="spellStart"/>
      <w:r>
        <w:t>postinfectious</w:t>
      </w:r>
      <w:proofErr w:type="spellEnd"/>
      <w:r>
        <w:t xml:space="preserve"> encephalitis (1% chance) (</w:t>
      </w:r>
      <w:proofErr w:type="spellStart"/>
      <w:r>
        <w:t>Lokletz</w:t>
      </w:r>
      <w:proofErr w:type="spellEnd"/>
      <w:r>
        <w:t>).</w:t>
      </w:r>
    </w:p>
    <w:p w14:paraId="00000010" w14:textId="77777777" w:rsidR="00620B67" w:rsidRDefault="006055A5">
      <w:proofErr w:type="spellStart"/>
      <w:r>
        <w:t>Plotkin</w:t>
      </w:r>
      <w:proofErr w:type="spellEnd"/>
      <w:r>
        <w:t xml:space="preserve">, and Orenstein, 2004; Reynolds, 1965; </w:t>
      </w:r>
      <w:proofErr w:type="spellStart"/>
      <w:r>
        <w:t>Plotkin</w:t>
      </w:r>
      <w:proofErr w:type="spellEnd"/>
      <w:r>
        <w:t xml:space="preserve"> and Reynolds, 2004). Joint pain and inflammation are common in adults, and</w:t>
      </w:r>
    </w:p>
    <w:p w14:paraId="00000011" w14:textId="77777777" w:rsidR="00620B67" w:rsidRDefault="006055A5">
      <w:r>
        <w:t>Arthralgia has been described seldom following a rubella infection, and persistent arthritis even less frequently (</w:t>
      </w:r>
      <w:proofErr w:type="spellStart"/>
      <w:r>
        <w:t>Plotkin</w:t>
      </w:r>
      <w:proofErr w:type="spellEnd"/>
      <w:r>
        <w:t xml:space="preserve"> and Orenstein, 2004)</w:t>
      </w:r>
    </w:p>
    <w:p w14:paraId="00000012" w14:textId="77777777" w:rsidR="00620B67" w:rsidRDefault="00620B67"/>
    <w:p w14:paraId="00000013" w14:textId="77777777" w:rsidR="00620B67" w:rsidRDefault="006055A5">
      <w:r>
        <w:t>The once-common virus infection of rubella (</w:t>
      </w:r>
      <w:proofErr w:type="spellStart"/>
      <w:r>
        <w:t>german</w:t>
      </w:r>
      <w:proofErr w:type="spellEnd"/>
      <w:r>
        <w:t xml:space="preserve"> measles) is now extremely common in the United Kingdom. Most cases are mild and resolve on their own within a week.</w:t>
      </w:r>
    </w:p>
    <w:p w14:paraId="00000014" w14:textId="77777777" w:rsidR="00620B67" w:rsidRDefault="00620B67"/>
    <w:p w14:paraId="00000015" w14:textId="77777777" w:rsidR="00620B67" w:rsidRDefault="00620B67"/>
    <w:p w14:paraId="00000016" w14:textId="77777777" w:rsidR="00620B67" w:rsidRDefault="006055A5">
      <w:r>
        <w:t>Indicators of rubella infection include:</w:t>
      </w:r>
    </w:p>
    <w:p w14:paraId="00000017" w14:textId="77777777" w:rsidR="00620B67" w:rsidRDefault="00620B67"/>
    <w:p w14:paraId="00000018" w14:textId="77777777" w:rsidR="00620B67" w:rsidRDefault="006055A5">
      <w:pPr>
        <w:numPr>
          <w:ilvl w:val="0"/>
          <w:numId w:val="1"/>
        </w:numPr>
      </w:pPr>
      <w:r>
        <w:t>a blotchy reddish-pink skin rash</w:t>
      </w:r>
    </w:p>
    <w:p w14:paraId="00000019" w14:textId="77777777" w:rsidR="00620B67" w:rsidRDefault="006055A5">
      <w:pPr>
        <w:numPr>
          <w:ilvl w:val="0"/>
          <w:numId w:val="1"/>
        </w:numPr>
      </w:pPr>
      <w:r>
        <w:t>enlarged lymph nodes in the neck and head</w:t>
      </w:r>
    </w:p>
    <w:p w14:paraId="0000001A" w14:textId="77777777" w:rsidR="00620B67" w:rsidRDefault="006055A5">
      <w:r>
        <w:t>an extremely hot climate (fever)</w:t>
      </w:r>
    </w:p>
    <w:p w14:paraId="0000001B" w14:textId="77777777" w:rsidR="00620B67" w:rsidRDefault="006055A5">
      <w:pPr>
        <w:numPr>
          <w:ilvl w:val="0"/>
          <w:numId w:val="2"/>
        </w:numPr>
      </w:pPr>
      <w:r>
        <w:t>symptoms typical of the common cold, including hacking cough and watery eyes</w:t>
      </w:r>
    </w:p>
    <w:p w14:paraId="0000001C" w14:textId="77777777" w:rsidR="00620B67" w:rsidRDefault="006055A5">
      <w:pPr>
        <w:numPr>
          <w:ilvl w:val="0"/>
          <w:numId w:val="2"/>
        </w:numPr>
      </w:pPr>
      <w:r>
        <w:t>joint pain and stiffness, typically experienced by adults</w:t>
      </w:r>
    </w:p>
    <w:p w14:paraId="0000001D" w14:textId="77777777" w:rsidR="00620B67" w:rsidRDefault="006055A5">
      <w:pPr>
        <w:numPr>
          <w:ilvl w:val="0"/>
          <w:numId w:val="2"/>
        </w:numPr>
      </w:pPr>
      <w:r>
        <w:t>While rubella fever and other symptoms often only last a few days, enlarged glands can linger for weeks.</w:t>
      </w:r>
    </w:p>
    <w:p w14:paraId="0000001E" w14:textId="77777777" w:rsidR="00620B67" w:rsidRDefault="00620B67"/>
    <w:p w14:paraId="0000001F" w14:textId="77777777" w:rsidR="00620B67" w:rsidRDefault="00620B67"/>
    <w:p w14:paraId="00000020" w14:textId="77777777" w:rsidR="00620B67" w:rsidRDefault="006055A5">
      <w:pPr>
        <w:rPr>
          <w:b/>
        </w:rPr>
      </w:pPr>
      <w:r>
        <w:rPr>
          <w:b/>
        </w:rPr>
        <w:lastRenderedPageBreak/>
        <w:t xml:space="preserve">Main body </w:t>
      </w:r>
    </w:p>
    <w:p w14:paraId="00000021" w14:textId="77777777" w:rsidR="00620B67" w:rsidRDefault="00620B67"/>
    <w:p w14:paraId="00000022" w14:textId="77777777" w:rsidR="00620B67" w:rsidRDefault="006055A5">
      <w:r>
        <w:t xml:space="preserve">Prior to the introduction of rubella immunization, rubella was widespread among children, and more than 80% of adults tested positive for having had rubella at some point in their lives (Morgan </w:t>
      </w:r>
      <w:proofErr w:type="spellStart"/>
      <w:r>
        <w:t>Capner</w:t>
      </w:r>
      <w:proofErr w:type="spellEnd"/>
      <w:r>
        <w:t xml:space="preserve"> et al., 1988).</w:t>
      </w:r>
    </w:p>
    <w:p w14:paraId="00000023" w14:textId="77777777" w:rsidR="00620B67" w:rsidRDefault="006055A5">
      <w:r>
        <w:t>In 1970, the United Kingdom implemented a rubella immunization program for prepubescent girls and non-immune women of reproductive age to reduce the risk of rubella infection during pregnancy. The goal of this technique, rather than preventing the spread of rubella, was to directly protect women of reproductive age by raising the percentage of women who were antibody positive for rubella, which rose from 85–90% before 1970 to 97–98% by 1987. (</w:t>
      </w:r>
      <w:proofErr w:type="spellStart"/>
      <w:r>
        <w:t>Vyse</w:t>
      </w:r>
      <w:proofErr w:type="spellEnd"/>
      <w:r>
        <w:t xml:space="preserve"> et al., 2002).</w:t>
      </w:r>
    </w:p>
    <w:p w14:paraId="00000024" w14:textId="77777777" w:rsidR="00620B67" w:rsidRDefault="006055A5">
      <w:r>
        <w:t>For the purpose of tracking the results of the vaccination program, congenital rubella surveillance was set up in 1971. For the years 1971–1975, the average yearly number of CRS births and terminations in the United Kingdom was 48 and 742, respectively (</w:t>
      </w:r>
      <w:proofErr w:type="spellStart"/>
      <w:r>
        <w:t>Tookey</w:t>
      </w:r>
      <w:proofErr w:type="spellEnd"/>
      <w:r>
        <w:t xml:space="preserve"> &amp; </w:t>
      </w:r>
      <w:proofErr w:type="spellStart"/>
      <w:r>
        <w:t>Peckham</w:t>
      </w:r>
      <w:proofErr w:type="spellEnd"/>
      <w:r>
        <w:t>, 1999). (see Figure 28.1).</w:t>
      </w:r>
    </w:p>
    <w:p w14:paraId="00000025" w14:textId="77777777" w:rsidR="00620B67" w:rsidRDefault="006055A5">
      <w:r>
        <w:t>Cases of rubella during pregnancy persisted despite the success of the selective immunization approach in reducing CRS and abortion rates. This was because the few remaining susceptible females could contract rubella from their own or their friends' children.</w:t>
      </w:r>
    </w:p>
    <w:p w14:paraId="00000026" w14:textId="77777777" w:rsidR="00620B67" w:rsidRDefault="006055A5">
      <w:r>
        <w:t xml:space="preserve">The measles, mumps, and rubella (MMR) vaccine were first used for universal immunization against rubella in October 1988. The policy's intention was to prevent adult women who were particularly vulnerable to rubella from being exposed by breaking the transmission cycle among small children. As part of the same legislation, rubella became a reportable illness. Since the advent of MMR, the prevalence of rubella in infants and toddlers has decreased dramatically, and the number of rubella infections in pregnant women has dropped from 167 in 1987 to just one in 2003. Rubella susceptibility was shown to be quite prevalent among school-aged children in a </w:t>
      </w:r>
      <w:proofErr w:type="spellStart"/>
      <w:r>
        <w:t>seroprevalence</w:t>
      </w:r>
      <w:proofErr w:type="spellEnd"/>
      <w:r>
        <w:t xml:space="preserve"> survey conducted in 1989, with a higher proportion among men (Miller et al., 1991). Notifications and laboratory-confirmed cases of rubella spiked dramatically in 1993. Many of the people who got sick could not have gotten the MMR or rubella immunization because of ineligibility. The schools campaign in November 1994 employed the combined measles-rubella (MR) vaccine for this reason. When a two-dose MMR schedule was implemented in October 1996, the practice of only vaccinating teenage girls selectively was ended. In the United Kingdom, rubella against rubella is routinely administered as a single dosage, and this provides between 95 and 100 percent protection (</w:t>
      </w:r>
      <w:proofErr w:type="spellStart"/>
      <w:r>
        <w:t>Plotkin</w:t>
      </w:r>
      <w:proofErr w:type="spellEnd"/>
      <w:r>
        <w:t xml:space="preserve"> and Orenstein, 2004).</w:t>
      </w:r>
    </w:p>
    <w:p w14:paraId="00000027" w14:textId="77777777" w:rsidR="00620B67" w:rsidRDefault="006055A5">
      <w:r>
        <w:t>High coverage rates for both doses of the MMR vaccine have been regularly maintained in Finland since the country switched to a two-dose schedule in 1982. Since 1994, indigenous measles, mumps, and rubella have not been detected (</w:t>
      </w:r>
      <w:proofErr w:type="spellStart"/>
      <w:r>
        <w:t>Peltola</w:t>
      </w:r>
      <w:proofErr w:type="spellEnd"/>
      <w:r>
        <w:t xml:space="preserve"> et al., 1994). U.S. officials declared an end to endemic transmission in 2000 after using a two-dose strategy (</w:t>
      </w:r>
      <w:proofErr w:type="spellStart"/>
      <w:r>
        <w:t>Plotkin</w:t>
      </w:r>
      <w:proofErr w:type="spellEnd"/>
      <w:r>
        <w:t xml:space="preserve"> &amp; Orenstein, 2004, Chapter 20). Vaccination against measles, mumps, and rubella (MMR) is now standard practice in over a hundred nations.</w:t>
      </w:r>
    </w:p>
    <w:p w14:paraId="00000028" w14:textId="77777777" w:rsidR="00620B67" w:rsidRDefault="006055A5">
      <w:r>
        <w:t>In 1996, the United Kingdom had another spike in cases of rubella. Many of these incidents involved young men who were already out of high school when the MR campaign was launched in 1994. (</w:t>
      </w:r>
      <w:proofErr w:type="spellStart"/>
      <w:r>
        <w:t>Vyse</w:t>
      </w:r>
      <w:proofErr w:type="spellEnd"/>
      <w:r>
        <w:t xml:space="preserve"> et al., 2002)</w:t>
      </w:r>
    </w:p>
    <w:p w14:paraId="00000029" w14:textId="77777777" w:rsidR="00620B67" w:rsidRDefault="006055A5">
      <w:r>
        <w:lastRenderedPageBreak/>
        <w:t>Only around a third of CRS babies born after 1991 have been born to moms who contracted the virus in the UK. Two-thirds of babies born to CRS mothers were born to mothers who were not U.S. citizens. About half of these women contracted the disease while abroad, most often in the first trimester of pregnancy. The remaining women all became infected after moving to the UK, typically within two years (</w:t>
      </w:r>
      <w:proofErr w:type="spellStart"/>
      <w:r>
        <w:t>Rahi</w:t>
      </w:r>
      <w:proofErr w:type="spellEnd"/>
      <w:r>
        <w:t xml:space="preserve"> et al., 2001; </w:t>
      </w:r>
      <w:proofErr w:type="spellStart"/>
      <w:r>
        <w:t>Tookey</w:t>
      </w:r>
      <w:proofErr w:type="spellEnd"/>
      <w:r>
        <w:t xml:space="preserve"> and </w:t>
      </w:r>
      <w:proofErr w:type="spellStart"/>
      <w:r>
        <w:t>Peckham</w:t>
      </w:r>
      <w:proofErr w:type="spellEnd"/>
      <w:r>
        <w:t xml:space="preserve">, 1999; </w:t>
      </w:r>
      <w:proofErr w:type="spellStart"/>
      <w:r>
        <w:t>Tookey</w:t>
      </w:r>
      <w:proofErr w:type="spellEnd"/>
      <w:r>
        <w:t xml:space="preserve"> et al., 2002; </w:t>
      </w:r>
      <w:proofErr w:type="spellStart"/>
      <w:r>
        <w:t>Tookey</w:t>
      </w:r>
      <w:proofErr w:type="spellEnd"/>
      <w:r>
        <w:t>, 2004). Higher susceptibility rates among some minority ethnic groups in the UK who were neither infected nor immunized prior to coming to this nation explain this later observation (</w:t>
      </w:r>
      <w:proofErr w:type="spellStart"/>
      <w:r>
        <w:t>Tookey</w:t>
      </w:r>
      <w:proofErr w:type="spellEnd"/>
      <w:r>
        <w:t xml:space="preserve"> et al., 2002). The incidence of CRS in the pre-vaccine era can be estimated by looking at the percentage of children in the population who have sensorineural deafness that can be attributed to rubella; however, there are no estimates for the annual number of rubella-handicapped children born before 1971. Twenty-four percent of the 349 children with sensorineural deafness and nine percent of the 219 children with other problems tested positive for rubella antibody in a study conducted by </w:t>
      </w:r>
      <w:proofErr w:type="spellStart"/>
      <w:r>
        <w:t>Peckham</w:t>
      </w:r>
      <w:proofErr w:type="spellEnd"/>
      <w:r>
        <w:t xml:space="preserve"> and her colleagues between 1972 and 1975 and involving 568 children under the age of four who visited the </w:t>
      </w:r>
      <w:proofErr w:type="spellStart"/>
      <w:r>
        <w:t>Xuffield</w:t>
      </w:r>
      <w:proofErr w:type="spellEnd"/>
      <w:r>
        <w:t xml:space="preserve"> Hearing and Speech Centre. This means that between 15 and 20 out of every 1,000 newborns are born with sensorineural deafness due to the effects of congenital rubella.</w:t>
      </w:r>
    </w:p>
    <w:p w14:paraId="0000002A" w14:textId="77777777" w:rsidR="00620B67" w:rsidRDefault="006055A5">
      <w:r>
        <w:t xml:space="preserve">Likewise, it has been calculated that approximately 2% of the 6/1000 children born with a congenital cardiac abnormality have rubella </w:t>
      </w:r>
      <w:proofErr w:type="spellStart"/>
      <w:r>
        <w:t>embryopathy</w:t>
      </w:r>
      <w:proofErr w:type="spellEnd"/>
      <w:r>
        <w:t xml:space="preserve"> . In a non-epidemic year, it is estimated that 200-300 of the 650000 children born in England and Wales have congenital rubella defects ; the number of rubella damaged children born in an epidemic year could be up to 10 times as high. This is because the majority of rubella-attributable heart defects occur in conjunction with deafness.</w:t>
      </w:r>
    </w:p>
    <w:p w14:paraId="0000002B" w14:textId="77777777" w:rsidR="00620B67" w:rsidRDefault="006055A5">
      <w:r>
        <w:t>Although there has been a considerable decrease trend in the annual number of reported cases of CRS over the last 20 years, this decline did not occur immediately after the introduction of selective rubella vaccination. However, CRS births are only one of the negative outcomes of rubella in pregnancy, and the annual number of rubella-associated terminations of pregnancy must also be considered in order to measure the overall impact of the UK vaccination campaign. Both measures demonstrate the devastating impact of rubella epidemics. The number of children reported to the NCRSP and the number of abortions attributed to rubella increased from 17 in 1977 to 56 in 1978 (an epidemic year), and from 184 in 1977 (a non-epidemic year).</w:t>
      </w:r>
    </w:p>
    <w:p w14:paraId="0000002C" w14:textId="77777777" w:rsidR="00620B67" w:rsidRDefault="00620B67"/>
    <w:p w14:paraId="0000002D" w14:textId="77777777" w:rsidR="00620B67" w:rsidRDefault="006055A5">
      <w:r>
        <w:t>Populations Affected</w:t>
      </w:r>
    </w:p>
    <w:p w14:paraId="0000002E" w14:textId="77777777" w:rsidR="00620B67" w:rsidRDefault="00620B67"/>
    <w:p w14:paraId="0000002F" w14:textId="77777777" w:rsidR="00620B67" w:rsidRDefault="006055A5">
      <w:r>
        <w:t>Both sexes are equally susceptible to contracting rubella. An estimated 12.5 million cases of rubella and 20,000 cases of congenital rubella syndrome occurred in the United States during 1964 and 1965. This epidemic also resulted in more than 11,600 babies being born deaf, 11,250 fetal deaths, 2,100 neonatal deaths, 3,580 babies being born blind, and 1,800 babies being born with mental retardation. Rubella has been part of the measles, mumps, and rubella (MMR) vaccination that is given to infants and toddlers since 1969.</w:t>
      </w:r>
    </w:p>
    <w:p w14:paraId="00000030" w14:textId="77777777" w:rsidR="00620B67" w:rsidRDefault="006055A5">
      <w:r>
        <w:t>The following diseases sometimes exhibit symptoms that are similar to rubella. When trying to make a diagnosis, it can help to draw parallels.</w:t>
      </w:r>
    </w:p>
    <w:p w14:paraId="00000031" w14:textId="77777777" w:rsidR="00620B67" w:rsidRDefault="006055A5">
      <w:r>
        <w:t xml:space="preserve">Itchy skin that develops after prolonged skin contact with an allergenic substance is known as allergic contact dermatitis. It appears a few hours after skin contact with the offending material and fades away over several days. Unlike food allergies, which develop after ingesting the </w:t>
      </w:r>
      <w:r>
        <w:lastRenderedPageBreak/>
        <w:t>offending substance, contact allergies manifest externally, on the skin. Most people who develop an allergy to a substance have been exposed to it for years prior to developing symptoms after their initial encounter.</w:t>
      </w:r>
    </w:p>
    <w:p w14:paraId="00000032" w14:textId="77777777" w:rsidR="00620B67" w:rsidRDefault="00620B67"/>
    <w:p w14:paraId="00000033" w14:textId="77777777" w:rsidR="00620B67" w:rsidRDefault="006055A5">
      <w:r>
        <w:t>The human cytomegalovirus (CMV) is ubiquitous, affecting people of all racial, ethnic, and socioeconomic backgrounds. Between half and eighty-five percent of American individuals contract it by their forties. Furthermore, fetal CMV infection is common and can be passed from mother to child before delivery. The prevalence of CMV is highest in low-income nations and populations. Those who contract CMV later in life and are otherwise healthy typically show no symptoms and suffer no long-term repercussions. Symptoms in these persons can be likened to those of mononucleosis, including a protracted fever and moderate hepatitis. After a person contracts the virus, it will stay latent within their body for the rest of their lives. Disease recurrence is extremely uncommon unless the patient's immune system has been compromised by treatment or another condition.</w:t>
      </w:r>
    </w:p>
    <w:p w14:paraId="00000034" w14:textId="77777777" w:rsidR="00620B67" w:rsidRDefault="006055A5">
      <w:r>
        <w:t>Another extremely common illness, herpesvirus 6 infection (HHV-6) is expected to affect between 90 and 95 percent of the global population. Primary HHV-6 infection typically occurs before the age of 2 and manifests as a mild feverish sickness. Ages 6-9 months are when infections are most common. In most cases, you'll have to wait around for another six days once the infection clears up. The absence of the small, irregular, brilliant red spots (</w:t>
      </w:r>
      <w:proofErr w:type="spellStart"/>
      <w:r>
        <w:t>Koplik's</w:t>
      </w:r>
      <w:proofErr w:type="spellEnd"/>
      <w:r>
        <w:t xml:space="preserve"> spots) on the mucous membranes inside the cheeks and on the tongue, as well as an aversion to light and a cough, are clinically distinguishing features of rubella compared to measles. The symptoms of measles are more severe and the duration of the illness is longer than those of rubella.</w:t>
      </w:r>
    </w:p>
    <w:p w14:paraId="00000035" w14:textId="77777777" w:rsidR="00620B67" w:rsidRDefault="006055A5">
      <w:pPr>
        <w:rPr>
          <w:b/>
        </w:rPr>
      </w:pPr>
      <w:r>
        <w:t xml:space="preserve"> </w:t>
      </w:r>
    </w:p>
    <w:p w14:paraId="00000036" w14:textId="77777777" w:rsidR="00620B67" w:rsidRDefault="006055A5">
      <w:pPr>
        <w:rPr>
          <w:b/>
        </w:rPr>
      </w:pPr>
      <w:r>
        <w:rPr>
          <w:b/>
        </w:rPr>
        <w:t xml:space="preserve">Conclusion </w:t>
      </w:r>
    </w:p>
    <w:p w14:paraId="00000037" w14:textId="77777777" w:rsidR="00620B67" w:rsidRDefault="006055A5">
      <w:r>
        <w:t>a, as well as data on abortions and live births of infants with congenital rubella syndrome, indicate the selective strategy's success in reducing the incidence of CRS but also demonstrate the need for a combined approach if elimination is to be accomplished. About a couple of years ago Since the introduction of the MMR vaccine, there have been promising signals that the United Kingdom can achieve its goal of eliminating congenital rubella.</w:t>
      </w:r>
    </w:p>
    <w:p w14:paraId="00000038" w14:textId="77777777" w:rsidR="00620B67" w:rsidRDefault="006055A5">
      <w:r>
        <w:t>Continuous monitoring of vaccine uptake, rubella susceptibility, and the incidence of acquired and congenital rubella infections will help direct the MMR program towards this goal.</w:t>
      </w:r>
    </w:p>
    <w:p w14:paraId="00000039" w14:textId="77777777" w:rsidR="00620B67" w:rsidRDefault="006055A5">
      <w:r>
        <w:t>Contamination is fundamental. Susceptibility monitoring is especially crucial in</w:t>
      </w:r>
    </w:p>
    <w:p w14:paraId="0000003A" w14:textId="77777777" w:rsidR="00620B67" w:rsidRDefault="006055A5">
      <w:r>
        <w:t>pregnant ladies to see if the present rate of selective abortion is safe.</w:t>
      </w:r>
    </w:p>
    <w:p w14:paraId="0000003B" w14:textId="77777777" w:rsidR="00620B67" w:rsidRDefault="006055A5">
      <w:r>
        <w:t>The continuation of rubella immunization programs is expected to continue. Constantly watching</w:t>
      </w:r>
    </w:p>
    <w:p w14:paraId="0000003C" w14:textId="77777777" w:rsidR="00620B67" w:rsidRDefault="006055A5">
      <w:r>
        <w:t>Not only is it crucial to evaluate the vulnerability of the target demographic, but also of the wider community.</w:t>
      </w:r>
    </w:p>
    <w:p w14:paraId="0000003D" w14:textId="77777777" w:rsidR="00620B67" w:rsidRDefault="006055A5">
      <w:r>
        <w:t>Evaluating the immediate impact of MMR vaccination on lower age groups, and estimating the indirect</w:t>
      </w:r>
    </w:p>
    <w:p w14:paraId="0000003E" w14:textId="77777777" w:rsidR="00620B67" w:rsidRDefault="006055A5">
      <w:r>
        <w:t>Those who were not vaccinated as children are now at a higher risk of escaping as a result.</w:t>
      </w:r>
    </w:p>
    <w:p w14:paraId="0000003F" w14:textId="77777777" w:rsidR="00620B67" w:rsidRDefault="006055A5">
      <w:r>
        <w:t>virus because to less opportunity to catch it. Despite the fact that rubella has an established, widespread</w:t>
      </w:r>
    </w:p>
    <w:p w14:paraId="00000040" w14:textId="77777777" w:rsidR="00620B67" w:rsidRDefault="006055A5">
      <w:r>
        <w:t>As long as the spread of this virus has the potential to cause more epidemics among certain demographics, we should be very concerned.</w:t>
      </w:r>
    </w:p>
    <w:p w14:paraId="00000041" w14:textId="77777777" w:rsidR="00620B67" w:rsidRDefault="006055A5">
      <w:r>
        <w:lastRenderedPageBreak/>
        <w:t>high number of twenty-somethings, as in the age group typically seen working in or attending school in a hospital.</w:t>
      </w:r>
    </w:p>
    <w:p w14:paraId="00000042" w14:textId="77777777" w:rsidR="00620B67" w:rsidRDefault="006055A5">
      <w:r>
        <w:t>The UK's extensive monitoring infrastructure, however, should</w:t>
      </w:r>
    </w:p>
    <w:p w14:paraId="00000043" w14:textId="77777777" w:rsidR="00620B67" w:rsidRDefault="006055A5">
      <w:r>
        <w:t>early intervention, such as a heavy dose of immunization,</w:t>
      </w:r>
    </w:p>
    <w:p w14:paraId="00000044" w14:textId="77777777" w:rsidR="00620B67" w:rsidRDefault="006055A5">
      <w:r>
        <w:t>The campaign aimed at those most likely to contract it, or the implementation of a two-stage MMR vaccination scheme at the national level. Together, the members of the</w:t>
      </w:r>
    </w:p>
    <w:p w14:paraId="00000045" w14:textId="77777777" w:rsidR="00620B67" w:rsidRDefault="006055A5">
      <w:r>
        <w:t xml:space="preserve">with the help of public health services, we </w:t>
      </w:r>
    </w:p>
    <w:p w14:paraId="00000046" w14:textId="77777777" w:rsidR="00620B67" w:rsidRDefault="006055A5">
      <w:r>
        <w:t>may one day be able to wipe out both endemic and epidemic cases of rubella</w:t>
      </w:r>
    </w:p>
    <w:p w14:paraId="00000047" w14:textId="77777777" w:rsidR="00620B67" w:rsidRDefault="006055A5">
      <w:r>
        <w:t>become a reality in the UK by the year 2029.</w:t>
      </w:r>
    </w:p>
    <w:p w14:paraId="00000048" w14:textId="77777777" w:rsidR="00620B67" w:rsidRDefault="00620B67">
      <w:pPr>
        <w:rPr>
          <w:b/>
        </w:rPr>
      </w:pPr>
    </w:p>
    <w:p w14:paraId="00000049" w14:textId="77777777" w:rsidR="00620B67" w:rsidRDefault="00620B67">
      <w:pPr>
        <w:rPr>
          <w:b/>
        </w:rPr>
      </w:pPr>
    </w:p>
    <w:p w14:paraId="0000004A" w14:textId="77777777" w:rsidR="00620B67" w:rsidRDefault="00620B67">
      <w:pPr>
        <w:rPr>
          <w:b/>
        </w:rPr>
      </w:pPr>
    </w:p>
    <w:p w14:paraId="0000004B" w14:textId="77777777" w:rsidR="00620B67" w:rsidRDefault="006055A5">
      <w:pPr>
        <w:rPr>
          <w:b/>
        </w:rPr>
      </w:pPr>
      <w:r>
        <w:rPr>
          <w:b/>
        </w:rPr>
        <w:t>REFERENCE</w:t>
      </w:r>
    </w:p>
    <w:p w14:paraId="0000004C" w14:textId="77777777" w:rsidR="00620B67" w:rsidRDefault="00620B67"/>
    <w:p w14:paraId="0000004D" w14:textId="77777777" w:rsidR="00620B67" w:rsidRDefault="006055A5">
      <w:pPr>
        <w:rPr>
          <w:b/>
        </w:rPr>
      </w:pPr>
      <w:r>
        <w:rPr>
          <w:b/>
        </w:rPr>
        <w:t xml:space="preserve">1 </w:t>
      </w:r>
    </w:p>
    <w:p w14:paraId="0000004E" w14:textId="77777777" w:rsidR="00620B67" w:rsidRDefault="006055A5">
      <w:r>
        <w:t xml:space="preserve">Afzal MA, </w:t>
      </w:r>
      <w:proofErr w:type="spellStart"/>
      <w:r>
        <w:t>Ozoemena</w:t>
      </w:r>
      <w:proofErr w:type="spellEnd"/>
      <w:r>
        <w:t xml:space="preserve"> LC, O’Hare A et al. (2006) Absence of detectable measles virus genome sequence in blood of autistic children who have had their MMR vaccination during the routine childhood immunization schedule of the UK. J Med </w:t>
      </w:r>
      <w:proofErr w:type="spellStart"/>
      <w:r>
        <w:t>Virol</w:t>
      </w:r>
      <w:proofErr w:type="spellEnd"/>
      <w:r>
        <w:t xml:space="preserve"> 78: 623–30.</w:t>
      </w:r>
    </w:p>
    <w:p w14:paraId="0000004F" w14:textId="77777777" w:rsidR="00620B67" w:rsidRDefault="00620B67"/>
    <w:p w14:paraId="00000050" w14:textId="77777777" w:rsidR="00620B67" w:rsidRDefault="006055A5">
      <w:r>
        <w:rPr>
          <w:b/>
        </w:rPr>
        <w:t>2.</w:t>
      </w:r>
      <w:r>
        <w:t>Bohlke K, Davis RL, Moray SH et al. (2003) Risk of anaphylaxis after vaccination of children and adolescents. Pediatrics 112: 815–20.</w:t>
      </w:r>
    </w:p>
    <w:p w14:paraId="00000051" w14:textId="77777777" w:rsidR="00620B67" w:rsidRDefault="00620B67"/>
    <w:p w14:paraId="00000052" w14:textId="77777777" w:rsidR="00620B67" w:rsidRDefault="006055A5">
      <w:r>
        <w:rPr>
          <w:b/>
        </w:rPr>
        <w:t>3</w:t>
      </w:r>
      <w:r>
        <w:t xml:space="preserve">.Fasano MB, Wood RA, Cooke SK and Sampson HA (1992) Egg hypersensitivity and adverse reactions to measles, mumps and rubella vaccine. J </w:t>
      </w:r>
      <w:proofErr w:type="spellStart"/>
      <w:r>
        <w:t>Pediatr</w:t>
      </w:r>
      <w:proofErr w:type="spellEnd"/>
      <w:r>
        <w:t xml:space="preserve"> 120: 878–81.</w:t>
      </w:r>
    </w:p>
    <w:p w14:paraId="00000053" w14:textId="77777777" w:rsidR="00620B67" w:rsidRDefault="006055A5">
      <w:r>
        <w:rPr>
          <w:b/>
        </w:rPr>
        <w:t>4</w:t>
      </w:r>
      <w:r>
        <w:t xml:space="preserve"> </w:t>
      </w:r>
      <w:proofErr w:type="spellStart"/>
      <w:r>
        <w:t>Gilat</w:t>
      </w:r>
      <w:proofErr w:type="spellEnd"/>
      <w:r>
        <w:t xml:space="preserve"> T, </w:t>
      </w:r>
      <w:proofErr w:type="spellStart"/>
      <w:r>
        <w:t>Hacohen</w:t>
      </w:r>
      <w:proofErr w:type="spellEnd"/>
      <w:r>
        <w:t xml:space="preserve"> D, </w:t>
      </w:r>
      <w:proofErr w:type="spellStart"/>
      <w:r>
        <w:t>Lilos</w:t>
      </w:r>
      <w:proofErr w:type="spellEnd"/>
      <w:r>
        <w:t xml:space="preserve"> P and </w:t>
      </w:r>
      <w:proofErr w:type="spellStart"/>
      <w:r>
        <w:t>Langman</w:t>
      </w:r>
      <w:proofErr w:type="spellEnd"/>
      <w:r>
        <w:t xml:space="preserve"> MJ (1987) Childhood factors in ulcerative colitis and Crohn’s disease. An international co-</w:t>
      </w:r>
      <w:proofErr w:type="spellStart"/>
      <w:r>
        <w:t>opreative</w:t>
      </w:r>
      <w:proofErr w:type="spellEnd"/>
      <w:r>
        <w:t xml:space="preserve"> study. Scan J Gastroenterology 22: 1009–24.</w:t>
      </w:r>
    </w:p>
    <w:p w14:paraId="00000054" w14:textId="77777777" w:rsidR="00620B67" w:rsidRDefault="00620B67"/>
    <w:p w14:paraId="00000055" w14:textId="77777777" w:rsidR="00620B67" w:rsidRDefault="006055A5">
      <w:r>
        <w:t>5.</w:t>
      </w:r>
      <w:hyperlink r:id="rId5">
        <w:r>
          <w:rPr>
            <w:color w:val="1155CC"/>
            <w:u w:val="single"/>
          </w:rPr>
          <w:t>https://www.nhs.uk/conditions/vaccinations/mmr-vaccine/</w:t>
        </w:r>
      </w:hyperlink>
    </w:p>
    <w:p w14:paraId="00000056" w14:textId="77777777" w:rsidR="00620B67" w:rsidRDefault="006055A5">
      <w:r>
        <w:t>6.</w:t>
      </w:r>
      <w:hyperlink r:id="rId6">
        <w:r>
          <w:rPr>
            <w:color w:val="1155CC"/>
            <w:u w:val="single"/>
          </w:rPr>
          <w:t>https://ukhsa.blog.gov.uk/2019/08/19/measles-in-england/</w:t>
        </w:r>
      </w:hyperlink>
    </w:p>
    <w:p w14:paraId="00000057" w14:textId="77777777" w:rsidR="00620B67" w:rsidRDefault="006055A5">
      <w:r>
        <w:t>7.</w:t>
      </w:r>
      <w:hyperlink r:id="rId7">
        <w:r>
          <w:rPr>
            <w:color w:val="1155CC"/>
            <w:u w:val="single"/>
          </w:rPr>
          <w:t>https://rarediseases.org/rare-diseases/rubella/</w:t>
        </w:r>
      </w:hyperlink>
    </w:p>
    <w:p w14:paraId="00000058" w14:textId="77777777" w:rsidR="00620B67" w:rsidRDefault="006055A5">
      <w:r>
        <w:t>8.</w:t>
      </w:r>
      <w:hyperlink r:id="rId8">
        <w:r>
          <w:rPr>
            <w:color w:val="1155CC"/>
            <w:u w:val="single"/>
          </w:rPr>
          <w:t>https://www.canada.ca/en/public-health/services/laboratory-biosafety-biosecurity/pathogen-safety-data-sheets-risk-assessment/rubella-virus.html</w:t>
        </w:r>
      </w:hyperlink>
    </w:p>
    <w:p w14:paraId="00000059" w14:textId="77777777" w:rsidR="00620B67" w:rsidRDefault="00620B67"/>
    <w:sectPr w:rsidR="00620B6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893F1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46668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0B67"/>
    <w:rsid w:val="00454E74"/>
    <w:rsid w:val="006055A5"/>
    <w:rsid w:val="00620B67"/>
    <w:rsid w:val="00AF5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83520DD-C11D-DA4D-A6F1-2FA781485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canada.ca/en/public-health/services/laboratory-biosafety-biosecurity/pathogen-safety-data-sheets-risk-assessment/rubella-virus.html" TargetMode="External"/><Relationship Id="rId3" Type="http://schemas.openxmlformats.org/officeDocument/2006/relationships/settings" Target="settings.xml"/><Relationship Id="rId7" Type="http://schemas.openxmlformats.org/officeDocument/2006/relationships/hyperlink" Target="https://rarediseases.org/rare-diseases/rubell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hsa.blog.gov.uk/2019/08/19/measles-in-england/" TargetMode="External"/><Relationship Id="rId5" Type="http://schemas.openxmlformats.org/officeDocument/2006/relationships/hyperlink" Target="https://www.nhs.uk/conditions/vaccinations/mmr-vaccin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2173</Words>
  <Characters>12390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Razon</dc:creator>
  <cp:lastModifiedBy>Razon</cp:lastModifiedBy>
  <cp:revision>2</cp:revision>
  <dcterms:created xsi:type="dcterms:W3CDTF">2022-11-21T15:25:00Z</dcterms:created>
  <dcterms:modified xsi:type="dcterms:W3CDTF">2022-11-21T15:25:00Z</dcterms:modified>
</cp:coreProperties>
</file>