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png" ContentType="image/png"/>
  <Default Extension="jpeg" ContentType="image/jpeg"/>
  <Override PartName="/_rels/.rels" ContentType="application/vnd.openxmlformats-package.relationships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_rels/document.xml.rels" ContentType="application/vnd.openxmlformats-package.relationship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media/image9.png" ContentType="image/png"/>
  <Override PartName="/word/media/image1.png" ContentType="image/png"/>
  <Override PartName="/word/media/image2.png" ContentType="image/png"/>
  <Override PartName="/word/media/image3.png" ContentType="image/png"/>
  <Override PartName="/word/media/image4.png" ContentType="image/png"/>
  <Override PartName="/word/media/image5.png" ContentType="image/png"/>
  <Override PartName="/word/media/image6.png" ContentType="image/png"/>
  <Override PartName="/word/media/image7.png" ContentType="image/png"/>
  <Override PartName="/word/media/image8.png" ContentType="image/png"/>
  <Override PartName="/word/media/image10.png" ContentType="image/png"/>
  <Override PartName="/word/media/image11.png" ContentType="image/png"/>
  <Override PartName="/word/fontTable.xml" ContentType="application/vnd.openxmlformats-officedocument.wordprocessingml.fontTable+xml"/>
  <Override PartName="/word/settings.xml" ContentType="application/vnd.openxmlformats-officedocument.wordprocessingml.settings+xml"/>
  <Override PartName="/word/theme/theme1.xml" ContentType="application/vnd.openxmlformats-officedocument.theme+xml"/>
</Types>
</file>

<file path=_rels/.rels><?xml version="1.0" encoding="UTF-8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officeDocument" Target="word/document.xml"/>
</Relationships>
</file>

<file path=word/document.xml><?xml version="1.0" encoding="utf-8"?>
<w:document xmlns:o="urn:schemas-microsoft-com:office:office" xmlns:r="http://schemas.openxmlformats.org/officeDocument/2006/relationships" xmlns:v="urn:schemas-microsoft-com:vml" xmlns:w="http://schemas.openxmlformats.org/wordprocessingml/2006/main" xmlns:w10="urn:schemas-microsoft-com:office:word" xmlns:wp="http://schemas.openxmlformats.org/drawingml/2006/wordprocessingDrawing" xmlns:wps="http://schemas.microsoft.com/office/word/2010/wordprocessingShape" xmlns:wpg="http://schemas.microsoft.com/office/word/2010/wordprocessingGroup" xmlns:mc="http://schemas.openxmlformats.org/markup-compatibility/2006" xmlns:wp14="http://schemas.microsoft.com/office/word/2010/wordprocessingDrawing" xmlns:w14="http://schemas.microsoft.com/office/word/2010/wordml" mc:Ignorable="w14 wp14">
  <w:body>
    <w:p>
      <w:pPr>
        <w:pStyle w:val="LOnormal"/>
        <w:rPr>
          <w:b/>
          <w:b/>
          <w:sz w:val="72"/>
          <w:szCs w:val="72"/>
        </w:rPr>
      </w:pPr>
      <w:r>
        <w:rPr>
          <w:b/>
          <w:sz w:val="72"/>
          <w:szCs w:val="72"/>
        </w:rPr>
        <w:t>Inclusive Culinary Journeys</w:t>
      </w:r>
    </w:p>
    <w:p>
      <w:pPr>
        <w:pStyle w:val="LOnormal"/>
        <w:rPr>
          <w:sz w:val="44"/>
          <w:szCs w:val="44"/>
        </w:rPr>
      </w:pPr>
      <w:r>
        <w:rPr>
          <w:sz w:val="44"/>
          <w:szCs w:val="44"/>
        </w:rPr>
        <w:t>Food Festival</w:t>
      </w:r>
    </w:p>
    <w:p>
      <w:pPr>
        <w:pStyle w:val="LOnormal"/>
        <w:rPr>
          <w:sz w:val="72"/>
          <w:szCs w:val="72"/>
        </w:rPr>
      </w:pPr>
      <w:r>
        <w:rPr>
          <w:sz w:val="72"/>
          <w:szCs w:val="72"/>
        </w:rPr>
      </w:r>
    </w:p>
    <w:p>
      <w:pPr>
        <w:pStyle w:val="LOnormal"/>
        <w:rPr>
          <w:sz w:val="36"/>
          <w:szCs w:val="36"/>
        </w:rPr>
      </w:pPr>
      <w:r>
        <w:rPr>
          <w:sz w:val="36"/>
          <w:szCs w:val="36"/>
        </w:rPr>
        <w:t xml:space="preserve">International Meetings Management  for the  Hotel Industry </w:t>
      </w:r>
    </w:p>
    <w:p>
      <w:pPr>
        <w:pStyle w:val="LOnormal"/>
        <w:rPr>
          <w:sz w:val="36"/>
          <w:szCs w:val="36"/>
        </w:rPr>
      </w:pPr>
      <w:r>
        <w:rPr>
          <w:sz w:val="36"/>
          <w:szCs w:val="36"/>
        </w:rPr>
        <w:t xml:space="preserve"> </w:t>
      </w:r>
      <w:r>
        <w:rPr>
          <w:sz w:val="36"/>
          <w:szCs w:val="36"/>
        </w:rPr>
        <w:t xml:space="preserve">BMIH6007 </w:t>
      </w:r>
    </w:p>
    <w:p>
      <w:pPr>
        <w:pStyle w:val="LOnormal"/>
        <w:rPr>
          <w:sz w:val="72"/>
          <w:szCs w:val="72"/>
        </w:rPr>
      </w:pPr>
      <w:r>
        <w:rPr>
          <w:sz w:val="72"/>
          <w:szCs w:val="72"/>
        </w:rPr>
      </w:r>
    </w:p>
    <w:p>
      <w:pPr>
        <w:pStyle w:val="LOnormal"/>
        <w:rPr>
          <w:sz w:val="72"/>
          <w:szCs w:val="72"/>
        </w:rPr>
      </w:pPr>
      <w:r>
        <w:rPr>
          <w:sz w:val="72"/>
          <w:szCs w:val="72"/>
        </w:rPr>
      </w:r>
    </w:p>
    <w:p>
      <w:pPr>
        <w:pStyle w:val="LOnormal"/>
        <w:rPr>
          <w:sz w:val="72"/>
          <w:szCs w:val="72"/>
        </w:rPr>
      </w:pPr>
      <w:r>
        <w:rPr>
          <w:sz w:val="72"/>
          <w:szCs w:val="72"/>
        </w:rPr>
      </w:r>
    </w:p>
    <w:p>
      <w:pPr>
        <w:pStyle w:val="LOnormal"/>
        <w:rPr>
          <w:sz w:val="72"/>
          <w:szCs w:val="72"/>
        </w:rPr>
      </w:pPr>
      <w:r>
        <w:rPr>
          <w:sz w:val="72"/>
          <w:szCs w:val="72"/>
        </w:rPr>
      </w:r>
    </w:p>
    <w:p>
      <w:pPr>
        <w:pStyle w:val="LOnormal"/>
        <w:rPr>
          <w:sz w:val="72"/>
          <w:szCs w:val="72"/>
        </w:rPr>
      </w:pPr>
      <w:r>
        <w:rPr>
          <w:sz w:val="72"/>
          <w:szCs w:val="72"/>
        </w:rPr>
      </w:r>
    </w:p>
    <w:p>
      <w:pPr>
        <w:pStyle w:val="LOnormal"/>
        <w:rPr>
          <w:sz w:val="28"/>
          <w:szCs w:val="28"/>
        </w:rPr>
      </w:pPr>
      <w:r>
        <w:rPr>
          <w:sz w:val="28"/>
          <w:szCs w:val="28"/>
        </w:rPr>
        <w:t>MARCIN PATRYK SEGRECKI</w:t>
      </w:r>
    </w:p>
    <w:p>
      <w:pPr>
        <w:pStyle w:val="LOnormal"/>
        <w:rPr>
          <w:sz w:val="28"/>
          <w:szCs w:val="28"/>
        </w:rPr>
      </w:pPr>
      <w:r>
        <w:rPr>
          <w:sz w:val="28"/>
          <w:szCs w:val="28"/>
        </w:rPr>
        <w:t xml:space="preserve"> </w:t>
      </w:r>
      <w:r>
        <w:rPr>
          <w:sz w:val="28"/>
          <w:szCs w:val="28"/>
        </w:rPr>
        <w:t>2219780</w:t>
      </w:r>
    </w:p>
    <w:p>
      <w:pPr>
        <w:pStyle w:val="LOnormal"/>
        <w:rPr>
          <w:sz w:val="28"/>
          <w:szCs w:val="28"/>
        </w:rPr>
      </w:pPr>
      <w:r>
        <w:rPr>
          <w:sz w:val="28"/>
          <w:szCs w:val="28"/>
        </w:rPr>
      </w:r>
    </w:p>
    <w:p>
      <w:pPr>
        <w:pStyle w:val="LOnormal"/>
        <w:rPr>
          <w:sz w:val="28"/>
          <w:szCs w:val="28"/>
        </w:rPr>
      </w:pPr>
      <w:r>
        <w:rPr>
          <w:sz w:val="28"/>
          <w:szCs w:val="28"/>
        </w:rPr>
      </w:r>
    </w:p>
    <w:p>
      <w:pPr>
        <w:pStyle w:val="LOnormal"/>
        <w:rPr>
          <w:sz w:val="28"/>
          <w:szCs w:val="28"/>
        </w:rPr>
      </w:pPr>
      <w:r>
        <w:rPr>
          <w:sz w:val="28"/>
          <w:szCs w:val="28"/>
        </w:rPr>
      </w:r>
    </w:p>
    <w:p>
      <w:pPr>
        <w:pStyle w:val="LOnormal"/>
        <w:rPr>
          <w:sz w:val="28"/>
          <w:szCs w:val="28"/>
        </w:rPr>
      </w:pPr>
      <w:r>
        <w:rPr>
          <w:sz w:val="28"/>
          <w:szCs w:val="28"/>
        </w:rPr>
      </w:r>
    </w:p>
    <w:p>
      <w:pPr>
        <w:pStyle w:val="LOnormal"/>
        <w:rPr>
          <w:sz w:val="28"/>
          <w:szCs w:val="28"/>
        </w:rPr>
      </w:pPr>
      <w:r>
        <w:rPr>
          <w:sz w:val="28"/>
          <w:szCs w:val="28"/>
        </w:rPr>
      </w:r>
    </w:p>
    <w:p>
      <w:pPr>
        <w:pStyle w:val="LOnormal"/>
        <w:rPr>
          <w:sz w:val="28"/>
          <w:szCs w:val="28"/>
        </w:rPr>
      </w:pPr>
      <w:r>
        <w:rPr>
          <w:sz w:val="28"/>
          <w:szCs w:val="28"/>
        </w:rPr>
      </w:r>
    </w:p>
    <w:p>
      <w:pPr>
        <w:pStyle w:val="LOnormal"/>
        <w:rPr>
          <w:sz w:val="28"/>
          <w:szCs w:val="28"/>
        </w:rPr>
      </w:pPr>
      <w:r>
        <w:rPr>
          <w:sz w:val="28"/>
          <w:szCs w:val="28"/>
        </w:rPr>
      </w:r>
    </w:p>
    <w:p>
      <w:pPr>
        <w:pStyle w:val="LOnormal"/>
        <w:rPr>
          <w:b/>
          <w:b/>
          <w:bCs/>
          <w:i/>
          <w:i/>
          <w:iCs/>
          <w:sz w:val="28"/>
          <w:szCs w:val="28"/>
        </w:rPr>
      </w:pPr>
      <w:r>
        <w:rPr>
          <w:b/>
          <w:bCs/>
          <w:i/>
          <w:iCs/>
          <w:sz w:val="28"/>
          <w:szCs w:val="28"/>
        </w:rPr>
        <w:t>I acknowledge the use of Grammarly on the 3</w:t>
      </w:r>
      <w:r>
        <w:rPr>
          <w:b/>
          <w:bCs/>
          <w:i/>
          <w:iCs/>
          <w:sz w:val="28"/>
          <w:szCs w:val="28"/>
          <w:vertAlign w:val="superscript"/>
        </w:rPr>
        <w:t>rd</w:t>
      </w:r>
      <w:r>
        <w:rPr>
          <w:b/>
          <w:bCs/>
          <w:i/>
          <w:iCs/>
          <w:sz w:val="28"/>
          <w:szCs w:val="28"/>
        </w:rPr>
        <w:t xml:space="preserve"> of February2025 to check my work in the assignment presentation.</w:t>
      </w:r>
    </w:p>
    <w:p>
      <w:pPr>
        <w:pStyle w:val="LOnormal"/>
        <w:rPr>
          <w:sz w:val="28"/>
          <w:szCs w:val="28"/>
        </w:rPr>
      </w:pPr>
      <w:r>
        <w:rPr>
          <w:sz w:val="28"/>
          <w:szCs w:val="28"/>
        </w:rPr>
      </w:r>
    </w:p>
    <w:p>
      <w:pPr>
        <w:pStyle w:val="LOnormal"/>
        <w:rPr>
          <w:sz w:val="28"/>
          <w:szCs w:val="28"/>
        </w:rPr>
      </w:pPr>
      <w:r>
        <w:rPr>
          <w:sz w:val="28"/>
          <w:szCs w:val="28"/>
        </w:rPr>
      </w:r>
    </w:p>
    <w:p>
      <w:pPr>
        <w:pStyle w:val="LOnormal"/>
        <w:rPr>
          <w:sz w:val="28"/>
          <w:szCs w:val="28"/>
        </w:rPr>
      </w:pPr>
      <w:r>
        <w:rPr>
          <w:sz w:val="28"/>
          <w:szCs w:val="28"/>
        </w:rPr>
      </w:r>
    </w:p>
    <w:p>
      <w:pPr>
        <w:pStyle w:val="LOnormal"/>
        <w:rPr>
          <w:sz w:val="28"/>
          <w:szCs w:val="28"/>
        </w:rPr>
      </w:pPr>
      <w:r>
        <w:rPr>
          <w:sz w:val="28"/>
          <w:szCs w:val="28"/>
        </w:rPr>
      </w:r>
    </w:p>
    <w:p>
      <w:pPr>
        <w:pStyle w:val="LOnormal"/>
        <w:rPr>
          <w:sz w:val="28"/>
          <w:szCs w:val="28"/>
        </w:rPr>
      </w:pPr>
      <w:r>
        <w:rPr>
          <w:sz w:val="28"/>
          <w:szCs w:val="28"/>
        </w:rPr>
      </w:r>
    </w:p>
    <w:p>
      <w:pPr>
        <w:pStyle w:val="LOnormal"/>
        <w:rPr>
          <w:sz w:val="28"/>
          <w:szCs w:val="28"/>
        </w:rPr>
      </w:pPr>
      <w:r>
        <w:rPr>
          <w:sz w:val="28"/>
          <w:szCs w:val="28"/>
        </w:rPr>
      </w:r>
    </w:p>
    <w:p>
      <w:pPr>
        <w:pStyle w:val="LOnormal"/>
        <w:rPr>
          <w:sz w:val="28"/>
          <w:szCs w:val="28"/>
        </w:rPr>
      </w:pPr>
      <w:r>
        <w:rPr>
          <w:sz w:val="28"/>
          <w:szCs w:val="28"/>
        </w:rPr>
      </w:r>
    </w:p>
    <w:p>
      <w:pPr>
        <w:pStyle w:val="LOnormal"/>
        <w:rPr>
          <w:sz w:val="28"/>
          <w:szCs w:val="28"/>
        </w:rPr>
      </w:pPr>
      <w:r>
        <w:rPr>
          <w:sz w:val="28"/>
          <w:szCs w:val="28"/>
        </w:rPr>
      </w:r>
    </w:p>
    <w:p>
      <w:pPr>
        <w:pStyle w:val="LOnormal"/>
        <w:rPr>
          <w:sz w:val="28"/>
          <w:szCs w:val="28"/>
        </w:rPr>
      </w:pPr>
      <w:r>
        <w:rPr>
          <w:sz w:val="28"/>
          <w:szCs w:val="28"/>
        </w:rPr>
      </w:r>
    </w:p>
    <w:p>
      <w:pPr>
        <w:pStyle w:val="LOnormal"/>
        <w:rPr>
          <w:sz w:val="28"/>
          <w:szCs w:val="28"/>
        </w:rPr>
      </w:pPr>
      <w:r>
        <w:rPr>
          <w:sz w:val="28"/>
          <w:szCs w:val="28"/>
        </w:rPr>
      </w:r>
    </w:p>
    <w:p>
      <w:pPr>
        <w:pStyle w:val="LOnormal"/>
        <w:rPr>
          <w:sz w:val="28"/>
          <w:szCs w:val="28"/>
        </w:rPr>
      </w:pPr>
      <w:r>
        <w:rPr>
          <w:sz w:val="28"/>
          <w:szCs w:val="28"/>
        </w:rPr>
      </w:r>
    </w:p>
    <w:p>
      <w:pPr>
        <w:pStyle w:val="LOnormal"/>
        <w:rPr>
          <w:sz w:val="28"/>
          <w:szCs w:val="28"/>
        </w:rPr>
      </w:pPr>
      <w:r>
        <w:rPr>
          <w:sz w:val="28"/>
          <w:szCs w:val="28"/>
        </w:rPr>
      </w:r>
    </w:p>
    <w:p>
      <w:pPr>
        <w:pStyle w:val="LOnormal"/>
        <w:rPr>
          <w:sz w:val="28"/>
          <w:szCs w:val="28"/>
        </w:rPr>
      </w:pPr>
      <w:r>
        <w:rPr>
          <w:sz w:val="28"/>
          <w:szCs w:val="28"/>
        </w:rPr>
      </w:r>
    </w:p>
    <w:p>
      <w:pPr>
        <w:pStyle w:val="LOnormal"/>
        <w:rPr>
          <w:sz w:val="28"/>
          <w:szCs w:val="28"/>
        </w:rPr>
      </w:pPr>
      <w:r>
        <w:rPr>
          <w:sz w:val="28"/>
          <w:szCs w:val="28"/>
        </w:rPr>
      </w:r>
    </w:p>
    <w:p>
      <w:pPr>
        <w:pStyle w:val="LOnormal"/>
        <w:rPr>
          <w:sz w:val="28"/>
          <w:szCs w:val="28"/>
        </w:rPr>
      </w:pPr>
      <w:r>
        <w:rPr>
          <w:sz w:val="28"/>
          <w:szCs w:val="28"/>
        </w:rPr>
      </w:r>
    </w:p>
    <w:p>
      <w:pPr>
        <w:pStyle w:val="LOnormal"/>
        <w:rPr>
          <w:sz w:val="28"/>
          <w:szCs w:val="28"/>
        </w:rPr>
      </w:pPr>
      <w:r>
        <w:rPr>
          <w:sz w:val="28"/>
          <w:szCs w:val="28"/>
        </w:rPr>
      </w:r>
    </w:p>
    <w:p>
      <w:pPr>
        <w:pStyle w:val="LOnormal"/>
        <w:rPr>
          <w:sz w:val="28"/>
          <w:szCs w:val="28"/>
        </w:rPr>
      </w:pPr>
      <w:r>
        <w:rPr>
          <w:sz w:val="28"/>
          <w:szCs w:val="28"/>
        </w:rPr>
      </w:r>
    </w:p>
    <w:p>
      <w:pPr>
        <w:pStyle w:val="LOnormal"/>
        <w:rPr>
          <w:sz w:val="28"/>
          <w:szCs w:val="28"/>
        </w:rPr>
      </w:pPr>
      <w:r>
        <w:rPr>
          <w:sz w:val="28"/>
          <w:szCs w:val="28"/>
        </w:rPr>
      </w:r>
    </w:p>
    <w:p>
      <w:pPr>
        <w:pStyle w:val="LOnormal"/>
        <w:rPr>
          <w:sz w:val="28"/>
          <w:szCs w:val="28"/>
        </w:rPr>
      </w:pPr>
      <w:r>
        <w:rPr>
          <w:sz w:val="28"/>
          <w:szCs w:val="28"/>
        </w:rPr>
      </w:r>
    </w:p>
    <w:p>
      <w:pPr>
        <w:pStyle w:val="LOnormal"/>
        <w:rPr>
          <w:sz w:val="28"/>
          <w:szCs w:val="28"/>
        </w:rPr>
      </w:pPr>
      <w:r>
        <w:rPr>
          <w:sz w:val="28"/>
          <w:szCs w:val="28"/>
        </w:rPr>
      </w:r>
    </w:p>
    <w:p>
      <w:pPr>
        <w:pStyle w:val="LOnormal"/>
        <w:rPr>
          <w:sz w:val="28"/>
          <w:szCs w:val="28"/>
        </w:rPr>
      </w:pPr>
      <w:r>
        <w:rPr>
          <w:sz w:val="28"/>
          <w:szCs w:val="28"/>
        </w:rPr>
      </w:r>
    </w:p>
    <w:p>
      <w:pPr>
        <w:pStyle w:val="LOnormal"/>
        <w:rPr>
          <w:sz w:val="28"/>
          <w:szCs w:val="28"/>
        </w:rPr>
      </w:pPr>
      <w:r>
        <w:rPr>
          <w:sz w:val="28"/>
          <w:szCs w:val="28"/>
        </w:rPr>
      </w:r>
    </w:p>
    <w:p>
      <w:pPr>
        <w:pStyle w:val="LOnormal"/>
        <w:rPr>
          <w:sz w:val="28"/>
          <w:szCs w:val="28"/>
        </w:rPr>
      </w:pPr>
      <w:r>
        <w:rPr>
          <w:sz w:val="28"/>
          <w:szCs w:val="28"/>
        </w:rPr>
      </w:r>
    </w:p>
    <w:p>
      <w:pPr>
        <w:pStyle w:val="LOnormal"/>
        <w:rPr>
          <w:sz w:val="28"/>
          <w:szCs w:val="28"/>
        </w:rPr>
      </w:pPr>
      <w:r>
        <w:rPr>
          <w:sz w:val="28"/>
          <w:szCs w:val="28"/>
        </w:rPr>
      </w:r>
    </w:p>
    <w:p>
      <w:pPr>
        <w:pStyle w:val="LOnormal"/>
        <w:rPr>
          <w:sz w:val="28"/>
          <w:szCs w:val="28"/>
        </w:rPr>
      </w:pPr>
      <w:r>
        <w:rPr>
          <w:sz w:val="28"/>
          <w:szCs w:val="28"/>
        </w:rPr>
      </w:r>
    </w:p>
    <w:p>
      <w:pPr>
        <w:pStyle w:val="LOnormal"/>
        <w:rPr>
          <w:sz w:val="28"/>
          <w:szCs w:val="28"/>
        </w:rPr>
      </w:pPr>
      <w:r>
        <w:rPr>
          <w:sz w:val="28"/>
          <w:szCs w:val="28"/>
        </w:rPr>
      </w:r>
    </w:p>
    <w:p>
      <w:pPr>
        <w:pStyle w:val="LOnormal"/>
        <w:rPr>
          <w:sz w:val="28"/>
          <w:szCs w:val="28"/>
        </w:rPr>
      </w:pPr>
      <w:r>
        <w:rPr>
          <w:sz w:val="28"/>
          <w:szCs w:val="28"/>
        </w:rPr>
      </w:r>
    </w:p>
    <w:p>
      <w:pPr>
        <w:pStyle w:val="LOnormal"/>
        <w:rPr>
          <w:sz w:val="28"/>
          <w:szCs w:val="28"/>
        </w:rPr>
      </w:pPr>
      <w:r>
        <w:rPr>
          <w:sz w:val="28"/>
          <w:szCs w:val="28"/>
        </w:rPr>
      </w:r>
    </w:p>
    <w:p>
      <w:pPr>
        <w:pStyle w:val="LOnormal"/>
        <w:rPr>
          <w:sz w:val="28"/>
          <w:szCs w:val="28"/>
        </w:rPr>
      </w:pPr>
      <w:r>
        <w:rPr>
          <w:sz w:val="28"/>
          <w:szCs w:val="28"/>
        </w:rPr>
      </w:r>
    </w:p>
    <w:p>
      <w:pPr>
        <w:pStyle w:val="LOnormal"/>
        <w:rPr>
          <w:sz w:val="28"/>
          <w:szCs w:val="28"/>
        </w:rPr>
      </w:pPr>
      <w:r>
        <w:rPr/>
        <w:drawing>
          <wp:inline distT="0" distB="0" distL="0" distR="0">
            <wp:extent cx="5943600" cy="3343275"/>
            <wp:effectExtent l="0" t="0" r="0" b="0"/>
            <wp:docPr id="1" name="image7.png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image7.png" descr=""/>
                    <pic:cNvPicPr>
                      <a:picLocks noChangeAspect="1" noChangeArrowheads="1"/>
                    </pic:cNvPicPr>
                  </pic:nvPicPr>
                  <pic:blipFill>
                    <a:blip r:embed="rId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>
      <w:pPr>
        <w:pStyle w:val="LOnormal"/>
        <w:rPr>
          <w:sz w:val="28"/>
          <w:szCs w:val="28"/>
        </w:rPr>
      </w:pPr>
      <w:r>
        <w:rPr/>
        <w:drawing>
          <wp:inline distT="0" distB="0" distL="0" distR="0">
            <wp:extent cx="5943600" cy="3343275"/>
            <wp:effectExtent l="0" t="0" r="0" b="0"/>
            <wp:docPr id="2" name="image9.png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image9.png" descr=""/>
                    <pic:cNvPicPr>
                      <a:picLocks noChangeAspect="1" noChangeArrowheads="1"/>
                    </pic:cNvPicPr>
                  </pic:nvPicPr>
                  <pic:blipFill>
                    <a:blip r:embed="rId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>
      <w:pPr>
        <w:pStyle w:val="LOnormal"/>
        <w:rPr>
          <w:sz w:val="28"/>
          <w:szCs w:val="28"/>
        </w:rPr>
      </w:pPr>
      <w:r>
        <w:rPr/>
        <w:drawing>
          <wp:inline distT="0" distB="0" distL="0" distR="0">
            <wp:extent cx="5943600" cy="3343275"/>
            <wp:effectExtent l="0" t="0" r="0" b="0"/>
            <wp:docPr id="3" name="image8.png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image8.png" descr=""/>
                    <pic:cNvPicPr>
                      <a:picLocks noChangeAspect="1" noChangeArrowheads="1"/>
                    </pic:cNvPicPr>
                  </pic:nvPicPr>
                  <pic:blipFill>
                    <a:blip r:embed="rId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>
      <w:pPr>
        <w:pStyle w:val="LOnormal"/>
        <w:rPr>
          <w:sz w:val="28"/>
          <w:szCs w:val="28"/>
        </w:rPr>
      </w:pPr>
      <w:r>
        <w:rPr/>
        <w:drawing>
          <wp:inline distT="0" distB="0" distL="0" distR="0">
            <wp:extent cx="5943600" cy="3343275"/>
            <wp:effectExtent l="0" t="0" r="0" b="0"/>
            <wp:docPr id="4" name="image11.png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image11.png" descr=""/>
                    <pic:cNvPicPr>
                      <a:picLocks noChangeAspect="1" noChangeArrowheads="1"/>
                    </pic:cNvPicPr>
                  </pic:nvPicPr>
                  <pic:blipFill>
                    <a:blip r:embed="rId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>
      <w:pPr>
        <w:pStyle w:val="LOnormal"/>
        <w:rPr>
          <w:sz w:val="28"/>
          <w:szCs w:val="28"/>
        </w:rPr>
      </w:pPr>
      <w:r>
        <w:rPr/>
        <w:drawing>
          <wp:inline distT="0" distB="0" distL="0" distR="0">
            <wp:extent cx="5943600" cy="3343275"/>
            <wp:effectExtent l="0" t="0" r="0" b="0"/>
            <wp:docPr id="5" name="image10.png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image10.png" descr=""/>
                    <pic:cNvPicPr>
                      <a:picLocks noChangeAspect="1" noChangeArrowheads="1"/>
                    </pic:cNvPicPr>
                  </pic:nvPicPr>
                  <pic:blipFill>
                    <a:blip r:embed="rId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>
      <w:pPr>
        <w:pStyle w:val="LOnormal"/>
        <w:rPr>
          <w:sz w:val="28"/>
          <w:szCs w:val="28"/>
        </w:rPr>
      </w:pPr>
      <w:r>
        <w:rPr/>
        <w:drawing>
          <wp:inline distT="0" distB="0" distL="0" distR="0">
            <wp:extent cx="5943600" cy="3343275"/>
            <wp:effectExtent l="0" t="0" r="0" b="0"/>
            <wp:docPr id="6" name="image2.png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image2.png" descr=""/>
                    <pic:cNvPicPr>
                      <a:picLocks noChangeAspect="1" noChangeArrowheads="1"/>
                    </pic:cNvPicPr>
                  </pic:nvPicPr>
                  <pic:blipFill>
                    <a:blip r:embed="rId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>
      <w:pPr>
        <w:pStyle w:val="LOnormal"/>
        <w:rPr>
          <w:sz w:val="28"/>
          <w:szCs w:val="28"/>
        </w:rPr>
      </w:pPr>
      <w:r>
        <w:rPr>
          <w:sz w:val="28"/>
          <w:szCs w:val="28"/>
        </w:rPr>
      </w:r>
    </w:p>
    <w:p>
      <w:pPr>
        <w:pStyle w:val="LOnormal"/>
        <w:rPr>
          <w:sz w:val="28"/>
          <w:szCs w:val="28"/>
        </w:rPr>
      </w:pPr>
      <w:r>
        <w:rPr/>
        <w:drawing>
          <wp:inline distT="0" distB="0" distL="0" distR="0">
            <wp:extent cx="5943600" cy="3343275"/>
            <wp:effectExtent l="0" t="0" r="0" b="0"/>
            <wp:docPr id="7" name="image1.png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image1.png" descr=""/>
                    <pic:cNvPicPr>
                      <a:picLocks noChangeAspect="1" noChangeArrowheads="1"/>
                    </pic:cNvPicPr>
                  </pic:nvPicPr>
                  <pic:blipFill>
                    <a:blip r:embed="rId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>
      <w:pPr>
        <w:pStyle w:val="LOnormal"/>
        <w:rPr>
          <w:sz w:val="28"/>
          <w:szCs w:val="28"/>
        </w:rPr>
      </w:pPr>
      <w:r>
        <w:rPr/>
        <w:drawing>
          <wp:inline distT="0" distB="0" distL="0" distR="0">
            <wp:extent cx="5943600" cy="3343275"/>
            <wp:effectExtent l="0" t="0" r="0" b="0"/>
            <wp:docPr id="8" name="image4.png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image4.png" descr=""/>
                    <pic:cNvPicPr>
                      <a:picLocks noChangeAspect="1" noChangeArrowheads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>
      <w:pPr>
        <w:pStyle w:val="LOnormal"/>
        <w:rPr>
          <w:sz w:val="28"/>
          <w:szCs w:val="28"/>
        </w:rPr>
      </w:pPr>
      <w:r>
        <w:rPr/>
        <w:drawing>
          <wp:inline distT="0" distB="0" distL="0" distR="0">
            <wp:extent cx="5943600" cy="3343275"/>
            <wp:effectExtent l="0" t="0" r="0" b="0"/>
            <wp:docPr id="9" name="image3.png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image3.png" descr=""/>
                    <pic:cNvPicPr>
                      <a:picLocks noChangeAspect="1" noChangeArrowheads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>
      <w:pPr>
        <w:pStyle w:val="LOnormal"/>
        <w:rPr>
          <w:sz w:val="28"/>
          <w:szCs w:val="28"/>
        </w:rPr>
      </w:pPr>
      <w:r>
        <w:rPr/>
        <w:drawing>
          <wp:inline distT="0" distB="0" distL="0" distR="0">
            <wp:extent cx="5943600" cy="3343275"/>
            <wp:effectExtent l="0" t="0" r="0" b="0"/>
            <wp:docPr id="10" name="image6.png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image6.png" descr=""/>
                    <pic:cNvPicPr>
                      <a:picLocks noChangeAspect="1" noChangeArrowheads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>
      <w:pPr>
        <w:pStyle w:val="LOnormal"/>
        <w:rPr>
          <w:sz w:val="28"/>
          <w:szCs w:val="28"/>
        </w:rPr>
      </w:pPr>
      <w:r>
        <w:rPr/>
        <w:drawing>
          <wp:inline distT="0" distB="0" distL="0" distR="0">
            <wp:extent cx="5943600" cy="3343275"/>
            <wp:effectExtent l="0" t="0" r="0" b="0"/>
            <wp:docPr id="11" name="image5.png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image5.png" descr=""/>
                    <pic:cNvPicPr>
                      <a:picLocks noChangeAspect="1" noChangeArrowheads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>
      <w:pPr>
        <w:pStyle w:val="LOnormal"/>
        <w:rPr>
          <w:sz w:val="28"/>
          <w:szCs w:val="28"/>
        </w:rPr>
      </w:pPr>
      <w:r>
        <w:rPr>
          <w:sz w:val="28"/>
          <w:szCs w:val="28"/>
        </w:rPr>
      </w:r>
    </w:p>
    <w:p>
      <w:pPr>
        <w:pStyle w:val="LOnormal"/>
        <w:rPr>
          <w:sz w:val="28"/>
          <w:szCs w:val="28"/>
        </w:rPr>
      </w:pPr>
      <w:r>
        <w:rPr>
          <w:sz w:val="28"/>
          <w:szCs w:val="28"/>
        </w:rPr>
      </w:r>
    </w:p>
    <w:p>
      <w:pPr>
        <w:pStyle w:val="LOnormal"/>
        <w:rPr>
          <w:sz w:val="28"/>
          <w:szCs w:val="28"/>
        </w:rPr>
      </w:pPr>
      <w:r>
        <w:rPr>
          <w:sz w:val="28"/>
          <w:szCs w:val="28"/>
        </w:rPr>
      </w:r>
    </w:p>
    <w:p>
      <w:pPr>
        <w:pStyle w:val="LOnormal"/>
        <w:rPr>
          <w:sz w:val="28"/>
          <w:szCs w:val="28"/>
        </w:rPr>
      </w:pPr>
      <w:r>
        <w:rPr>
          <w:sz w:val="28"/>
          <w:szCs w:val="28"/>
        </w:rPr>
      </w:r>
    </w:p>
    <w:p>
      <w:pPr>
        <w:pStyle w:val="LOnormal"/>
        <w:rPr>
          <w:rFonts w:ascii="Times New Roman" w:hAnsi="Times New Roman" w:eastAsia="Times New Roman" w:cs="Times New Roman"/>
          <w:b/>
          <w:b/>
          <w:sz w:val="24"/>
          <w:szCs w:val="24"/>
        </w:rPr>
      </w:pPr>
      <w:r>
        <w:rPr/>
      </w:r>
    </w:p>
    <w:p>
      <w:pPr>
        <w:pStyle w:val="LOnormal"/>
        <w:rPr>
          <w:rFonts w:ascii="Times New Roman" w:hAnsi="Times New Roman" w:eastAsia="Times New Roman" w:cs="Times New Roman"/>
          <w:b/>
          <w:b/>
          <w:sz w:val="24"/>
          <w:szCs w:val="24"/>
        </w:rPr>
      </w:pPr>
      <w:r>
        <w:rPr/>
      </w:r>
    </w:p>
    <w:p>
      <w:pPr>
        <w:pStyle w:val="LOnormal"/>
        <w:rPr/>
      </w:pPr>
      <w:r>
        <w:rPr>
          <w:rFonts w:eastAsia="Times New Roman" w:cs="Times New Roman" w:ascii="Times New Roman" w:hAnsi="Times New Roman"/>
          <w:b/>
          <w:sz w:val="24"/>
          <w:szCs w:val="24"/>
        </w:rPr>
        <w:t>Reference List</w:t>
      </w:r>
    </w:p>
    <w:p>
      <w:pPr>
        <w:pStyle w:val="LOnormal"/>
        <w:rPr>
          <w:rFonts w:ascii="Times New Roman" w:hAnsi="Times New Roman" w:eastAsia="Times New Roman" w:cs="Times New Roman"/>
          <w:sz w:val="24"/>
          <w:szCs w:val="24"/>
        </w:rPr>
      </w:pPr>
      <w:r>
        <w:rPr>
          <w:rFonts w:eastAsia="Times New Roman" w:cs="Times New Roman" w:ascii="Times New Roman" w:hAnsi="Times New Roman"/>
          <w:sz w:val="24"/>
          <w:szCs w:val="24"/>
        </w:rPr>
        <w:t>Banate, R.M., Ramirez, V., Magdale, J.R.S., Tambal, C., Caones, J., Bombita, C., and Balite, A., 2024. Customer with disabilities experiences on accessibility of selected stand-alone fast-food restaurants in Cavite: Basis for service enhancement plan. International Journal of Research in Education Humanities and Commerce, 5(1), pp.147-157. https://ijrehc.com/uploads2024/ijrehc05_12.pdf</w:t>
      </w:r>
    </w:p>
    <w:p>
      <w:pPr>
        <w:pStyle w:val="LOnormal"/>
        <w:rPr/>
      </w:pPr>
      <w:r>
        <w:rPr>
          <w:rFonts w:eastAsia="Times New Roman" w:cs="Times New Roman" w:ascii="Times New Roman" w:hAnsi="Times New Roman"/>
          <w:sz w:val="24"/>
          <w:szCs w:val="24"/>
        </w:rPr>
        <w:t xml:space="preserve">Boardroom Global, 2023. The Crown Jewel of Events in Bangkok: Introducing the Queen Sirikit National Convention Center. [online] Available at: </w:t>
      </w:r>
      <w:hyperlink r:id="rId13">
        <w:r>
          <w:rPr>
            <w:rStyle w:val="ListLabel1"/>
            <w:rFonts w:eastAsia="Times New Roman" w:cs="Times New Roman" w:ascii="Times New Roman" w:hAnsi="Times New Roman"/>
            <w:color w:val="467886"/>
            <w:sz w:val="24"/>
            <w:szCs w:val="24"/>
            <w:u w:val="single"/>
          </w:rPr>
          <w:t>https://boardroom.global/the-crown-jewel-of-events-in-bangkok-introducing-the-queen-sirikit-national-convention-center/</w:t>
        </w:r>
      </w:hyperlink>
      <w:r>
        <w:rPr>
          <w:rFonts w:eastAsia="Times New Roman" w:cs="Times New Roman" w:ascii="Times New Roman" w:hAnsi="Times New Roman"/>
          <w:sz w:val="24"/>
          <w:szCs w:val="24"/>
        </w:rPr>
        <w:t>.</w:t>
      </w:r>
    </w:p>
    <w:p>
      <w:pPr>
        <w:pStyle w:val="LOnormal"/>
        <w:rPr/>
      </w:pPr>
      <w:r>
        <w:rPr>
          <w:rFonts w:eastAsia="Times New Roman" w:cs="Times New Roman" w:ascii="Times New Roman" w:hAnsi="Times New Roman"/>
          <w:sz w:val="24"/>
          <w:szCs w:val="24"/>
        </w:rPr>
        <w:t xml:space="preserve">Bowdin, G., Allen, J. and Harris, R., 2011. Events Management. [online] Available at: </w:t>
      </w:r>
      <w:hyperlink r:id="rId14">
        <w:r>
          <w:rPr>
            <w:rStyle w:val="ListLabel1"/>
            <w:rFonts w:eastAsia="Times New Roman" w:cs="Times New Roman" w:ascii="Times New Roman" w:hAnsi="Times New Roman"/>
            <w:color w:val="467886"/>
            <w:sz w:val="24"/>
            <w:szCs w:val="24"/>
            <w:u w:val="single"/>
          </w:rPr>
          <w:t>https://research-ebsco-com.ezproxy.uwtsd.ac.uk/linkprocessor/plink?id=0713b2d6-c559-3133-a063-9c460741a170</w:t>
        </w:r>
      </w:hyperlink>
      <w:r>
        <w:rPr>
          <w:rFonts w:eastAsia="Times New Roman" w:cs="Times New Roman" w:ascii="Times New Roman" w:hAnsi="Times New Roman"/>
          <w:sz w:val="24"/>
          <w:szCs w:val="24"/>
        </w:rPr>
        <w:t xml:space="preserve"> </w:t>
      </w:r>
    </w:p>
    <w:p>
      <w:pPr>
        <w:pStyle w:val="LOnormal"/>
        <w:rPr/>
      </w:pPr>
      <w:r>
        <w:rPr>
          <w:rFonts w:eastAsia="Times New Roman" w:cs="Times New Roman" w:ascii="Times New Roman" w:hAnsi="Times New Roman"/>
          <w:sz w:val="24"/>
          <w:szCs w:val="24"/>
        </w:rPr>
        <w:t xml:space="preserve">Culinary Ability Awards, 2020. Promoting Inclusion. [online] Available at: </w:t>
      </w:r>
      <w:hyperlink r:id="rId15">
        <w:r>
          <w:rPr>
            <w:rStyle w:val="ListLabel1"/>
            <w:rFonts w:eastAsia="Times New Roman" w:cs="Times New Roman" w:ascii="Times New Roman" w:hAnsi="Times New Roman"/>
            <w:color w:val="467886"/>
            <w:sz w:val="24"/>
            <w:szCs w:val="24"/>
            <w:u w:val="single"/>
          </w:rPr>
          <w:t>https://www.olympiade-der-koeche.com/en/news/culinary-ability-awards-promoting-inclusion/</w:t>
        </w:r>
      </w:hyperlink>
      <w:r>
        <w:rPr>
          <w:rFonts w:eastAsia="Times New Roman" w:cs="Times New Roman" w:ascii="Times New Roman" w:hAnsi="Times New Roman"/>
          <w:sz w:val="24"/>
          <w:szCs w:val="24"/>
        </w:rPr>
        <w:t xml:space="preserve">   </w:t>
      </w:r>
    </w:p>
    <w:p>
      <w:pPr>
        <w:pStyle w:val="LOnormal"/>
        <w:rPr>
          <w:rFonts w:ascii="Times New Roman" w:hAnsi="Times New Roman" w:eastAsia="Times New Roman" w:cs="Times New Roman"/>
          <w:sz w:val="24"/>
          <w:szCs w:val="24"/>
        </w:rPr>
      </w:pPr>
      <w:r>
        <w:rPr>
          <w:rFonts w:eastAsia="Times New Roman" w:cs="Times New Roman" w:ascii="Times New Roman" w:hAnsi="Times New Roman"/>
          <w:sz w:val="24"/>
          <w:szCs w:val="24"/>
        </w:rPr>
        <w:t xml:space="preserve">Dadwal, S.S., &amp; Dadwal, D. (2020). Management of health and safety risks at large events: Process, procedures, and factors. In Organizational Culture and Achieving Business Excellence: Emerging Research and Opportunities (pp. 21–41). IGI Global.https://openresearch.lsbu.ac.uk/download/e7aec906542f47834d7bfb05e17aaedb84814c973a83bbeca46ab1483e4a13da/533344/Management-of-Health-and-Safety-Risks-at-Large-Events_-Process-Procedures-and-Factors.pdf </w:t>
      </w:r>
    </w:p>
    <w:p>
      <w:pPr>
        <w:pStyle w:val="LOnormal"/>
        <w:rPr/>
      </w:pPr>
      <w:r>
        <w:rPr>
          <w:rFonts w:eastAsia="Times New Roman" w:cs="Times New Roman" w:ascii="Times New Roman" w:hAnsi="Times New Roman"/>
          <w:sz w:val="24"/>
          <w:szCs w:val="24"/>
        </w:rPr>
        <w:t xml:space="preserve">Damsbo-Svendsen, M., Karpantschof, B., Stovgaard, M., Christensen, J. and Frøst, M., 2022. Effects on skills and knowledge of a sensory teaching program for culinary students. International Journal of Food Design. </w:t>
      </w:r>
      <w:hyperlink r:id="rId16">
        <w:r>
          <w:rPr>
            <w:rStyle w:val="ListLabel1"/>
            <w:rFonts w:eastAsia="Times New Roman" w:cs="Times New Roman" w:ascii="Times New Roman" w:hAnsi="Times New Roman"/>
            <w:color w:val="467886"/>
            <w:sz w:val="24"/>
            <w:szCs w:val="24"/>
            <w:u w:val="single"/>
          </w:rPr>
          <w:t>https://doi.org/10.1386/ijfd_00041_1</w:t>
        </w:r>
      </w:hyperlink>
      <w:r>
        <w:rPr>
          <w:rFonts w:eastAsia="Times New Roman" w:cs="Times New Roman" w:ascii="Times New Roman" w:hAnsi="Times New Roman"/>
          <w:sz w:val="24"/>
          <w:szCs w:val="24"/>
        </w:rPr>
        <w:t>.</w:t>
      </w:r>
    </w:p>
    <w:p>
      <w:pPr>
        <w:pStyle w:val="LOnormal"/>
        <w:rPr/>
      </w:pPr>
      <w:r>
        <w:rPr>
          <w:rFonts w:eastAsia="Times New Roman" w:cs="Times New Roman" w:ascii="Times New Roman" w:hAnsi="Times New Roman"/>
          <w:sz w:val="24"/>
          <w:szCs w:val="24"/>
        </w:rPr>
        <w:t xml:space="preserve">Dewata, M. and Wijaya, L., 2024. Public Relations Marketing Strategy in Building Brand Awareness Using Product Bundling. Jurnal Indonesia Sosial Sains. </w:t>
      </w:r>
      <w:hyperlink r:id="rId17">
        <w:r>
          <w:rPr>
            <w:rStyle w:val="ListLabel1"/>
            <w:rFonts w:eastAsia="Times New Roman" w:cs="Times New Roman" w:ascii="Times New Roman" w:hAnsi="Times New Roman"/>
            <w:color w:val="467886"/>
            <w:sz w:val="24"/>
            <w:szCs w:val="24"/>
            <w:u w:val="single"/>
          </w:rPr>
          <w:t>https://doi.org/10.59141/jiss.v5i10.1385</w:t>
        </w:r>
      </w:hyperlink>
      <w:r>
        <w:rPr>
          <w:rFonts w:eastAsia="Times New Roman" w:cs="Times New Roman" w:ascii="Times New Roman" w:hAnsi="Times New Roman"/>
          <w:sz w:val="24"/>
          <w:szCs w:val="24"/>
        </w:rPr>
        <w:t xml:space="preserve">. </w:t>
      </w:r>
    </w:p>
    <w:p>
      <w:pPr>
        <w:pStyle w:val="LOnormal"/>
        <w:rPr/>
      </w:pPr>
      <w:r>
        <w:rPr>
          <w:rFonts w:eastAsia="Times New Roman" w:cs="Times New Roman" w:ascii="Times New Roman" w:hAnsi="Times New Roman"/>
          <w:sz w:val="24"/>
          <w:szCs w:val="24"/>
        </w:rPr>
        <w:t xml:space="preserve">Fischer, R.J., Halibozek, E.P., &amp; Walters, D.C. (2018). Contingency planning, emergency response, and safety. In Introduction to Security (pp. 249–268). Elsevier. </w:t>
      </w:r>
      <w:hyperlink r:id="rId18">
        <w:r>
          <w:rPr>
            <w:rStyle w:val="ListLabel1"/>
            <w:rFonts w:eastAsia="Times New Roman" w:cs="Times New Roman" w:ascii="Times New Roman" w:hAnsi="Times New Roman"/>
            <w:color w:val="467886"/>
            <w:sz w:val="24"/>
            <w:szCs w:val="24"/>
            <w:u w:val="single"/>
          </w:rPr>
          <w:t>https://pmc.ncbi.nlm.nih.gov/articles/PMC7149346/</w:t>
        </w:r>
      </w:hyperlink>
      <w:r>
        <w:rPr>
          <w:rFonts w:eastAsia="Times New Roman" w:cs="Times New Roman" w:ascii="Times New Roman" w:hAnsi="Times New Roman"/>
          <w:sz w:val="24"/>
          <w:szCs w:val="24"/>
        </w:rPr>
        <w:t xml:space="preserve"> </w:t>
      </w:r>
    </w:p>
    <w:p>
      <w:pPr>
        <w:pStyle w:val="LOnormal"/>
        <w:rPr/>
      </w:pPr>
      <w:r>
        <w:rPr>
          <w:rFonts w:eastAsia="Times New Roman" w:cs="Times New Roman" w:ascii="Times New Roman" w:hAnsi="Times New Roman"/>
          <w:sz w:val="24"/>
          <w:szCs w:val="24"/>
        </w:rPr>
        <w:t xml:space="preserve">Future Market Insights, 2024. Thailand Culinary Tourism Market. [online] Available at: </w:t>
      </w:r>
      <w:hyperlink r:id="rId19">
        <w:r>
          <w:rPr>
            <w:rStyle w:val="ListLabel1"/>
            <w:rFonts w:eastAsia="Times New Roman" w:cs="Times New Roman" w:ascii="Times New Roman" w:hAnsi="Times New Roman"/>
            <w:color w:val="467886"/>
            <w:sz w:val="24"/>
            <w:szCs w:val="24"/>
            <w:u w:val="single"/>
          </w:rPr>
          <w:t>https://www.futuremarketinsights.com/reports/thailand-culinary-tourism-market</w:t>
        </w:r>
      </w:hyperlink>
      <w:r>
        <w:rPr>
          <w:rFonts w:eastAsia="Times New Roman" w:cs="Times New Roman" w:ascii="Times New Roman" w:hAnsi="Times New Roman"/>
          <w:sz w:val="24"/>
          <w:szCs w:val="24"/>
        </w:rPr>
        <w:t xml:space="preserve"> </w:t>
      </w:r>
    </w:p>
    <w:p>
      <w:pPr>
        <w:pStyle w:val="LOnormal"/>
        <w:rPr/>
      </w:pPr>
      <w:r>
        <w:rPr>
          <w:rFonts w:eastAsia="Times New Roman" w:cs="Times New Roman" w:ascii="Times New Roman" w:hAnsi="Times New Roman"/>
          <w:sz w:val="24"/>
          <w:szCs w:val="24"/>
        </w:rPr>
        <w:t xml:space="preserve">Getz, D. and Page, S., 2024. Event studies: theory and management for planned events. Fifth Edition. London: Routledge. [online] Available at: </w:t>
      </w:r>
      <w:hyperlink r:id="rId20">
        <w:r>
          <w:rPr>
            <w:rStyle w:val="ListLabel1"/>
            <w:rFonts w:eastAsia="Times New Roman" w:cs="Times New Roman" w:ascii="Times New Roman" w:hAnsi="Times New Roman"/>
            <w:color w:val="467886"/>
            <w:sz w:val="24"/>
            <w:szCs w:val="24"/>
            <w:u w:val="single"/>
          </w:rPr>
          <w:t>https://librarysearch.uwtsd.ac.uk/permalink/44WHELF_UWTSD/upgrip/alma99100647735602421</w:t>
        </w:r>
      </w:hyperlink>
    </w:p>
    <w:p>
      <w:pPr>
        <w:pStyle w:val="LOnormal"/>
        <w:rPr/>
      </w:pPr>
      <w:r>
        <w:rPr>
          <w:rFonts w:eastAsia="Times New Roman" w:cs="Times New Roman" w:ascii="Times New Roman" w:hAnsi="Times New Roman"/>
          <w:sz w:val="24"/>
          <w:szCs w:val="24"/>
        </w:rPr>
        <w:t xml:space="preserve">Gillovic, B. and McIntosh, A., 2020. Accessibility and Inclusive Tourism Development: Current State and Future Agenda. Sustainability, 12, pp. 9722. </w:t>
      </w:r>
      <w:hyperlink r:id="rId21">
        <w:r>
          <w:rPr>
            <w:rStyle w:val="ListLabel1"/>
            <w:rFonts w:eastAsia="Times New Roman" w:cs="Times New Roman" w:ascii="Times New Roman" w:hAnsi="Times New Roman"/>
            <w:color w:val="467886"/>
            <w:sz w:val="24"/>
            <w:szCs w:val="24"/>
            <w:u w:val="single"/>
          </w:rPr>
          <w:t>https://doi.org/10.3390/su12229722</w:t>
        </w:r>
      </w:hyperlink>
      <w:r>
        <w:rPr>
          <w:rFonts w:eastAsia="Times New Roman" w:cs="Times New Roman" w:ascii="Times New Roman" w:hAnsi="Times New Roman"/>
          <w:sz w:val="24"/>
          <w:szCs w:val="24"/>
        </w:rPr>
        <w:t xml:space="preserve">. </w:t>
      </w:r>
    </w:p>
    <w:p>
      <w:pPr>
        <w:pStyle w:val="LOnormal"/>
        <w:rPr/>
      </w:pPr>
      <w:r>
        <w:rPr>
          <w:rFonts w:eastAsia="Times New Roman" w:cs="Times New Roman" w:ascii="Times New Roman" w:hAnsi="Times New Roman"/>
          <w:sz w:val="24"/>
          <w:szCs w:val="24"/>
        </w:rPr>
        <w:t xml:space="preserve">Greenhalgh, G. and Kim, E., 2024. Enhancing the Attendee Experience: The Power of Event Sponsorship. Event Management. </w:t>
      </w:r>
      <w:hyperlink r:id="rId22">
        <w:r>
          <w:rPr>
            <w:rStyle w:val="ListLabel1"/>
            <w:rFonts w:eastAsia="Times New Roman" w:cs="Times New Roman" w:ascii="Times New Roman" w:hAnsi="Times New Roman"/>
            <w:color w:val="467886"/>
            <w:sz w:val="24"/>
            <w:szCs w:val="24"/>
            <w:u w:val="single"/>
          </w:rPr>
          <w:t>https://doi-org.ezproxy.uwtsd.ac.uk/10.3727/152599524X17265263360278</w:t>
        </w:r>
      </w:hyperlink>
      <w:r>
        <w:rPr>
          <w:rFonts w:eastAsia="Times New Roman" w:cs="Times New Roman" w:ascii="Times New Roman" w:hAnsi="Times New Roman"/>
          <w:sz w:val="24"/>
          <w:szCs w:val="24"/>
        </w:rPr>
        <w:t xml:space="preserve"> </w:t>
      </w:r>
    </w:p>
    <w:p>
      <w:pPr>
        <w:pStyle w:val="LOnormal"/>
        <w:rPr/>
      </w:pPr>
      <w:r>
        <w:rPr>
          <w:rFonts w:eastAsia="Times New Roman" w:cs="Times New Roman" w:ascii="Times New Roman" w:hAnsi="Times New Roman"/>
          <w:sz w:val="24"/>
          <w:szCs w:val="24"/>
        </w:rPr>
        <w:t xml:space="preserve">Gulla, F., Ceccacci, S., Menghi, R. and Germani, M., 2016, June. An adaptive smart system to foster disabled and elderly people in kitchen-related task. In Proceedings of the 9th ACM International Conference on PErvasive Technologies Related to Assistive Environments (pp. 1-4). </w:t>
      </w:r>
      <w:hyperlink r:id="rId23">
        <w:r>
          <w:rPr>
            <w:rStyle w:val="ListLabel1"/>
            <w:rFonts w:eastAsia="Times New Roman" w:cs="Times New Roman" w:ascii="Times New Roman" w:hAnsi="Times New Roman"/>
            <w:color w:val="467886"/>
            <w:sz w:val="24"/>
            <w:szCs w:val="24"/>
            <w:u w:val="single"/>
          </w:rPr>
          <w:t>http://dx.doi.org/10.1145/2910674.2910678</w:t>
        </w:r>
      </w:hyperlink>
      <w:r>
        <w:rPr>
          <w:rFonts w:eastAsia="Times New Roman" w:cs="Times New Roman" w:ascii="Times New Roman" w:hAnsi="Times New Roman"/>
          <w:sz w:val="24"/>
          <w:szCs w:val="24"/>
        </w:rPr>
        <w:t xml:space="preserve"> </w:t>
      </w:r>
    </w:p>
    <w:p>
      <w:pPr>
        <w:pStyle w:val="LOnormal"/>
        <w:rPr>
          <w:rFonts w:ascii="Times New Roman" w:hAnsi="Times New Roman" w:eastAsia="Times New Roman" w:cs="Times New Roman"/>
          <w:sz w:val="24"/>
          <w:szCs w:val="24"/>
        </w:rPr>
      </w:pPr>
      <w:r>
        <w:rPr>
          <w:rFonts w:eastAsia="Times New Roman" w:cs="Times New Roman" w:ascii="Times New Roman" w:hAnsi="Times New Roman"/>
          <w:sz w:val="24"/>
          <w:szCs w:val="24"/>
        </w:rPr>
        <w:t xml:space="preserve">Harper, G., 2019. The culinary arts in the creative industries. https://www.tandfonline.com/doi/pdf/10.1080/17510694.2019.1570651?needAccess=true </w:t>
      </w:r>
    </w:p>
    <w:p>
      <w:pPr>
        <w:pStyle w:val="LOnormal"/>
        <w:rPr>
          <w:rFonts w:ascii="Times New Roman" w:hAnsi="Times New Roman" w:eastAsia="Times New Roman" w:cs="Times New Roman"/>
          <w:sz w:val="24"/>
          <w:szCs w:val="24"/>
        </w:rPr>
      </w:pPr>
      <w:r>
        <w:rPr>
          <w:rFonts w:eastAsia="Times New Roman" w:cs="Times New Roman" w:ascii="Times New Roman" w:hAnsi="Times New Roman"/>
          <w:sz w:val="24"/>
          <w:szCs w:val="24"/>
        </w:rPr>
        <w:t>Harrington, R. J. and Ottenbacher, M. C. (2013) ‘Managing the Culinary Innovation Process: The Case of New Product Development’, Journal of Culinary Science &amp; Technology, 11(1), pp. 4–18. doi: 10.1080/15428052.2012.754724.</w:t>
      </w:r>
    </w:p>
    <w:p>
      <w:pPr>
        <w:pStyle w:val="LOnormal"/>
        <w:rPr/>
      </w:pPr>
      <w:r>
        <w:rPr>
          <w:rFonts w:eastAsia="Times New Roman" w:cs="Times New Roman" w:ascii="Times New Roman" w:hAnsi="Times New Roman"/>
          <w:sz w:val="24"/>
          <w:szCs w:val="24"/>
        </w:rPr>
        <w:t xml:space="preserve">Hottle, T., Bilec, M., Brown, N. and Landis, A., 2015. Toward zero waste: composting and recycling for sustainable venue based events.. Waste management, 38, pp. 86-94 . </w:t>
      </w:r>
      <w:hyperlink r:id="rId24">
        <w:r>
          <w:rPr>
            <w:rStyle w:val="ListLabel1"/>
            <w:rFonts w:eastAsia="Times New Roman" w:cs="Times New Roman" w:ascii="Times New Roman" w:hAnsi="Times New Roman"/>
            <w:color w:val="467886"/>
            <w:sz w:val="24"/>
            <w:szCs w:val="24"/>
            <w:u w:val="single"/>
          </w:rPr>
          <w:t>https://doi.org/10.1016/j.wasman.2015.01.019</w:t>
        </w:r>
      </w:hyperlink>
      <w:r>
        <w:rPr>
          <w:rFonts w:eastAsia="Times New Roman" w:cs="Times New Roman" w:ascii="Times New Roman" w:hAnsi="Times New Roman"/>
          <w:sz w:val="24"/>
          <w:szCs w:val="24"/>
        </w:rPr>
        <w:t xml:space="preserve">. </w:t>
      </w:r>
    </w:p>
    <w:p>
      <w:pPr>
        <w:pStyle w:val="LOnormal"/>
        <w:rPr/>
      </w:pPr>
      <w:r>
        <w:rPr>
          <w:rFonts w:eastAsia="Times New Roman" w:cs="Times New Roman" w:ascii="Times New Roman" w:hAnsi="Times New Roman"/>
          <w:sz w:val="24"/>
          <w:szCs w:val="24"/>
        </w:rPr>
        <w:t xml:space="preserve">Janjusevic, J. and Mathur, S., 2021. Financial Planning and Budgeting of Events. . </w:t>
      </w:r>
      <w:hyperlink r:id="rId25">
        <w:r>
          <w:rPr>
            <w:rStyle w:val="ListLabel1"/>
            <w:rFonts w:eastAsia="Times New Roman" w:cs="Times New Roman" w:ascii="Times New Roman" w:hAnsi="Times New Roman"/>
            <w:color w:val="467886"/>
            <w:sz w:val="24"/>
            <w:szCs w:val="24"/>
            <w:u w:val="single"/>
          </w:rPr>
          <w:t>https://doi.org/10.23912/9781911635734-4769</w:t>
        </w:r>
      </w:hyperlink>
      <w:r>
        <w:rPr>
          <w:rFonts w:eastAsia="Times New Roman" w:cs="Times New Roman" w:ascii="Times New Roman" w:hAnsi="Times New Roman"/>
          <w:sz w:val="24"/>
          <w:szCs w:val="24"/>
        </w:rPr>
        <w:t xml:space="preserve">. </w:t>
      </w:r>
    </w:p>
    <w:p>
      <w:pPr>
        <w:pStyle w:val="LOnormal"/>
        <w:rPr/>
      </w:pPr>
      <w:r>
        <w:rPr>
          <w:rFonts w:eastAsia="Times New Roman" w:cs="Times New Roman" w:ascii="Times New Roman" w:hAnsi="Times New Roman"/>
          <w:sz w:val="24"/>
          <w:szCs w:val="24"/>
        </w:rPr>
        <w:t xml:space="preserve">Janjusevic, L. and Salama, M., 2021. Sustainability in the Context of Event Management. </w:t>
      </w:r>
      <w:hyperlink r:id="rId26">
        <w:r>
          <w:rPr>
            <w:rStyle w:val="ListLabel1"/>
            <w:rFonts w:eastAsia="Times New Roman" w:cs="Times New Roman" w:ascii="Times New Roman" w:hAnsi="Times New Roman"/>
            <w:color w:val="467886"/>
            <w:sz w:val="24"/>
            <w:szCs w:val="24"/>
            <w:u w:val="single"/>
          </w:rPr>
          <w:t>https://doi.org/10.23912/9781911635734-4775</w:t>
        </w:r>
      </w:hyperlink>
      <w:r>
        <w:rPr>
          <w:rFonts w:eastAsia="Times New Roman" w:cs="Times New Roman" w:ascii="Times New Roman" w:hAnsi="Times New Roman"/>
          <w:sz w:val="24"/>
          <w:szCs w:val="24"/>
        </w:rPr>
        <w:t xml:space="preserve">. </w:t>
      </w:r>
    </w:p>
    <w:p>
      <w:pPr>
        <w:pStyle w:val="LOnormal"/>
        <w:rPr/>
      </w:pPr>
      <w:r>
        <w:rPr>
          <w:rFonts w:eastAsia="Times New Roman" w:cs="Times New Roman" w:ascii="Times New Roman" w:hAnsi="Times New Roman"/>
          <w:sz w:val="24"/>
          <w:szCs w:val="24"/>
        </w:rPr>
        <w:t xml:space="preserve">Jiang, H., Wan, Y. and Eddy-U, M., 2024. Constraints and Facilitators, Universal Design and Event Experience: Accessibility of Facilities at a Food Festival. Event Management. </w:t>
      </w:r>
      <w:hyperlink r:id="rId27">
        <w:r>
          <w:rPr>
            <w:rStyle w:val="ListLabel1"/>
            <w:rFonts w:eastAsia="Times New Roman" w:cs="Times New Roman" w:ascii="Times New Roman" w:hAnsi="Times New Roman"/>
            <w:color w:val="467886"/>
            <w:sz w:val="24"/>
            <w:szCs w:val="24"/>
            <w:u w:val="single"/>
          </w:rPr>
          <w:t>https://doi.org/10.3727/152599524x17293162639423</w:t>
        </w:r>
      </w:hyperlink>
      <w:r>
        <w:rPr>
          <w:rFonts w:eastAsia="Times New Roman" w:cs="Times New Roman" w:ascii="Times New Roman" w:hAnsi="Times New Roman"/>
          <w:sz w:val="24"/>
          <w:szCs w:val="24"/>
        </w:rPr>
        <w:t xml:space="preserve">. </w:t>
      </w:r>
    </w:p>
    <w:p>
      <w:pPr>
        <w:pStyle w:val="LOnormal"/>
        <w:rPr/>
      </w:pPr>
      <w:r>
        <w:rPr>
          <w:rFonts w:eastAsia="Times New Roman" w:cs="Times New Roman" w:ascii="Times New Roman" w:hAnsi="Times New Roman"/>
          <w:sz w:val="24"/>
          <w:szCs w:val="24"/>
        </w:rPr>
        <w:t>Katherine, D. and Rebecca, F., 2020. Accessibility, diversity and inclusion in events. The Routledge Handbook of Events. </w:t>
      </w:r>
      <w:hyperlink r:id="rId28">
        <w:r>
          <w:rPr>
            <w:rStyle w:val="ListLabel1"/>
            <w:rFonts w:eastAsia="Times New Roman" w:cs="Times New Roman" w:ascii="Times New Roman" w:hAnsi="Times New Roman"/>
            <w:color w:val="467886"/>
            <w:sz w:val="24"/>
            <w:szCs w:val="24"/>
            <w:u w:val="single"/>
          </w:rPr>
          <w:t>https://librarysearch.uwtsd.ac.uk/permalink/44WHELF_UWTSD/igoone/cdi_crossref_primary_10_1080_15470148_2020_1814472</w:t>
        </w:r>
      </w:hyperlink>
      <w:r>
        <w:rPr>
          <w:rFonts w:eastAsia="Times New Roman" w:cs="Times New Roman" w:ascii="Times New Roman" w:hAnsi="Times New Roman"/>
          <w:sz w:val="24"/>
          <w:szCs w:val="24"/>
        </w:rPr>
        <w:t xml:space="preserve"> </w:t>
      </w:r>
    </w:p>
    <w:p>
      <w:pPr>
        <w:pStyle w:val="LOnormal"/>
        <w:rPr/>
      </w:pPr>
      <w:r>
        <w:rPr>
          <w:rFonts w:eastAsia="Times New Roman" w:cs="Times New Roman" w:ascii="Times New Roman" w:hAnsi="Times New Roman"/>
          <w:sz w:val="24"/>
          <w:szCs w:val="24"/>
        </w:rPr>
        <w:t xml:space="preserve">Khir, M., 2014. Developing an event safety risk typology : a qualitative study of risk perception amongst event planners and venue managers in Malaysia. . </w:t>
      </w:r>
      <w:hyperlink r:id="rId29">
        <w:r>
          <w:rPr>
            <w:rStyle w:val="ListLabel1"/>
            <w:rFonts w:eastAsia="Times New Roman" w:cs="Times New Roman" w:ascii="Times New Roman" w:hAnsi="Times New Roman"/>
            <w:color w:val="467886"/>
            <w:sz w:val="24"/>
            <w:szCs w:val="24"/>
            <w:u w:val="single"/>
          </w:rPr>
          <w:t>https://doi.org/10.24377/LJMU.T.00004441</w:t>
        </w:r>
      </w:hyperlink>
      <w:r>
        <w:rPr>
          <w:rFonts w:eastAsia="Times New Roman" w:cs="Times New Roman" w:ascii="Times New Roman" w:hAnsi="Times New Roman"/>
          <w:sz w:val="24"/>
          <w:szCs w:val="24"/>
        </w:rPr>
        <w:t xml:space="preserve">. </w:t>
      </w:r>
    </w:p>
    <w:p>
      <w:pPr>
        <w:pStyle w:val="LOnormal"/>
        <w:rPr/>
      </w:pPr>
      <w:r>
        <w:rPr>
          <w:rFonts w:eastAsia="Times New Roman" w:cs="Times New Roman" w:ascii="Times New Roman" w:hAnsi="Times New Roman"/>
          <w:sz w:val="24"/>
          <w:szCs w:val="24"/>
        </w:rPr>
        <w:t xml:space="preserve">Melly, D., McLoughlin, E. and Maguire, K., 2023. Emerging Venue Considerations for Event Management: The Case of Ireland. Tourism and Hospitality. </w:t>
      </w:r>
      <w:hyperlink r:id="rId30">
        <w:r>
          <w:rPr>
            <w:rStyle w:val="ListLabel1"/>
            <w:rFonts w:eastAsia="Times New Roman" w:cs="Times New Roman" w:ascii="Times New Roman" w:hAnsi="Times New Roman"/>
            <w:color w:val="467886"/>
            <w:sz w:val="24"/>
            <w:szCs w:val="24"/>
            <w:u w:val="single"/>
          </w:rPr>
          <w:t>https://doi.org/10.3390/tourhosp4010011</w:t>
        </w:r>
      </w:hyperlink>
      <w:r>
        <w:rPr>
          <w:rFonts w:eastAsia="Times New Roman" w:cs="Times New Roman" w:ascii="Times New Roman" w:hAnsi="Times New Roman"/>
          <w:sz w:val="24"/>
          <w:szCs w:val="24"/>
        </w:rPr>
        <w:t xml:space="preserve">. </w:t>
      </w:r>
    </w:p>
    <w:p>
      <w:pPr>
        <w:pStyle w:val="LOnormal"/>
        <w:rPr>
          <w:rFonts w:ascii="Times New Roman" w:hAnsi="Times New Roman" w:eastAsia="Times New Roman" w:cs="Times New Roman"/>
          <w:sz w:val="24"/>
          <w:szCs w:val="24"/>
        </w:rPr>
      </w:pPr>
      <w:r>
        <w:rPr>
          <w:rFonts w:eastAsia="Times New Roman" w:cs="Times New Roman" w:ascii="Times New Roman" w:hAnsi="Times New Roman"/>
          <w:sz w:val="24"/>
          <w:szCs w:val="24"/>
        </w:rPr>
        <w:t>Mossberg, L. and Eide, D. (2017) ‘Storytelling and meal experience concepts’, European Planning Studies, 25(7), pp. 1184–1199. doi: 10.1080/09654313.2016.1276156.</w:t>
      </w:r>
    </w:p>
    <w:p>
      <w:pPr>
        <w:pStyle w:val="LOnormal"/>
        <w:rPr>
          <w:rFonts w:ascii="Times New Roman" w:hAnsi="Times New Roman" w:eastAsia="Times New Roman" w:cs="Times New Roman"/>
          <w:sz w:val="24"/>
          <w:szCs w:val="24"/>
        </w:rPr>
      </w:pPr>
      <w:r>
        <w:rPr>
          <w:rFonts w:eastAsia="Times New Roman" w:cs="Times New Roman" w:ascii="Times New Roman" w:hAnsi="Times New Roman"/>
          <w:sz w:val="24"/>
          <w:szCs w:val="24"/>
        </w:rPr>
        <w:t>Moyle, B., Kennelly, M., &amp; Lamont, M. (2014). Risk management and contingency planning in events: Participants’ reactions to the cancellation of Ironman New Zealand 2012. International Journal of Event Management Research, 8(1), 94–106. https://citeseerx.ist.psu.edu/document?doi=2817eb1b745aaebc3e07b563cc2e7a72e90029b0&amp;repid=rep1&amp;type=pdf</w:t>
      </w:r>
    </w:p>
    <w:p>
      <w:pPr>
        <w:pStyle w:val="LOnormal"/>
        <w:rPr/>
      </w:pPr>
      <w:r>
        <w:rPr>
          <w:rFonts w:eastAsia="Times New Roman" w:cs="Times New Roman" w:ascii="Times New Roman" w:hAnsi="Times New Roman"/>
          <w:sz w:val="24"/>
          <w:szCs w:val="24"/>
        </w:rPr>
        <w:t xml:space="preserve">National Restaurant Association, 2022. Inclusive hiring: Welcoming workers with disabilities. [online] Available at: </w:t>
      </w:r>
      <w:hyperlink r:id="rId31">
        <w:r>
          <w:rPr>
            <w:rStyle w:val="ListLabel1"/>
            <w:rFonts w:eastAsia="Times New Roman" w:cs="Times New Roman" w:ascii="Times New Roman" w:hAnsi="Times New Roman"/>
            <w:color w:val="467886"/>
            <w:sz w:val="24"/>
            <w:szCs w:val="24"/>
            <w:u w:val="single"/>
          </w:rPr>
          <w:t>https://restaurant.org/education-and-resources/resource-library/inclusive-hiring-welcoming-workers-with-disabilities/</w:t>
        </w:r>
      </w:hyperlink>
    </w:p>
    <w:p>
      <w:pPr>
        <w:pStyle w:val="LOnormal"/>
        <w:rPr/>
      </w:pPr>
      <w:r>
        <w:rPr>
          <w:rFonts w:eastAsia="Times New Roman" w:cs="Times New Roman" w:ascii="Times New Roman" w:hAnsi="Times New Roman"/>
          <w:sz w:val="24"/>
          <w:szCs w:val="24"/>
        </w:rPr>
        <w:t xml:space="preserve">Office Timeline Online, 2025.  </w:t>
      </w:r>
      <w:hyperlink r:id="rId32">
        <w:r>
          <w:rPr>
            <w:rStyle w:val="ListLabel1"/>
            <w:rFonts w:eastAsia="Times New Roman" w:cs="Times New Roman" w:ascii="Times New Roman" w:hAnsi="Times New Roman"/>
            <w:color w:val="467886"/>
            <w:sz w:val="24"/>
            <w:szCs w:val="24"/>
            <w:u w:val="single"/>
          </w:rPr>
          <w:t>https://online.officetimeline.com/</w:t>
        </w:r>
      </w:hyperlink>
    </w:p>
    <w:p>
      <w:pPr>
        <w:pStyle w:val="LOnormal"/>
        <w:rPr/>
      </w:pPr>
      <w:r>
        <w:rPr>
          <w:rFonts w:eastAsia="Times New Roman" w:cs="Times New Roman" w:ascii="Times New Roman" w:hAnsi="Times New Roman"/>
          <w:sz w:val="24"/>
          <w:szCs w:val="24"/>
        </w:rPr>
        <w:t xml:space="preserve">QSNCC, 2024. At a Glance. </w:t>
      </w:r>
      <w:hyperlink r:id="rId33">
        <w:r>
          <w:rPr>
            <w:rStyle w:val="ListLabel1"/>
            <w:rFonts w:eastAsia="Times New Roman" w:cs="Times New Roman" w:ascii="Times New Roman" w:hAnsi="Times New Roman"/>
            <w:color w:val="467886"/>
            <w:sz w:val="24"/>
            <w:szCs w:val="24"/>
            <w:u w:val="single"/>
          </w:rPr>
          <w:t>https://www.qsncc.com/en/about/at-a-glance</w:t>
        </w:r>
      </w:hyperlink>
      <w:r>
        <w:rPr>
          <w:rFonts w:eastAsia="Times New Roman" w:cs="Times New Roman" w:ascii="Times New Roman" w:hAnsi="Times New Roman"/>
          <w:sz w:val="24"/>
          <w:szCs w:val="24"/>
        </w:rPr>
        <w:t xml:space="preserve"> </w:t>
      </w:r>
    </w:p>
    <w:p>
      <w:pPr>
        <w:pStyle w:val="LOnormal"/>
        <w:rPr/>
      </w:pPr>
      <w:r>
        <w:rPr>
          <w:rFonts w:eastAsia="Times New Roman" w:cs="Times New Roman" w:ascii="Times New Roman" w:hAnsi="Times New Roman"/>
          <w:sz w:val="24"/>
          <w:szCs w:val="24"/>
        </w:rPr>
        <w:t xml:space="preserve">Royal Thai Government (2007) Persons with Disabilities Empowerment Act, B.E. 2550 (2007). </w:t>
      </w:r>
      <w:hyperlink r:id="rId34">
        <w:r>
          <w:rPr>
            <w:rStyle w:val="ListLabel1"/>
            <w:rFonts w:eastAsia="Times New Roman" w:cs="Times New Roman" w:ascii="Times New Roman" w:hAnsi="Times New Roman"/>
            <w:color w:val="467886"/>
            <w:sz w:val="24"/>
            <w:szCs w:val="24"/>
            <w:u w:val="single"/>
          </w:rPr>
          <w:t>https://www.un.org/development/desa/disabilities/wp-content/uploads/sites/15/2019/11/Thailand_The-Persons-with-Disabilities-Empowerment-Act-B.E.-2550-2007-PDEA.pdf</w:t>
        </w:r>
      </w:hyperlink>
    </w:p>
    <w:p>
      <w:pPr>
        <w:pStyle w:val="LOnormal"/>
        <w:rPr/>
      </w:pPr>
      <w:r>
        <w:rPr>
          <w:rFonts w:eastAsia="Times New Roman" w:cs="Times New Roman" w:ascii="Times New Roman" w:hAnsi="Times New Roman"/>
          <w:sz w:val="24"/>
          <w:szCs w:val="24"/>
        </w:rPr>
        <w:t xml:space="preserve">Sanchez-Jofras, J.F. and Kuri-Alonso, I., 2019. Education and innovation in gastronomy: A case study of culinary art school in Tijuana, Mexico. Cultural and Creative Industries: A Path to Entrepreneurship and Innovation, pp.101-119. </w:t>
      </w:r>
      <w:hyperlink r:id="rId35">
        <w:r>
          <w:rPr>
            <w:rStyle w:val="ListLabel1"/>
            <w:rFonts w:eastAsia="Times New Roman" w:cs="Times New Roman" w:ascii="Times New Roman" w:hAnsi="Times New Roman"/>
            <w:color w:val="467886"/>
            <w:sz w:val="24"/>
            <w:szCs w:val="24"/>
            <w:u w:val="single"/>
          </w:rPr>
          <w:t>https://repositorio.cetys.mx/bitstream/60000/1765/1/978-3-319-99590-8.pdf#page=114</w:t>
        </w:r>
      </w:hyperlink>
      <w:r>
        <w:rPr>
          <w:rFonts w:eastAsia="Times New Roman" w:cs="Times New Roman" w:ascii="Times New Roman" w:hAnsi="Times New Roman"/>
          <w:sz w:val="24"/>
          <w:szCs w:val="24"/>
        </w:rPr>
        <w:t xml:space="preserve"> </w:t>
      </w:r>
    </w:p>
    <w:p>
      <w:pPr>
        <w:pStyle w:val="LOnormal"/>
        <w:rPr/>
      </w:pPr>
      <w:r>
        <w:rPr>
          <w:rFonts w:eastAsia="Times New Roman" w:cs="Times New Roman" w:ascii="Times New Roman" w:hAnsi="Times New Roman"/>
          <w:sz w:val="24"/>
          <w:szCs w:val="24"/>
        </w:rPr>
        <w:t xml:space="preserve">Shibuya, M. and Chen, X., 2021. Production Planning and Management Using Gantt Charts. Journal of Mechanics Engineering and Automation. </w:t>
      </w:r>
      <w:hyperlink r:id="rId36">
        <w:r>
          <w:rPr>
            <w:rStyle w:val="ListLabel1"/>
            <w:rFonts w:eastAsia="Times New Roman" w:cs="Times New Roman" w:ascii="Times New Roman" w:hAnsi="Times New Roman"/>
            <w:color w:val="467886"/>
            <w:sz w:val="24"/>
            <w:szCs w:val="24"/>
            <w:u w:val="single"/>
          </w:rPr>
          <w:t>https://doi.org/10.17265/2159-5275/2021.03.002</w:t>
        </w:r>
      </w:hyperlink>
      <w:r>
        <w:rPr>
          <w:rFonts w:eastAsia="Times New Roman" w:cs="Times New Roman" w:ascii="Times New Roman" w:hAnsi="Times New Roman"/>
          <w:sz w:val="24"/>
          <w:szCs w:val="24"/>
        </w:rPr>
        <w:t xml:space="preserve">. </w:t>
      </w:r>
    </w:p>
    <w:p>
      <w:pPr>
        <w:pStyle w:val="LOnormal"/>
        <w:rPr/>
      </w:pPr>
      <w:r>
        <w:rPr>
          <w:rFonts w:eastAsia="Times New Roman" w:cs="Times New Roman" w:ascii="Times New Roman" w:hAnsi="Times New Roman"/>
          <w:sz w:val="24"/>
          <w:szCs w:val="24"/>
        </w:rPr>
        <w:t>Siriwatthanatrakarn, C. and Kidrakarn, K., 2024. The Development of Integrated Marketing Communication Strategies for Organizing International Running Events. Studies in Media and Communication. </w:t>
      </w:r>
      <w:hyperlink r:id="rId37">
        <w:r>
          <w:rPr>
            <w:rStyle w:val="ListLabel1"/>
            <w:rFonts w:eastAsia="Times New Roman" w:cs="Times New Roman" w:ascii="Times New Roman" w:hAnsi="Times New Roman"/>
            <w:color w:val="467886"/>
            <w:sz w:val="24"/>
            <w:szCs w:val="24"/>
            <w:u w:val="single"/>
          </w:rPr>
          <w:t>https://doi.org/10.11114/smc.v12i4.7009</w:t>
        </w:r>
      </w:hyperlink>
      <w:r>
        <w:rPr>
          <w:rFonts w:eastAsia="Times New Roman" w:cs="Times New Roman" w:ascii="Times New Roman" w:hAnsi="Times New Roman"/>
          <w:sz w:val="24"/>
          <w:szCs w:val="24"/>
        </w:rPr>
        <w:t>.</w:t>
      </w:r>
    </w:p>
    <w:p>
      <w:pPr>
        <w:pStyle w:val="LOnormal"/>
        <w:widowControl/>
        <w:bidi w:val="0"/>
        <w:spacing w:lineRule="auto" w:line="259" w:before="0" w:after="160"/>
        <w:jc w:val="left"/>
        <w:rPr/>
      </w:pPr>
      <w:r>
        <w:rPr>
          <w:rFonts w:eastAsia="Times New Roman" w:cs="Times New Roman" w:ascii="Times New Roman" w:hAnsi="Times New Roman"/>
          <w:sz w:val="24"/>
          <w:szCs w:val="24"/>
        </w:rPr>
        <w:t xml:space="preserve">Swanson, M., Bowen, P., Phillips, A.W., Gallup, D., &amp; Lynes, D. (2010). Contingency planning guide for federal information systems (NIST Special Publication 800-34 Rev. 1). National Institute of Standards and </w:t>
      </w:r>
      <w:r>
        <w:rPr>
          <w:rFonts w:eastAsia="Times New Roman" w:cs="Times New Roman" w:ascii="Times New Roman" w:hAnsi="Times New Roman"/>
        </w:rPr>
        <w:t xml:space="preserve">Technology.  </w:t>
      </w:r>
      <w:hyperlink r:id="rId38">
        <w:r>
          <w:rPr>
            <w:rStyle w:val="ListLabel2"/>
            <w:rFonts w:eastAsia="Times New Roman" w:cs="Times New Roman" w:ascii="Times New Roman" w:hAnsi="Times New Roman"/>
            <w:color w:val="467886"/>
            <w:u w:val="single"/>
          </w:rPr>
          <w:t>https://nvlpubs.nist.gov/nistpubs/legacy/sp/nistspecialpublication800-34r1.pdf</w:t>
        </w:r>
      </w:hyperlink>
    </w:p>
    <w:sectPr>
      <w:type w:val="nextPage"/>
      <w:pgSz w:w="12240" w:h="15840"/>
      <w:pgMar w:left="1440" w:right="1440" w:header="0" w:top="1440" w:footer="0" w:bottom="1440" w:gutter="0"/>
      <w:pgNumType w:start="1" w:fmt="decimal"/>
      <w:formProt w:val="false"/>
      <w:textDirection w:val="lrTb"/>
      <w:docGrid w:type="default" w:linePitch="100" w:charSpace="4096"/>
    </w:sectPr>
  </w:body>
</w:document>
</file>

<file path=word/fontTable.xml><?xml version="1.0" encoding="utf-8"?>
<w:fonts xmlns:w="http://schemas.openxmlformats.org/wordprocessingml/2006/main" xmlns:r="http://schemas.openxmlformats.org/officeDocument/2006/relationships">
  <w:font w:name="Times New Roman">
    <w:charset w:val="00"/>
    <w:family w:val="roman"/>
    <w:pitch w:val="variable"/>
  </w:font>
  <w:font w:name="Symbol">
    <w:charset w:val="02"/>
    <w:family w:val="roman"/>
    <w:pitch w:val="variable"/>
  </w:font>
  <w:font w:name="Arial">
    <w:charset w:val="00"/>
    <w:family w:val="swiss"/>
    <w:pitch w:val="variable"/>
  </w:font>
  <w:font w:name="Aptos">
    <w:charset w:val="00"/>
    <w:family w:val="roman"/>
    <w:pitch w:val="variable"/>
  </w:font>
  <w:font w:name="Play">
    <w:charset w:val="00"/>
    <w:family w:val="roman"/>
    <w:pitch w:val="variable"/>
  </w:font>
  <w:font w:name="Arial">
    <w:charset w:val="00"/>
    <w:family w:val="roman"/>
    <w:pitch w:val="variable"/>
  </w:font>
</w:fonts>
</file>

<file path=word/settings.xml><?xml version="1.0" encoding="utf-8"?>
<w:settings xmlns:w="http://schemas.openxmlformats.org/wordprocessingml/2006/main">
  <w:zoom w:percent="100"/>
  <w:defaultTabStop w:val="720"/>
  <w:compat>
    <w:compatSetting w:name="compatibilityMode" w:uri="http://schemas.microsoft.com/office/word" w:val="15"/>
  </w:compat>
  <w:themeFontLang w:val="" w:eastAsia="" w:bidi=""/>
</w:settings>
</file>

<file path=word/styles.xml><?xml version="1.0" encoding="utf-8"?>
<w:styles xmlns:w="http://schemas.openxmlformats.org/wordprocessingml/2006/main" xmlns:w14="http://schemas.microsoft.com/office/word/2010/wordml" xmlns:mc="http://schemas.openxmlformats.org/markup-compatibility/2006" mc:Ignorable="w14">
  <w:docDefaults>
    <w:rPrDefault>
      <w:rPr>
        <w:rFonts w:ascii="Aptos" w:hAnsi="Aptos" w:eastAsia="Aptos" w:cs="Aptos"/>
        <w:szCs w:val="22"/>
        <w:lang w:val="en-US" w:eastAsia="zh-CN" w:bidi="hi-IN"/>
      </w:rPr>
    </w:rPrDefault>
    <w:pPrDefault>
      <w:pPr/>
    </w:pPrDefault>
  </w:docDefaults>
  <w:style w:type="paragraph" w:styleId="Normal">
    <w:name w:val="Normal"/>
    <w:qFormat/>
    <w:pPr>
      <w:widowControl/>
      <w:bidi w:val="0"/>
      <w:spacing w:lineRule="auto" w:line="259" w:before="0" w:after="160"/>
      <w:jc w:val="left"/>
    </w:pPr>
    <w:rPr>
      <w:rFonts w:ascii="Aptos" w:hAnsi="Aptos" w:eastAsia="Aptos" w:cs="Aptos"/>
      <w:color w:val="auto"/>
      <w:kern w:val="0"/>
      <w:sz w:val="22"/>
      <w:szCs w:val="22"/>
      <w:lang w:val="en-US" w:eastAsia="zh-CN" w:bidi="hi-IN"/>
    </w:rPr>
  </w:style>
  <w:style w:type="paragraph" w:styleId="Heading1">
    <w:name w:val="Heading 1"/>
    <w:next w:val="LOnormal"/>
    <w:qFormat/>
    <w:pPr>
      <w:keepNext w:val="true"/>
      <w:keepLines/>
      <w:widowControl/>
      <w:bidi w:val="0"/>
      <w:spacing w:lineRule="auto" w:line="240" w:before="360" w:after="80"/>
      <w:jc w:val="left"/>
    </w:pPr>
    <w:rPr>
      <w:rFonts w:ascii="Play" w:hAnsi="Play" w:eastAsia="Play" w:cs="Play"/>
      <w:color w:val="0F4761"/>
      <w:kern w:val="0"/>
      <w:sz w:val="40"/>
      <w:szCs w:val="40"/>
      <w:lang w:val="en-US" w:eastAsia="zh-CN" w:bidi="hi-IN"/>
    </w:rPr>
  </w:style>
  <w:style w:type="paragraph" w:styleId="Heading2">
    <w:name w:val="Heading 2"/>
    <w:next w:val="LOnormal"/>
    <w:qFormat/>
    <w:pPr>
      <w:keepNext w:val="true"/>
      <w:keepLines/>
      <w:widowControl/>
      <w:bidi w:val="0"/>
      <w:spacing w:lineRule="auto" w:line="240" w:before="160" w:after="80"/>
      <w:jc w:val="left"/>
    </w:pPr>
    <w:rPr>
      <w:rFonts w:ascii="Play" w:hAnsi="Play" w:eastAsia="Play" w:cs="Play"/>
      <w:color w:val="0F4761"/>
      <w:kern w:val="0"/>
      <w:sz w:val="32"/>
      <w:szCs w:val="32"/>
      <w:lang w:val="en-US" w:eastAsia="zh-CN" w:bidi="hi-IN"/>
    </w:rPr>
  </w:style>
  <w:style w:type="paragraph" w:styleId="Heading3">
    <w:name w:val="Heading 3"/>
    <w:next w:val="LOnormal"/>
    <w:qFormat/>
    <w:pPr>
      <w:keepNext w:val="true"/>
      <w:keepLines/>
      <w:widowControl/>
      <w:bidi w:val="0"/>
      <w:spacing w:lineRule="auto" w:line="240" w:before="160" w:after="80"/>
      <w:jc w:val="left"/>
    </w:pPr>
    <w:rPr>
      <w:rFonts w:ascii="Aptos" w:hAnsi="Aptos" w:eastAsia="Aptos" w:cs="Aptos"/>
      <w:color w:val="0F4761"/>
      <w:kern w:val="0"/>
      <w:sz w:val="28"/>
      <w:szCs w:val="28"/>
      <w:lang w:val="en-US" w:eastAsia="zh-CN" w:bidi="hi-IN"/>
    </w:rPr>
  </w:style>
  <w:style w:type="paragraph" w:styleId="Heading4">
    <w:name w:val="Heading 4"/>
    <w:next w:val="LOnormal"/>
    <w:qFormat/>
    <w:pPr>
      <w:keepNext w:val="true"/>
      <w:keepLines/>
      <w:widowControl/>
      <w:bidi w:val="0"/>
      <w:spacing w:lineRule="auto" w:line="240" w:before="80" w:after="40"/>
      <w:jc w:val="left"/>
    </w:pPr>
    <w:rPr>
      <w:rFonts w:ascii="Aptos" w:hAnsi="Aptos" w:eastAsia="Aptos" w:cs="Aptos"/>
      <w:i/>
      <w:color w:val="0F4761"/>
      <w:kern w:val="0"/>
      <w:sz w:val="22"/>
      <w:szCs w:val="22"/>
      <w:lang w:val="en-US" w:eastAsia="zh-CN" w:bidi="hi-IN"/>
    </w:rPr>
  </w:style>
  <w:style w:type="paragraph" w:styleId="Heading5">
    <w:name w:val="Heading 5"/>
    <w:next w:val="LOnormal"/>
    <w:qFormat/>
    <w:pPr>
      <w:keepNext w:val="true"/>
      <w:keepLines/>
      <w:widowControl/>
      <w:bidi w:val="0"/>
      <w:spacing w:lineRule="auto" w:line="240" w:before="80" w:after="40"/>
      <w:jc w:val="left"/>
    </w:pPr>
    <w:rPr>
      <w:rFonts w:ascii="Aptos" w:hAnsi="Aptos" w:eastAsia="Aptos" w:cs="Aptos"/>
      <w:color w:val="0F4761"/>
      <w:kern w:val="0"/>
      <w:sz w:val="22"/>
      <w:szCs w:val="22"/>
      <w:lang w:val="en-US" w:eastAsia="zh-CN" w:bidi="hi-IN"/>
    </w:rPr>
  </w:style>
  <w:style w:type="paragraph" w:styleId="Heading6">
    <w:name w:val="Heading 6"/>
    <w:next w:val="LOnormal"/>
    <w:qFormat/>
    <w:pPr>
      <w:keepNext w:val="true"/>
      <w:keepLines/>
      <w:widowControl/>
      <w:bidi w:val="0"/>
      <w:spacing w:lineRule="auto" w:line="240" w:before="40" w:after="0"/>
      <w:jc w:val="left"/>
    </w:pPr>
    <w:rPr>
      <w:rFonts w:ascii="Aptos" w:hAnsi="Aptos" w:eastAsia="Aptos" w:cs="Aptos"/>
      <w:i/>
      <w:color w:val="595959"/>
      <w:kern w:val="0"/>
      <w:sz w:val="22"/>
      <w:szCs w:val="22"/>
      <w:lang w:val="en-US" w:eastAsia="zh-CN" w:bidi="hi-IN"/>
    </w:rPr>
  </w:style>
  <w:style w:type="character" w:styleId="ListLabel1">
    <w:name w:val="ListLabel 1"/>
    <w:qFormat/>
    <w:rPr>
      <w:rFonts w:ascii="Times New Roman" w:hAnsi="Times New Roman" w:eastAsia="Times New Roman" w:cs="Times New Roman"/>
      <w:color w:val="467886"/>
      <w:sz w:val="24"/>
      <w:szCs w:val="24"/>
      <w:u w:val="single"/>
    </w:rPr>
  </w:style>
  <w:style w:type="character" w:styleId="InternetLink">
    <w:name w:val="Internet Link"/>
    <w:rPr>
      <w:color w:val="000080"/>
      <w:u w:val="single"/>
      <w:lang w:val="zxx" w:eastAsia="zxx" w:bidi="zxx"/>
    </w:rPr>
  </w:style>
  <w:style w:type="character" w:styleId="ListLabel2">
    <w:name w:val="ListLabel 2"/>
    <w:qFormat/>
    <w:rPr>
      <w:rFonts w:ascii="Times New Roman" w:hAnsi="Times New Roman" w:eastAsia="Times New Roman" w:cs="Times New Roman"/>
      <w:color w:val="467886"/>
      <w:u w:val="single"/>
    </w:rPr>
  </w:style>
  <w:style w:type="character" w:styleId="ListLabel3">
    <w:name w:val="ListLabel 3"/>
    <w:qFormat/>
    <w:rPr>
      <w:rFonts w:ascii="Times New Roman" w:hAnsi="Times New Roman" w:eastAsia="Times New Roman" w:cs="Times New Roman"/>
      <w:color w:val="467886"/>
      <w:sz w:val="24"/>
      <w:szCs w:val="24"/>
      <w:u w:val="single"/>
    </w:rPr>
  </w:style>
  <w:style w:type="character" w:styleId="ListLabel4">
    <w:name w:val="ListLabel 4"/>
    <w:qFormat/>
    <w:rPr>
      <w:rFonts w:ascii="Times New Roman" w:hAnsi="Times New Roman" w:eastAsia="Times New Roman" w:cs="Times New Roman"/>
      <w:color w:val="467886"/>
      <w:u w:val="single"/>
    </w:rPr>
  </w:style>
  <w:style w:type="paragraph" w:styleId="Heading">
    <w:name w:val="Heading"/>
    <w:basedOn w:val="Normal"/>
    <w:next w:val="TextBody"/>
    <w:qFormat/>
    <w:pPr>
      <w:keepNext w:val="true"/>
      <w:spacing w:before="240" w:after="120"/>
    </w:pPr>
    <w:rPr>
      <w:rFonts w:ascii="Arial" w:hAnsi="Arial" w:eastAsia="Microsoft YaHei" w:cs="Arial"/>
      <w:sz w:val="28"/>
      <w:szCs w:val="28"/>
    </w:rPr>
  </w:style>
  <w:style w:type="paragraph" w:styleId="TextBody">
    <w:name w:val="Body Text"/>
    <w:basedOn w:val="Normal"/>
    <w:pPr>
      <w:spacing w:lineRule="auto" w:line="276" w:before="0" w:after="140"/>
    </w:pPr>
    <w:rPr/>
  </w:style>
  <w:style w:type="paragraph" w:styleId="List">
    <w:name w:val="List"/>
    <w:basedOn w:val="TextBody"/>
    <w:pPr/>
    <w:rPr>
      <w:rFonts w:cs="Arial"/>
    </w:rPr>
  </w:style>
  <w:style w:type="paragraph" w:styleId="Caption">
    <w:name w:val="Caption"/>
    <w:basedOn w:val="Normal"/>
    <w:qFormat/>
    <w:pPr>
      <w:suppressLineNumbers/>
      <w:spacing w:before="120" w:after="120"/>
    </w:pPr>
    <w:rPr>
      <w:rFonts w:cs="Arial"/>
      <w:i/>
      <w:iCs/>
      <w:sz w:val="24"/>
      <w:szCs w:val="24"/>
    </w:rPr>
  </w:style>
  <w:style w:type="paragraph" w:styleId="Index">
    <w:name w:val="Index"/>
    <w:basedOn w:val="Normal"/>
    <w:qFormat/>
    <w:pPr>
      <w:suppressLineNumbers/>
    </w:pPr>
    <w:rPr>
      <w:rFonts w:cs="Arial"/>
    </w:rPr>
  </w:style>
  <w:style w:type="paragraph" w:styleId="LOnormal" w:default="1">
    <w:name w:val="LO-normal"/>
    <w:qFormat/>
    <w:pPr>
      <w:widowControl/>
      <w:bidi w:val="0"/>
      <w:spacing w:lineRule="auto" w:line="259" w:before="0" w:after="160"/>
      <w:jc w:val="left"/>
    </w:pPr>
    <w:rPr>
      <w:rFonts w:ascii="Aptos" w:hAnsi="Aptos" w:eastAsia="Aptos" w:cs="Aptos"/>
      <w:color w:val="auto"/>
      <w:kern w:val="0"/>
      <w:sz w:val="22"/>
      <w:szCs w:val="22"/>
      <w:lang w:val="en-US" w:eastAsia="zh-CN" w:bidi="hi-IN"/>
    </w:rPr>
  </w:style>
  <w:style w:type="paragraph" w:styleId="Title">
    <w:name w:val="Title"/>
    <w:basedOn w:val="LOnormal"/>
    <w:next w:val="LOnormal"/>
    <w:qFormat/>
    <w:pPr>
      <w:spacing w:lineRule="auto" w:line="240" w:before="0" w:after="80"/>
    </w:pPr>
    <w:rPr>
      <w:rFonts w:ascii="Play" w:hAnsi="Play" w:eastAsia="Play" w:cs="Play"/>
      <w:sz w:val="56"/>
      <w:szCs w:val="56"/>
    </w:rPr>
  </w:style>
  <w:style w:type="paragraph" w:styleId="Subtitle">
    <w:name w:val="Subtitle"/>
    <w:basedOn w:val="LOnormal"/>
    <w:next w:val="LOnormal"/>
    <w:qFormat/>
    <w:pPr/>
    <w:rPr>
      <w:color w:val="595959"/>
      <w:sz w:val="28"/>
      <w:szCs w:val="28"/>
    </w:rPr>
  </w:style>
  <w:style w:type="table" w:default="1" w:styleId="TableNormal">
    <w:name w:val="Table Normal"/>
  </w:style>
</w:styles>
</file>

<file path=word/_rels/document.xml.rels><?xml version="1.0" encoding="UTF-8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image" Target="media/image1.png"/><Relationship Id="rId3" Type="http://schemas.openxmlformats.org/officeDocument/2006/relationships/image" Target="media/image2.png"/><Relationship Id="rId4" Type="http://schemas.openxmlformats.org/officeDocument/2006/relationships/image" Target="media/image3.png"/><Relationship Id="rId5" Type="http://schemas.openxmlformats.org/officeDocument/2006/relationships/image" Target="media/image4.png"/><Relationship Id="rId6" Type="http://schemas.openxmlformats.org/officeDocument/2006/relationships/image" Target="media/image5.png"/><Relationship Id="rId7" Type="http://schemas.openxmlformats.org/officeDocument/2006/relationships/image" Target="media/image6.png"/><Relationship Id="rId8" Type="http://schemas.openxmlformats.org/officeDocument/2006/relationships/image" Target="media/image7.png"/><Relationship Id="rId9" Type="http://schemas.openxmlformats.org/officeDocument/2006/relationships/image" Target="media/image8.png"/><Relationship Id="rId10" Type="http://schemas.openxmlformats.org/officeDocument/2006/relationships/image" Target="media/image9.png"/><Relationship Id="rId11" Type="http://schemas.openxmlformats.org/officeDocument/2006/relationships/image" Target="media/image10.png"/><Relationship Id="rId12" Type="http://schemas.openxmlformats.org/officeDocument/2006/relationships/image" Target="media/image11.png"/><Relationship Id="rId13" Type="http://schemas.openxmlformats.org/officeDocument/2006/relationships/hyperlink" Target="https://boardroom.global/the-crown-jewel-of-events-in-bangkok-introducing-the-queen-sirikit-national-convention-center/" TargetMode="External"/><Relationship Id="rId14" Type="http://schemas.openxmlformats.org/officeDocument/2006/relationships/hyperlink" Target="https://research-ebsco-com.ezproxy.uwtsd.ac.uk/linkprocessor/plink?id=0713b2d6-c559-3133-a063-9c460741a170" TargetMode="External"/><Relationship Id="rId15" Type="http://schemas.openxmlformats.org/officeDocument/2006/relationships/hyperlink" Target="https://www.olympiade-der-koeche.com/en/news/culinary-ability-awards-promoting-inclusion/" TargetMode="External"/><Relationship Id="rId16" Type="http://schemas.openxmlformats.org/officeDocument/2006/relationships/hyperlink" Target="https://doi.org/10.1386/ijfd_00041_1" TargetMode="External"/><Relationship Id="rId17" Type="http://schemas.openxmlformats.org/officeDocument/2006/relationships/hyperlink" Target="https://doi.org/10.59141/jiss.v5i10.1385" TargetMode="External"/><Relationship Id="rId18" Type="http://schemas.openxmlformats.org/officeDocument/2006/relationships/hyperlink" Target="https://pmc.ncbi.nlm.nih.gov/articles/PMC7149346/" TargetMode="External"/><Relationship Id="rId19" Type="http://schemas.openxmlformats.org/officeDocument/2006/relationships/hyperlink" Target="https://www.futuremarketinsights.com/reports/thailand-culinary-tourism-market" TargetMode="External"/><Relationship Id="rId20" Type="http://schemas.openxmlformats.org/officeDocument/2006/relationships/hyperlink" Target="https://librarysearch.uwtsd.ac.uk/permalink/44WHELF_UWTSD/upgrip/alma99100647735602421" TargetMode="External"/><Relationship Id="rId21" Type="http://schemas.openxmlformats.org/officeDocument/2006/relationships/hyperlink" Target="https://doi.org/10.3390/su12229722" TargetMode="External"/><Relationship Id="rId22" Type="http://schemas.openxmlformats.org/officeDocument/2006/relationships/hyperlink" Target="https://doi-org.ezproxy.uwtsd.ac.uk/10.3727/152599524X17265263360278" TargetMode="External"/><Relationship Id="rId23" Type="http://schemas.openxmlformats.org/officeDocument/2006/relationships/hyperlink" Target="http://dx.doi.org/10.1145/2910674.2910678" TargetMode="External"/><Relationship Id="rId24" Type="http://schemas.openxmlformats.org/officeDocument/2006/relationships/hyperlink" Target="https://doi.org/10.1016/j.wasman.2015.01.019" TargetMode="External"/><Relationship Id="rId25" Type="http://schemas.openxmlformats.org/officeDocument/2006/relationships/hyperlink" Target="https://doi.org/10.23912/9781911635734-4769" TargetMode="External"/><Relationship Id="rId26" Type="http://schemas.openxmlformats.org/officeDocument/2006/relationships/hyperlink" Target="https://doi.org/10.23912/9781911635734-4775" TargetMode="External"/><Relationship Id="rId27" Type="http://schemas.openxmlformats.org/officeDocument/2006/relationships/hyperlink" Target="https://doi.org/10.3727/152599524x17293162639423" TargetMode="External"/><Relationship Id="rId28" Type="http://schemas.openxmlformats.org/officeDocument/2006/relationships/hyperlink" Target="https://librarysearch.uwtsd.ac.uk/permalink/44WHELF_UWTSD/igoone/cdi_crossref_primary_10_1080_15470148_2020_1814472" TargetMode="External"/><Relationship Id="rId29" Type="http://schemas.openxmlformats.org/officeDocument/2006/relationships/hyperlink" Target="https://doi.org/10.24377/LJMU.T.00004441" TargetMode="External"/><Relationship Id="rId30" Type="http://schemas.openxmlformats.org/officeDocument/2006/relationships/hyperlink" Target="https://doi.org/10.3390/tourhosp4010011" TargetMode="External"/><Relationship Id="rId31" Type="http://schemas.openxmlformats.org/officeDocument/2006/relationships/hyperlink" Target="https://restaurant.org/education-and-resources/resource-library/inclusive-hiring-welcoming-workers-with-disabilities/" TargetMode="External"/><Relationship Id="rId32" Type="http://schemas.openxmlformats.org/officeDocument/2006/relationships/hyperlink" Target="https://online.officetimeline.com/" TargetMode="External"/><Relationship Id="rId33" Type="http://schemas.openxmlformats.org/officeDocument/2006/relationships/hyperlink" Target="https://www.qsncc.com/en/about/at-a-glance" TargetMode="External"/><Relationship Id="rId34" Type="http://schemas.openxmlformats.org/officeDocument/2006/relationships/hyperlink" Target="https://www.un.org/development/desa/disabilities/wp-content/uploads/sites/15/2019/11/Thailand_The-Persons-with-Disabilities-Empowerment-Act-B.E.-2550-2007-PDEA.pdf" TargetMode="External"/><Relationship Id="rId35" Type="http://schemas.openxmlformats.org/officeDocument/2006/relationships/hyperlink" Target="https://repositorio.cetys.mx/bitstream/60000/1765/1/978-3-319-99590-8.pdf" TargetMode="External"/><Relationship Id="rId36" Type="http://schemas.openxmlformats.org/officeDocument/2006/relationships/hyperlink" Target="https://doi.org/10.17265/2159-5275/2021.03.002" TargetMode="External"/><Relationship Id="rId37" Type="http://schemas.openxmlformats.org/officeDocument/2006/relationships/hyperlink" Target="https://doi.org/10.11114/smc.v12i4.7009" TargetMode="External"/><Relationship Id="rId38" Type="http://schemas.openxmlformats.org/officeDocument/2006/relationships/hyperlink" Target="https://nvlpubs.nist.gov/nistpubs/legacy/sp/nistspecialpublication800-34r1.pdf" TargetMode="External"/><Relationship Id="rId39" Type="http://schemas.openxmlformats.org/officeDocument/2006/relationships/fontTable" Target="fontTable.xml"/><Relationship Id="rId40" Type="http://schemas.openxmlformats.org/officeDocument/2006/relationships/settings" Target="settings.xml"/><Relationship Id="rId41" Type="http://schemas.openxmlformats.org/officeDocument/2006/relationships/theme" Target="theme/theme1.xml"/>
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/>
  <TotalTime>4</TotalTime>
  <Application>Trio_Office/6.2.8.2$Windows_x86 LibreOffice_project/</Application>
  <Pages>11</Pages>
  <Words>747</Words>
  <Characters>6587</Characters>
  <CharactersWithSpaces>7319</CharactersWithSpaces>
  <Paragraphs>51</Paragraph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description/>
  <dc:language>pl-PL</dc:language>
  <cp:lastModifiedBy/>
  <dcterms:modified xsi:type="dcterms:W3CDTF">2025-02-06T09:40:21Z</dcterms:modified>
  <cp:revision>2</cp:revision>
  <dc:subject/>
  <dc:title/>
</cp:coreProperties>
</file>