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F5C24BF" wp14:paraId="7980B607" wp14:textId="2343B045">
      <w:pPr>
        <w:spacing w:before="0" w:beforeAutospacing="off" w:after="24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F5C24BF" w:rsidR="61DF7ED9">
        <w:rPr>
          <w:rFonts w:ascii="Arial" w:hAnsi="Arial" w:eastAsia="Arial" w:cs="Arial"/>
          <w:b w:val="1"/>
          <w:bCs w:val="1"/>
          <w:i w:val="0"/>
          <w:iCs w:val="0"/>
          <w:caps w:val="0"/>
          <w:smallCaps w:val="0"/>
          <w:noProof w:val="0"/>
          <w:color w:val="000000" w:themeColor="text1" w:themeTint="FF" w:themeShade="FF"/>
          <w:sz w:val="22"/>
          <w:szCs w:val="22"/>
          <w:lang w:val="en-GB"/>
        </w:rPr>
        <w:t xml:space="preserve">Certificate of Higher Education Skills </w:t>
      </w:r>
      <w:r w:rsidRPr="0F5C24BF" w:rsidR="4CBFAF87">
        <w:rPr>
          <w:rFonts w:ascii="Arial" w:hAnsi="Arial" w:eastAsia="Arial" w:cs="Arial"/>
          <w:b w:val="1"/>
          <w:bCs w:val="1"/>
          <w:i w:val="0"/>
          <w:iCs w:val="0"/>
          <w:caps w:val="0"/>
          <w:smallCaps w:val="0"/>
          <w:noProof w:val="0"/>
          <w:color w:val="000000" w:themeColor="text1" w:themeTint="FF" w:themeShade="FF"/>
          <w:sz w:val="22"/>
          <w:szCs w:val="22"/>
          <w:lang w:val="en-GB"/>
        </w:rPr>
        <w:t xml:space="preserve">in </w:t>
      </w:r>
      <w:r w:rsidRPr="0F5C24BF" w:rsidR="61DF7ED9">
        <w:rPr>
          <w:rFonts w:ascii="Arial" w:hAnsi="Arial" w:eastAsia="Arial" w:cs="Arial"/>
          <w:b w:val="1"/>
          <w:bCs w:val="1"/>
          <w:i w:val="0"/>
          <w:iCs w:val="0"/>
          <w:caps w:val="0"/>
          <w:smallCaps w:val="0"/>
          <w:noProof w:val="0"/>
          <w:color w:val="000000" w:themeColor="text1" w:themeTint="FF" w:themeShade="FF"/>
          <w:sz w:val="22"/>
          <w:szCs w:val="22"/>
          <w:lang w:val="en-GB"/>
        </w:rPr>
        <w:t>Health &amp; Social Care</w:t>
      </w:r>
    </w:p>
    <w:p xmlns:wp14="http://schemas.microsoft.com/office/word/2010/wordml" w:rsidP="0F5C24BF" wp14:paraId="3874D61C" wp14:textId="5103CA64">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C24BF" w:rsidR="61DF7ED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F5C24BF" wp14:paraId="4731ECE6" wp14:textId="260FBEEF">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F5C24BF" w:rsidR="61DF7ED9">
        <w:rPr>
          <w:rFonts w:ascii="Arial" w:hAnsi="Arial" w:eastAsia="Arial" w:cs="Arial"/>
          <w:b w:val="1"/>
          <w:bCs w:val="1"/>
          <w:i w:val="0"/>
          <w:iCs w:val="0"/>
          <w:caps w:val="0"/>
          <w:smallCaps w:val="0"/>
          <w:noProof w:val="0"/>
          <w:color w:val="000000" w:themeColor="text1" w:themeTint="FF" w:themeShade="FF"/>
          <w:sz w:val="22"/>
          <w:szCs w:val="22"/>
          <w:lang w:val="en-GB"/>
        </w:rPr>
        <w:t>LCHS40</w:t>
      </w:r>
      <w:r w:rsidRPr="0F5C24BF" w:rsidR="08760003">
        <w:rPr>
          <w:rFonts w:ascii="Arial" w:hAnsi="Arial" w:eastAsia="Arial" w:cs="Arial"/>
          <w:b w:val="1"/>
          <w:bCs w:val="1"/>
          <w:i w:val="0"/>
          <w:iCs w:val="0"/>
          <w:caps w:val="0"/>
          <w:smallCaps w:val="0"/>
          <w:noProof w:val="0"/>
          <w:color w:val="000000" w:themeColor="text1" w:themeTint="FF" w:themeShade="FF"/>
          <w:sz w:val="22"/>
          <w:szCs w:val="22"/>
          <w:lang w:val="en-GB"/>
        </w:rPr>
        <w:t>10</w:t>
      </w:r>
      <w:r w:rsidRPr="0F5C24BF" w:rsidR="61DF7ED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F5C24BF" w:rsidR="3176BB01">
        <w:rPr>
          <w:rFonts w:ascii="Arial" w:hAnsi="Arial" w:eastAsia="Arial" w:cs="Arial"/>
          <w:b w:val="1"/>
          <w:bCs w:val="1"/>
          <w:i w:val="0"/>
          <w:iCs w:val="0"/>
          <w:caps w:val="0"/>
          <w:smallCaps w:val="0"/>
          <w:noProof w:val="0"/>
          <w:color w:val="000000" w:themeColor="text1" w:themeTint="FF" w:themeShade="FF"/>
          <w:sz w:val="22"/>
          <w:szCs w:val="22"/>
          <w:lang w:val="en-GB"/>
        </w:rPr>
        <w:t xml:space="preserve">Psychology </w:t>
      </w:r>
      <w:r w:rsidRPr="0F5C24BF" w:rsidR="61DF7ED9">
        <w:rPr>
          <w:rFonts w:ascii="Arial" w:hAnsi="Arial" w:eastAsia="Arial" w:cs="Arial"/>
          <w:b w:val="1"/>
          <w:bCs w:val="1"/>
          <w:i w:val="0"/>
          <w:iCs w:val="0"/>
          <w:caps w:val="0"/>
          <w:smallCaps w:val="0"/>
          <w:noProof w:val="0"/>
          <w:color w:val="000000" w:themeColor="text1" w:themeTint="FF" w:themeShade="FF"/>
          <w:sz w:val="22"/>
          <w:szCs w:val="22"/>
          <w:lang w:val="en-GB"/>
        </w:rPr>
        <w:t xml:space="preserve">in </w:t>
      </w:r>
      <w:r w:rsidRPr="0F5C24BF" w:rsidR="61DF7ED9">
        <w:rPr>
          <w:rFonts w:ascii="Arial" w:hAnsi="Arial" w:eastAsia="Arial" w:cs="Arial"/>
          <w:b w:val="1"/>
          <w:bCs w:val="1"/>
          <w:i w:val="0"/>
          <w:iCs w:val="0"/>
          <w:caps w:val="0"/>
          <w:smallCaps w:val="0"/>
          <w:noProof w:val="0"/>
          <w:color w:val="000000" w:themeColor="text1" w:themeTint="FF" w:themeShade="FF"/>
          <w:sz w:val="22"/>
          <w:szCs w:val="22"/>
          <w:lang w:val="en-GB"/>
        </w:rPr>
        <w:t>Health and Social Care</w:t>
      </w:r>
    </w:p>
    <w:p xmlns:wp14="http://schemas.microsoft.com/office/word/2010/wordml" w:rsidP="0F5C24BF" wp14:paraId="1BF4F89B" wp14:textId="0E05A429">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C24BF" w:rsidR="61DF7ED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F5C24BF" wp14:paraId="6406900C" wp14:textId="00174963">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C24BF" w:rsidR="61DF7ED9">
        <w:rPr>
          <w:rFonts w:ascii="Arial" w:hAnsi="Arial" w:eastAsia="Arial" w:cs="Arial"/>
          <w:b w:val="1"/>
          <w:bCs w:val="1"/>
          <w:i w:val="0"/>
          <w:iCs w:val="0"/>
          <w:caps w:val="0"/>
          <w:smallCaps w:val="0"/>
          <w:noProof w:val="0"/>
          <w:color w:val="000000" w:themeColor="text1" w:themeTint="FF" w:themeShade="FF"/>
          <w:sz w:val="22"/>
          <w:szCs w:val="22"/>
          <w:lang w:val="en-GB"/>
        </w:rPr>
        <w:t>Student Number: 2215608</w:t>
      </w:r>
    </w:p>
    <w:p xmlns:wp14="http://schemas.microsoft.com/office/word/2010/wordml" w:rsidP="0F5C24BF" wp14:paraId="78B07CE2" wp14:textId="7A48B385">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F5C24BF" wp14:paraId="0E3345A1" wp14:textId="546DD753">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C24BF" w:rsidR="61DF7ED9">
        <w:rPr>
          <w:rFonts w:ascii="Arial" w:hAnsi="Arial" w:eastAsia="Arial" w:cs="Arial"/>
          <w:b w:val="1"/>
          <w:bCs w:val="1"/>
          <w:i w:val="0"/>
          <w:iCs w:val="0"/>
          <w:caps w:val="0"/>
          <w:smallCaps w:val="0"/>
          <w:noProof w:val="0"/>
          <w:color w:val="000000" w:themeColor="text1" w:themeTint="FF" w:themeShade="FF"/>
          <w:sz w:val="22"/>
          <w:szCs w:val="22"/>
          <w:lang w:val="en-GB"/>
        </w:rPr>
        <w:t>Student Name: Mohammed Ousman</w:t>
      </w:r>
    </w:p>
    <w:p xmlns:wp14="http://schemas.microsoft.com/office/word/2010/wordml" w:rsidP="0F5C24BF" wp14:paraId="7E1E26C3" wp14:textId="305E4800">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C24BF" w:rsidR="61DF7ED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F5C24BF" wp14:paraId="2804E735" wp14:textId="1CEA30ED">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C24BF" w:rsidR="61DF7ED9">
        <w:rPr>
          <w:rFonts w:ascii="Arial" w:hAnsi="Arial" w:eastAsia="Arial" w:cs="Arial"/>
          <w:b w:val="1"/>
          <w:bCs w:val="1"/>
          <w:i w:val="0"/>
          <w:iCs w:val="0"/>
          <w:caps w:val="0"/>
          <w:smallCaps w:val="0"/>
          <w:noProof w:val="0"/>
          <w:color w:val="000000" w:themeColor="text1" w:themeTint="FF" w:themeShade="FF"/>
          <w:sz w:val="22"/>
          <w:szCs w:val="22"/>
          <w:lang w:val="en-GB"/>
        </w:rPr>
        <w:t xml:space="preserve">Lecturer: </w:t>
      </w:r>
      <w:r w:rsidRPr="0F5C24BF" w:rsidR="4B832B49">
        <w:rPr>
          <w:rFonts w:ascii="Arial" w:hAnsi="Arial" w:eastAsia="Arial" w:cs="Arial"/>
          <w:b w:val="1"/>
          <w:bCs w:val="1"/>
          <w:i w:val="0"/>
          <w:iCs w:val="0"/>
          <w:caps w:val="0"/>
          <w:smallCaps w:val="0"/>
          <w:noProof w:val="0"/>
          <w:color w:val="000000" w:themeColor="text1" w:themeTint="FF" w:themeShade="FF"/>
          <w:sz w:val="22"/>
          <w:szCs w:val="22"/>
          <w:lang w:val="en-GB"/>
        </w:rPr>
        <w:t>Alice Clayton</w:t>
      </w:r>
    </w:p>
    <w:p xmlns:wp14="http://schemas.microsoft.com/office/word/2010/wordml" w:rsidP="0F5C24BF" wp14:paraId="36A94501" wp14:textId="22502541">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5C24BF" w:rsidR="61DF7ED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F5C24BF" wp14:paraId="67585369" wp14:textId="03704192">
      <w:pPr>
        <w:spacing w:before="0" w:beforeAutospacing="off" w:after="160" w:afterAutospacing="off" w:line="257" w:lineRule="auto"/>
      </w:pPr>
      <w:r w:rsidRPr="0F5C24BF" w:rsidR="61DF7ED9">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Title: </w:t>
      </w:r>
      <w:r w:rsidRPr="0F5C24BF" w:rsidR="1F9A1E5E">
        <w:rPr>
          <w:rFonts w:ascii="Arial" w:hAnsi="Arial" w:eastAsia="Arial" w:cs="Arial"/>
          <w:b w:val="1"/>
          <w:bCs w:val="1"/>
          <w:i w:val="0"/>
          <w:iCs w:val="0"/>
          <w:caps w:val="0"/>
          <w:smallCaps w:val="0"/>
          <w:noProof w:val="0"/>
          <w:color w:val="000000" w:themeColor="text1" w:themeTint="FF" w:themeShade="FF"/>
          <w:sz w:val="22"/>
          <w:szCs w:val="22"/>
          <w:lang w:val="en-GB"/>
        </w:rPr>
        <w:t>Assignment 2: Written Task</w:t>
      </w:r>
    </w:p>
    <w:p xmlns:wp14="http://schemas.microsoft.com/office/word/2010/wordml" w:rsidP="0F5C24BF" wp14:paraId="5E5787A5" wp14:textId="6074C1CD">
      <w:pPr>
        <w:rPr>
          <w:rFonts w:ascii="Arial" w:hAnsi="Arial" w:eastAsia="Arial" w:cs="Arial" w:asciiTheme="minorAscii" w:hAnsiTheme="minorAscii" w:eastAsiaTheme="minorAscii" w:cstheme="minorAscii"/>
          <w:sz w:val="22"/>
          <w:szCs w:val="22"/>
        </w:rPr>
      </w:pPr>
    </w:p>
    <w:p w:rsidR="0F5C24BF" w:rsidP="0F5C24BF" w:rsidRDefault="0F5C24BF" w14:paraId="3D197118" w14:textId="4072748C">
      <w:pPr>
        <w:rPr>
          <w:rFonts w:ascii="Arial" w:hAnsi="Arial" w:eastAsia="Arial" w:cs="Arial" w:asciiTheme="minorAscii" w:hAnsiTheme="minorAscii" w:eastAsiaTheme="minorAscii" w:cstheme="minorAscii"/>
          <w:sz w:val="22"/>
          <w:szCs w:val="22"/>
        </w:rPr>
      </w:pPr>
    </w:p>
    <w:p w:rsidR="0F5C24BF" w:rsidP="0F5C24BF" w:rsidRDefault="0F5C24BF" w14:paraId="45EAB840" w14:textId="25050BBB">
      <w:pPr>
        <w:rPr>
          <w:rFonts w:ascii="Arial" w:hAnsi="Arial" w:eastAsia="Arial" w:cs="Arial" w:asciiTheme="minorAscii" w:hAnsiTheme="minorAscii" w:eastAsiaTheme="minorAscii" w:cstheme="minorAscii"/>
          <w:sz w:val="22"/>
          <w:szCs w:val="22"/>
        </w:rPr>
      </w:pPr>
    </w:p>
    <w:p w:rsidR="0F5C24BF" w:rsidP="0F5C24BF" w:rsidRDefault="0F5C24BF" w14:paraId="6B8D23EB" w14:textId="35DEE320">
      <w:pPr>
        <w:rPr>
          <w:rFonts w:ascii="Arial" w:hAnsi="Arial" w:eastAsia="Arial" w:cs="Arial" w:asciiTheme="minorAscii" w:hAnsiTheme="minorAscii" w:eastAsiaTheme="minorAscii" w:cstheme="minorAscii"/>
          <w:sz w:val="22"/>
          <w:szCs w:val="22"/>
        </w:rPr>
      </w:pPr>
    </w:p>
    <w:p w:rsidR="0F5C24BF" w:rsidP="0F5C24BF" w:rsidRDefault="0F5C24BF" w14:paraId="2A9158E5" w14:textId="7A908BE6">
      <w:pPr>
        <w:rPr>
          <w:rFonts w:ascii="Arial" w:hAnsi="Arial" w:eastAsia="Arial" w:cs="Arial" w:asciiTheme="minorAscii" w:hAnsiTheme="minorAscii" w:eastAsiaTheme="minorAscii" w:cstheme="minorAscii"/>
          <w:sz w:val="22"/>
          <w:szCs w:val="22"/>
        </w:rPr>
      </w:pPr>
    </w:p>
    <w:p w:rsidR="0F5C24BF" w:rsidP="0F5C24BF" w:rsidRDefault="0F5C24BF" w14:paraId="52E1A0C5" w14:textId="2B9BE4DB">
      <w:pPr>
        <w:rPr>
          <w:rFonts w:ascii="Arial" w:hAnsi="Arial" w:eastAsia="Arial" w:cs="Arial" w:asciiTheme="minorAscii" w:hAnsiTheme="minorAscii" w:eastAsiaTheme="minorAscii" w:cstheme="minorAscii"/>
          <w:sz w:val="22"/>
          <w:szCs w:val="22"/>
        </w:rPr>
      </w:pPr>
    </w:p>
    <w:p w:rsidR="0F5C24BF" w:rsidP="0F5C24BF" w:rsidRDefault="0F5C24BF" w14:paraId="07684132" w14:textId="7F583039">
      <w:pPr>
        <w:rPr>
          <w:rFonts w:ascii="Arial" w:hAnsi="Arial" w:eastAsia="Arial" w:cs="Arial" w:asciiTheme="minorAscii" w:hAnsiTheme="minorAscii" w:eastAsiaTheme="minorAscii" w:cstheme="minorAscii"/>
          <w:sz w:val="22"/>
          <w:szCs w:val="22"/>
        </w:rPr>
      </w:pPr>
    </w:p>
    <w:p w:rsidR="0F5C24BF" w:rsidP="0F5C24BF" w:rsidRDefault="0F5C24BF" w14:paraId="255A5511" w14:textId="4F517808">
      <w:pPr>
        <w:rPr>
          <w:rFonts w:ascii="Arial" w:hAnsi="Arial" w:eastAsia="Arial" w:cs="Arial" w:asciiTheme="minorAscii" w:hAnsiTheme="minorAscii" w:eastAsiaTheme="minorAscii" w:cstheme="minorAscii"/>
          <w:sz w:val="22"/>
          <w:szCs w:val="22"/>
        </w:rPr>
      </w:pPr>
    </w:p>
    <w:p w:rsidR="0F5C24BF" w:rsidP="0F5C24BF" w:rsidRDefault="0F5C24BF" w14:paraId="2432A93C" w14:textId="6E483627">
      <w:pPr>
        <w:rPr>
          <w:rFonts w:ascii="Arial" w:hAnsi="Arial" w:eastAsia="Arial" w:cs="Arial" w:asciiTheme="minorAscii" w:hAnsiTheme="minorAscii" w:eastAsiaTheme="minorAscii" w:cstheme="minorAscii"/>
          <w:sz w:val="22"/>
          <w:szCs w:val="22"/>
        </w:rPr>
      </w:pPr>
    </w:p>
    <w:p w:rsidR="0F5C24BF" w:rsidP="0F5C24BF" w:rsidRDefault="0F5C24BF" w14:paraId="38BCF5EC" w14:textId="5D88DF7C">
      <w:pPr>
        <w:rPr>
          <w:rFonts w:ascii="Arial" w:hAnsi="Arial" w:eastAsia="Arial" w:cs="Arial" w:asciiTheme="minorAscii" w:hAnsiTheme="minorAscii" w:eastAsiaTheme="minorAscii" w:cstheme="minorAscii"/>
          <w:sz w:val="22"/>
          <w:szCs w:val="22"/>
        </w:rPr>
      </w:pPr>
    </w:p>
    <w:p w:rsidR="0F5C24BF" w:rsidP="0F5C24BF" w:rsidRDefault="0F5C24BF" w14:paraId="0E0DBD8A" w14:textId="685F114A">
      <w:pPr>
        <w:rPr>
          <w:rFonts w:ascii="Arial" w:hAnsi="Arial" w:eastAsia="Arial" w:cs="Arial" w:asciiTheme="minorAscii" w:hAnsiTheme="minorAscii" w:eastAsiaTheme="minorAscii" w:cstheme="minorAscii"/>
          <w:sz w:val="22"/>
          <w:szCs w:val="22"/>
        </w:rPr>
      </w:pPr>
    </w:p>
    <w:p w:rsidR="0F5C24BF" w:rsidP="0F5C24BF" w:rsidRDefault="0F5C24BF" w14:paraId="5F431AC0" w14:textId="6947D1B6">
      <w:pPr>
        <w:rPr>
          <w:rFonts w:ascii="Arial" w:hAnsi="Arial" w:eastAsia="Arial" w:cs="Arial" w:asciiTheme="minorAscii" w:hAnsiTheme="minorAscii" w:eastAsiaTheme="minorAscii" w:cstheme="minorAscii"/>
          <w:sz w:val="22"/>
          <w:szCs w:val="22"/>
        </w:rPr>
      </w:pPr>
    </w:p>
    <w:p w:rsidR="0F5C24BF" w:rsidP="0F5C24BF" w:rsidRDefault="0F5C24BF" w14:paraId="39517B7B" w14:textId="18BF6A24">
      <w:pPr>
        <w:rPr>
          <w:rFonts w:ascii="Arial" w:hAnsi="Arial" w:eastAsia="Arial" w:cs="Arial" w:asciiTheme="minorAscii" w:hAnsiTheme="minorAscii" w:eastAsiaTheme="minorAscii" w:cstheme="minorAscii"/>
          <w:sz w:val="22"/>
          <w:szCs w:val="22"/>
        </w:rPr>
      </w:pPr>
    </w:p>
    <w:p w:rsidR="0F5C24BF" w:rsidP="0F5C24BF" w:rsidRDefault="0F5C24BF" w14:paraId="3EC2E808" w14:textId="62C4C298">
      <w:pPr>
        <w:rPr>
          <w:rFonts w:ascii="Arial" w:hAnsi="Arial" w:eastAsia="Arial" w:cs="Arial" w:asciiTheme="minorAscii" w:hAnsiTheme="minorAscii" w:eastAsiaTheme="minorAscii" w:cstheme="minorAscii"/>
          <w:sz w:val="22"/>
          <w:szCs w:val="22"/>
        </w:rPr>
      </w:pPr>
    </w:p>
    <w:p w:rsidR="0F5C24BF" w:rsidP="0F5C24BF" w:rsidRDefault="0F5C24BF" w14:paraId="58ADE918" w14:textId="359E489B">
      <w:pPr>
        <w:rPr>
          <w:rFonts w:ascii="Arial" w:hAnsi="Arial" w:eastAsia="Arial" w:cs="Arial" w:asciiTheme="minorAscii" w:hAnsiTheme="minorAscii" w:eastAsiaTheme="minorAscii" w:cstheme="minorAscii"/>
          <w:sz w:val="22"/>
          <w:szCs w:val="22"/>
        </w:rPr>
      </w:pPr>
    </w:p>
    <w:p w:rsidR="0F5C24BF" w:rsidP="0F5C24BF" w:rsidRDefault="0F5C24BF" w14:paraId="61043EDA" w14:textId="65F61857">
      <w:pPr>
        <w:rPr>
          <w:rFonts w:ascii="Arial" w:hAnsi="Arial" w:eastAsia="Arial" w:cs="Arial" w:asciiTheme="minorAscii" w:hAnsiTheme="minorAscii" w:eastAsiaTheme="minorAscii" w:cstheme="minorAscii"/>
          <w:sz w:val="22"/>
          <w:szCs w:val="22"/>
        </w:rPr>
      </w:pPr>
    </w:p>
    <w:p w:rsidR="0F5C24BF" w:rsidP="0F5C24BF" w:rsidRDefault="0F5C24BF" w14:paraId="5927D238" w14:textId="01144DDB">
      <w:pPr>
        <w:rPr>
          <w:rFonts w:ascii="Arial" w:hAnsi="Arial" w:eastAsia="Arial" w:cs="Arial" w:asciiTheme="minorAscii" w:hAnsiTheme="minorAscii" w:eastAsiaTheme="minorAscii" w:cstheme="minorAscii"/>
          <w:sz w:val="22"/>
          <w:szCs w:val="22"/>
        </w:rPr>
      </w:pPr>
    </w:p>
    <w:p w:rsidR="0F5C24BF" w:rsidP="0F5C24BF" w:rsidRDefault="0F5C24BF" w14:paraId="5D602382" w14:textId="3299773C">
      <w:pPr>
        <w:rPr>
          <w:rFonts w:ascii="Arial" w:hAnsi="Arial" w:eastAsia="Arial" w:cs="Arial" w:asciiTheme="minorAscii" w:hAnsiTheme="minorAscii" w:eastAsiaTheme="minorAscii" w:cstheme="minorAscii"/>
          <w:sz w:val="22"/>
          <w:szCs w:val="22"/>
        </w:rPr>
      </w:pPr>
    </w:p>
    <w:p w:rsidR="0F5C24BF" w:rsidP="0F5C24BF" w:rsidRDefault="0F5C24BF" w14:paraId="47351B2C" w14:textId="58159D49">
      <w:pPr>
        <w:pStyle w:val="Normal"/>
        <w:rPr>
          <w:rFonts w:ascii="Arial" w:hAnsi="Arial" w:eastAsia="Arial" w:cs="Arial" w:asciiTheme="minorAscii" w:hAnsiTheme="minorAscii" w:eastAsiaTheme="minorAscii" w:cstheme="minorAscii"/>
          <w:sz w:val="22"/>
          <w:szCs w:val="22"/>
        </w:rPr>
      </w:pPr>
    </w:p>
    <w:p w:rsidR="33C707EC" w:rsidP="0F5C24BF" w:rsidRDefault="33C707EC" w14:paraId="0614696B" w14:textId="05973BAA">
      <w:pPr>
        <w:pStyle w:val="Normal"/>
        <w:rPr>
          <w:rFonts w:ascii="Arial Nova" w:hAnsi="Arial Nova" w:eastAsia="Arial Nova" w:cs="Arial Nova"/>
          <w:sz w:val="22"/>
          <w:szCs w:val="22"/>
        </w:rPr>
      </w:pPr>
      <w:r w:rsidRPr="0F5C24BF" w:rsidR="33C707EC">
        <w:rPr>
          <w:rFonts w:ascii="Arial Nova" w:hAnsi="Arial Nova" w:eastAsia="Arial Nova" w:cs="Arial Nova"/>
          <w:sz w:val="22"/>
          <w:szCs w:val="22"/>
        </w:rPr>
        <w:t>Context</w:t>
      </w:r>
    </w:p>
    <w:p w:rsidR="0F5C24BF" w:rsidP="0F5C24BF" w:rsidRDefault="0F5C24BF" w14:paraId="50C333EC" w14:textId="01AED04D">
      <w:pPr>
        <w:pStyle w:val="Normal"/>
        <w:rPr>
          <w:rFonts w:ascii="Arial Nova" w:hAnsi="Arial Nova" w:eastAsia="Arial Nova" w:cs="Arial Nova"/>
          <w:sz w:val="22"/>
          <w:szCs w:val="22"/>
        </w:rPr>
      </w:pPr>
    </w:p>
    <w:p w:rsidR="33C707EC" w:rsidP="0F5C24BF" w:rsidRDefault="33C707EC" w14:paraId="0C7419AA" w14:textId="6A970A6B">
      <w:pPr>
        <w:pStyle w:val="Normal"/>
        <w:rPr>
          <w:rFonts w:ascii="Arial Nova" w:hAnsi="Arial Nova" w:eastAsia="Arial Nova" w:cs="Arial Nova"/>
          <w:sz w:val="22"/>
          <w:szCs w:val="22"/>
        </w:rPr>
      </w:pPr>
      <w:r w:rsidRPr="0F5C24BF" w:rsidR="33C707EC">
        <w:rPr>
          <w:rFonts w:ascii="Arial Nova" w:hAnsi="Arial Nova" w:eastAsia="Arial Nova" w:cs="Arial Nova"/>
          <w:sz w:val="22"/>
          <w:szCs w:val="22"/>
        </w:rPr>
        <w:t xml:space="preserve">Applying Psychological Theories to Support </w:t>
      </w:r>
      <w:r w:rsidRPr="0F5C24BF" w:rsidR="69577DC4">
        <w:rPr>
          <w:rFonts w:ascii="Arial Nova" w:hAnsi="Arial Nova" w:eastAsia="Arial Nova" w:cs="Arial Nova"/>
          <w:sz w:val="22"/>
          <w:szCs w:val="22"/>
        </w:rPr>
        <w:t>Adults aged 65 and over</w:t>
      </w:r>
      <w:r w:rsidRPr="0F5C24BF" w:rsidR="2A54C4D9">
        <w:rPr>
          <w:rFonts w:ascii="Arial Nova" w:hAnsi="Arial Nova" w:eastAsia="Arial Nova" w:cs="Arial Nova"/>
          <w:sz w:val="22"/>
          <w:szCs w:val="22"/>
        </w:rPr>
        <w:t xml:space="preserve"> who are experiencing a Psychological Health Condition</w:t>
      </w:r>
    </w:p>
    <w:p w:rsidR="0F5C24BF" w:rsidP="0F5C24BF" w:rsidRDefault="0F5C24BF" w14:paraId="0FB00AA0" w14:textId="7CD6A450">
      <w:pPr>
        <w:pStyle w:val="Normal"/>
        <w:rPr>
          <w:rFonts w:ascii="Arial Nova" w:hAnsi="Arial Nova" w:eastAsia="Arial Nova" w:cs="Arial Nova"/>
          <w:sz w:val="22"/>
          <w:szCs w:val="22"/>
        </w:rPr>
      </w:pPr>
    </w:p>
    <w:p w:rsidR="638B6BA1" w:rsidP="0F5C24BF" w:rsidRDefault="638B6BA1" w14:paraId="5F4849C3" w14:textId="0A62EC91">
      <w:pPr>
        <w:pStyle w:val="Normal"/>
        <w:rPr>
          <w:rFonts w:ascii="Arial Nova" w:hAnsi="Arial Nova" w:eastAsia="Arial Nova" w:cs="Arial Nova"/>
          <w:sz w:val="22"/>
          <w:szCs w:val="22"/>
        </w:rPr>
      </w:pPr>
      <w:r w:rsidRPr="0F5C24BF" w:rsidR="638B6BA1">
        <w:rPr>
          <w:rFonts w:ascii="Arial Nova" w:hAnsi="Arial Nova" w:eastAsia="Arial Nova" w:cs="Arial Nova"/>
          <w:sz w:val="22"/>
          <w:szCs w:val="22"/>
        </w:rPr>
        <w:t>A Guide for Health and Social Care Professionals</w:t>
      </w:r>
    </w:p>
    <w:p w:rsidR="0F5C24BF" w:rsidP="0F5C24BF" w:rsidRDefault="0F5C24BF" w14:paraId="56C53104" w14:textId="16F08E4B">
      <w:pPr>
        <w:pStyle w:val="Normal"/>
        <w:rPr>
          <w:rFonts w:ascii="Arial Nova" w:hAnsi="Arial Nova" w:eastAsia="Arial Nova" w:cs="Arial Nova"/>
          <w:sz w:val="22"/>
          <w:szCs w:val="22"/>
        </w:rPr>
      </w:pPr>
    </w:p>
    <w:p w:rsidR="0F5C24BF" w:rsidP="0F5C24BF" w:rsidRDefault="0F5C24BF" w14:paraId="475D8EF2" w14:textId="691F9EB6">
      <w:pPr>
        <w:pStyle w:val="Normal"/>
        <w:rPr>
          <w:rFonts w:ascii="Arial Nova" w:hAnsi="Arial Nova" w:eastAsia="Arial Nova" w:cs="Arial Nova"/>
          <w:sz w:val="22"/>
          <w:szCs w:val="22"/>
        </w:rPr>
      </w:pPr>
      <w:r w:rsidRPr="0F5C24BF" w:rsidR="0F5C24BF">
        <w:rPr>
          <w:rFonts w:ascii="Arial Nova" w:hAnsi="Arial Nova" w:eastAsia="Arial Nova" w:cs="Arial Nova"/>
          <w:sz w:val="22"/>
          <w:szCs w:val="22"/>
        </w:rPr>
        <w:t xml:space="preserve">1. </w:t>
      </w:r>
      <w:r w:rsidRPr="0F5C24BF" w:rsidR="638B6BA1">
        <w:rPr>
          <w:rFonts w:ascii="Arial Nova" w:hAnsi="Arial Nova" w:eastAsia="Arial Nova" w:cs="Arial Nova"/>
          <w:sz w:val="22"/>
          <w:szCs w:val="22"/>
        </w:rPr>
        <w:t>Introduction</w:t>
      </w:r>
    </w:p>
    <w:p w:rsidR="0F5C24BF" w:rsidP="0F5C24BF" w:rsidRDefault="0F5C24BF" w14:paraId="1FEED1FC" w14:textId="5FA392A1">
      <w:pPr>
        <w:pStyle w:val="Normal"/>
        <w:rPr>
          <w:rFonts w:ascii="Arial Nova" w:hAnsi="Arial Nova" w:eastAsia="Arial Nova" w:cs="Arial Nova"/>
          <w:sz w:val="22"/>
          <w:szCs w:val="22"/>
        </w:rPr>
      </w:pPr>
    </w:p>
    <w:p w:rsidR="638B6BA1" w:rsidP="0F5C24BF" w:rsidRDefault="638B6BA1" w14:paraId="25834E0E" w14:textId="2B668BBB">
      <w:pPr>
        <w:pStyle w:val="Normal"/>
        <w:rPr>
          <w:rFonts w:ascii="Arial Nova" w:hAnsi="Arial Nova" w:eastAsia="Arial Nova" w:cs="Arial Nova"/>
          <w:sz w:val="22"/>
          <w:szCs w:val="22"/>
        </w:rPr>
      </w:pPr>
      <w:r w:rsidRPr="0F5C24BF" w:rsidR="638B6BA1">
        <w:rPr>
          <w:rFonts w:ascii="Arial Nova" w:hAnsi="Arial Nova" w:eastAsia="Arial Nova" w:cs="Arial Nova"/>
          <w:sz w:val="22"/>
          <w:szCs w:val="22"/>
        </w:rPr>
        <w:t>2. Theoretical Framework: An Overview</w:t>
      </w:r>
    </w:p>
    <w:p w:rsidR="638B6BA1" w:rsidP="0F5C24BF" w:rsidRDefault="638B6BA1" w14:paraId="2A5FB8A7" w14:textId="5ECE4C4F">
      <w:pPr>
        <w:pStyle w:val="Normal"/>
        <w:rPr>
          <w:rFonts w:ascii="Arial Nova" w:hAnsi="Arial Nova" w:eastAsia="Arial Nova" w:cs="Arial Nova"/>
          <w:sz w:val="22"/>
          <w:szCs w:val="22"/>
        </w:rPr>
      </w:pPr>
      <w:r w:rsidRPr="0F5C24BF" w:rsidR="638B6BA1">
        <w:rPr>
          <w:rFonts w:ascii="Arial Nova" w:hAnsi="Arial Nova" w:eastAsia="Arial Nova" w:cs="Arial Nova"/>
          <w:sz w:val="22"/>
          <w:szCs w:val="22"/>
        </w:rPr>
        <w:t>2.1. Erik Erikson’s Psychosocial Theory:</w:t>
      </w:r>
      <w:r w:rsidRPr="0F5C24BF" w:rsidR="66402AC3">
        <w:rPr>
          <w:rFonts w:ascii="Arial Nova" w:hAnsi="Arial Nova" w:eastAsia="Arial Nova" w:cs="Arial Nova"/>
          <w:sz w:val="22"/>
          <w:szCs w:val="22"/>
        </w:rPr>
        <w:t xml:space="preserve"> The Final Crisis</w:t>
      </w:r>
    </w:p>
    <w:p w:rsidR="66402AC3" w:rsidP="0F5C24BF" w:rsidRDefault="66402AC3" w14:paraId="168537C8" w14:textId="784FFC1E">
      <w:pPr>
        <w:pStyle w:val="Normal"/>
        <w:rPr>
          <w:rFonts w:ascii="Arial Nova" w:hAnsi="Arial Nova" w:eastAsia="Arial Nova" w:cs="Arial Nova"/>
          <w:sz w:val="22"/>
          <w:szCs w:val="22"/>
        </w:rPr>
      </w:pPr>
      <w:r w:rsidRPr="0F5C24BF" w:rsidR="66402AC3">
        <w:rPr>
          <w:rFonts w:ascii="Arial Nova" w:hAnsi="Arial Nova" w:eastAsia="Arial Nova" w:cs="Arial Nova"/>
          <w:sz w:val="22"/>
          <w:szCs w:val="22"/>
        </w:rPr>
        <w:t xml:space="preserve">2.2. Lev Vygotsky’s Socio-cultural Learning Theory: </w:t>
      </w:r>
      <w:r w:rsidRPr="0F5C24BF" w:rsidR="4815F949">
        <w:rPr>
          <w:rFonts w:ascii="Arial Nova" w:hAnsi="Arial Nova" w:eastAsia="Arial Nova" w:cs="Arial Nova"/>
          <w:sz w:val="22"/>
          <w:szCs w:val="22"/>
        </w:rPr>
        <w:t>The Role of Interaction and Scaffolding</w:t>
      </w:r>
    </w:p>
    <w:p w:rsidR="0F5C24BF" w:rsidP="0F5C24BF" w:rsidRDefault="0F5C24BF" w14:paraId="4B54F379" w14:textId="7AC56F1A">
      <w:pPr>
        <w:pStyle w:val="Normal"/>
        <w:rPr>
          <w:rFonts w:ascii="Arial Nova" w:hAnsi="Arial Nova" w:eastAsia="Arial Nova" w:cs="Arial Nova"/>
          <w:sz w:val="22"/>
          <w:szCs w:val="22"/>
        </w:rPr>
      </w:pPr>
    </w:p>
    <w:p w:rsidR="4815F949" w:rsidP="0F5C24BF" w:rsidRDefault="4815F949" w14:paraId="10AB24F8" w14:textId="552D38FF">
      <w:pPr>
        <w:pStyle w:val="Normal"/>
        <w:rPr>
          <w:rFonts w:ascii="Arial Nova" w:hAnsi="Arial Nova" w:eastAsia="Arial Nova" w:cs="Arial Nova"/>
          <w:sz w:val="22"/>
          <w:szCs w:val="22"/>
        </w:rPr>
      </w:pPr>
      <w:r w:rsidRPr="0F5C24BF" w:rsidR="4815F949">
        <w:rPr>
          <w:rFonts w:ascii="Arial Nova" w:hAnsi="Arial Nova" w:eastAsia="Arial Nova" w:cs="Arial Nova"/>
          <w:sz w:val="22"/>
          <w:szCs w:val="22"/>
        </w:rPr>
        <w:t>3. Application in the Dementia Care Home Context</w:t>
      </w:r>
    </w:p>
    <w:p w:rsidR="4815F949" w:rsidP="0F5C24BF" w:rsidRDefault="4815F949" w14:paraId="08D0A74E" w14:textId="23E23D55">
      <w:pPr>
        <w:pStyle w:val="Normal"/>
        <w:rPr>
          <w:rFonts w:ascii="Arial Nova" w:hAnsi="Arial Nova" w:eastAsia="Arial Nova" w:cs="Arial Nova"/>
          <w:sz w:val="22"/>
          <w:szCs w:val="22"/>
        </w:rPr>
      </w:pPr>
      <w:r w:rsidRPr="0F5C24BF" w:rsidR="4815F949">
        <w:rPr>
          <w:rFonts w:ascii="Arial Nova" w:hAnsi="Arial Nova" w:eastAsia="Arial Nova" w:cs="Arial Nova"/>
          <w:sz w:val="22"/>
          <w:szCs w:val="22"/>
        </w:rPr>
        <w:t>3.1. Applying Erikson’s Theory: Fostering Ego Integrity</w:t>
      </w:r>
    </w:p>
    <w:p w:rsidR="4A5538E3" w:rsidP="0F5C24BF" w:rsidRDefault="4A5538E3" w14:paraId="05C4C351" w14:textId="6482C95D">
      <w:pPr>
        <w:pStyle w:val="Normal"/>
        <w:rPr>
          <w:rFonts w:ascii="Arial Nova" w:hAnsi="Arial Nova" w:eastAsia="Arial Nova" w:cs="Arial Nova"/>
          <w:sz w:val="22"/>
          <w:szCs w:val="22"/>
        </w:rPr>
      </w:pPr>
      <w:r w:rsidRPr="0F5C24BF" w:rsidR="4A5538E3">
        <w:rPr>
          <w:rFonts w:ascii="Arial Nova" w:hAnsi="Arial Nova" w:eastAsia="Arial Nova" w:cs="Arial Nova"/>
          <w:sz w:val="22"/>
          <w:szCs w:val="22"/>
        </w:rPr>
        <w:t>3.2. Applying Vygotsky’s Theory: Scaffolding for E</w:t>
      </w:r>
      <w:r w:rsidRPr="0F5C24BF" w:rsidR="10D7274B">
        <w:rPr>
          <w:rFonts w:ascii="Arial Nova" w:hAnsi="Arial Nova" w:eastAsia="Arial Nova" w:cs="Arial Nova"/>
          <w:sz w:val="22"/>
          <w:szCs w:val="22"/>
        </w:rPr>
        <w:t>ngagement and Well-Being</w:t>
      </w:r>
    </w:p>
    <w:p w:rsidR="0F5C24BF" w:rsidP="0F5C24BF" w:rsidRDefault="0F5C24BF" w14:paraId="2DA9C367" w14:textId="1155F489">
      <w:pPr>
        <w:pStyle w:val="Normal"/>
        <w:rPr>
          <w:rFonts w:ascii="Arial Nova" w:hAnsi="Arial Nova" w:eastAsia="Arial Nova" w:cs="Arial Nova"/>
          <w:sz w:val="22"/>
          <w:szCs w:val="22"/>
        </w:rPr>
      </w:pPr>
    </w:p>
    <w:p w:rsidR="10D7274B" w:rsidP="0F5C24BF" w:rsidRDefault="10D7274B" w14:paraId="66C2AB14" w14:textId="0839D0CE">
      <w:pPr>
        <w:pStyle w:val="Normal"/>
        <w:rPr>
          <w:rFonts w:ascii="Arial Nova" w:hAnsi="Arial Nova" w:eastAsia="Arial Nova" w:cs="Arial Nova"/>
          <w:sz w:val="22"/>
          <w:szCs w:val="22"/>
        </w:rPr>
      </w:pPr>
      <w:r w:rsidRPr="0F5C24BF" w:rsidR="10D7274B">
        <w:rPr>
          <w:rFonts w:ascii="Arial Nova" w:hAnsi="Arial Nova" w:eastAsia="Arial Nova" w:cs="Arial Nova"/>
          <w:sz w:val="22"/>
          <w:szCs w:val="22"/>
        </w:rPr>
        <w:t>4. Critical Synthesis and Conclusion</w:t>
      </w:r>
    </w:p>
    <w:p w:rsidR="0F5C24BF" w:rsidP="0F5C24BF" w:rsidRDefault="0F5C24BF" w14:paraId="5395D559" w14:textId="176D97B0">
      <w:pPr>
        <w:pStyle w:val="Normal"/>
        <w:rPr>
          <w:rFonts w:ascii="Arial Nova" w:hAnsi="Arial Nova" w:eastAsia="Arial Nova" w:cs="Arial Nova"/>
          <w:sz w:val="22"/>
          <w:szCs w:val="22"/>
        </w:rPr>
      </w:pPr>
    </w:p>
    <w:p w:rsidR="10D7274B" w:rsidP="0F5C24BF" w:rsidRDefault="10D7274B" w14:paraId="39A2F410" w14:textId="578626D0">
      <w:pPr>
        <w:pStyle w:val="Normal"/>
        <w:rPr>
          <w:rFonts w:ascii="Arial Nova" w:hAnsi="Arial Nova" w:eastAsia="Arial Nova" w:cs="Arial Nova"/>
          <w:sz w:val="22"/>
          <w:szCs w:val="22"/>
        </w:rPr>
      </w:pPr>
      <w:r w:rsidRPr="0F5C24BF" w:rsidR="10D7274B">
        <w:rPr>
          <w:rFonts w:ascii="Arial Nova" w:hAnsi="Arial Nova" w:eastAsia="Arial Nova" w:cs="Arial Nova"/>
          <w:sz w:val="22"/>
          <w:szCs w:val="22"/>
        </w:rPr>
        <w:t>5. References</w:t>
      </w:r>
    </w:p>
    <w:p w:rsidR="0F5C24BF" w:rsidP="0F5C24BF" w:rsidRDefault="0F5C24BF" w14:paraId="7284D862" w14:textId="0D02AA39">
      <w:pPr>
        <w:pStyle w:val="Normal"/>
        <w:rPr>
          <w:rFonts w:ascii="Arial Nova" w:hAnsi="Arial Nova" w:eastAsia="Arial Nova" w:cs="Arial Nova"/>
          <w:sz w:val="22"/>
          <w:szCs w:val="22"/>
        </w:rPr>
      </w:pPr>
    </w:p>
    <w:p w:rsidR="0F5C24BF" w:rsidP="0F5C24BF" w:rsidRDefault="0F5C24BF" w14:paraId="0C7F6589" w14:textId="026C81C9">
      <w:pPr>
        <w:pStyle w:val="Normal"/>
        <w:rPr>
          <w:rFonts w:ascii="Arial Nova" w:hAnsi="Arial Nova" w:eastAsia="Arial Nova" w:cs="Arial Nova"/>
          <w:sz w:val="22"/>
          <w:szCs w:val="22"/>
        </w:rPr>
      </w:pPr>
    </w:p>
    <w:p w:rsidR="0F5C24BF" w:rsidP="0F5C24BF" w:rsidRDefault="0F5C24BF" w14:paraId="370CB146" w14:textId="4CBEDBB9">
      <w:pPr>
        <w:pStyle w:val="Normal"/>
        <w:rPr>
          <w:rFonts w:ascii="Arial Nova" w:hAnsi="Arial Nova" w:eastAsia="Arial Nova" w:cs="Arial Nova"/>
          <w:sz w:val="22"/>
          <w:szCs w:val="22"/>
        </w:rPr>
      </w:pPr>
    </w:p>
    <w:p w:rsidR="0F5C24BF" w:rsidP="0F5C24BF" w:rsidRDefault="0F5C24BF" w14:paraId="396435B0" w14:textId="12A0F79C">
      <w:pPr>
        <w:pStyle w:val="Normal"/>
        <w:rPr>
          <w:rFonts w:ascii="Arial Nova" w:hAnsi="Arial Nova" w:eastAsia="Arial Nova" w:cs="Arial Nova"/>
          <w:sz w:val="22"/>
          <w:szCs w:val="22"/>
        </w:rPr>
      </w:pPr>
    </w:p>
    <w:p w:rsidR="0F5C24BF" w:rsidP="0F5C24BF" w:rsidRDefault="0F5C24BF" w14:paraId="10A03FF8" w14:textId="343FDD71">
      <w:pPr>
        <w:pStyle w:val="Normal"/>
        <w:rPr>
          <w:rFonts w:ascii="Arial Nova" w:hAnsi="Arial Nova" w:eastAsia="Arial Nova" w:cs="Arial Nova"/>
          <w:sz w:val="22"/>
          <w:szCs w:val="22"/>
        </w:rPr>
      </w:pPr>
    </w:p>
    <w:p w:rsidR="0F5C24BF" w:rsidP="0F5C24BF" w:rsidRDefault="0F5C24BF" w14:paraId="2278F565" w14:textId="5CA09694">
      <w:pPr>
        <w:pStyle w:val="Normal"/>
        <w:rPr>
          <w:rFonts w:ascii="Arial Nova" w:hAnsi="Arial Nova" w:eastAsia="Arial Nova" w:cs="Arial Nova"/>
          <w:sz w:val="22"/>
          <w:szCs w:val="22"/>
        </w:rPr>
      </w:pPr>
    </w:p>
    <w:p w:rsidR="0F5C24BF" w:rsidP="0F5C24BF" w:rsidRDefault="0F5C24BF" w14:paraId="7823D683" w14:textId="554FA37F">
      <w:pPr>
        <w:pStyle w:val="Normal"/>
        <w:rPr>
          <w:rFonts w:ascii="Arial Nova" w:hAnsi="Arial Nova" w:eastAsia="Arial Nova" w:cs="Arial Nova"/>
          <w:sz w:val="22"/>
          <w:szCs w:val="22"/>
        </w:rPr>
      </w:pPr>
    </w:p>
    <w:p w:rsidR="0F5C24BF" w:rsidP="0F5C24BF" w:rsidRDefault="0F5C24BF" w14:paraId="6C55A2A4" w14:textId="43D0F53C">
      <w:pPr>
        <w:pStyle w:val="Normal"/>
        <w:rPr>
          <w:rFonts w:ascii="Arial Nova" w:hAnsi="Arial Nova" w:eastAsia="Arial Nova" w:cs="Arial Nova"/>
          <w:sz w:val="22"/>
          <w:szCs w:val="22"/>
        </w:rPr>
      </w:pPr>
    </w:p>
    <w:p w:rsidR="0F5C24BF" w:rsidP="0F5C24BF" w:rsidRDefault="0F5C24BF" w14:paraId="5FE86A27" w14:textId="2AB985BD">
      <w:pPr>
        <w:pStyle w:val="Normal"/>
        <w:rPr>
          <w:rFonts w:ascii="Arial Nova" w:hAnsi="Arial Nova" w:eastAsia="Arial Nova" w:cs="Arial Nova"/>
          <w:sz w:val="22"/>
          <w:szCs w:val="22"/>
        </w:rPr>
      </w:pPr>
    </w:p>
    <w:p w:rsidR="0F5C24BF" w:rsidP="0F5C24BF" w:rsidRDefault="0F5C24BF" w14:paraId="108D2DCD" w14:textId="160007B3">
      <w:pPr>
        <w:pStyle w:val="Normal"/>
        <w:rPr>
          <w:rFonts w:ascii="Arial Nova" w:hAnsi="Arial Nova" w:eastAsia="Arial Nova" w:cs="Arial Nova"/>
          <w:sz w:val="22"/>
          <w:szCs w:val="22"/>
        </w:rPr>
      </w:pPr>
    </w:p>
    <w:p w:rsidR="4D85ECE3" w:rsidP="0F5C24BF" w:rsidRDefault="4D85ECE3" w14:paraId="21DF3FEA" w14:textId="09B9F4CE">
      <w:pPr>
        <w:pStyle w:val="Normal"/>
      </w:pPr>
      <w:r w:rsidRPr="0F5C24BF" w:rsidR="4D85ECE3">
        <w:rPr>
          <w:rFonts w:ascii="Arial Nova" w:hAnsi="Arial Nova" w:eastAsia="Arial Nova" w:cs="Arial Nova"/>
          <w:sz w:val="22"/>
          <w:szCs w:val="22"/>
        </w:rPr>
        <w:t>Applying Psychological Theories to Support Adults aged 65 and over who are experiencing a Psychological Health Condition</w:t>
      </w:r>
    </w:p>
    <w:p w:rsidR="0F5C24BF" w:rsidP="0F5C24BF" w:rsidRDefault="0F5C24BF" w14:paraId="0216CA58" w14:textId="38B881D4">
      <w:pPr>
        <w:pStyle w:val="Normal"/>
        <w:rPr>
          <w:rFonts w:ascii="Arial Nova" w:hAnsi="Arial Nova" w:eastAsia="Arial Nova" w:cs="Arial Nova"/>
          <w:sz w:val="22"/>
          <w:szCs w:val="22"/>
        </w:rPr>
      </w:pPr>
    </w:p>
    <w:p w:rsidR="4D85ECE3" w:rsidP="0F5C24BF" w:rsidRDefault="4D85ECE3" w14:paraId="5B2CB135" w14:textId="5A971411">
      <w:pPr>
        <w:pStyle w:val="Normal"/>
        <w:rPr>
          <w:rFonts w:ascii="Arial Nova" w:hAnsi="Arial Nova" w:eastAsia="Arial Nova" w:cs="Arial Nova"/>
          <w:sz w:val="22"/>
          <w:szCs w:val="22"/>
        </w:rPr>
      </w:pPr>
      <w:r w:rsidRPr="0F5C24BF" w:rsidR="4D85ECE3">
        <w:rPr>
          <w:rFonts w:ascii="Arial Nova" w:hAnsi="Arial Nova" w:eastAsia="Arial Nova" w:cs="Arial Nova"/>
          <w:sz w:val="22"/>
          <w:szCs w:val="22"/>
        </w:rPr>
        <w:t>A Guide for Health and Social Care Professionals</w:t>
      </w:r>
    </w:p>
    <w:p w:rsidR="0F5C24BF" w:rsidP="0F5C24BF" w:rsidRDefault="0F5C24BF" w14:paraId="6DB3949C" w14:textId="1FB09F67">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p>
    <w:p w:rsidR="7727794E" w:rsidP="0F5C24BF" w:rsidRDefault="7727794E" w14:paraId="0102F57B" w14:textId="4A8158D8">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7727794E">
        <w:rPr>
          <w:rFonts w:ascii="Arial Nova" w:hAnsi="Arial Nova" w:eastAsia="Arial Nova" w:cs="Arial Nova"/>
          <w:b w:val="0"/>
          <w:bCs w:val="0"/>
          <w:i w:val="0"/>
          <w:iCs w:val="0"/>
          <w:caps w:val="0"/>
          <w:smallCaps w:val="0"/>
          <w:noProof w:val="0"/>
          <w:color w:val="242424"/>
          <w:sz w:val="22"/>
          <w:szCs w:val="22"/>
          <w:lang w:val="en-GB"/>
        </w:rPr>
        <w:t>1. Introduction</w:t>
      </w:r>
    </w:p>
    <w:p w:rsidR="0F5C24BF" w:rsidP="0F5C24BF" w:rsidRDefault="0F5C24BF" w14:paraId="70F2F5D9" w14:textId="241B0D3D">
      <w:pPr>
        <w:shd w:val="clear" w:color="auto" w:fill="FFFFFF" w:themeFill="background1"/>
        <w:spacing w:before="0" w:beforeAutospacing="off" w:after="0" w:afterAutospacing="off"/>
        <w:rPr>
          <w:rFonts w:ascii="Arial Nova" w:hAnsi="Arial Nova" w:eastAsia="Arial Nova" w:cs="Arial Nova"/>
          <w:sz w:val="22"/>
          <w:szCs w:val="22"/>
        </w:rPr>
      </w:pPr>
    </w:p>
    <w:p w:rsidR="7727794E" w:rsidP="0F5C24BF" w:rsidRDefault="7727794E" w14:paraId="5CE16F1B" w14:textId="00B3CBB4">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7727794E">
        <w:rPr>
          <w:rFonts w:ascii="Arial Nova" w:hAnsi="Arial Nova" w:eastAsia="Arial Nova" w:cs="Arial Nova"/>
          <w:b w:val="0"/>
          <w:bCs w:val="0"/>
          <w:i w:val="0"/>
          <w:iCs w:val="0"/>
          <w:caps w:val="0"/>
          <w:smallCaps w:val="0"/>
          <w:noProof w:val="0"/>
          <w:color w:val="242424"/>
          <w:sz w:val="22"/>
          <w:szCs w:val="22"/>
          <w:lang w:val="en-GB"/>
        </w:rPr>
        <w:t>The provision of high-quality, person-centred care for older adults living with dementia in residential settings is a paramount and complex challenge for health and social care professionals. Dementia, as an umbrella term for neurodegenerative conditions, presents not only as a cognitive impairment but as a profound psychological experience, affecting a person's sense of self, their relationships, and their place in the world (Kitwood, 1997). To move beyond a purely medical or task-oriented model of care, professionals must be equipped with a robust theoretical understanding of the psychological and developmental needs of this population. This report provides practical guidance on how two foundational psychological theories—Erik Erikson’s Psychosocial Theory and Lev Vygotsky’s Socio-cultural Learning Theory—can be applied within a dementia care home context. It will offer a detailed overview of each theory, critically evaluate its practical application with illustrative examples, discuss potential challenges, and suggest strategies for implementation. The aim is to empower professionals to enhance the psychological well-being and personhood of those in their care, thereby fostering an environment where residents can continue to experience growth and meaning.</w:t>
      </w:r>
    </w:p>
    <w:p w:rsidR="0F5C24BF" w:rsidP="0F5C24BF" w:rsidRDefault="0F5C24BF" w14:paraId="01DC0CCA" w14:textId="20EF53AE">
      <w:pPr>
        <w:pStyle w:val="Normal"/>
        <w:rPr>
          <w:rFonts w:ascii="Arial Nova" w:hAnsi="Arial Nova" w:eastAsia="Arial Nova" w:cs="Arial Nova"/>
          <w:sz w:val="22"/>
          <w:szCs w:val="22"/>
        </w:rPr>
      </w:pPr>
    </w:p>
    <w:p w:rsidR="4A6277D4" w:rsidP="0F5C24BF" w:rsidRDefault="4A6277D4" w14:paraId="318A51DF" w14:textId="0503B434">
      <w:pPr>
        <w:spacing w:before="0" w:beforeAutospacing="off" w:after="0" w:afterAutospacing="off"/>
        <w:rPr>
          <w:rFonts w:ascii="Arial Nova" w:hAnsi="Arial Nova" w:eastAsia="Arial Nova" w:cs="Arial Nova"/>
          <w:noProof w:val="0"/>
          <w:sz w:val="22"/>
          <w:szCs w:val="22"/>
          <w:lang w:val="en-GB"/>
        </w:rPr>
      </w:pPr>
      <w:r w:rsidRPr="0F5C24BF" w:rsidR="4A6277D4">
        <w:rPr>
          <w:rFonts w:ascii="Arial Nova" w:hAnsi="Arial Nova" w:eastAsia="Arial Nova" w:cs="Arial Nova"/>
          <w:noProof w:val="0"/>
          <w:sz w:val="22"/>
          <w:szCs w:val="22"/>
          <w:lang w:val="en-GB"/>
        </w:rPr>
        <w:t>2. Theoretical Framework: An Overview</w:t>
      </w:r>
    </w:p>
    <w:p w:rsidR="0F5C24BF" w:rsidP="0F5C24BF" w:rsidRDefault="0F5C24BF" w14:paraId="33E8CC9B" w14:textId="5C7C71D5">
      <w:pPr>
        <w:spacing w:before="0" w:beforeAutospacing="off" w:after="0" w:afterAutospacing="off"/>
        <w:rPr>
          <w:rFonts w:ascii="Arial Nova" w:hAnsi="Arial Nova" w:eastAsia="Arial Nova" w:cs="Arial Nova"/>
          <w:sz w:val="22"/>
          <w:szCs w:val="22"/>
        </w:rPr>
      </w:pPr>
    </w:p>
    <w:p w:rsidR="4A6277D4" w:rsidP="0F5C24BF" w:rsidRDefault="4A6277D4" w14:paraId="3F8153AF" w14:textId="7B9A1C97">
      <w:pPr>
        <w:spacing w:before="0" w:beforeAutospacing="off" w:after="0" w:afterAutospacing="off"/>
        <w:rPr>
          <w:rFonts w:ascii="Arial Nova" w:hAnsi="Arial Nova" w:eastAsia="Arial Nova" w:cs="Arial Nova"/>
          <w:noProof w:val="0"/>
          <w:sz w:val="22"/>
          <w:szCs w:val="22"/>
          <w:lang w:val="en-GB"/>
        </w:rPr>
      </w:pPr>
      <w:r w:rsidRPr="0F5C24BF" w:rsidR="4A6277D4">
        <w:rPr>
          <w:rFonts w:ascii="Arial Nova" w:hAnsi="Arial Nova" w:eastAsia="Arial Nova" w:cs="Arial Nova"/>
          <w:noProof w:val="0"/>
          <w:sz w:val="22"/>
          <w:szCs w:val="22"/>
          <w:lang w:val="en-GB"/>
        </w:rPr>
        <w:t>Understanding the theoretical underpinnings of human development and learning provides an essential scaffold for effective, empathetic care. The following sections detail Erikson’s and Vygotsky’s theories and their specific relevance to adults aged 65 and over.</w:t>
      </w:r>
    </w:p>
    <w:p w:rsidR="0F5C24BF" w:rsidP="0F5C24BF" w:rsidRDefault="0F5C24BF" w14:paraId="20EED778" w14:textId="7233E152">
      <w:pPr>
        <w:spacing w:before="0" w:beforeAutospacing="off" w:after="0" w:afterAutospacing="off"/>
        <w:rPr>
          <w:rFonts w:ascii="Arial Nova" w:hAnsi="Arial Nova" w:eastAsia="Arial Nova" w:cs="Arial Nova"/>
          <w:sz w:val="22"/>
          <w:szCs w:val="22"/>
        </w:rPr>
      </w:pPr>
    </w:p>
    <w:p w:rsidR="4A6277D4" w:rsidP="0F5C24BF" w:rsidRDefault="4A6277D4" w14:paraId="4572FC04" w14:textId="2F8CB8AA">
      <w:pPr>
        <w:spacing w:before="0" w:beforeAutospacing="off" w:after="0" w:afterAutospacing="off"/>
        <w:rPr>
          <w:rFonts w:ascii="Arial Nova" w:hAnsi="Arial Nova" w:eastAsia="Arial Nova" w:cs="Arial Nova"/>
          <w:noProof w:val="0"/>
          <w:sz w:val="22"/>
          <w:szCs w:val="22"/>
          <w:lang w:val="en-GB"/>
        </w:rPr>
      </w:pPr>
      <w:r w:rsidRPr="0F5C24BF" w:rsidR="4A6277D4">
        <w:rPr>
          <w:rFonts w:ascii="Arial Nova" w:hAnsi="Arial Nova" w:eastAsia="Arial Nova" w:cs="Arial Nova"/>
          <w:noProof w:val="0"/>
          <w:sz w:val="22"/>
          <w:szCs w:val="22"/>
          <w:lang w:val="en-GB"/>
        </w:rPr>
        <w:t>2.1 Erik Erikson’s Psychosocial Theory: The Final Crisis</w:t>
      </w:r>
    </w:p>
    <w:p w:rsidR="0F5C24BF" w:rsidP="0F5C24BF" w:rsidRDefault="0F5C24BF" w14:paraId="31FE2C2A" w14:textId="2EED7E61">
      <w:pPr>
        <w:spacing w:before="0" w:beforeAutospacing="off" w:after="0" w:afterAutospacing="off"/>
        <w:rPr>
          <w:rFonts w:ascii="Arial Nova" w:hAnsi="Arial Nova" w:eastAsia="Arial Nova" w:cs="Arial Nova"/>
          <w:sz w:val="22"/>
          <w:szCs w:val="22"/>
        </w:rPr>
      </w:pPr>
    </w:p>
    <w:p w:rsidR="4A6277D4" w:rsidP="0F5C24BF" w:rsidRDefault="4A6277D4" w14:paraId="0F0B896F" w14:textId="4778DC95">
      <w:pPr>
        <w:spacing w:before="0" w:beforeAutospacing="off" w:after="0" w:afterAutospacing="off"/>
        <w:rPr>
          <w:rFonts w:ascii="Arial Nova" w:hAnsi="Arial Nova" w:eastAsia="Arial Nova" w:cs="Arial Nova"/>
          <w:noProof w:val="0"/>
          <w:sz w:val="22"/>
          <w:szCs w:val="22"/>
          <w:lang w:val="en-GB"/>
        </w:rPr>
      </w:pPr>
      <w:r w:rsidRPr="0F5C24BF" w:rsidR="4A6277D4">
        <w:rPr>
          <w:rFonts w:ascii="Arial Nova" w:hAnsi="Arial Nova" w:eastAsia="Arial Nova" w:cs="Arial Nova"/>
          <w:noProof w:val="0"/>
          <w:sz w:val="22"/>
          <w:szCs w:val="22"/>
          <w:lang w:val="en-GB"/>
        </w:rPr>
        <w:t>Erikson’s (1963) psychosocial theory posits that human development occurs across eight distinct stages, each characterised by a psychosocial crisis that must be resolved for healthy personality development. For adults aged 65 and over, the central crisis is Ego Integrity vs. Despair. This final stage involves a comprehensive life review, where individuals reflect on their accomplishments, relationships, and the meaning of their lives.</w:t>
      </w:r>
    </w:p>
    <w:p w:rsidR="0F5C24BF" w:rsidP="0F5C24BF" w:rsidRDefault="0F5C24BF" w14:paraId="75AD7E96" w14:textId="03168064">
      <w:pPr>
        <w:spacing w:before="0" w:beforeAutospacing="off" w:after="0" w:afterAutospacing="off"/>
        <w:rPr>
          <w:rFonts w:ascii="Arial Nova" w:hAnsi="Arial Nova" w:eastAsia="Arial Nova" w:cs="Arial Nova"/>
          <w:sz w:val="22"/>
          <w:szCs w:val="22"/>
        </w:rPr>
      </w:pPr>
    </w:p>
    <w:p w:rsidR="4A6277D4" w:rsidP="0F5C24BF" w:rsidRDefault="4A6277D4" w14:paraId="714276D2" w14:textId="67853D95">
      <w:pPr>
        <w:spacing w:before="0" w:beforeAutospacing="off" w:after="0" w:afterAutospacing="off"/>
        <w:rPr>
          <w:rFonts w:ascii="Arial Nova" w:hAnsi="Arial Nova" w:eastAsia="Arial Nova" w:cs="Arial Nova"/>
          <w:noProof w:val="0"/>
          <w:sz w:val="22"/>
          <w:szCs w:val="22"/>
          <w:lang w:val="en-GB"/>
        </w:rPr>
      </w:pPr>
      <w:r w:rsidRPr="0F5C24BF" w:rsidR="4A6277D4">
        <w:rPr>
          <w:rFonts w:ascii="Arial Nova" w:hAnsi="Arial Nova" w:eastAsia="Arial Nova" w:cs="Arial Nova"/>
          <w:noProof w:val="0"/>
          <w:sz w:val="22"/>
          <w:szCs w:val="22"/>
          <w:lang w:val="en-GB"/>
        </w:rPr>
        <w:t>A successful resolution, leading to ego integrity, is characterised by a sense of wholeness, acceptance of one’s life as it was lived, and the attainment of wisdom. The individual can face mortality with a sense of peace and fulfilment. Conversely, failure to resolve this crisis results in despair. This is marked by feelings of regret, bitterness, and the belief that one’s life has been wasted, leading to a fear of death and profound dissatisfaction (Erikson, 1963).</w:t>
      </w:r>
    </w:p>
    <w:p w:rsidR="0F5C24BF" w:rsidP="0F5C24BF" w:rsidRDefault="0F5C24BF" w14:paraId="33C49330" w14:textId="3E85BAD6">
      <w:pPr>
        <w:spacing w:before="0" w:beforeAutospacing="off" w:after="0" w:afterAutospacing="off"/>
        <w:rPr>
          <w:rFonts w:ascii="Arial Nova" w:hAnsi="Arial Nova" w:eastAsia="Arial Nova" w:cs="Arial Nova"/>
          <w:sz w:val="22"/>
          <w:szCs w:val="22"/>
        </w:rPr>
      </w:pPr>
    </w:p>
    <w:p w:rsidR="4A6277D4" w:rsidP="0F5C24BF" w:rsidRDefault="4A6277D4" w14:paraId="103DEFC3" w14:textId="5A91C982">
      <w:pPr>
        <w:spacing w:before="0" w:beforeAutospacing="off" w:after="0" w:afterAutospacing="off"/>
        <w:rPr>
          <w:rFonts w:ascii="Arial Nova" w:hAnsi="Arial Nova" w:eastAsia="Arial Nova" w:cs="Arial Nova"/>
          <w:noProof w:val="0"/>
          <w:sz w:val="22"/>
          <w:szCs w:val="22"/>
          <w:lang w:val="en-GB"/>
        </w:rPr>
      </w:pPr>
      <w:r w:rsidRPr="0F5C24BF" w:rsidR="4A6277D4">
        <w:rPr>
          <w:rFonts w:ascii="Arial Nova" w:hAnsi="Arial Nova" w:eastAsia="Arial Nova" w:cs="Arial Nova"/>
          <w:noProof w:val="0"/>
          <w:sz w:val="22"/>
          <w:szCs w:val="22"/>
          <w:lang w:val="en-GB"/>
        </w:rPr>
        <w:t>For an older adult living with dementia in a care home, this developmental task is not erased by their condition; in fact, it may be intensified. The cognitive impairments associated with dementia can disrupt a coherent life narrative, making the process of life review fragmented and challenging. The care home environment itself, with its loss of familiar routines, independence, and social roles, can exacerbate feelings of despair and worthlessness. Therefore, the role of the care professional is to facilitate the achievement of ego integrity by creating opportunities for life review, validating the individual’s lived experience, and affirming their inherent worth and identity (Haight et al., 2003).</w:t>
      </w:r>
    </w:p>
    <w:p w:rsidR="0F5C24BF" w:rsidP="0F5C24BF" w:rsidRDefault="0F5C24BF" w14:paraId="2F3A93A6" w14:textId="283DB7BB">
      <w:pPr>
        <w:spacing w:before="0" w:beforeAutospacing="off" w:after="0" w:afterAutospacing="off"/>
        <w:rPr>
          <w:rFonts w:ascii="Arial Nova" w:hAnsi="Arial Nova" w:eastAsia="Arial Nova" w:cs="Arial Nova"/>
          <w:sz w:val="22"/>
          <w:szCs w:val="22"/>
        </w:rPr>
      </w:pPr>
    </w:p>
    <w:p w:rsidR="4A6277D4" w:rsidP="0F5C24BF" w:rsidRDefault="4A6277D4" w14:paraId="0C084274" w14:textId="35BF1294">
      <w:pPr>
        <w:spacing w:before="0" w:beforeAutospacing="off" w:after="0" w:afterAutospacing="off"/>
        <w:rPr>
          <w:rFonts w:ascii="Arial Nova" w:hAnsi="Arial Nova" w:eastAsia="Arial Nova" w:cs="Arial Nova"/>
          <w:noProof w:val="0"/>
          <w:sz w:val="22"/>
          <w:szCs w:val="22"/>
          <w:lang w:val="en-GB"/>
        </w:rPr>
      </w:pPr>
      <w:r w:rsidRPr="0F5C24BF" w:rsidR="4A6277D4">
        <w:rPr>
          <w:rFonts w:ascii="Arial Nova" w:hAnsi="Arial Nova" w:eastAsia="Arial Nova" w:cs="Arial Nova"/>
          <w:noProof w:val="0"/>
          <w:sz w:val="22"/>
          <w:szCs w:val="22"/>
          <w:lang w:val="en-GB"/>
        </w:rPr>
        <w:t>2.2 Lev Vygotsky’s Socio-cultural Learning Theory: The Role of Interaction and Scaffolding</w:t>
      </w:r>
    </w:p>
    <w:p w:rsidR="0F5C24BF" w:rsidP="0F5C24BF" w:rsidRDefault="0F5C24BF" w14:paraId="52161DAA" w14:textId="23D6BE89">
      <w:pPr>
        <w:spacing w:before="0" w:beforeAutospacing="off" w:after="0" w:afterAutospacing="off"/>
        <w:rPr>
          <w:rFonts w:ascii="Arial Nova" w:hAnsi="Arial Nova" w:eastAsia="Arial Nova" w:cs="Arial Nova"/>
          <w:sz w:val="22"/>
          <w:szCs w:val="22"/>
        </w:rPr>
      </w:pPr>
    </w:p>
    <w:p w:rsidR="4A6277D4" w:rsidP="0F5C24BF" w:rsidRDefault="4A6277D4" w14:paraId="77B1FAEB" w14:textId="42D5DF10">
      <w:pPr>
        <w:spacing w:before="0" w:beforeAutospacing="off" w:after="0" w:afterAutospacing="off"/>
        <w:rPr>
          <w:rFonts w:ascii="Arial Nova" w:hAnsi="Arial Nova" w:eastAsia="Arial Nova" w:cs="Arial Nova"/>
          <w:noProof w:val="0"/>
          <w:sz w:val="22"/>
          <w:szCs w:val="22"/>
          <w:lang w:val="en-GB"/>
        </w:rPr>
      </w:pPr>
      <w:r w:rsidRPr="0F5C24BF" w:rsidR="4A6277D4">
        <w:rPr>
          <w:rFonts w:ascii="Arial Nova" w:hAnsi="Arial Nova" w:eastAsia="Arial Nova" w:cs="Arial Nova"/>
          <w:noProof w:val="0"/>
          <w:sz w:val="22"/>
          <w:szCs w:val="22"/>
          <w:lang w:val="en-GB"/>
        </w:rPr>
        <w:t>Vygotsky’s (1978) theory emphasises that cognitive development is a socially mediated process. Learning and understanding are constructed through interactions with more knowledgeable others (MKOs)—such as peers, family, and caregivers—within a cultural context. A core concept is the Zone of Proximal Development (ZPD), defined as the gap between what a learner can do independently and what they can achieve with guidance and support. The support provided to bridge this gap is termed scaffolding.</w:t>
      </w:r>
    </w:p>
    <w:p w:rsidR="0F5C24BF" w:rsidP="0F5C24BF" w:rsidRDefault="0F5C24BF" w14:paraId="53ECEACA" w14:textId="5C92D09B">
      <w:pPr>
        <w:spacing w:before="0" w:beforeAutospacing="off" w:after="0" w:afterAutospacing="off"/>
        <w:rPr>
          <w:rFonts w:ascii="Arial Nova" w:hAnsi="Arial Nova" w:eastAsia="Arial Nova" w:cs="Arial Nova"/>
          <w:sz w:val="22"/>
          <w:szCs w:val="22"/>
        </w:rPr>
      </w:pPr>
    </w:p>
    <w:p w:rsidR="4A6277D4" w:rsidP="0F5C24BF" w:rsidRDefault="4A6277D4" w14:paraId="21279059" w14:textId="43394F36">
      <w:pPr>
        <w:spacing w:before="0" w:beforeAutospacing="off" w:after="0" w:afterAutospacing="off"/>
        <w:rPr>
          <w:rFonts w:ascii="Arial Nova" w:hAnsi="Arial Nova" w:eastAsia="Arial Nova" w:cs="Arial Nova"/>
          <w:noProof w:val="0"/>
          <w:sz w:val="22"/>
          <w:szCs w:val="22"/>
          <w:lang w:val="en-GB"/>
        </w:rPr>
      </w:pPr>
      <w:r w:rsidRPr="0F5C24BF" w:rsidR="4A6277D4">
        <w:rPr>
          <w:rFonts w:ascii="Arial Nova" w:hAnsi="Arial Nova" w:eastAsia="Arial Nova" w:cs="Arial Nova"/>
          <w:noProof w:val="0"/>
          <w:sz w:val="22"/>
          <w:szCs w:val="22"/>
          <w:lang w:val="en-GB"/>
        </w:rPr>
        <w:t>While Vygotsky’s work primarily focused on child development, its principles are highly applicable to supporting older adults with dementia. Dementia causes a progressive decline in cognitive functions, but it does not eliminate the capacity for learning or engagement. The ZPD in this context refers to the tasks and interactions that an individual with dementia cannot manage alone but can successfully participate in with appropriate, sensitively tailored support from a care professional acting as an MKO (Cochran, 2011).</w:t>
      </w:r>
    </w:p>
    <w:p w:rsidR="0F5C24BF" w:rsidP="0F5C24BF" w:rsidRDefault="0F5C24BF" w14:paraId="74F1FBBB" w14:textId="731FFA89">
      <w:pPr>
        <w:spacing w:before="0" w:beforeAutospacing="off" w:after="0" w:afterAutospacing="off"/>
        <w:rPr>
          <w:rFonts w:ascii="Arial Nova" w:hAnsi="Arial Nova" w:eastAsia="Arial Nova" w:cs="Arial Nova"/>
          <w:sz w:val="22"/>
          <w:szCs w:val="22"/>
        </w:rPr>
      </w:pPr>
    </w:p>
    <w:p w:rsidR="4A6277D4" w:rsidP="0F5C24BF" w:rsidRDefault="4A6277D4" w14:paraId="0F733510" w14:textId="160F46F5">
      <w:pPr>
        <w:spacing w:before="0" w:beforeAutospacing="off" w:after="0" w:afterAutospacing="off"/>
        <w:rPr>
          <w:rFonts w:ascii="Arial Nova" w:hAnsi="Arial Nova" w:eastAsia="Arial Nova" w:cs="Arial Nova"/>
          <w:noProof w:val="0"/>
          <w:sz w:val="22"/>
          <w:szCs w:val="22"/>
          <w:lang w:val="en-GB"/>
        </w:rPr>
      </w:pPr>
      <w:r w:rsidRPr="0F5C24BF" w:rsidR="4A6277D4">
        <w:rPr>
          <w:rFonts w:ascii="Arial Nova" w:hAnsi="Arial Nova" w:eastAsia="Arial Nova" w:cs="Arial Nova"/>
          <w:noProof w:val="0"/>
          <w:sz w:val="22"/>
          <w:szCs w:val="22"/>
          <w:lang w:val="en-GB"/>
        </w:rPr>
        <w:t>The socio-cultural aspect is also critical. A person’s identity is shaped by their culture, history, and social roles. In dementia, access to these facets of self can become obscured. A Vygotskian approach argues that a supportive social environment, rich in cultural and personal cues, can help to “scaffold” a person’s sense of self and maintain functional abilities for as long as possible. This shifts the focus from lost abilities (a deficit model) to remaining potentials, fostering a sense of competence and personhood, which aligns closely with Kitwood's (1997) philosophy of person-centred care.</w:t>
      </w:r>
    </w:p>
    <w:p w:rsidR="0F5C24BF" w:rsidP="0F5C24BF" w:rsidRDefault="0F5C24BF" w14:paraId="3909C10D" w14:textId="55F28BF6">
      <w:pPr>
        <w:spacing w:before="0" w:beforeAutospacing="off" w:after="0" w:afterAutospacing="off"/>
        <w:rPr>
          <w:rFonts w:ascii="Arial Nova" w:hAnsi="Arial Nova" w:eastAsia="Arial Nova" w:cs="Arial Nova"/>
          <w:sz w:val="22"/>
          <w:szCs w:val="22"/>
        </w:rPr>
      </w:pPr>
    </w:p>
    <w:p w:rsidR="316114CC" w:rsidP="0F5C24BF" w:rsidRDefault="316114CC" w14:paraId="3A034800" w14:textId="167A2E67">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3. Application in the Dementia Care Home Context</w:t>
      </w:r>
    </w:p>
    <w:p w:rsidR="0F5C24BF" w:rsidP="0F5C24BF" w:rsidRDefault="0F5C24BF" w14:paraId="6DFB9C23" w14:textId="6F42D029">
      <w:pPr>
        <w:shd w:val="clear" w:color="auto" w:fill="FFFFFF" w:themeFill="background1"/>
        <w:spacing w:before="0" w:beforeAutospacing="off" w:after="0" w:afterAutospacing="off"/>
        <w:rPr>
          <w:rFonts w:ascii="Arial Nova" w:hAnsi="Arial Nova" w:eastAsia="Arial Nova" w:cs="Arial Nova"/>
          <w:sz w:val="22"/>
          <w:szCs w:val="22"/>
        </w:rPr>
      </w:pPr>
    </w:p>
    <w:p w:rsidR="316114CC" w:rsidP="0F5C24BF" w:rsidRDefault="316114CC" w14:paraId="5B4E32AD" w14:textId="763F6275">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Translating these theories into practice requires intentionality, skill, and a critical understanding of the care environment. The following section evaluates how each theory can be applied, providing practical examples and addressing potential challenges.</w:t>
      </w:r>
    </w:p>
    <w:p w:rsidR="0F5C24BF" w:rsidP="0F5C24BF" w:rsidRDefault="0F5C24BF" w14:paraId="3CE20F5D" w14:textId="221E95D2">
      <w:pPr>
        <w:shd w:val="clear" w:color="auto" w:fill="FFFFFF" w:themeFill="background1"/>
        <w:spacing w:before="0" w:beforeAutospacing="off" w:after="0" w:afterAutospacing="off"/>
        <w:rPr>
          <w:rFonts w:ascii="Arial Nova" w:hAnsi="Arial Nova" w:eastAsia="Arial Nova" w:cs="Arial Nova"/>
          <w:sz w:val="22"/>
          <w:szCs w:val="22"/>
        </w:rPr>
      </w:pPr>
    </w:p>
    <w:p w:rsidR="316114CC" w:rsidP="0F5C24BF" w:rsidRDefault="316114CC" w14:paraId="562BA5B5" w14:textId="3022FB70">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3.1 Applying Erikson’s Theory: Fostering Ego Integrity</w:t>
      </w:r>
    </w:p>
    <w:p w:rsidR="0F5C24BF" w:rsidP="0F5C24BF" w:rsidRDefault="0F5C24BF" w14:paraId="36A7E4AD" w14:textId="3AA83778">
      <w:pPr>
        <w:shd w:val="clear" w:color="auto" w:fill="FFFFFF" w:themeFill="background1"/>
        <w:spacing w:before="0" w:beforeAutospacing="off" w:after="0" w:afterAutospacing="off"/>
        <w:rPr>
          <w:rFonts w:ascii="Arial Nova" w:hAnsi="Arial Nova" w:eastAsia="Arial Nova" w:cs="Arial Nova"/>
          <w:sz w:val="22"/>
          <w:szCs w:val="22"/>
        </w:rPr>
      </w:pPr>
    </w:p>
    <w:p w:rsidR="316114CC" w:rsidP="0F5C24BF" w:rsidRDefault="316114CC" w14:paraId="2A41F099" w14:textId="26C30ED2">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Practical Applications and Examples:</w:t>
      </w:r>
    </w:p>
    <w:p w:rsidR="0F5C24BF" w:rsidP="0F5C24BF" w:rsidRDefault="0F5C24BF" w14:paraId="1D5DB050" w14:textId="773BB199">
      <w:pPr>
        <w:shd w:val="clear" w:color="auto" w:fill="FFFFFF" w:themeFill="background1"/>
        <w:spacing w:before="0" w:beforeAutospacing="off" w:after="0" w:afterAutospacing="off"/>
        <w:rPr>
          <w:rFonts w:ascii="Arial Nova" w:hAnsi="Arial Nova" w:eastAsia="Arial Nova" w:cs="Arial Nova"/>
          <w:sz w:val="22"/>
          <w:szCs w:val="22"/>
        </w:rPr>
      </w:pPr>
    </w:p>
    <w:p w:rsidR="316114CC" w:rsidP="0F5C24BF" w:rsidRDefault="316114CC" w14:paraId="3BC8235D" w14:textId="3667E6B3">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 xml:space="preserve">1. Life Story Work and Reminiscence Therapy: This is the most direct application of facilitating ego integrity. Professionals can collaborate with residents and their families to create life story books—collections of photographs, memorabilia, and narratives that document the </w:t>
      </w:r>
      <w:bookmarkStart w:name="_Int_t8OkdxE1" w:id="116252111"/>
      <w:r w:rsidRPr="0F5C24BF" w:rsidR="316114CC">
        <w:rPr>
          <w:rFonts w:ascii="Arial Nova" w:hAnsi="Arial Nova" w:eastAsia="Arial Nova" w:cs="Arial Nova"/>
          <w:b w:val="0"/>
          <w:bCs w:val="0"/>
          <w:i w:val="0"/>
          <w:iCs w:val="0"/>
          <w:caps w:val="0"/>
          <w:smallCaps w:val="0"/>
          <w:noProof w:val="0"/>
          <w:color w:val="242424"/>
          <w:sz w:val="22"/>
          <w:szCs w:val="22"/>
          <w:lang w:val="en-GB"/>
        </w:rPr>
        <w:t>resident’s</w:t>
      </w:r>
      <w:bookmarkEnd w:id="116252111"/>
      <w:r w:rsidRPr="0F5C24BF" w:rsidR="316114CC">
        <w:rPr>
          <w:rFonts w:ascii="Arial Nova" w:hAnsi="Arial Nova" w:eastAsia="Arial Nova" w:cs="Arial Nova"/>
          <w:b w:val="0"/>
          <w:bCs w:val="0"/>
          <w:i w:val="0"/>
          <w:iCs w:val="0"/>
          <w:caps w:val="0"/>
          <w:smallCaps w:val="0"/>
          <w:noProof w:val="0"/>
          <w:color w:val="242424"/>
          <w:sz w:val="22"/>
          <w:szCs w:val="22"/>
          <w:lang w:val="en-GB"/>
        </w:rPr>
        <w:t xml:space="preserve"> personal history. Engaging in one-to-one or group reminiscence sessions using props from their era (e.g., 1950s household items, popular music) can help piece together a fragmented narrative. As Haight et al. (2003) found, structured life review can significantly reduce depressive symptoms and increase life satisfaction in older adults, reinforcing a positive sense of self. For example, a resident who was a nurse may not recall specific events, but holding a vintage nursing cape might evoke a feeling of pride and purpose, facilitating a moment of integrity.</w:t>
      </w:r>
    </w:p>
    <w:p w:rsidR="316114CC" w:rsidP="0F5C24BF" w:rsidRDefault="316114CC" w14:paraId="48D5E99A" w14:textId="0CD56553">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2. Validation and Affirmation: Every interaction is an opportunity to validate a person’s life and feelings. For example, when a resident expresses distress about a long-past event as if it were happening now (e.g., needing to go home to care for their children), a professional using an Eriksonian approach would not correct the "disorientation" but would validate the underlying emotion and role. A response such as, “You were a very dedicated mother, and that must have been a big responsibility,” acknowledges their life’s struggles and strengths, affirming their core identity and journey.</w:t>
      </w:r>
    </w:p>
    <w:p w:rsidR="316114CC" w:rsidP="0F5C24BF" w:rsidRDefault="316114CC" w14:paraId="6249FA3A" w14:textId="74D4545D">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3. Creating Rituals of Meaning: Marking significant life events (birthdays, religious holidays) or facilitating intergenerational activities where residents can share their skills, such as knitting or woodworking, with younger visitors can reinforce their role as elders and repositories of knowledge, directly combating feelings of despair and uselessness.</w:t>
      </w:r>
    </w:p>
    <w:p w:rsidR="0F5C24BF" w:rsidP="0F5C24BF" w:rsidRDefault="0F5C24BF" w14:paraId="76E36848" w14:textId="1672F529">
      <w:pPr>
        <w:shd w:val="clear" w:color="auto" w:fill="FFFFFF" w:themeFill="background1"/>
        <w:spacing w:before="0" w:beforeAutospacing="off" w:after="0" w:afterAutospacing="off"/>
        <w:rPr>
          <w:rFonts w:ascii="Arial Nova" w:hAnsi="Arial Nova" w:eastAsia="Arial Nova" w:cs="Arial Nova"/>
          <w:sz w:val="22"/>
          <w:szCs w:val="22"/>
        </w:rPr>
      </w:pPr>
    </w:p>
    <w:p w:rsidR="316114CC" w:rsidP="0F5C24BF" w:rsidRDefault="316114CC" w14:paraId="289FD508" w14:textId="08D20B75">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Challenges and Strategies:</w:t>
      </w:r>
    </w:p>
    <w:p w:rsidR="0F5C24BF" w:rsidP="0F5C24BF" w:rsidRDefault="0F5C24BF" w14:paraId="23C91EA6" w14:textId="01FB0C56">
      <w:pPr>
        <w:shd w:val="clear" w:color="auto" w:fill="FFFFFF" w:themeFill="background1"/>
        <w:spacing w:before="0" w:beforeAutospacing="off" w:after="0" w:afterAutospacing="off"/>
        <w:rPr>
          <w:rFonts w:ascii="Arial Nova" w:hAnsi="Arial Nova" w:eastAsia="Arial Nova" w:cs="Arial Nova"/>
          <w:sz w:val="22"/>
          <w:szCs w:val="22"/>
        </w:rPr>
      </w:pPr>
    </w:p>
    <w:p w:rsidR="316114CC" w:rsidP="0F5C24BF" w:rsidRDefault="316114CC" w14:paraId="32ACE26D" w14:textId="16E857FE">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 Challenge: Cognitive Impairment: Severe memory loss may make coherent life review difficult. A resident may not recall specific events or may become distressed during reminiscence.</w:t>
      </w:r>
    </w:p>
    <w:p w:rsidR="316114CC" w:rsidP="0F5C24BF" w:rsidRDefault="316114CC" w14:paraId="262122BF" w14:textId="3F725B1F">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 Strategy: Focus on emotional connection rather than factual accuracy. Use sensory triggers (smells of baking, textures of fabric, music) which can often bypass cognitive barriers to evoke positive memories and feelings (Genoe and Dupuis, 2014). Keep sessions short and person-led, following their emotional cues rather than a rigid script.</w:t>
      </w:r>
    </w:p>
    <w:p w:rsidR="316114CC" w:rsidP="0F5C24BF" w:rsidRDefault="316114CC" w14:paraId="6E74C130" w14:textId="412F30AD">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 Challenge: Lack of Biographical Information: For residents with no family or limited personal records, constructing a life story can be challenging.</w:t>
      </w:r>
    </w:p>
    <w:p w:rsidR="316114CC" w:rsidP="0F5C24BF" w:rsidRDefault="316114CC" w14:paraId="4489E61C" w14:textId="08DF02FF">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 Strategy: Use general historical and cultural knowledge of their era to create engaging group activities. Pay close attention to the resident’s recurring stories, preferences, and emotional responses—these fragments themselves become the foundational bricks for understanding and supporting their identity.</w:t>
      </w:r>
    </w:p>
    <w:p w:rsidR="316114CC" w:rsidP="0F5C24BF" w:rsidRDefault="316114CC" w14:paraId="6E10E64B" w14:textId="7109476D">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 Challenge: Professional Despair: Staff may feel that supporting someone through existential despair is beyond their remit or expertise, leading to avoidance.</w:t>
      </w:r>
    </w:p>
    <w:p w:rsidR="316114CC" w:rsidP="0F5C24BF" w:rsidRDefault="316114CC" w14:paraId="266C39AC" w14:textId="6017FAFF">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 Strategy: Provide training and clinical supervision that normalises these feelings and equips staff with basic, empathic communication skills. Emphasise that listening with empathy and bearing witness to a person’s life story is, in itself, a powerful therapeutic intervention.</w:t>
      </w:r>
    </w:p>
    <w:p w:rsidR="0F5C24BF" w:rsidP="0F5C24BF" w:rsidRDefault="0F5C24BF" w14:paraId="6D64B14C" w14:textId="5EBDBAA7">
      <w:pPr>
        <w:shd w:val="clear" w:color="auto" w:fill="FFFFFF" w:themeFill="background1"/>
        <w:spacing w:before="0" w:beforeAutospacing="off" w:after="0" w:afterAutospacing="off"/>
        <w:rPr>
          <w:rFonts w:ascii="Arial Nova" w:hAnsi="Arial Nova" w:eastAsia="Arial Nova" w:cs="Arial Nova"/>
          <w:sz w:val="22"/>
          <w:szCs w:val="22"/>
        </w:rPr>
      </w:pPr>
    </w:p>
    <w:p w:rsidR="316114CC" w:rsidP="0F5C24BF" w:rsidRDefault="316114CC" w14:paraId="2997273E" w14:textId="01E7FF82">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3.2 Applying Vygotsky’s Theory: Scaffolding for Engagement and Well-being</w:t>
      </w:r>
    </w:p>
    <w:p w:rsidR="0F5C24BF" w:rsidP="0F5C24BF" w:rsidRDefault="0F5C24BF" w14:paraId="03558877" w14:textId="46801988">
      <w:pPr>
        <w:shd w:val="clear" w:color="auto" w:fill="FFFFFF" w:themeFill="background1"/>
        <w:spacing w:before="0" w:beforeAutospacing="off" w:after="0" w:afterAutospacing="off"/>
        <w:rPr>
          <w:rFonts w:ascii="Arial Nova" w:hAnsi="Arial Nova" w:eastAsia="Arial Nova" w:cs="Arial Nova"/>
          <w:sz w:val="22"/>
          <w:szCs w:val="22"/>
        </w:rPr>
      </w:pPr>
    </w:p>
    <w:p w:rsidR="316114CC" w:rsidP="0F5C24BF" w:rsidRDefault="316114CC" w14:paraId="1FF96661" w14:textId="6C002C94">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Practical Applications and Examples:</w:t>
      </w:r>
    </w:p>
    <w:p w:rsidR="0F5C24BF" w:rsidP="0F5C24BF" w:rsidRDefault="0F5C24BF" w14:paraId="26FB1716" w14:textId="66566D59">
      <w:pPr>
        <w:shd w:val="clear" w:color="auto" w:fill="FFFFFF" w:themeFill="background1"/>
        <w:spacing w:before="0" w:beforeAutospacing="off" w:after="0" w:afterAutospacing="off"/>
        <w:rPr>
          <w:rFonts w:ascii="Arial Nova" w:hAnsi="Arial Nova" w:eastAsia="Arial Nova" w:cs="Arial Nova"/>
          <w:sz w:val="22"/>
          <w:szCs w:val="22"/>
        </w:rPr>
      </w:pPr>
    </w:p>
    <w:p w:rsidR="316114CC" w:rsidP="0F5C24BF" w:rsidRDefault="316114CC" w14:paraId="1B9D8776" w14:textId="76CC2335">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1. Scaffolding Activities of Daily Living (ADLs): Instead of taking over a task like dressing when a resident struggles, a professional can act as an MKO. They can break the task into smaller steps, provide verbal prompts (“Now let’s put your arm through this sleeve”), or initiate the action for the resident to complete. This maintains skills and promotes autonomy for far longer, preserving dignity and self-efficacy (Cochran, 2011). For example, laying out clothes in the order they are put on is a form of environmental scaffolding.</w:t>
      </w:r>
    </w:p>
    <w:p w:rsidR="316114CC" w:rsidP="0F5C24BF" w:rsidRDefault="316114CC" w14:paraId="28CDD38D" w14:textId="396E21F9">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2. Creating a “Community of Learners”: The care home can be structured as a socio-cultural environment that promotes engagement. For instance, setting up a small, supported gardening group where residents with varying abilities can participate (one holds the seeds, another pots the plant, another waters) creates a collaborative ZPD. The social interaction and shared goal are as important as the activity itself, fostering a sense of community and shared accomplishment.</w:t>
      </w:r>
    </w:p>
    <w:p w:rsidR="316114CC" w:rsidP="0F5C24BF" w:rsidRDefault="316114CC" w14:paraId="68767626" w14:textId="76D4299B">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3. Using Cultural Tools to Scaffold Interaction: Music playlists personalised to a resident’s youth, art materials, or simple musical instruments can serve as cultural tools that mediate engagement. A person who can no longer hold a conversation may still be able to sing along to a familiar song. The professional scaffolds this interaction by providing the tool (the music) and participating alongside them, thus enabling a form of communication that transcends verbal deficits.</w:t>
      </w:r>
    </w:p>
    <w:p w:rsidR="0F5C24BF" w:rsidP="0F5C24BF" w:rsidRDefault="0F5C24BF" w14:paraId="68BC3C84" w14:textId="559B2798">
      <w:pPr>
        <w:shd w:val="clear" w:color="auto" w:fill="FFFFFF" w:themeFill="background1"/>
        <w:spacing w:before="0" w:beforeAutospacing="off" w:after="0" w:afterAutospacing="off"/>
        <w:rPr>
          <w:rFonts w:ascii="Arial Nova" w:hAnsi="Arial Nova" w:eastAsia="Arial Nova" w:cs="Arial Nova"/>
          <w:sz w:val="22"/>
          <w:szCs w:val="22"/>
        </w:rPr>
      </w:pPr>
    </w:p>
    <w:p w:rsidR="316114CC" w:rsidP="0F5C24BF" w:rsidRDefault="316114CC" w14:paraId="2352A3CD" w14:textId="09C06701">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Challenges and Strategies:</w:t>
      </w:r>
    </w:p>
    <w:p w:rsidR="0F5C24BF" w:rsidP="0F5C24BF" w:rsidRDefault="0F5C24BF" w14:paraId="38657C20" w14:textId="7934D891">
      <w:pPr>
        <w:shd w:val="clear" w:color="auto" w:fill="FFFFFF" w:themeFill="background1"/>
        <w:spacing w:before="0" w:beforeAutospacing="off" w:after="0" w:afterAutospacing="off"/>
        <w:rPr>
          <w:rFonts w:ascii="Arial Nova" w:hAnsi="Arial Nova" w:eastAsia="Arial Nova" w:cs="Arial Nova"/>
          <w:sz w:val="22"/>
          <w:szCs w:val="22"/>
        </w:rPr>
      </w:pPr>
    </w:p>
    <w:p w:rsidR="316114CC" w:rsidP="0F5C24BF" w:rsidRDefault="316114CC" w14:paraId="70AF5447" w14:textId="4595C2C2">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 Challenge: Assessing the Dynamic ZPD: The ZPD is not static; it can fluctuate daily, even hourly, in a person with dementia due to factors like fatigue or health. Providing too much support can foster dependence, while too little can lead to failure and frustration.</w:t>
      </w:r>
    </w:p>
    <w:p w:rsidR="316114CC" w:rsidP="0F5C24BF" w:rsidRDefault="316114CC" w14:paraId="27703C84" w14:textId="7F238349">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 Strategy: Professionals must become skilled observers, constantly assessing the resident’s non-verbal and verbal cues. This requires a deep knowledge of the individual, patience, and a flexible approach. The "Goldilocks Principle" applies—support should be "just right" and is continually adjusted.</w:t>
      </w:r>
    </w:p>
    <w:p w:rsidR="316114CC" w:rsidP="0F5C24BF" w:rsidRDefault="316114CC" w14:paraId="0949EBA9" w14:textId="15A550F2">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 Challenge: Staffing and Time Constraints: Scaffolding is often more time-consuming than doing a task for someone. In a pressurised care environment governed by routines, this person-centred approach can be sacrificed for efficiency.</w:t>
      </w:r>
    </w:p>
    <w:p w:rsidR="316114CC" w:rsidP="0F5C24BF" w:rsidRDefault="316114CC" w14:paraId="7022923C" w14:textId="3EF66BD0">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 Strategy: Management must champion this model and allocate resources accordingly. Reframe success metrics from task completion (e.g., "all residents dressed by 10 am") to resident well-being and engagement. Demonstrate through case studies how reducing dependence in the long term can improve mood and reduce responsive behaviours, potentially saving time later.</w:t>
      </w:r>
    </w:p>
    <w:p w:rsidR="316114CC" w:rsidP="0F5C24BF" w:rsidRDefault="316114CC" w14:paraId="74CE2A7E" w14:textId="5B001843">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 Challenge: Risk Aversion: There can be an institutional tendency to avoid activities where a resident might "fail" or where there is a perceived risk (e.g., using a butter knife to cut a scone).</w:t>
      </w:r>
    </w:p>
    <w:p w:rsidR="316114CC" w:rsidP="0F5C24BF" w:rsidRDefault="316114CC" w14:paraId="48CC451B" w14:textId="26EFD099">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316114CC">
        <w:rPr>
          <w:rFonts w:ascii="Arial Nova" w:hAnsi="Arial Nova" w:eastAsia="Arial Nova" w:cs="Arial Nova"/>
          <w:b w:val="0"/>
          <w:bCs w:val="0"/>
          <w:i w:val="0"/>
          <w:iCs w:val="0"/>
          <w:caps w:val="0"/>
          <w:smallCaps w:val="0"/>
          <w:noProof w:val="0"/>
          <w:color w:val="242424"/>
          <w:sz w:val="22"/>
          <w:szCs w:val="22"/>
          <w:lang w:val="en-GB"/>
        </w:rPr>
        <w:t>· Strategy: Conduct balanced risk assessments that also consider the profound psychological risks of inactivity and infantilisation (Manthorpe and Stevens, 2010). Provide adapted tools (e.g., a rocker knife) and close supervision to enable participation safely, thus upholding the principle of "positive risk-taking" which is central to dignity and autonomy.</w:t>
      </w:r>
    </w:p>
    <w:p w:rsidR="0F5C24BF" w:rsidP="0F5C24BF" w:rsidRDefault="0F5C24BF" w14:paraId="67670211" w14:textId="216F3532">
      <w:pPr>
        <w:pStyle w:val="Normal"/>
        <w:spacing w:before="0" w:beforeAutospacing="off" w:after="0" w:afterAutospacing="off"/>
        <w:rPr>
          <w:rFonts w:ascii="Arial Nova" w:hAnsi="Arial Nova" w:eastAsia="Arial Nova" w:cs="Arial Nova"/>
          <w:sz w:val="22"/>
          <w:szCs w:val="22"/>
        </w:rPr>
      </w:pPr>
    </w:p>
    <w:p w:rsidR="7EFD3324" w:rsidP="0F5C24BF" w:rsidRDefault="7EFD3324" w14:paraId="6D51BAAC" w14:textId="6894E42B">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7EFD3324">
        <w:rPr>
          <w:rFonts w:ascii="Arial Nova" w:hAnsi="Arial Nova" w:eastAsia="Arial Nova" w:cs="Arial Nova"/>
          <w:b w:val="0"/>
          <w:bCs w:val="0"/>
          <w:i w:val="0"/>
          <w:iCs w:val="0"/>
          <w:caps w:val="0"/>
          <w:smallCaps w:val="0"/>
          <w:noProof w:val="0"/>
          <w:color w:val="242424"/>
          <w:sz w:val="22"/>
          <w:szCs w:val="22"/>
          <w:lang w:val="en-GB"/>
        </w:rPr>
        <w:t>4. Critical Synthesis and Conclusion</w:t>
      </w:r>
    </w:p>
    <w:p w:rsidR="0F5C24BF" w:rsidP="0F5C24BF" w:rsidRDefault="0F5C24BF" w14:paraId="385E2AC9" w14:textId="62AC0165">
      <w:pPr>
        <w:shd w:val="clear" w:color="auto" w:fill="FFFFFF" w:themeFill="background1"/>
        <w:spacing w:before="0" w:beforeAutospacing="off" w:after="0" w:afterAutospacing="off"/>
        <w:rPr>
          <w:rFonts w:ascii="Arial Nova" w:hAnsi="Arial Nova" w:eastAsia="Arial Nova" w:cs="Arial Nova"/>
          <w:sz w:val="22"/>
          <w:szCs w:val="22"/>
        </w:rPr>
      </w:pPr>
    </w:p>
    <w:p w:rsidR="7EFD3324" w:rsidP="0F5C24BF" w:rsidRDefault="7EFD3324" w14:paraId="765BB740" w14:textId="36EDEE79">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7EFD3324">
        <w:rPr>
          <w:rFonts w:ascii="Arial Nova" w:hAnsi="Arial Nova" w:eastAsia="Arial Nova" w:cs="Arial Nova"/>
          <w:b w:val="0"/>
          <w:bCs w:val="0"/>
          <w:i w:val="0"/>
          <w:iCs w:val="0"/>
          <w:caps w:val="0"/>
          <w:smallCaps w:val="0"/>
          <w:noProof w:val="0"/>
          <w:color w:val="242424"/>
          <w:sz w:val="22"/>
          <w:szCs w:val="22"/>
          <w:lang w:val="en-GB"/>
        </w:rPr>
        <w:t>Erikson’s and Vygotsky’s theories, though originating in different developmental periods, are not mutually exclusive; they are profoundly complementary in the context of dementia care. Erikson provides the "why"—the fundamental human need to find meaning and integrity at the end of life. Vygotsky provides the "how"—the practical methodology for engaging a person’s remaining cognitive and social capacities to support that very journey.</w:t>
      </w:r>
    </w:p>
    <w:p w:rsidR="0F5C24BF" w:rsidP="0F5C24BF" w:rsidRDefault="0F5C24BF" w14:paraId="1CE48103" w14:textId="2A7E5501">
      <w:pPr>
        <w:shd w:val="clear" w:color="auto" w:fill="FFFFFF" w:themeFill="background1"/>
        <w:spacing w:before="0" w:beforeAutospacing="off" w:after="0" w:afterAutospacing="off"/>
        <w:rPr>
          <w:rFonts w:ascii="Arial Nova" w:hAnsi="Arial Nova" w:eastAsia="Arial Nova" w:cs="Arial Nova"/>
          <w:sz w:val="22"/>
          <w:szCs w:val="22"/>
        </w:rPr>
      </w:pPr>
    </w:p>
    <w:p w:rsidR="7EFD3324" w:rsidP="0F5C24BF" w:rsidRDefault="7EFD3324" w14:paraId="139568BB" w14:textId="52D1C8C5">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7EFD3324">
        <w:rPr>
          <w:rFonts w:ascii="Arial Nova" w:hAnsi="Arial Nova" w:eastAsia="Arial Nova" w:cs="Arial Nova"/>
          <w:b w:val="0"/>
          <w:bCs w:val="0"/>
          <w:i w:val="0"/>
          <w:iCs w:val="0"/>
          <w:caps w:val="0"/>
          <w:smallCaps w:val="0"/>
          <w:noProof w:val="0"/>
          <w:color w:val="242424"/>
          <w:sz w:val="22"/>
          <w:szCs w:val="22"/>
          <w:lang w:val="en-GB"/>
        </w:rPr>
        <w:t>An integrated approach might see a care professional using Eriksonian principles to understand that a resident’s agitation is rooted in despair over a lost career, and then applying Vygotskian techniques to scaffold their participation in a meaningful role. This could involve inviting them to "help" polish a table, providing the polish and cloth (the tools), breaking the task into simple steps (scaffolding), and offering genuine gratitude for their contribution. This addresses the existential need for purpose (Ego Integrity) through a socially mediated, competence-building activity (ZPD).</w:t>
      </w:r>
    </w:p>
    <w:p w:rsidR="0F5C24BF" w:rsidP="0F5C24BF" w:rsidRDefault="0F5C24BF" w14:paraId="4830252E" w14:textId="3D2C9650">
      <w:pPr>
        <w:shd w:val="clear" w:color="auto" w:fill="FFFFFF" w:themeFill="background1"/>
        <w:spacing w:before="0" w:beforeAutospacing="off" w:after="0" w:afterAutospacing="off"/>
        <w:rPr>
          <w:rFonts w:ascii="Arial Nova" w:hAnsi="Arial Nova" w:eastAsia="Arial Nova" w:cs="Arial Nova"/>
          <w:sz w:val="22"/>
          <w:szCs w:val="22"/>
        </w:rPr>
      </w:pPr>
    </w:p>
    <w:p w:rsidR="7EFD3324" w:rsidP="0F5C24BF" w:rsidRDefault="7EFD3324" w14:paraId="770C3194" w14:textId="0492795D">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7EFD3324">
        <w:rPr>
          <w:rFonts w:ascii="Arial Nova" w:hAnsi="Arial Nova" w:eastAsia="Arial Nova" w:cs="Arial Nova"/>
          <w:b w:val="0"/>
          <w:bCs w:val="0"/>
          <w:i w:val="0"/>
          <w:iCs w:val="0"/>
          <w:caps w:val="0"/>
          <w:smallCaps w:val="0"/>
          <w:noProof w:val="0"/>
          <w:color w:val="242424"/>
          <w:sz w:val="22"/>
          <w:szCs w:val="22"/>
          <w:lang w:val="en-GB"/>
        </w:rPr>
        <w:t>In conclusion, the application of psychological theory is not an academic exercise but a vital component of evidence-based, compassionate care. By understanding the developmental imperative of achieving ego integrity and the power of socially scaffolded learning, health and social care professionals can transform the dementia care home environment. It becomes a place not merely of custody, but of continued growth and supported personhood. Here, every interaction is an opportunity to affirm a person’s history, support their present capabilities, and honour their enduring self. Embracing this dual theoretical framework empowers professionals to see beyond the diagnosis to the individual, enabling them to provide support that is both psychologically informed and profoundly human.</w:t>
      </w:r>
    </w:p>
    <w:p w:rsidR="0F5C24BF" w:rsidP="0F5C24BF" w:rsidRDefault="0F5C24BF" w14:paraId="0056EBEC" w14:textId="7D9539F2">
      <w:pPr>
        <w:shd w:val="clear" w:color="auto" w:fill="FFFFFF" w:themeFill="background1"/>
        <w:spacing w:before="0" w:beforeAutospacing="off" w:after="0" w:afterAutospacing="off"/>
        <w:rPr>
          <w:rFonts w:ascii="Arial Nova" w:hAnsi="Arial Nova" w:eastAsia="Arial Nova" w:cs="Arial Nova"/>
          <w:sz w:val="22"/>
          <w:szCs w:val="22"/>
        </w:rPr>
      </w:pPr>
    </w:p>
    <w:p w:rsidR="17EE1E37" w:rsidP="0F5C24BF" w:rsidRDefault="17EE1E37" w14:paraId="2CA80A64" w14:textId="69FDF81A">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17EE1E37">
        <w:rPr>
          <w:rFonts w:ascii="Arial Nova" w:hAnsi="Arial Nova" w:eastAsia="Arial Nova" w:cs="Arial Nova"/>
          <w:b w:val="0"/>
          <w:bCs w:val="0"/>
          <w:i w:val="0"/>
          <w:iCs w:val="0"/>
          <w:caps w:val="0"/>
          <w:smallCaps w:val="0"/>
          <w:noProof w:val="0"/>
          <w:color w:val="242424"/>
          <w:sz w:val="22"/>
          <w:szCs w:val="22"/>
          <w:lang w:val="en-GB"/>
        </w:rPr>
        <w:t>5. References</w:t>
      </w:r>
    </w:p>
    <w:p w:rsidR="0F5C24BF" w:rsidP="0F5C24BF" w:rsidRDefault="0F5C24BF" w14:paraId="7D27702F" w14:textId="6C4362F1">
      <w:pPr>
        <w:shd w:val="clear" w:color="auto" w:fill="FFFFFF" w:themeFill="background1"/>
        <w:spacing w:before="0" w:beforeAutospacing="off" w:after="0" w:afterAutospacing="off"/>
        <w:rPr>
          <w:rFonts w:ascii="Arial Nova" w:hAnsi="Arial Nova" w:eastAsia="Arial Nova" w:cs="Arial Nova"/>
          <w:sz w:val="22"/>
          <w:szCs w:val="22"/>
        </w:rPr>
      </w:pPr>
    </w:p>
    <w:p w:rsidR="17EE1E37" w:rsidP="0F5C24BF" w:rsidRDefault="17EE1E37" w14:paraId="6C217C9A" w14:textId="280BE342">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17EE1E37">
        <w:rPr>
          <w:rFonts w:ascii="Arial Nova" w:hAnsi="Arial Nova" w:eastAsia="Arial Nova" w:cs="Arial Nova"/>
          <w:b w:val="0"/>
          <w:bCs w:val="0"/>
          <w:i w:val="0"/>
          <w:iCs w:val="0"/>
          <w:caps w:val="0"/>
          <w:smallCaps w:val="0"/>
          <w:noProof w:val="0"/>
          <w:color w:val="242424"/>
          <w:sz w:val="22"/>
          <w:szCs w:val="22"/>
          <w:lang w:val="en-GB"/>
        </w:rPr>
        <w:t>Cochran, L. (2011) 'The Promise of Vygotsky's Sociohistorical Perspective for the Assessment of Cognitive Aging', Theory &amp; Psychology, 21(4), pp. 535-555.</w:t>
      </w:r>
    </w:p>
    <w:p w:rsidR="0F5C24BF" w:rsidP="0F5C24BF" w:rsidRDefault="0F5C24BF" w14:paraId="3B63D381" w14:textId="2103CA65">
      <w:pPr>
        <w:shd w:val="clear" w:color="auto" w:fill="FFFFFF" w:themeFill="background1"/>
        <w:spacing w:before="0" w:beforeAutospacing="off" w:after="0" w:afterAutospacing="off"/>
        <w:rPr>
          <w:rFonts w:ascii="Arial Nova" w:hAnsi="Arial Nova" w:eastAsia="Arial Nova" w:cs="Arial Nova"/>
          <w:sz w:val="22"/>
          <w:szCs w:val="22"/>
        </w:rPr>
      </w:pPr>
    </w:p>
    <w:p w:rsidR="17EE1E37" w:rsidP="0F5C24BF" w:rsidRDefault="17EE1E37" w14:paraId="466B21E1" w14:textId="499C7F97">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17EE1E37">
        <w:rPr>
          <w:rFonts w:ascii="Arial Nova" w:hAnsi="Arial Nova" w:eastAsia="Arial Nova" w:cs="Arial Nova"/>
          <w:b w:val="0"/>
          <w:bCs w:val="0"/>
          <w:i w:val="0"/>
          <w:iCs w:val="0"/>
          <w:caps w:val="0"/>
          <w:smallCaps w:val="0"/>
          <w:noProof w:val="0"/>
          <w:color w:val="242424"/>
          <w:sz w:val="22"/>
          <w:szCs w:val="22"/>
          <w:lang w:val="en-GB"/>
        </w:rPr>
        <w:t>Erikson, E. H. (1963) Childhood and Society. 2nd edn. New York: W. W. Norton &amp; Company.</w:t>
      </w:r>
    </w:p>
    <w:p w:rsidR="0F5C24BF" w:rsidP="0F5C24BF" w:rsidRDefault="0F5C24BF" w14:paraId="2150D568" w14:textId="385B0FA1">
      <w:pPr>
        <w:shd w:val="clear" w:color="auto" w:fill="FFFFFF" w:themeFill="background1"/>
        <w:spacing w:before="0" w:beforeAutospacing="off" w:after="0" w:afterAutospacing="off"/>
        <w:rPr>
          <w:rFonts w:ascii="Arial Nova" w:hAnsi="Arial Nova" w:eastAsia="Arial Nova" w:cs="Arial Nova"/>
          <w:sz w:val="22"/>
          <w:szCs w:val="22"/>
        </w:rPr>
      </w:pPr>
    </w:p>
    <w:p w:rsidR="17EE1E37" w:rsidP="0F5C24BF" w:rsidRDefault="17EE1E37" w14:paraId="485DAD24" w14:textId="2FCDDF71">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17EE1E37">
        <w:rPr>
          <w:rFonts w:ascii="Arial Nova" w:hAnsi="Arial Nova" w:eastAsia="Arial Nova" w:cs="Arial Nova"/>
          <w:b w:val="0"/>
          <w:bCs w:val="0"/>
          <w:i w:val="0"/>
          <w:iCs w:val="0"/>
          <w:caps w:val="0"/>
          <w:smallCaps w:val="0"/>
          <w:noProof w:val="0"/>
          <w:color w:val="242424"/>
          <w:sz w:val="22"/>
          <w:szCs w:val="22"/>
          <w:lang w:val="en-GB"/>
        </w:rPr>
        <w:t>Genoe, M.R. and Dupuis, S.L. (2014) 'The role of leisure within the dementia context', Dementia, 13(1), pp. 33-58.</w:t>
      </w:r>
    </w:p>
    <w:p w:rsidR="0F5C24BF" w:rsidP="0F5C24BF" w:rsidRDefault="0F5C24BF" w14:paraId="67C6FB47" w14:textId="1BF1A9A8">
      <w:pPr>
        <w:shd w:val="clear" w:color="auto" w:fill="FFFFFF" w:themeFill="background1"/>
        <w:spacing w:before="0" w:beforeAutospacing="off" w:after="0" w:afterAutospacing="off"/>
        <w:rPr>
          <w:rFonts w:ascii="Arial Nova" w:hAnsi="Arial Nova" w:eastAsia="Arial Nova" w:cs="Arial Nova"/>
          <w:sz w:val="22"/>
          <w:szCs w:val="22"/>
        </w:rPr>
      </w:pPr>
    </w:p>
    <w:p w:rsidR="17EE1E37" w:rsidP="0F5C24BF" w:rsidRDefault="17EE1E37" w14:paraId="32243B22" w14:textId="24CD9C55">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17EE1E37">
        <w:rPr>
          <w:rFonts w:ascii="Arial Nova" w:hAnsi="Arial Nova" w:eastAsia="Arial Nova" w:cs="Arial Nova"/>
          <w:b w:val="0"/>
          <w:bCs w:val="0"/>
          <w:i w:val="0"/>
          <w:iCs w:val="0"/>
          <w:caps w:val="0"/>
          <w:smallCaps w:val="0"/>
          <w:noProof w:val="0"/>
          <w:color w:val="242424"/>
          <w:sz w:val="22"/>
          <w:szCs w:val="22"/>
          <w:lang w:val="en-GB"/>
        </w:rPr>
        <w:t>Haight, B. K., Gibson, F. and Michel, Y. (2003) 'The Northern Ireland life review/life storybook project for people with dementia', Alzheimer's &amp; Dementia, 2(1), pp. 56-58.</w:t>
      </w:r>
    </w:p>
    <w:p w:rsidR="0F5C24BF" w:rsidP="0F5C24BF" w:rsidRDefault="0F5C24BF" w14:paraId="3583B030" w14:textId="79B4F0D2">
      <w:pPr>
        <w:shd w:val="clear" w:color="auto" w:fill="FFFFFF" w:themeFill="background1"/>
        <w:spacing w:before="0" w:beforeAutospacing="off" w:after="0" w:afterAutospacing="off"/>
        <w:rPr>
          <w:rFonts w:ascii="Arial Nova" w:hAnsi="Arial Nova" w:eastAsia="Arial Nova" w:cs="Arial Nova"/>
          <w:sz w:val="22"/>
          <w:szCs w:val="22"/>
        </w:rPr>
      </w:pPr>
    </w:p>
    <w:p w:rsidR="17EE1E37" w:rsidP="0F5C24BF" w:rsidRDefault="17EE1E37" w14:paraId="3C33362E" w14:textId="0D287516">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17EE1E37">
        <w:rPr>
          <w:rFonts w:ascii="Arial Nova" w:hAnsi="Arial Nova" w:eastAsia="Arial Nova" w:cs="Arial Nova"/>
          <w:b w:val="0"/>
          <w:bCs w:val="0"/>
          <w:i w:val="0"/>
          <w:iCs w:val="0"/>
          <w:caps w:val="0"/>
          <w:smallCaps w:val="0"/>
          <w:noProof w:val="0"/>
          <w:color w:val="242424"/>
          <w:sz w:val="22"/>
          <w:szCs w:val="22"/>
          <w:lang w:val="en-GB"/>
        </w:rPr>
        <w:t>Kitwood, T. (1997) Dementia Reconsidered: The Person Comes First. Maidenhead: Open University Press.</w:t>
      </w:r>
    </w:p>
    <w:p w:rsidR="0F5C24BF" w:rsidP="0F5C24BF" w:rsidRDefault="0F5C24BF" w14:paraId="5A81F4B3" w14:textId="355064C6">
      <w:pPr>
        <w:shd w:val="clear" w:color="auto" w:fill="FFFFFF" w:themeFill="background1"/>
        <w:spacing w:before="0" w:beforeAutospacing="off" w:after="0" w:afterAutospacing="off"/>
        <w:rPr>
          <w:rFonts w:ascii="Arial Nova" w:hAnsi="Arial Nova" w:eastAsia="Arial Nova" w:cs="Arial Nova"/>
          <w:sz w:val="22"/>
          <w:szCs w:val="22"/>
        </w:rPr>
      </w:pPr>
    </w:p>
    <w:p w:rsidR="17EE1E37" w:rsidP="0F5C24BF" w:rsidRDefault="17EE1E37" w14:paraId="59A59D23" w14:textId="2CCA2DDC">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17EE1E37">
        <w:rPr>
          <w:rFonts w:ascii="Arial Nova" w:hAnsi="Arial Nova" w:eastAsia="Arial Nova" w:cs="Arial Nova"/>
          <w:b w:val="0"/>
          <w:bCs w:val="0"/>
          <w:i w:val="0"/>
          <w:iCs w:val="0"/>
          <w:caps w:val="0"/>
          <w:smallCaps w:val="0"/>
          <w:noProof w:val="0"/>
          <w:color w:val="242424"/>
          <w:sz w:val="22"/>
          <w:szCs w:val="22"/>
          <w:lang w:val="en-GB"/>
        </w:rPr>
        <w:t>Manthorpe, J. and Stevens, M. (2010) 'Increasing Care Options in the Countryside: Developing an English model of extra care housing', Ageing &amp; Society, 30(5), pp. 757-773.</w:t>
      </w:r>
    </w:p>
    <w:p w:rsidR="0F5C24BF" w:rsidP="0F5C24BF" w:rsidRDefault="0F5C24BF" w14:paraId="418A4901" w14:textId="11D71BFA">
      <w:pPr>
        <w:shd w:val="clear" w:color="auto" w:fill="FFFFFF" w:themeFill="background1"/>
        <w:spacing w:before="0" w:beforeAutospacing="off" w:after="0" w:afterAutospacing="off"/>
        <w:rPr>
          <w:rFonts w:ascii="Arial Nova" w:hAnsi="Arial Nova" w:eastAsia="Arial Nova" w:cs="Arial Nova"/>
          <w:sz w:val="22"/>
          <w:szCs w:val="22"/>
        </w:rPr>
      </w:pPr>
    </w:p>
    <w:p w:rsidR="17EE1E37" w:rsidP="0F5C24BF" w:rsidRDefault="17EE1E37" w14:paraId="2B552F38" w14:textId="2738CD55">
      <w:p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42424"/>
          <w:sz w:val="22"/>
          <w:szCs w:val="22"/>
          <w:lang w:val="en-GB"/>
        </w:rPr>
      </w:pPr>
      <w:r w:rsidRPr="0F5C24BF" w:rsidR="17EE1E37">
        <w:rPr>
          <w:rFonts w:ascii="Arial Nova" w:hAnsi="Arial Nova" w:eastAsia="Arial Nova" w:cs="Arial Nova"/>
          <w:b w:val="0"/>
          <w:bCs w:val="0"/>
          <w:i w:val="0"/>
          <w:iCs w:val="0"/>
          <w:caps w:val="0"/>
          <w:smallCaps w:val="0"/>
          <w:noProof w:val="0"/>
          <w:color w:val="242424"/>
          <w:sz w:val="22"/>
          <w:szCs w:val="22"/>
          <w:lang w:val="en-GB"/>
        </w:rPr>
        <w:t>Vygotsky, L. S. (1978) Mind in Society: The Development of Higher Psychological Processes. Cambridge, MA: Harvard University Press.</w:t>
      </w:r>
    </w:p>
    <w:p w:rsidR="0F5C24BF" w:rsidP="0F5C24BF" w:rsidRDefault="0F5C24BF" w14:paraId="611CB764" w14:textId="340A9FC3">
      <w:pPr>
        <w:pStyle w:val="Normal"/>
        <w:shd w:val="clear" w:color="auto" w:fill="FFFFFF" w:themeFill="background1"/>
        <w:spacing w:before="0" w:beforeAutospacing="off" w:after="0" w:afterAutospacing="off"/>
        <w:rPr>
          <w:rFonts w:ascii="Arial Nova" w:hAnsi="Arial Nova" w:eastAsia="Arial Nova" w:cs="Arial Nova"/>
          <w:sz w:val="22"/>
          <w:szCs w:val="22"/>
        </w:rPr>
      </w:pPr>
    </w:p>
    <w:sectPr>
      <w:pgSz w:w="11906" w:h="16838" w:orient="portrait"/>
      <w:pgMar w:top="1440" w:right="1440" w:bottom="1440" w:left="1440" w:header="720" w:footer="720" w:gutter="0"/>
      <w:cols w:space="720"/>
      <w:docGrid w:linePitch="360"/>
      <w:headerReference w:type="default" r:id="R7ba61da2b55a476c"/>
      <w:footerReference w:type="default" r:id="R3a01c4715f95442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F5C24BF" w:rsidTr="0F5C24BF" w14:paraId="01DB2F5E">
      <w:trPr>
        <w:trHeight w:val="300"/>
      </w:trPr>
      <w:tc>
        <w:tcPr>
          <w:tcW w:w="3005" w:type="dxa"/>
          <w:tcMar/>
        </w:tcPr>
        <w:p w:rsidR="0F5C24BF" w:rsidP="0F5C24BF" w:rsidRDefault="0F5C24BF" w14:paraId="405E1B93" w14:textId="6D71495A">
          <w:pPr>
            <w:pStyle w:val="Header"/>
            <w:bidi w:val="0"/>
            <w:ind w:left="-115"/>
            <w:jc w:val="left"/>
          </w:pPr>
        </w:p>
      </w:tc>
      <w:tc>
        <w:tcPr>
          <w:tcW w:w="3005" w:type="dxa"/>
          <w:tcMar/>
        </w:tcPr>
        <w:p w:rsidR="0F5C24BF" w:rsidP="0F5C24BF" w:rsidRDefault="0F5C24BF" w14:paraId="631F8DBF" w14:textId="76FFEF89">
          <w:pPr>
            <w:pStyle w:val="Header"/>
            <w:bidi w:val="0"/>
            <w:jc w:val="center"/>
          </w:pPr>
        </w:p>
      </w:tc>
      <w:tc>
        <w:tcPr>
          <w:tcW w:w="3005" w:type="dxa"/>
          <w:tcMar/>
        </w:tcPr>
        <w:p w:rsidR="0F5C24BF" w:rsidP="0F5C24BF" w:rsidRDefault="0F5C24BF" w14:paraId="65118369" w14:textId="4448B443">
          <w:pPr>
            <w:pStyle w:val="Header"/>
            <w:bidi w:val="0"/>
            <w:ind w:right="-115"/>
            <w:jc w:val="right"/>
          </w:pPr>
          <w:r>
            <w:fldChar w:fldCharType="begin"/>
          </w:r>
          <w:r>
            <w:instrText xml:space="preserve">PAGE</w:instrText>
          </w:r>
          <w:r>
            <w:fldChar w:fldCharType="separate"/>
          </w:r>
          <w:r>
            <w:fldChar w:fldCharType="end"/>
          </w:r>
        </w:p>
      </w:tc>
    </w:tr>
  </w:tbl>
  <w:p w:rsidR="0F5C24BF" w:rsidP="0F5C24BF" w:rsidRDefault="0F5C24BF" w14:paraId="50713676" w14:textId="46EFD57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F5C24BF" w:rsidTr="0F5C24BF" w14:paraId="4506CE65">
      <w:trPr>
        <w:trHeight w:val="300"/>
      </w:trPr>
      <w:tc>
        <w:tcPr>
          <w:tcW w:w="3005" w:type="dxa"/>
          <w:tcMar/>
        </w:tcPr>
        <w:p w:rsidR="0F5C24BF" w:rsidP="0F5C24BF" w:rsidRDefault="0F5C24BF" w14:paraId="1F49FB40" w14:textId="4DA8A530">
          <w:pPr>
            <w:pStyle w:val="Header"/>
            <w:bidi w:val="0"/>
            <w:ind w:left="-115"/>
            <w:jc w:val="left"/>
          </w:pPr>
        </w:p>
      </w:tc>
      <w:tc>
        <w:tcPr>
          <w:tcW w:w="3005" w:type="dxa"/>
          <w:tcMar/>
        </w:tcPr>
        <w:p w:rsidR="0F5C24BF" w:rsidP="0F5C24BF" w:rsidRDefault="0F5C24BF" w14:paraId="610527D0" w14:textId="17BCCA65">
          <w:pPr>
            <w:pStyle w:val="Header"/>
            <w:bidi w:val="0"/>
            <w:jc w:val="center"/>
          </w:pPr>
        </w:p>
      </w:tc>
      <w:tc>
        <w:tcPr>
          <w:tcW w:w="3005" w:type="dxa"/>
          <w:tcMar/>
        </w:tcPr>
        <w:p w:rsidR="0F5C24BF" w:rsidP="0F5C24BF" w:rsidRDefault="0F5C24BF" w14:paraId="205E957D" w14:textId="4E9CA3CF">
          <w:pPr>
            <w:pStyle w:val="Header"/>
            <w:bidi w:val="0"/>
            <w:ind w:right="-115"/>
            <w:jc w:val="right"/>
          </w:pPr>
        </w:p>
      </w:tc>
    </w:tr>
  </w:tbl>
  <w:p w:rsidR="0F5C24BF" w:rsidP="0F5C24BF" w:rsidRDefault="0F5C24BF" w14:paraId="158A2ADD" w14:textId="27EFD1C3">
    <w:pPr>
      <w:pStyle w:val="Header"/>
      <w:bidi w:val="0"/>
    </w:pPr>
  </w:p>
</w:hdr>
</file>

<file path=word/intelligence2.xml><?xml version="1.0" encoding="utf-8"?>
<int2:intelligence xmlns:int2="http://schemas.microsoft.com/office/intelligence/2020/intelligence">
  <int2:observations>
    <int2:bookmark int2:bookmarkName="_Int_t8OkdxE1" int2:invalidationBookmarkName="" int2:hashCode="YUamJ22JdaIA70" int2:id="ysRIASPh">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8b7ff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65D683"/>
    <w:rsid w:val="04A3DB1F"/>
    <w:rsid w:val="070569DD"/>
    <w:rsid w:val="07455C08"/>
    <w:rsid w:val="08760003"/>
    <w:rsid w:val="0BEBD601"/>
    <w:rsid w:val="0F5C24BF"/>
    <w:rsid w:val="10231004"/>
    <w:rsid w:val="10231004"/>
    <w:rsid w:val="10D7274B"/>
    <w:rsid w:val="130ED22E"/>
    <w:rsid w:val="130ED22E"/>
    <w:rsid w:val="1477A192"/>
    <w:rsid w:val="1477A192"/>
    <w:rsid w:val="17EE1E37"/>
    <w:rsid w:val="17F80E07"/>
    <w:rsid w:val="18CD3445"/>
    <w:rsid w:val="1F9A1E5E"/>
    <w:rsid w:val="20AF999C"/>
    <w:rsid w:val="2A54C4D9"/>
    <w:rsid w:val="2C11EEDF"/>
    <w:rsid w:val="300F4CAB"/>
    <w:rsid w:val="30651F0F"/>
    <w:rsid w:val="30D0DD8D"/>
    <w:rsid w:val="316114CC"/>
    <w:rsid w:val="3176BB01"/>
    <w:rsid w:val="319A44D6"/>
    <w:rsid w:val="319A44D6"/>
    <w:rsid w:val="31AC322E"/>
    <w:rsid w:val="33C707EC"/>
    <w:rsid w:val="34592436"/>
    <w:rsid w:val="351B78F1"/>
    <w:rsid w:val="351B78F1"/>
    <w:rsid w:val="370D186F"/>
    <w:rsid w:val="37232C49"/>
    <w:rsid w:val="383508B6"/>
    <w:rsid w:val="38E22AF0"/>
    <w:rsid w:val="38E3A120"/>
    <w:rsid w:val="3A7F488C"/>
    <w:rsid w:val="3C906CC8"/>
    <w:rsid w:val="3E65D683"/>
    <w:rsid w:val="42069111"/>
    <w:rsid w:val="42069111"/>
    <w:rsid w:val="4815F949"/>
    <w:rsid w:val="4A3D0298"/>
    <w:rsid w:val="4A5538E3"/>
    <w:rsid w:val="4A6277D4"/>
    <w:rsid w:val="4B832B49"/>
    <w:rsid w:val="4CBFAF87"/>
    <w:rsid w:val="4D85ECE3"/>
    <w:rsid w:val="4DDDA078"/>
    <w:rsid w:val="52D1EA38"/>
    <w:rsid w:val="55D72E00"/>
    <w:rsid w:val="56266A14"/>
    <w:rsid w:val="5745ADE3"/>
    <w:rsid w:val="574A102F"/>
    <w:rsid w:val="5AFDB3C5"/>
    <w:rsid w:val="5F1032E0"/>
    <w:rsid w:val="5F1032E0"/>
    <w:rsid w:val="60112AE9"/>
    <w:rsid w:val="61DF7ED9"/>
    <w:rsid w:val="638B6BA1"/>
    <w:rsid w:val="66402AC3"/>
    <w:rsid w:val="688F8EBC"/>
    <w:rsid w:val="69577DC4"/>
    <w:rsid w:val="6A4881F8"/>
    <w:rsid w:val="6CE30CA0"/>
    <w:rsid w:val="6D869DE6"/>
    <w:rsid w:val="6E98DDA9"/>
    <w:rsid w:val="6F331B3B"/>
    <w:rsid w:val="701BFF16"/>
    <w:rsid w:val="75B5BBC3"/>
    <w:rsid w:val="76F1BF7D"/>
    <w:rsid w:val="7727794E"/>
    <w:rsid w:val="7CF1A15F"/>
    <w:rsid w:val="7EFD3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5D683"/>
  <w15:chartTrackingRefBased/>
  <w15:docId w15:val="{E1AC3CD8-B1DC-4686-A854-40A980F29A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F5C24BF"/>
    <w:pPr>
      <w:spacing/>
      <w:ind w:left="720"/>
      <w:contextualSpacing/>
    </w:pPr>
  </w:style>
  <w:style w:type="paragraph" w:styleId="Header">
    <w:uiPriority w:val="99"/>
    <w:name w:val="header"/>
    <w:basedOn w:val="Normal"/>
    <w:unhideWhenUsed/>
    <w:rsid w:val="0F5C24BF"/>
    <w:pPr>
      <w:tabs>
        <w:tab w:val="center" w:leader="none" w:pos="4680"/>
        <w:tab w:val="right" w:leader="none" w:pos="9360"/>
      </w:tabs>
      <w:spacing w:after="0" w:line="240" w:lineRule="auto"/>
    </w:pPr>
  </w:style>
  <w:style w:type="paragraph" w:styleId="Footer">
    <w:uiPriority w:val="99"/>
    <w:name w:val="footer"/>
    <w:basedOn w:val="Normal"/>
    <w:unhideWhenUsed/>
    <w:rsid w:val="0F5C24B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ba61da2b55a476c" /><Relationship Type="http://schemas.openxmlformats.org/officeDocument/2006/relationships/footer" Target="/word/footer.xml" Id="R3a01c4715f95442d" /><Relationship Type="http://schemas.microsoft.com/office/2020/10/relationships/intelligence" Target="/word/intelligence2.xml" Id="R6e6a9aa7c7d64c8a" /><Relationship Type="http://schemas.openxmlformats.org/officeDocument/2006/relationships/numbering" Target="/word/numbering.xml" Id="R40d4ba8811b6498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Ousman (2215608)</dc:creator>
  <keywords/>
  <dc:description/>
  <lastModifiedBy>Mohammed Ousman (2215608)</lastModifiedBy>
  <revision>2</revision>
  <dcterms:created xsi:type="dcterms:W3CDTF">2025-11-18T00:59:49.5601599Z</dcterms:created>
  <dcterms:modified xsi:type="dcterms:W3CDTF">2025-11-18T01:39:20.6383991Z</dcterms:modified>
</coreProperties>
</file>