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DAABF2" w14:textId="33764F48" w:rsidR="007D65A8" w:rsidRDefault="00C92EC6" w:rsidP="00C92EC6">
      <w:pPr>
        <w:jc w:val="center"/>
        <w:rPr>
          <w:sz w:val="28"/>
          <w:szCs w:val="28"/>
        </w:rPr>
      </w:pPr>
      <w:r>
        <w:rPr>
          <w:sz w:val="28"/>
          <w:szCs w:val="28"/>
        </w:rPr>
        <w:t>Catullus 64: 154-185  A Critical Appreciation</w:t>
      </w:r>
    </w:p>
    <w:p w14:paraId="2A4E248B" w14:textId="1F505CBF" w:rsidR="005A7AAF" w:rsidRDefault="00A327BF" w:rsidP="00C92EC6">
      <w:pPr>
        <w:rPr>
          <w:sz w:val="24"/>
          <w:szCs w:val="24"/>
        </w:rPr>
      </w:pPr>
      <w:r>
        <w:rPr>
          <w:sz w:val="24"/>
          <w:szCs w:val="24"/>
        </w:rPr>
        <w:t>This passage</w:t>
      </w:r>
      <w:r w:rsidR="00CA6EB1">
        <w:rPr>
          <w:sz w:val="24"/>
          <w:szCs w:val="24"/>
        </w:rPr>
        <w:t xml:space="preserve"> concerns Ariadne’s lament,</w:t>
      </w:r>
      <w:r w:rsidR="00A50F3A">
        <w:rPr>
          <w:sz w:val="24"/>
          <w:szCs w:val="24"/>
        </w:rPr>
        <w:t xml:space="preserve"> which began on line 132 with the upbraiding of the faithless </w:t>
      </w:r>
      <w:r w:rsidR="00A52911">
        <w:rPr>
          <w:sz w:val="24"/>
          <w:szCs w:val="24"/>
        </w:rPr>
        <w:t>T</w:t>
      </w:r>
      <w:r w:rsidR="00A50F3A">
        <w:rPr>
          <w:sz w:val="24"/>
          <w:szCs w:val="24"/>
        </w:rPr>
        <w:t>heseus.</w:t>
      </w:r>
      <w:r w:rsidR="00CA6EB1">
        <w:rPr>
          <w:sz w:val="24"/>
          <w:szCs w:val="24"/>
        </w:rPr>
        <w:t xml:space="preserve"> </w:t>
      </w:r>
      <w:r w:rsidR="00A52911">
        <w:rPr>
          <w:sz w:val="24"/>
          <w:szCs w:val="24"/>
        </w:rPr>
        <w:t>Most</w:t>
      </w:r>
      <w:r w:rsidR="00CA6EB1">
        <w:rPr>
          <w:sz w:val="24"/>
          <w:szCs w:val="24"/>
        </w:rPr>
        <w:t xml:space="preserve"> of </w:t>
      </w:r>
      <w:r w:rsidR="00A52911">
        <w:rPr>
          <w:sz w:val="24"/>
          <w:szCs w:val="24"/>
        </w:rPr>
        <w:t>these words</w:t>
      </w:r>
      <w:r w:rsidR="00CA6EB1">
        <w:rPr>
          <w:sz w:val="24"/>
          <w:szCs w:val="24"/>
        </w:rPr>
        <w:t xml:space="preserve"> </w:t>
      </w:r>
      <w:r w:rsidR="00A52911">
        <w:rPr>
          <w:sz w:val="24"/>
          <w:szCs w:val="24"/>
        </w:rPr>
        <w:t>have</w:t>
      </w:r>
      <w:r w:rsidR="00CA6EB1">
        <w:rPr>
          <w:sz w:val="24"/>
          <w:szCs w:val="24"/>
        </w:rPr>
        <w:t xml:space="preserve"> been uttered before by the Medeas of Euripides, Apollonius and Ennius. </w:t>
      </w:r>
      <w:r w:rsidR="00A52911">
        <w:rPr>
          <w:sz w:val="24"/>
          <w:szCs w:val="24"/>
        </w:rPr>
        <w:t>As</w:t>
      </w:r>
      <w:r w:rsidR="00CA6EB1">
        <w:rPr>
          <w:sz w:val="24"/>
          <w:szCs w:val="24"/>
        </w:rPr>
        <w:t xml:space="preserve"> Gaisser states,</w:t>
      </w:r>
      <w:r w:rsidR="00A52911">
        <w:rPr>
          <w:sz w:val="24"/>
          <w:szCs w:val="24"/>
        </w:rPr>
        <w:t xml:space="preserve"> </w:t>
      </w:r>
      <w:r w:rsidR="00AC3B86">
        <w:rPr>
          <w:sz w:val="24"/>
          <w:szCs w:val="24"/>
        </w:rPr>
        <w:t>even though</w:t>
      </w:r>
      <w:r w:rsidR="00A52911">
        <w:rPr>
          <w:sz w:val="24"/>
          <w:szCs w:val="24"/>
        </w:rPr>
        <w:t xml:space="preserve"> the chronology is impossible,</w:t>
      </w:r>
      <w:r w:rsidR="00CA6EB1">
        <w:rPr>
          <w:sz w:val="24"/>
          <w:szCs w:val="24"/>
        </w:rPr>
        <w:t xml:space="preserve"> Ariadne as Medea </w:t>
      </w:r>
      <w:r w:rsidR="00126E7E">
        <w:rPr>
          <w:sz w:val="24"/>
          <w:szCs w:val="24"/>
        </w:rPr>
        <w:t>or</w:t>
      </w:r>
      <w:r w:rsidR="00CA6EB1">
        <w:rPr>
          <w:sz w:val="24"/>
          <w:szCs w:val="24"/>
        </w:rPr>
        <w:t xml:space="preserve"> Medea in Ariadne, in a digression, woven in a labyrinth, the laws of time are contravened</w:t>
      </w:r>
      <w:r w:rsidR="005A7AAF">
        <w:rPr>
          <w:sz w:val="24"/>
          <w:szCs w:val="24"/>
        </w:rPr>
        <w:t>,</w:t>
      </w:r>
      <w:r w:rsidR="00CA6EB1">
        <w:rPr>
          <w:rStyle w:val="FootnoteReference"/>
          <w:sz w:val="24"/>
          <w:szCs w:val="24"/>
        </w:rPr>
        <w:footnoteReference w:id="1"/>
      </w:r>
      <w:r w:rsidR="005A7AAF">
        <w:rPr>
          <w:sz w:val="24"/>
          <w:szCs w:val="24"/>
        </w:rPr>
        <w:t>thus making contrasts or comparisons more plausible.</w:t>
      </w:r>
      <w:r w:rsidR="008600F2">
        <w:rPr>
          <w:sz w:val="24"/>
          <w:szCs w:val="24"/>
        </w:rPr>
        <w:t xml:space="preserve"> </w:t>
      </w:r>
    </w:p>
    <w:p w14:paraId="129BE1D1" w14:textId="77777777" w:rsidR="005A7AAF" w:rsidRDefault="00A327BF" w:rsidP="00C92EC6">
      <w:pPr>
        <w:rPr>
          <w:sz w:val="24"/>
          <w:szCs w:val="24"/>
        </w:rPr>
      </w:pPr>
      <w:r>
        <w:rPr>
          <w:sz w:val="24"/>
          <w:szCs w:val="24"/>
        </w:rPr>
        <w:t xml:space="preserve"> </w:t>
      </w:r>
      <w:r w:rsidR="003D45CA">
        <w:rPr>
          <w:sz w:val="24"/>
          <w:szCs w:val="24"/>
        </w:rPr>
        <w:t>Ariadne had just reflected on the possibility</w:t>
      </w:r>
      <w:r w:rsidR="008600F2">
        <w:rPr>
          <w:sz w:val="24"/>
          <w:szCs w:val="24"/>
        </w:rPr>
        <w:t xml:space="preserve"> of </w:t>
      </w:r>
      <w:r w:rsidR="005A7AAF">
        <w:rPr>
          <w:sz w:val="24"/>
          <w:szCs w:val="24"/>
        </w:rPr>
        <w:t xml:space="preserve">her </w:t>
      </w:r>
      <w:r w:rsidR="008600F2">
        <w:rPr>
          <w:sz w:val="24"/>
          <w:szCs w:val="24"/>
        </w:rPr>
        <w:t xml:space="preserve">remaining unburied, </w:t>
      </w:r>
      <w:r w:rsidR="003D45CA">
        <w:rPr>
          <w:sz w:val="24"/>
          <w:szCs w:val="24"/>
        </w:rPr>
        <w:t>being</w:t>
      </w:r>
      <w:r w:rsidR="008600F2">
        <w:rPr>
          <w:sz w:val="24"/>
          <w:szCs w:val="24"/>
        </w:rPr>
        <w:t xml:space="preserve"> given to wild beasts, and thus lacking peace in the underworld.</w:t>
      </w:r>
      <w:r w:rsidR="00210210">
        <w:rPr>
          <w:sz w:val="24"/>
          <w:szCs w:val="24"/>
        </w:rPr>
        <w:t xml:space="preserve"> </w:t>
      </w:r>
      <w:r w:rsidR="008600F2">
        <w:rPr>
          <w:sz w:val="24"/>
          <w:szCs w:val="24"/>
        </w:rPr>
        <w:t xml:space="preserve"> </w:t>
      </w:r>
      <w:r w:rsidR="003D45CA">
        <w:rPr>
          <w:sz w:val="24"/>
          <w:szCs w:val="24"/>
        </w:rPr>
        <w:t>Proceeding</w:t>
      </w:r>
      <w:r w:rsidR="008600F2">
        <w:rPr>
          <w:sz w:val="24"/>
          <w:szCs w:val="24"/>
        </w:rPr>
        <w:t xml:space="preserve"> to speculate on Theseus’ origin</w:t>
      </w:r>
      <w:r w:rsidR="003D45CA">
        <w:rPr>
          <w:sz w:val="24"/>
          <w:szCs w:val="24"/>
        </w:rPr>
        <w:t>,</w:t>
      </w:r>
      <w:r w:rsidR="00C92EC6">
        <w:rPr>
          <w:sz w:val="24"/>
          <w:szCs w:val="24"/>
        </w:rPr>
        <w:t xml:space="preserve"> </w:t>
      </w:r>
      <w:r w:rsidR="003D45CA">
        <w:rPr>
          <w:sz w:val="24"/>
          <w:szCs w:val="24"/>
        </w:rPr>
        <w:t>s</w:t>
      </w:r>
      <w:r w:rsidR="008600F2">
        <w:rPr>
          <w:sz w:val="24"/>
          <w:szCs w:val="24"/>
        </w:rPr>
        <w:t xml:space="preserve">he attributes </w:t>
      </w:r>
      <w:r w:rsidR="003D45CA">
        <w:rPr>
          <w:sz w:val="24"/>
          <w:szCs w:val="24"/>
        </w:rPr>
        <w:t>Theseus</w:t>
      </w:r>
      <w:r w:rsidR="00C92EC6">
        <w:rPr>
          <w:sz w:val="24"/>
          <w:szCs w:val="24"/>
        </w:rPr>
        <w:t>’</w:t>
      </w:r>
      <w:r w:rsidR="008600F2">
        <w:rPr>
          <w:sz w:val="24"/>
          <w:szCs w:val="24"/>
        </w:rPr>
        <w:t>s</w:t>
      </w:r>
      <w:r w:rsidR="00C92EC6">
        <w:rPr>
          <w:sz w:val="24"/>
          <w:szCs w:val="24"/>
        </w:rPr>
        <w:t xml:space="preserve">  cruelty to inhuman parentage</w:t>
      </w:r>
      <w:r w:rsidR="0076221D">
        <w:rPr>
          <w:sz w:val="24"/>
          <w:szCs w:val="24"/>
        </w:rPr>
        <w:t>, an idea which goes back to Homer (</w:t>
      </w:r>
      <w:r w:rsidR="0076221D">
        <w:rPr>
          <w:i/>
          <w:iCs/>
          <w:sz w:val="24"/>
          <w:szCs w:val="24"/>
        </w:rPr>
        <w:t xml:space="preserve">Iliad </w:t>
      </w:r>
      <w:r w:rsidR="0076221D">
        <w:rPr>
          <w:sz w:val="24"/>
          <w:szCs w:val="24"/>
        </w:rPr>
        <w:t>16: 33-35</w:t>
      </w:r>
      <w:r w:rsidR="004205E5">
        <w:rPr>
          <w:sz w:val="24"/>
          <w:szCs w:val="24"/>
        </w:rPr>
        <w:t>)</w:t>
      </w:r>
      <w:r w:rsidR="002F61A8">
        <w:rPr>
          <w:sz w:val="24"/>
          <w:szCs w:val="24"/>
        </w:rPr>
        <w:t>.</w:t>
      </w:r>
      <w:r w:rsidR="004205E5">
        <w:rPr>
          <w:sz w:val="24"/>
          <w:szCs w:val="24"/>
        </w:rPr>
        <w:t xml:space="preserve"> </w:t>
      </w:r>
      <w:r w:rsidR="00C1637F">
        <w:rPr>
          <w:sz w:val="24"/>
          <w:szCs w:val="24"/>
        </w:rPr>
        <w:t xml:space="preserve"> Euripides’ </w:t>
      </w:r>
      <w:r w:rsidR="00C1637F">
        <w:rPr>
          <w:i/>
          <w:iCs/>
          <w:sz w:val="24"/>
          <w:szCs w:val="24"/>
        </w:rPr>
        <w:t>Medea</w:t>
      </w:r>
      <w:r w:rsidR="00F875CC">
        <w:rPr>
          <w:i/>
          <w:iCs/>
          <w:sz w:val="24"/>
          <w:szCs w:val="24"/>
        </w:rPr>
        <w:t>,</w:t>
      </w:r>
      <w:r w:rsidR="00C1637F">
        <w:rPr>
          <w:i/>
          <w:iCs/>
          <w:sz w:val="24"/>
          <w:szCs w:val="24"/>
        </w:rPr>
        <w:t xml:space="preserve"> </w:t>
      </w:r>
      <w:r w:rsidR="00C1637F">
        <w:rPr>
          <w:sz w:val="24"/>
          <w:szCs w:val="24"/>
        </w:rPr>
        <w:t>is</w:t>
      </w:r>
      <w:r w:rsidR="004205E5">
        <w:rPr>
          <w:sz w:val="24"/>
          <w:szCs w:val="24"/>
        </w:rPr>
        <w:t xml:space="preserve"> </w:t>
      </w:r>
      <w:r w:rsidR="00C1637F">
        <w:rPr>
          <w:sz w:val="24"/>
          <w:szCs w:val="24"/>
        </w:rPr>
        <w:t>the model here, where Jason calls Medea a ‘lioness</w:t>
      </w:r>
      <w:r w:rsidR="008319BB">
        <w:rPr>
          <w:sz w:val="24"/>
          <w:szCs w:val="24"/>
        </w:rPr>
        <w:t xml:space="preserve"> </w:t>
      </w:r>
      <w:r w:rsidR="00C1637F">
        <w:rPr>
          <w:sz w:val="24"/>
          <w:szCs w:val="24"/>
        </w:rPr>
        <w:t>more savage than the Scylla’</w:t>
      </w:r>
      <w:r w:rsidR="008319BB">
        <w:rPr>
          <w:sz w:val="24"/>
          <w:szCs w:val="24"/>
        </w:rPr>
        <w:t xml:space="preserve"> </w:t>
      </w:r>
      <w:r w:rsidR="008319BB">
        <w:rPr>
          <w:sz w:val="24"/>
          <w:szCs w:val="24"/>
          <w:lang w:val="el-GR"/>
        </w:rPr>
        <w:t>λέαιναν</w:t>
      </w:r>
      <w:r w:rsidR="008319BB" w:rsidRPr="008319BB">
        <w:rPr>
          <w:sz w:val="24"/>
          <w:szCs w:val="24"/>
        </w:rPr>
        <w:t xml:space="preserve"> </w:t>
      </w:r>
      <w:r w:rsidR="008319BB">
        <w:rPr>
          <w:sz w:val="24"/>
          <w:szCs w:val="24"/>
          <w:lang w:val="el-GR"/>
        </w:rPr>
        <w:t>οὐ</w:t>
      </w:r>
      <w:r w:rsidR="008319BB" w:rsidRPr="008319BB">
        <w:rPr>
          <w:sz w:val="24"/>
          <w:szCs w:val="24"/>
        </w:rPr>
        <w:t xml:space="preserve"> </w:t>
      </w:r>
      <w:r w:rsidR="008319BB">
        <w:rPr>
          <w:sz w:val="24"/>
          <w:szCs w:val="24"/>
          <w:lang w:val="el-GR"/>
        </w:rPr>
        <w:t>γυναικα</w:t>
      </w:r>
      <w:r w:rsidR="008319BB" w:rsidRPr="008319BB">
        <w:rPr>
          <w:sz w:val="24"/>
          <w:szCs w:val="24"/>
        </w:rPr>
        <w:t xml:space="preserve">, </w:t>
      </w:r>
      <w:r w:rsidR="008319BB">
        <w:rPr>
          <w:sz w:val="24"/>
          <w:szCs w:val="24"/>
          <w:lang w:val="el-GR"/>
        </w:rPr>
        <w:t>τῆς</w:t>
      </w:r>
      <w:r w:rsidR="008319BB" w:rsidRPr="008319BB">
        <w:rPr>
          <w:sz w:val="24"/>
          <w:szCs w:val="24"/>
        </w:rPr>
        <w:t xml:space="preserve"> </w:t>
      </w:r>
      <w:r w:rsidR="008319BB">
        <w:rPr>
          <w:sz w:val="24"/>
          <w:szCs w:val="24"/>
          <w:lang w:val="el-GR"/>
        </w:rPr>
        <w:t>Τυπσηνίδος</w:t>
      </w:r>
      <w:r w:rsidR="008319BB" w:rsidRPr="008319BB">
        <w:rPr>
          <w:sz w:val="24"/>
          <w:szCs w:val="24"/>
        </w:rPr>
        <w:t>..</w:t>
      </w:r>
      <w:r w:rsidR="008319BB">
        <w:rPr>
          <w:sz w:val="24"/>
          <w:szCs w:val="24"/>
          <w:lang w:val="el-GR"/>
        </w:rPr>
        <w:t>Σκύλλης</w:t>
      </w:r>
      <w:r w:rsidR="008319BB" w:rsidRPr="008319BB">
        <w:rPr>
          <w:sz w:val="24"/>
          <w:szCs w:val="24"/>
        </w:rPr>
        <w:t xml:space="preserve"> </w:t>
      </w:r>
      <w:r w:rsidR="008319BB">
        <w:rPr>
          <w:sz w:val="24"/>
          <w:szCs w:val="24"/>
          <w:lang w:val="el-GR"/>
        </w:rPr>
        <w:t>ἒχοθσαν</w:t>
      </w:r>
      <w:r w:rsidR="008319BB" w:rsidRPr="008319BB">
        <w:rPr>
          <w:sz w:val="24"/>
          <w:szCs w:val="24"/>
        </w:rPr>
        <w:t xml:space="preserve"> </w:t>
      </w:r>
      <w:r w:rsidR="008319BB">
        <w:rPr>
          <w:sz w:val="24"/>
          <w:szCs w:val="24"/>
          <w:lang w:val="el-GR"/>
        </w:rPr>
        <w:t>ἀγριωτέραν</w:t>
      </w:r>
      <w:r w:rsidR="008319BB" w:rsidRPr="008319BB">
        <w:rPr>
          <w:sz w:val="24"/>
          <w:szCs w:val="24"/>
        </w:rPr>
        <w:t xml:space="preserve"> </w:t>
      </w:r>
      <w:r w:rsidR="008319BB">
        <w:rPr>
          <w:sz w:val="24"/>
          <w:szCs w:val="24"/>
          <w:lang w:val="el-GR"/>
        </w:rPr>
        <w:t>ψύσιν</w:t>
      </w:r>
      <w:r w:rsidR="008319BB" w:rsidRPr="008319BB">
        <w:rPr>
          <w:sz w:val="24"/>
          <w:szCs w:val="24"/>
        </w:rPr>
        <w:t>.</w:t>
      </w:r>
      <w:r w:rsidR="008319BB">
        <w:rPr>
          <w:rStyle w:val="FootnoteReference"/>
          <w:sz w:val="24"/>
          <w:szCs w:val="24"/>
        </w:rPr>
        <w:footnoteReference w:id="2"/>
      </w:r>
      <w:r w:rsidR="008319BB">
        <w:rPr>
          <w:sz w:val="24"/>
          <w:szCs w:val="24"/>
        </w:rPr>
        <w:t xml:space="preserve"> Ariadne uses both</w:t>
      </w:r>
      <w:r w:rsidR="003651D4">
        <w:rPr>
          <w:sz w:val="24"/>
          <w:szCs w:val="24"/>
        </w:rPr>
        <w:t xml:space="preserve"> words in </w:t>
      </w:r>
      <w:r w:rsidR="00507DCB">
        <w:rPr>
          <w:sz w:val="24"/>
          <w:szCs w:val="24"/>
        </w:rPr>
        <w:t>her</w:t>
      </w:r>
      <w:r w:rsidR="003651D4">
        <w:rPr>
          <w:sz w:val="24"/>
          <w:szCs w:val="24"/>
        </w:rPr>
        <w:t xml:space="preserve"> reply, but it must be borne in mind</w:t>
      </w:r>
      <w:r w:rsidR="00C1637F">
        <w:rPr>
          <w:sz w:val="24"/>
          <w:szCs w:val="24"/>
        </w:rPr>
        <w:t xml:space="preserve"> </w:t>
      </w:r>
      <w:r w:rsidR="003651D4">
        <w:rPr>
          <w:sz w:val="24"/>
          <w:szCs w:val="24"/>
        </w:rPr>
        <w:t>that Jason addressed such words to Medea after she had killed his children, an accusation which she accepts.</w:t>
      </w:r>
      <w:r w:rsidR="003651D4">
        <w:rPr>
          <w:rStyle w:val="FootnoteReference"/>
          <w:sz w:val="24"/>
          <w:szCs w:val="24"/>
        </w:rPr>
        <w:footnoteReference w:id="3"/>
      </w:r>
      <w:r w:rsidR="00C1637F">
        <w:rPr>
          <w:sz w:val="24"/>
          <w:szCs w:val="24"/>
        </w:rPr>
        <w:t xml:space="preserve"> </w:t>
      </w:r>
      <w:r w:rsidR="003651D4">
        <w:rPr>
          <w:sz w:val="24"/>
          <w:szCs w:val="24"/>
        </w:rPr>
        <w:t xml:space="preserve">This, according to DeBrohun has resulted in a confused interpretative effect for one who has become used to witnessing the Euripidean Medea in Ariadne. By momentarily evoking the voice of Jason as opposed to Medea, Ariadne suggests that Theseus has not only the nature of Jason </w:t>
      </w:r>
      <w:r w:rsidR="003651D4">
        <w:rPr>
          <w:i/>
          <w:iCs/>
          <w:sz w:val="24"/>
          <w:szCs w:val="24"/>
        </w:rPr>
        <w:t xml:space="preserve">qua deserter </w:t>
      </w:r>
      <w:r w:rsidR="003651D4">
        <w:rPr>
          <w:sz w:val="24"/>
          <w:szCs w:val="24"/>
        </w:rPr>
        <w:t xml:space="preserve">but also of Medea </w:t>
      </w:r>
      <w:r w:rsidR="003651D4">
        <w:rPr>
          <w:i/>
          <w:iCs/>
          <w:sz w:val="24"/>
          <w:szCs w:val="24"/>
        </w:rPr>
        <w:t xml:space="preserve">qua child-murderer, </w:t>
      </w:r>
      <w:r w:rsidR="003651D4">
        <w:rPr>
          <w:sz w:val="24"/>
          <w:szCs w:val="24"/>
        </w:rPr>
        <w:t>as if he has inherited such characteristics from his  stepmother.</w:t>
      </w:r>
      <w:r w:rsidR="003651D4">
        <w:rPr>
          <w:rStyle w:val="FootnoteReference"/>
          <w:sz w:val="24"/>
          <w:szCs w:val="24"/>
        </w:rPr>
        <w:footnoteReference w:id="4"/>
      </w:r>
      <w:r w:rsidR="003651D4">
        <w:rPr>
          <w:sz w:val="24"/>
          <w:szCs w:val="24"/>
        </w:rPr>
        <w:t xml:space="preserve"> </w:t>
      </w:r>
    </w:p>
    <w:p w14:paraId="5CCC57BE" w14:textId="0132CF4B" w:rsidR="00C92EC6" w:rsidRPr="00210210" w:rsidRDefault="005A7AAF" w:rsidP="00C92EC6">
      <w:pPr>
        <w:rPr>
          <w:sz w:val="24"/>
          <w:szCs w:val="24"/>
        </w:rPr>
      </w:pPr>
      <w:r>
        <w:rPr>
          <w:sz w:val="24"/>
          <w:szCs w:val="24"/>
        </w:rPr>
        <w:t xml:space="preserve"> </w:t>
      </w:r>
      <w:r w:rsidR="00B7495A">
        <w:rPr>
          <w:sz w:val="24"/>
          <w:szCs w:val="24"/>
        </w:rPr>
        <w:t>The</w:t>
      </w:r>
      <w:r w:rsidR="002F61A8">
        <w:rPr>
          <w:sz w:val="24"/>
          <w:szCs w:val="24"/>
        </w:rPr>
        <w:t>re are</w:t>
      </w:r>
      <w:r w:rsidR="00B7495A">
        <w:rPr>
          <w:sz w:val="24"/>
          <w:szCs w:val="24"/>
        </w:rPr>
        <w:t xml:space="preserve"> parallels between these lines and the opening of Catullus 60</w:t>
      </w:r>
      <w:r w:rsidR="002F61A8">
        <w:rPr>
          <w:sz w:val="24"/>
          <w:szCs w:val="24"/>
        </w:rPr>
        <w:t>,</w:t>
      </w:r>
      <w:r w:rsidR="00B7495A">
        <w:rPr>
          <w:sz w:val="24"/>
          <w:szCs w:val="24"/>
        </w:rPr>
        <w:t xml:space="preserve"> </w:t>
      </w:r>
      <w:r w:rsidR="00B7495A">
        <w:rPr>
          <w:i/>
          <w:iCs/>
          <w:sz w:val="24"/>
          <w:szCs w:val="24"/>
        </w:rPr>
        <w:t>Num te leaena montibus Libystinis aut Scylla latrans</w:t>
      </w:r>
      <w:r w:rsidR="00164DA4">
        <w:rPr>
          <w:i/>
          <w:iCs/>
          <w:sz w:val="24"/>
          <w:szCs w:val="24"/>
        </w:rPr>
        <w:t>…</w:t>
      </w:r>
      <w:r w:rsidR="00B7495A">
        <w:rPr>
          <w:i/>
          <w:iCs/>
          <w:sz w:val="24"/>
          <w:szCs w:val="24"/>
        </w:rPr>
        <w:t xml:space="preserve"> </w:t>
      </w:r>
      <w:r w:rsidR="00164DA4">
        <w:rPr>
          <w:sz w:val="24"/>
          <w:szCs w:val="24"/>
        </w:rPr>
        <w:t>(Was it a lioness from Libyan mountains or a Scylla barking…</w:t>
      </w:r>
      <w:r w:rsidR="004E0D92">
        <w:rPr>
          <w:sz w:val="24"/>
          <w:szCs w:val="24"/>
        </w:rPr>
        <w:t>?</w:t>
      </w:r>
      <w:r w:rsidR="00164DA4">
        <w:rPr>
          <w:sz w:val="24"/>
          <w:szCs w:val="24"/>
        </w:rPr>
        <w:t>)</w:t>
      </w:r>
      <w:r w:rsidR="00164DA4">
        <w:rPr>
          <w:rStyle w:val="FootnoteReference"/>
          <w:sz w:val="24"/>
          <w:szCs w:val="24"/>
        </w:rPr>
        <w:footnoteReference w:id="5"/>
      </w:r>
      <w:r w:rsidR="00210210">
        <w:rPr>
          <w:sz w:val="24"/>
          <w:szCs w:val="24"/>
        </w:rPr>
        <w:t xml:space="preserve"> </w:t>
      </w:r>
      <w:r w:rsidR="00D0364B">
        <w:rPr>
          <w:sz w:val="24"/>
          <w:szCs w:val="24"/>
        </w:rPr>
        <w:t>It</w:t>
      </w:r>
      <w:r w:rsidR="00210210">
        <w:rPr>
          <w:sz w:val="24"/>
          <w:szCs w:val="24"/>
        </w:rPr>
        <w:t xml:space="preserve"> was because Ariadne believed herself to be </w:t>
      </w:r>
      <w:r w:rsidR="00210210">
        <w:rPr>
          <w:i/>
          <w:iCs/>
          <w:sz w:val="24"/>
          <w:szCs w:val="24"/>
        </w:rPr>
        <w:t xml:space="preserve">dilaceranda feris </w:t>
      </w:r>
      <w:r w:rsidR="00210210">
        <w:rPr>
          <w:sz w:val="24"/>
          <w:szCs w:val="24"/>
        </w:rPr>
        <w:t xml:space="preserve">that her mind turned to this image of Theseus and the </w:t>
      </w:r>
      <w:r w:rsidR="00210210">
        <w:rPr>
          <w:i/>
          <w:iCs/>
          <w:sz w:val="24"/>
          <w:szCs w:val="24"/>
        </w:rPr>
        <w:t xml:space="preserve">leaena, </w:t>
      </w:r>
      <w:r w:rsidR="00210210" w:rsidRPr="00210210">
        <w:rPr>
          <w:sz w:val="24"/>
          <w:szCs w:val="24"/>
        </w:rPr>
        <w:t xml:space="preserve">the spiritual beast who, </w:t>
      </w:r>
      <w:r w:rsidR="00D0364B">
        <w:rPr>
          <w:sz w:val="24"/>
          <w:szCs w:val="24"/>
        </w:rPr>
        <w:t xml:space="preserve">she believed would cause her death through </w:t>
      </w:r>
      <w:r w:rsidR="00126E7E">
        <w:rPr>
          <w:sz w:val="24"/>
          <w:szCs w:val="24"/>
        </w:rPr>
        <w:t>forsaking</w:t>
      </w:r>
      <w:r w:rsidR="00210210" w:rsidRPr="00210210">
        <w:rPr>
          <w:sz w:val="24"/>
          <w:szCs w:val="24"/>
        </w:rPr>
        <w:t xml:space="preserve"> her</w:t>
      </w:r>
      <w:r w:rsidR="00210210">
        <w:rPr>
          <w:sz w:val="24"/>
          <w:szCs w:val="24"/>
        </w:rPr>
        <w:t>.</w:t>
      </w:r>
      <w:r w:rsidR="00210210">
        <w:rPr>
          <w:rStyle w:val="FootnoteReference"/>
          <w:i/>
          <w:iCs/>
          <w:sz w:val="24"/>
          <w:szCs w:val="24"/>
        </w:rPr>
        <w:footnoteReference w:id="6"/>
      </w:r>
      <w:r w:rsidR="00210210">
        <w:rPr>
          <w:sz w:val="24"/>
          <w:szCs w:val="24"/>
        </w:rPr>
        <w:t xml:space="preserve"> </w:t>
      </w:r>
    </w:p>
    <w:p w14:paraId="1ED042C5" w14:textId="4E782D78" w:rsidR="00334EA3" w:rsidRDefault="00334EA3" w:rsidP="00C92EC6">
      <w:pPr>
        <w:rPr>
          <w:sz w:val="24"/>
          <w:szCs w:val="24"/>
        </w:rPr>
      </w:pPr>
      <w:r>
        <w:rPr>
          <w:sz w:val="24"/>
          <w:szCs w:val="24"/>
        </w:rPr>
        <w:t xml:space="preserve">  Ellis believes that Catullus’ use of the ‘inhuman parentage’ topos is the first of its kind by a writer of authority in Roman literature. Virgil and Ovid</w:t>
      </w:r>
      <w:r w:rsidR="00507DCB">
        <w:rPr>
          <w:sz w:val="24"/>
          <w:szCs w:val="24"/>
        </w:rPr>
        <w:t xml:space="preserve">, in their address of an abandoned woman to her lover, repeat such usage. Dido laments thus: </w:t>
      </w:r>
      <w:r w:rsidR="00507DCB">
        <w:rPr>
          <w:i/>
          <w:iCs/>
          <w:sz w:val="24"/>
          <w:szCs w:val="24"/>
        </w:rPr>
        <w:t>nec tibi diva parens, generis nec Dardanus auctor, perfide, sed duris genuit te cautibus horrens Caucasus, Hyrcanaeque admorunt ubera tigres</w:t>
      </w:r>
      <w:r w:rsidR="00D0364B">
        <w:rPr>
          <w:i/>
          <w:iCs/>
          <w:sz w:val="24"/>
          <w:szCs w:val="24"/>
        </w:rPr>
        <w:t xml:space="preserve"> </w:t>
      </w:r>
      <w:r w:rsidR="00D0364B">
        <w:rPr>
          <w:sz w:val="24"/>
          <w:szCs w:val="24"/>
        </w:rPr>
        <w:t>(F</w:t>
      </w:r>
      <w:r w:rsidR="00507DCB">
        <w:rPr>
          <w:sz w:val="24"/>
          <w:szCs w:val="24"/>
        </w:rPr>
        <w:t>alse one, no goddess was your mother, nor was Dardanus founder of your line, but rugged Caucasus on his flinty rocks begot you, and Hyrcanian tigresses suckled you.</w:t>
      </w:r>
      <w:r w:rsidR="00507DCB">
        <w:rPr>
          <w:rStyle w:val="FootnoteReference"/>
          <w:sz w:val="24"/>
          <w:szCs w:val="24"/>
        </w:rPr>
        <w:footnoteReference w:id="7"/>
      </w:r>
      <w:r w:rsidR="00507DCB">
        <w:rPr>
          <w:sz w:val="24"/>
          <w:szCs w:val="24"/>
        </w:rPr>
        <w:t xml:space="preserve"> </w:t>
      </w:r>
    </w:p>
    <w:p w14:paraId="546B4B23" w14:textId="4A366DFD" w:rsidR="00966E35" w:rsidRDefault="00966E35" w:rsidP="00C92EC6">
      <w:pPr>
        <w:rPr>
          <w:sz w:val="24"/>
          <w:szCs w:val="24"/>
        </w:rPr>
      </w:pPr>
      <w:r>
        <w:rPr>
          <w:i/>
          <w:iCs/>
          <w:sz w:val="24"/>
          <w:szCs w:val="24"/>
        </w:rPr>
        <w:t>Sola sub rupe.</w:t>
      </w:r>
      <w:r w:rsidR="00804532">
        <w:rPr>
          <w:i/>
          <w:iCs/>
          <w:sz w:val="24"/>
          <w:szCs w:val="24"/>
        </w:rPr>
        <w:t xml:space="preserve"> </w:t>
      </w:r>
      <w:r w:rsidR="00804532">
        <w:rPr>
          <w:sz w:val="24"/>
          <w:szCs w:val="24"/>
        </w:rPr>
        <w:t>This reflects the hard, unbending quality of Theseus’ mind,</w:t>
      </w:r>
      <w:r w:rsidR="00804532">
        <w:rPr>
          <w:rStyle w:val="FootnoteReference"/>
          <w:sz w:val="24"/>
          <w:szCs w:val="24"/>
        </w:rPr>
        <w:footnoteReference w:id="8"/>
      </w:r>
      <w:r w:rsidR="00804532">
        <w:rPr>
          <w:i/>
          <w:iCs/>
          <w:sz w:val="24"/>
          <w:szCs w:val="24"/>
        </w:rPr>
        <w:t xml:space="preserve"> </w:t>
      </w:r>
      <w:r w:rsidR="00804532">
        <w:rPr>
          <w:sz w:val="24"/>
          <w:szCs w:val="24"/>
        </w:rPr>
        <w:t>but it also</w:t>
      </w:r>
      <w:r>
        <w:rPr>
          <w:sz w:val="24"/>
          <w:szCs w:val="24"/>
        </w:rPr>
        <w:t xml:space="preserve"> mirrors Ariadne’s own situation, one which is mirrored in</w:t>
      </w:r>
      <w:r w:rsidR="00D0364B">
        <w:rPr>
          <w:sz w:val="24"/>
          <w:szCs w:val="24"/>
        </w:rPr>
        <w:t xml:space="preserve"> lines</w:t>
      </w:r>
      <w:r>
        <w:rPr>
          <w:sz w:val="24"/>
          <w:szCs w:val="24"/>
        </w:rPr>
        <w:t xml:space="preserve"> 133 </w:t>
      </w:r>
      <w:r>
        <w:rPr>
          <w:i/>
          <w:iCs/>
          <w:sz w:val="24"/>
          <w:szCs w:val="24"/>
        </w:rPr>
        <w:t xml:space="preserve">deserto…in litore, </w:t>
      </w:r>
      <w:r>
        <w:rPr>
          <w:sz w:val="24"/>
          <w:szCs w:val="24"/>
        </w:rPr>
        <w:t xml:space="preserve">184 </w:t>
      </w:r>
      <w:r>
        <w:rPr>
          <w:i/>
          <w:iCs/>
          <w:sz w:val="24"/>
          <w:szCs w:val="24"/>
        </w:rPr>
        <w:t xml:space="preserve">sola insula, </w:t>
      </w:r>
      <w:r>
        <w:rPr>
          <w:sz w:val="24"/>
          <w:szCs w:val="24"/>
        </w:rPr>
        <w:t xml:space="preserve">and 187 </w:t>
      </w:r>
      <w:r>
        <w:rPr>
          <w:i/>
          <w:iCs/>
          <w:sz w:val="24"/>
          <w:szCs w:val="24"/>
        </w:rPr>
        <w:t xml:space="preserve">omnia sunt deserta. </w:t>
      </w:r>
      <w:r>
        <w:rPr>
          <w:sz w:val="24"/>
          <w:szCs w:val="24"/>
        </w:rPr>
        <w:t xml:space="preserve"> </w:t>
      </w:r>
      <w:r w:rsidR="007C7EAF">
        <w:rPr>
          <w:sz w:val="24"/>
          <w:szCs w:val="24"/>
        </w:rPr>
        <w:t xml:space="preserve">Quinn believes that </w:t>
      </w:r>
      <w:r w:rsidR="007C7EAF">
        <w:rPr>
          <w:i/>
          <w:iCs/>
          <w:sz w:val="24"/>
          <w:szCs w:val="24"/>
        </w:rPr>
        <w:t xml:space="preserve">conceptum….expuit </w:t>
      </w:r>
      <w:r w:rsidR="007C7EAF">
        <w:rPr>
          <w:sz w:val="24"/>
          <w:szCs w:val="24"/>
        </w:rPr>
        <w:t xml:space="preserve">should be </w:t>
      </w:r>
      <w:r w:rsidR="007C7EAF">
        <w:rPr>
          <w:sz w:val="24"/>
          <w:szCs w:val="24"/>
        </w:rPr>
        <w:lastRenderedPageBreak/>
        <w:t xml:space="preserve">understood as </w:t>
      </w:r>
      <w:r w:rsidR="007C7EAF">
        <w:rPr>
          <w:i/>
          <w:iCs/>
          <w:sz w:val="24"/>
          <w:szCs w:val="24"/>
        </w:rPr>
        <w:t>concepit et expuit.</w:t>
      </w:r>
      <w:r w:rsidR="007C7EAF">
        <w:rPr>
          <w:rStyle w:val="FootnoteReference"/>
          <w:i/>
          <w:iCs/>
          <w:sz w:val="24"/>
          <w:szCs w:val="24"/>
        </w:rPr>
        <w:footnoteReference w:id="9"/>
      </w:r>
      <w:r w:rsidR="007C7EAF">
        <w:rPr>
          <w:i/>
          <w:iCs/>
          <w:sz w:val="24"/>
          <w:szCs w:val="24"/>
        </w:rPr>
        <w:t xml:space="preserve"> </w:t>
      </w:r>
      <w:r w:rsidR="007C7EAF">
        <w:rPr>
          <w:sz w:val="24"/>
          <w:szCs w:val="24"/>
        </w:rPr>
        <w:t>It means ‘spit out’ from the mouth or, as Ellis terms ‘engendered and disgorged</w:t>
      </w:r>
      <w:r w:rsidR="005A7AAF">
        <w:rPr>
          <w:sz w:val="24"/>
          <w:szCs w:val="24"/>
        </w:rPr>
        <w:t>’</w:t>
      </w:r>
      <w:r w:rsidR="007C7EAF">
        <w:rPr>
          <w:sz w:val="24"/>
          <w:szCs w:val="24"/>
        </w:rPr>
        <w:t xml:space="preserve">. </w:t>
      </w:r>
      <w:r w:rsidR="007C7EAF">
        <w:rPr>
          <w:rStyle w:val="FootnoteReference"/>
          <w:sz w:val="24"/>
          <w:szCs w:val="24"/>
        </w:rPr>
        <w:footnoteReference w:id="10"/>
      </w:r>
      <w:r w:rsidR="007C7EAF">
        <w:rPr>
          <w:sz w:val="24"/>
          <w:szCs w:val="24"/>
        </w:rPr>
        <w:t xml:space="preserve"> He believes that Catullus is thinking of Homer, </w:t>
      </w:r>
      <w:r w:rsidR="007C7EAF">
        <w:rPr>
          <w:sz w:val="24"/>
          <w:szCs w:val="24"/>
          <w:lang w:val="el-GR"/>
        </w:rPr>
        <w:t>ἐξεμειν</w:t>
      </w:r>
      <w:r w:rsidR="007C7EAF" w:rsidRPr="007C7EAF">
        <w:rPr>
          <w:sz w:val="24"/>
          <w:szCs w:val="24"/>
        </w:rPr>
        <w:t xml:space="preserve">, </w:t>
      </w:r>
      <w:r w:rsidR="007C7EAF">
        <w:rPr>
          <w:sz w:val="24"/>
          <w:szCs w:val="24"/>
        </w:rPr>
        <w:t xml:space="preserve">which was twice used of Charbydis in </w:t>
      </w:r>
      <w:r w:rsidR="007C7EAF">
        <w:rPr>
          <w:i/>
          <w:iCs/>
          <w:sz w:val="24"/>
          <w:szCs w:val="24"/>
        </w:rPr>
        <w:t>Odyssey.</w:t>
      </w:r>
      <w:r w:rsidR="007C7EAF">
        <w:rPr>
          <w:rStyle w:val="FootnoteReference"/>
          <w:i/>
          <w:iCs/>
          <w:sz w:val="24"/>
          <w:szCs w:val="24"/>
        </w:rPr>
        <w:footnoteReference w:id="11"/>
      </w:r>
      <w:r w:rsidR="007C7EAF">
        <w:rPr>
          <w:sz w:val="24"/>
          <w:szCs w:val="24"/>
        </w:rPr>
        <w:t xml:space="preserve"> </w:t>
      </w:r>
      <w:r w:rsidR="004205E5">
        <w:rPr>
          <w:sz w:val="24"/>
          <w:szCs w:val="24"/>
        </w:rPr>
        <w:t xml:space="preserve">The combination with </w:t>
      </w:r>
      <w:r w:rsidR="004205E5">
        <w:rPr>
          <w:i/>
          <w:iCs/>
          <w:sz w:val="24"/>
          <w:szCs w:val="24"/>
        </w:rPr>
        <w:t xml:space="preserve">expuit </w:t>
      </w:r>
      <w:r w:rsidR="004205E5">
        <w:rPr>
          <w:sz w:val="24"/>
          <w:szCs w:val="24"/>
        </w:rPr>
        <w:t xml:space="preserve">lends itself to a pronounced onomatopoeic description of the hissing waves; </w:t>
      </w:r>
      <w:r w:rsidR="00225A6C">
        <w:rPr>
          <w:sz w:val="24"/>
          <w:szCs w:val="24"/>
        </w:rPr>
        <w:t>indeed,</w:t>
      </w:r>
      <w:r w:rsidR="004205E5">
        <w:rPr>
          <w:sz w:val="24"/>
          <w:szCs w:val="24"/>
        </w:rPr>
        <w:t xml:space="preserve"> repetition of the syllable -</w:t>
      </w:r>
      <w:r w:rsidR="004205E5">
        <w:rPr>
          <w:i/>
          <w:iCs/>
          <w:sz w:val="24"/>
          <w:szCs w:val="24"/>
        </w:rPr>
        <w:t xml:space="preserve">spu </w:t>
      </w:r>
      <w:r w:rsidR="004205E5">
        <w:rPr>
          <w:sz w:val="24"/>
          <w:szCs w:val="24"/>
        </w:rPr>
        <w:t>clearly illustrates the ‘spitting’.</w:t>
      </w:r>
    </w:p>
    <w:p w14:paraId="08C815DB" w14:textId="709060DD" w:rsidR="005C6D88" w:rsidRPr="00CC30EE" w:rsidRDefault="005C6D88" w:rsidP="00C92EC6">
      <w:pPr>
        <w:rPr>
          <w:sz w:val="24"/>
          <w:szCs w:val="24"/>
        </w:rPr>
      </w:pPr>
      <w:r>
        <w:rPr>
          <w:sz w:val="24"/>
          <w:szCs w:val="24"/>
        </w:rPr>
        <w:t xml:space="preserve">  </w:t>
      </w:r>
      <w:r>
        <w:rPr>
          <w:i/>
          <w:iCs/>
          <w:sz w:val="24"/>
          <w:szCs w:val="24"/>
        </w:rPr>
        <w:t xml:space="preserve">Syrtis </w:t>
      </w:r>
      <w:r>
        <w:rPr>
          <w:sz w:val="24"/>
          <w:szCs w:val="24"/>
        </w:rPr>
        <w:t>(line 156) Is probably taken from Apollonius’ account of the Syrtis and the stranding of the Argo upon it in IV. 1228-1392.</w:t>
      </w:r>
      <w:r>
        <w:rPr>
          <w:rStyle w:val="FootnoteReference"/>
          <w:sz w:val="24"/>
          <w:szCs w:val="24"/>
        </w:rPr>
        <w:footnoteReference w:id="12"/>
      </w:r>
      <w:r>
        <w:rPr>
          <w:sz w:val="24"/>
          <w:szCs w:val="24"/>
        </w:rPr>
        <w:t xml:space="preserve"> </w:t>
      </w:r>
      <w:r w:rsidR="00D0364B">
        <w:rPr>
          <w:sz w:val="24"/>
          <w:szCs w:val="24"/>
        </w:rPr>
        <w:t xml:space="preserve">It </w:t>
      </w:r>
      <w:r w:rsidR="005A7AAF">
        <w:rPr>
          <w:sz w:val="24"/>
          <w:szCs w:val="24"/>
        </w:rPr>
        <w:t>is</w:t>
      </w:r>
      <w:r w:rsidR="00D0364B">
        <w:rPr>
          <w:sz w:val="24"/>
          <w:szCs w:val="24"/>
        </w:rPr>
        <w:t xml:space="preserve"> described as a desolate landscape of marshland, treacherous tides</w:t>
      </w:r>
      <w:r w:rsidR="00435D85">
        <w:rPr>
          <w:sz w:val="24"/>
          <w:szCs w:val="24"/>
        </w:rPr>
        <w:t xml:space="preserve"> and trackless sand</w:t>
      </w:r>
      <w:r w:rsidR="005A7AAF">
        <w:rPr>
          <w:sz w:val="24"/>
          <w:szCs w:val="24"/>
        </w:rPr>
        <w:t>,</w:t>
      </w:r>
      <w:r w:rsidR="00435D85">
        <w:rPr>
          <w:sz w:val="24"/>
          <w:szCs w:val="24"/>
        </w:rPr>
        <w:t xml:space="preserve"> where ships were wrecked and venomous serpents lurked everywhere…a paradox, caught somewhere between land and sea and belonging properly to neither.</w:t>
      </w:r>
      <w:r w:rsidR="00435D85">
        <w:rPr>
          <w:rStyle w:val="FootnoteReference"/>
          <w:sz w:val="24"/>
          <w:szCs w:val="24"/>
        </w:rPr>
        <w:footnoteReference w:id="13"/>
      </w:r>
      <w:r>
        <w:rPr>
          <w:sz w:val="24"/>
          <w:szCs w:val="24"/>
        </w:rPr>
        <w:t xml:space="preserve"> </w:t>
      </w:r>
      <w:r>
        <w:rPr>
          <w:i/>
          <w:iCs/>
          <w:sz w:val="24"/>
          <w:szCs w:val="24"/>
        </w:rPr>
        <w:t>Scylla rapax</w:t>
      </w:r>
      <w:r>
        <w:rPr>
          <w:sz w:val="24"/>
          <w:szCs w:val="24"/>
        </w:rPr>
        <w:t xml:space="preserve">  Ellis describes Scylla as a monster with a voice like a new-born whelp, with twelve feet, and six long necks, each with a head containing three rows of teeth</w:t>
      </w:r>
      <w:r w:rsidR="00DC7927">
        <w:rPr>
          <w:sz w:val="24"/>
          <w:szCs w:val="24"/>
        </w:rPr>
        <w:t xml:space="preserve">; from the waist downwards plunged in the depths of a cave, above which the heads rise. Furthermore, Scylla’s body terminates in barking </w:t>
      </w:r>
      <w:r w:rsidR="008F1E7C">
        <w:rPr>
          <w:sz w:val="24"/>
          <w:szCs w:val="24"/>
        </w:rPr>
        <w:t>dogs,</w:t>
      </w:r>
      <w:r w:rsidR="00DC7927">
        <w:rPr>
          <w:sz w:val="24"/>
          <w:szCs w:val="24"/>
        </w:rPr>
        <w:t xml:space="preserve"> and she is said to bark with the extremities of the groin.</w:t>
      </w:r>
      <w:r w:rsidR="00DC7927">
        <w:rPr>
          <w:rStyle w:val="FootnoteReference"/>
          <w:sz w:val="24"/>
          <w:szCs w:val="24"/>
        </w:rPr>
        <w:footnoteReference w:id="14"/>
      </w:r>
      <w:r w:rsidR="00DC7927">
        <w:rPr>
          <w:sz w:val="24"/>
          <w:szCs w:val="24"/>
        </w:rPr>
        <w:t xml:space="preserve"> There are varied descriptions; in Ovid’s </w:t>
      </w:r>
      <w:r w:rsidR="00DC7927">
        <w:rPr>
          <w:i/>
          <w:iCs/>
          <w:sz w:val="24"/>
          <w:szCs w:val="24"/>
        </w:rPr>
        <w:t xml:space="preserve">Metamorphoses, </w:t>
      </w:r>
      <w:r w:rsidR="00DC7927">
        <w:rPr>
          <w:sz w:val="24"/>
          <w:szCs w:val="24"/>
        </w:rPr>
        <w:t xml:space="preserve">Scylla is represented as a maiden down to the waist, and a combination of </w:t>
      </w:r>
      <w:r w:rsidR="00126E7E">
        <w:rPr>
          <w:sz w:val="24"/>
          <w:szCs w:val="24"/>
        </w:rPr>
        <w:t>wolfdog</w:t>
      </w:r>
      <w:r w:rsidR="00DC7927">
        <w:rPr>
          <w:sz w:val="24"/>
          <w:szCs w:val="24"/>
        </w:rPr>
        <w:t xml:space="preserve"> and dolphin below.</w:t>
      </w:r>
      <w:r w:rsidR="00DC7927">
        <w:rPr>
          <w:rStyle w:val="FootnoteReference"/>
          <w:sz w:val="24"/>
          <w:szCs w:val="24"/>
        </w:rPr>
        <w:footnoteReference w:id="15"/>
      </w:r>
      <w:r w:rsidR="00DC7927">
        <w:rPr>
          <w:sz w:val="24"/>
          <w:szCs w:val="24"/>
        </w:rPr>
        <w:t xml:space="preserve"> </w:t>
      </w:r>
      <w:r w:rsidR="00DC7927">
        <w:rPr>
          <w:i/>
          <w:iCs/>
          <w:sz w:val="24"/>
          <w:szCs w:val="24"/>
        </w:rPr>
        <w:t xml:space="preserve">Vasta Charybdis </w:t>
      </w:r>
      <w:r w:rsidR="00DC7927">
        <w:rPr>
          <w:sz w:val="24"/>
          <w:szCs w:val="24"/>
        </w:rPr>
        <w:t xml:space="preserve">Charybdis is the whirlpool off the coast of Sicily, </w:t>
      </w:r>
      <w:r w:rsidR="008F1E7C">
        <w:rPr>
          <w:sz w:val="24"/>
          <w:szCs w:val="24"/>
        </w:rPr>
        <w:t xml:space="preserve">on the opposite side of the straits from </w:t>
      </w:r>
      <w:r w:rsidR="008F1E7C">
        <w:rPr>
          <w:i/>
          <w:iCs/>
          <w:sz w:val="24"/>
          <w:szCs w:val="24"/>
        </w:rPr>
        <w:t xml:space="preserve">Scylla. </w:t>
      </w:r>
      <w:r w:rsidR="008F1E7C">
        <w:rPr>
          <w:sz w:val="24"/>
          <w:szCs w:val="24"/>
        </w:rPr>
        <w:t>It was a</w:t>
      </w:r>
      <w:r w:rsidR="00DC7927">
        <w:rPr>
          <w:sz w:val="24"/>
          <w:szCs w:val="24"/>
        </w:rPr>
        <w:t xml:space="preserve"> peril faced </w:t>
      </w:r>
      <w:r w:rsidR="008F1E7C">
        <w:rPr>
          <w:sz w:val="24"/>
          <w:szCs w:val="24"/>
        </w:rPr>
        <w:t xml:space="preserve">successfully </w:t>
      </w:r>
      <w:r w:rsidR="00DC7927">
        <w:rPr>
          <w:sz w:val="24"/>
          <w:szCs w:val="24"/>
        </w:rPr>
        <w:t>by Jason and the Argonauts</w:t>
      </w:r>
      <w:r w:rsidR="00BE1D29">
        <w:rPr>
          <w:sz w:val="24"/>
          <w:szCs w:val="24"/>
        </w:rPr>
        <w:t>,</w:t>
      </w:r>
      <w:r w:rsidR="008F1E7C">
        <w:rPr>
          <w:rStyle w:val="FootnoteReference"/>
          <w:sz w:val="24"/>
          <w:szCs w:val="24"/>
        </w:rPr>
        <w:footnoteReference w:id="16"/>
      </w:r>
      <w:r w:rsidR="008F1E7C">
        <w:rPr>
          <w:sz w:val="24"/>
          <w:szCs w:val="24"/>
        </w:rPr>
        <w:t xml:space="preserve"> </w:t>
      </w:r>
      <w:r w:rsidR="00B05AFC">
        <w:rPr>
          <w:sz w:val="24"/>
          <w:szCs w:val="24"/>
        </w:rPr>
        <w:t>and such a whirlpool was created by the sucking and vomiting action of a monster of unspecified shape.</w:t>
      </w:r>
      <w:r w:rsidR="00CC30EE">
        <w:rPr>
          <w:sz w:val="24"/>
          <w:szCs w:val="24"/>
        </w:rPr>
        <w:t xml:space="preserve"> In </w:t>
      </w:r>
      <w:r w:rsidR="00CC30EE">
        <w:rPr>
          <w:i/>
          <w:iCs/>
          <w:sz w:val="24"/>
          <w:szCs w:val="24"/>
        </w:rPr>
        <w:t>Argonautica</w:t>
      </w:r>
      <w:r w:rsidR="00AC3B86">
        <w:rPr>
          <w:i/>
          <w:iCs/>
          <w:sz w:val="24"/>
          <w:szCs w:val="24"/>
        </w:rPr>
        <w:t xml:space="preserve"> IV</w:t>
      </w:r>
      <w:r w:rsidR="00CC30EE">
        <w:rPr>
          <w:i/>
          <w:iCs/>
          <w:sz w:val="24"/>
          <w:szCs w:val="24"/>
        </w:rPr>
        <w:t xml:space="preserve">, </w:t>
      </w:r>
      <w:r w:rsidR="00CC30EE">
        <w:rPr>
          <w:sz w:val="24"/>
          <w:szCs w:val="24"/>
        </w:rPr>
        <w:t xml:space="preserve">Medea’s anticipation of desertion by Jason occurs under similar circumstances to that of Ariadne, on the journey home and before any marriage has taken place, which perhaps explains why allusions to the </w:t>
      </w:r>
      <w:r w:rsidR="00CC30EE">
        <w:rPr>
          <w:i/>
          <w:iCs/>
          <w:sz w:val="24"/>
          <w:szCs w:val="24"/>
        </w:rPr>
        <w:t xml:space="preserve">Argonautica </w:t>
      </w:r>
      <w:r w:rsidR="00CC30EE">
        <w:rPr>
          <w:sz w:val="24"/>
          <w:szCs w:val="24"/>
        </w:rPr>
        <w:t>dominate towards the beginning of Ariadne’s lament.</w:t>
      </w:r>
      <w:r w:rsidR="00CC30EE">
        <w:rPr>
          <w:rStyle w:val="FootnoteReference"/>
          <w:sz w:val="24"/>
          <w:szCs w:val="24"/>
        </w:rPr>
        <w:footnoteReference w:id="17"/>
      </w:r>
    </w:p>
    <w:p w14:paraId="7A932775" w14:textId="77777777" w:rsidR="00126E7E" w:rsidRDefault="003F2E15" w:rsidP="00C92EC6">
      <w:pPr>
        <w:rPr>
          <w:sz w:val="24"/>
          <w:szCs w:val="24"/>
        </w:rPr>
      </w:pPr>
      <w:r>
        <w:rPr>
          <w:sz w:val="24"/>
          <w:szCs w:val="24"/>
        </w:rPr>
        <w:t xml:space="preserve">  Lines 158-63 have been termed by Glenn as ‘Ariadne’s daydream’. He draws a comparison with an intensely personal passage taken from Catullus 8. 9-19, one of the Lesbia cycle poems, which share a similar sequence of thought and shift in mood.</w:t>
      </w:r>
      <w:r>
        <w:rPr>
          <w:rStyle w:val="FootnoteReference"/>
          <w:sz w:val="24"/>
          <w:szCs w:val="24"/>
        </w:rPr>
        <w:footnoteReference w:id="18"/>
      </w:r>
      <w:r>
        <w:rPr>
          <w:sz w:val="24"/>
          <w:szCs w:val="24"/>
        </w:rPr>
        <w:t xml:space="preserve"> The pattern, he states, takes the form of a firm rejection of the beloved, followed by a</w:t>
      </w:r>
      <w:r w:rsidR="00342167">
        <w:rPr>
          <w:sz w:val="24"/>
          <w:szCs w:val="24"/>
        </w:rPr>
        <w:t xml:space="preserve"> daydream, laden with latent erotic overtones</w:t>
      </w:r>
      <w:r w:rsidR="006129C2">
        <w:rPr>
          <w:sz w:val="24"/>
          <w:szCs w:val="24"/>
        </w:rPr>
        <w:t>,</w:t>
      </w:r>
      <w:r>
        <w:rPr>
          <w:sz w:val="24"/>
          <w:szCs w:val="24"/>
        </w:rPr>
        <w:t xml:space="preserve"> before concluding with an abrupt</w:t>
      </w:r>
      <w:r w:rsidR="00CB2507">
        <w:rPr>
          <w:sz w:val="24"/>
          <w:szCs w:val="24"/>
        </w:rPr>
        <w:t>,</w:t>
      </w:r>
      <w:r>
        <w:rPr>
          <w:sz w:val="24"/>
          <w:szCs w:val="24"/>
        </w:rPr>
        <w:t xml:space="preserve"> forced return to reality.</w:t>
      </w:r>
      <w:r w:rsidR="00CB2507">
        <w:rPr>
          <w:rStyle w:val="FootnoteReference"/>
          <w:sz w:val="24"/>
          <w:szCs w:val="24"/>
        </w:rPr>
        <w:footnoteReference w:id="19"/>
      </w:r>
      <w:r w:rsidR="008461DB">
        <w:rPr>
          <w:sz w:val="24"/>
          <w:szCs w:val="24"/>
        </w:rPr>
        <w:t xml:space="preserve"> </w:t>
      </w:r>
      <w:r w:rsidR="00BE1D29">
        <w:rPr>
          <w:sz w:val="24"/>
          <w:szCs w:val="24"/>
        </w:rPr>
        <w:t>Wheeler believes that Catullus’ stress on the erotic is deeper than earlier forms of the story, which in this case ‘pervades almost every part of the narrative’.</w:t>
      </w:r>
      <w:r w:rsidR="00BE1D29">
        <w:rPr>
          <w:rStyle w:val="FootnoteReference"/>
          <w:sz w:val="24"/>
          <w:szCs w:val="24"/>
        </w:rPr>
        <w:footnoteReference w:id="20"/>
      </w:r>
    </w:p>
    <w:p w14:paraId="20D772B9" w14:textId="6A244026" w:rsidR="003F2E15" w:rsidRDefault="008461DB" w:rsidP="00C92EC6">
      <w:pPr>
        <w:rPr>
          <w:sz w:val="24"/>
          <w:szCs w:val="24"/>
        </w:rPr>
      </w:pPr>
      <w:r>
        <w:rPr>
          <w:sz w:val="24"/>
          <w:szCs w:val="24"/>
        </w:rPr>
        <w:t xml:space="preserve">Theseus </w:t>
      </w:r>
      <w:r w:rsidR="00435D85">
        <w:rPr>
          <w:sz w:val="24"/>
          <w:szCs w:val="24"/>
        </w:rPr>
        <w:t xml:space="preserve">probably </w:t>
      </w:r>
      <w:r>
        <w:rPr>
          <w:sz w:val="24"/>
          <w:szCs w:val="24"/>
        </w:rPr>
        <w:t xml:space="preserve">had little regard for marrying Ariadne from the outset, because the pluperfect, seen in </w:t>
      </w:r>
      <w:r>
        <w:rPr>
          <w:i/>
          <w:iCs/>
          <w:sz w:val="24"/>
          <w:szCs w:val="24"/>
        </w:rPr>
        <w:t xml:space="preserve">si tibi non cordi fuerant </w:t>
      </w:r>
      <w:r>
        <w:rPr>
          <w:sz w:val="24"/>
          <w:szCs w:val="24"/>
        </w:rPr>
        <w:t xml:space="preserve">(line 158) takes us back to a time before the somewhat flattering promises in lines 139-40, which Theseus gave </w:t>
      </w:r>
      <w:r>
        <w:rPr>
          <w:i/>
          <w:iCs/>
          <w:sz w:val="24"/>
          <w:szCs w:val="24"/>
        </w:rPr>
        <w:t xml:space="preserve">blanda…voce </w:t>
      </w:r>
      <w:r>
        <w:rPr>
          <w:sz w:val="24"/>
          <w:szCs w:val="24"/>
        </w:rPr>
        <w:t xml:space="preserve">with </w:t>
      </w:r>
      <w:r>
        <w:rPr>
          <w:sz w:val="24"/>
          <w:szCs w:val="24"/>
        </w:rPr>
        <w:lastRenderedPageBreak/>
        <w:t xml:space="preserve">winning voice. </w:t>
      </w:r>
      <w:r>
        <w:rPr>
          <w:rStyle w:val="FootnoteReference"/>
          <w:sz w:val="24"/>
          <w:szCs w:val="24"/>
        </w:rPr>
        <w:footnoteReference w:id="21"/>
      </w:r>
      <w:r>
        <w:rPr>
          <w:sz w:val="24"/>
          <w:szCs w:val="24"/>
        </w:rPr>
        <w:t xml:space="preserve"> Ariadne was convinced that Theseus </w:t>
      </w:r>
      <w:r w:rsidR="00B4416F">
        <w:rPr>
          <w:sz w:val="24"/>
          <w:szCs w:val="24"/>
        </w:rPr>
        <w:t>was resistant to marriage on account</w:t>
      </w:r>
      <w:r w:rsidR="005A7AAF">
        <w:rPr>
          <w:sz w:val="24"/>
          <w:szCs w:val="24"/>
        </w:rPr>
        <w:t xml:space="preserve"> of</w:t>
      </w:r>
      <w:r w:rsidR="00B4416F">
        <w:rPr>
          <w:sz w:val="24"/>
          <w:szCs w:val="24"/>
        </w:rPr>
        <w:t xml:space="preserve">  Aegeus’ being one of the ‘old school’ </w:t>
      </w:r>
      <w:r w:rsidR="00B4416F">
        <w:rPr>
          <w:i/>
          <w:iCs/>
          <w:sz w:val="24"/>
          <w:szCs w:val="24"/>
        </w:rPr>
        <w:t xml:space="preserve">prisci, </w:t>
      </w:r>
      <w:r w:rsidR="00B4416F">
        <w:rPr>
          <w:sz w:val="24"/>
          <w:szCs w:val="24"/>
        </w:rPr>
        <w:t xml:space="preserve">who had issued </w:t>
      </w:r>
      <w:r w:rsidR="00B4416F">
        <w:rPr>
          <w:i/>
          <w:iCs/>
          <w:sz w:val="24"/>
          <w:szCs w:val="24"/>
        </w:rPr>
        <w:t xml:space="preserve">praecepta </w:t>
      </w:r>
      <w:r w:rsidR="00B4416F">
        <w:rPr>
          <w:sz w:val="24"/>
          <w:szCs w:val="24"/>
        </w:rPr>
        <w:t>about marrying a foreign woman. Yet, as Quinn states, would Aegeus really have reacted thus had Theseus brought the sister of the Minotaur home as his bride?</w:t>
      </w:r>
      <w:r w:rsidR="00B4416F">
        <w:rPr>
          <w:rStyle w:val="FootnoteReference"/>
          <w:sz w:val="24"/>
          <w:szCs w:val="24"/>
        </w:rPr>
        <w:footnoteReference w:id="22"/>
      </w:r>
      <w:r w:rsidR="00B4416F">
        <w:rPr>
          <w:sz w:val="24"/>
          <w:szCs w:val="24"/>
        </w:rPr>
        <w:t xml:space="preserve"> </w:t>
      </w:r>
      <w:r w:rsidR="0077428F">
        <w:rPr>
          <w:sz w:val="24"/>
          <w:szCs w:val="24"/>
        </w:rPr>
        <w:t xml:space="preserve">Furthermore, later we discover (lines 207-45) that Aegeus is not noticeably </w:t>
      </w:r>
      <w:r w:rsidR="0077428F">
        <w:rPr>
          <w:i/>
          <w:iCs/>
          <w:sz w:val="24"/>
          <w:szCs w:val="24"/>
        </w:rPr>
        <w:t>priscus</w:t>
      </w:r>
      <w:r w:rsidR="00887A66">
        <w:rPr>
          <w:i/>
          <w:iCs/>
          <w:sz w:val="24"/>
          <w:szCs w:val="24"/>
        </w:rPr>
        <w:t>,</w:t>
      </w:r>
      <w:r w:rsidR="0077428F">
        <w:rPr>
          <w:i/>
          <w:iCs/>
          <w:sz w:val="24"/>
          <w:szCs w:val="24"/>
        </w:rPr>
        <w:t xml:space="preserve"> </w:t>
      </w:r>
      <w:r w:rsidR="0077428F">
        <w:rPr>
          <w:sz w:val="24"/>
          <w:szCs w:val="24"/>
        </w:rPr>
        <w:t>and had given Theseus differing instructions.</w:t>
      </w:r>
    </w:p>
    <w:p w14:paraId="22F3D5AF" w14:textId="77777777" w:rsidR="00AC3B86" w:rsidRDefault="0077428F" w:rsidP="00C92EC6">
      <w:pPr>
        <w:rPr>
          <w:sz w:val="24"/>
          <w:szCs w:val="24"/>
        </w:rPr>
      </w:pPr>
      <w:r>
        <w:rPr>
          <w:sz w:val="24"/>
          <w:szCs w:val="24"/>
        </w:rPr>
        <w:t xml:space="preserve">  </w:t>
      </w:r>
      <w:r w:rsidR="008B4996">
        <w:rPr>
          <w:sz w:val="24"/>
          <w:szCs w:val="24"/>
        </w:rPr>
        <w:t xml:space="preserve">Line 161 sees Ariadne becoming side-tracked as she imagines serving Theseus as a slave in a labour of love </w:t>
      </w:r>
      <w:r w:rsidR="008B4996">
        <w:rPr>
          <w:i/>
          <w:iCs/>
          <w:sz w:val="24"/>
          <w:szCs w:val="24"/>
        </w:rPr>
        <w:t>famularer serva labore,</w:t>
      </w:r>
      <w:r w:rsidR="008B4996">
        <w:rPr>
          <w:sz w:val="24"/>
          <w:szCs w:val="24"/>
        </w:rPr>
        <w:t xml:space="preserve"> words </w:t>
      </w:r>
      <w:r w:rsidR="00435D85">
        <w:rPr>
          <w:sz w:val="24"/>
          <w:szCs w:val="24"/>
        </w:rPr>
        <w:t>which evoke</w:t>
      </w:r>
      <w:r w:rsidR="008B4996">
        <w:rPr>
          <w:sz w:val="24"/>
          <w:szCs w:val="24"/>
        </w:rPr>
        <w:t xml:space="preserve"> </w:t>
      </w:r>
      <w:r w:rsidR="004211C0">
        <w:rPr>
          <w:sz w:val="24"/>
          <w:szCs w:val="24"/>
        </w:rPr>
        <w:t>service, and echo Euripides’ Andromeda</w:t>
      </w:r>
      <w:r w:rsidR="00F251CF">
        <w:rPr>
          <w:sz w:val="24"/>
          <w:szCs w:val="24"/>
        </w:rPr>
        <w:t xml:space="preserve">, who begged Perseus to take </w:t>
      </w:r>
      <w:r w:rsidR="004E0D92">
        <w:rPr>
          <w:sz w:val="24"/>
          <w:szCs w:val="24"/>
        </w:rPr>
        <w:t>her</w:t>
      </w:r>
      <w:r w:rsidR="00F251CF">
        <w:rPr>
          <w:sz w:val="24"/>
          <w:szCs w:val="24"/>
        </w:rPr>
        <w:t xml:space="preserve"> as handmaiden, wife or slave.</w:t>
      </w:r>
      <w:r w:rsidR="00F251CF">
        <w:rPr>
          <w:rStyle w:val="FootnoteReference"/>
          <w:sz w:val="24"/>
          <w:szCs w:val="24"/>
        </w:rPr>
        <w:footnoteReference w:id="23"/>
      </w:r>
      <w:r w:rsidR="008B4996">
        <w:rPr>
          <w:sz w:val="24"/>
          <w:szCs w:val="24"/>
        </w:rPr>
        <w:t xml:space="preserve"> The concept of ‘wife or slave’ can be traced to </w:t>
      </w:r>
      <w:r w:rsidR="00126E7E">
        <w:rPr>
          <w:i/>
          <w:iCs/>
          <w:sz w:val="24"/>
          <w:szCs w:val="24"/>
        </w:rPr>
        <w:t>I</w:t>
      </w:r>
      <w:r w:rsidR="008B4996">
        <w:rPr>
          <w:i/>
          <w:iCs/>
          <w:sz w:val="24"/>
          <w:szCs w:val="24"/>
        </w:rPr>
        <w:t xml:space="preserve">liad. </w:t>
      </w:r>
      <w:r w:rsidR="008B4996" w:rsidRPr="008B4996">
        <w:rPr>
          <w:sz w:val="24"/>
          <w:szCs w:val="24"/>
        </w:rPr>
        <w:t xml:space="preserve">3.409 </w:t>
      </w:r>
      <w:r w:rsidR="008B4996">
        <w:rPr>
          <w:sz w:val="24"/>
          <w:szCs w:val="24"/>
          <w:lang w:val="el-GR"/>
        </w:rPr>
        <w:t>εἰς</w:t>
      </w:r>
      <w:r w:rsidR="008B4996" w:rsidRPr="008B4996">
        <w:rPr>
          <w:sz w:val="24"/>
          <w:szCs w:val="24"/>
        </w:rPr>
        <w:t xml:space="preserve"> </w:t>
      </w:r>
      <w:r w:rsidR="008B4996">
        <w:rPr>
          <w:sz w:val="24"/>
          <w:szCs w:val="24"/>
          <w:lang w:val="el-GR"/>
        </w:rPr>
        <w:t>ὁ</w:t>
      </w:r>
      <w:r w:rsidR="008B4996" w:rsidRPr="008B4996">
        <w:rPr>
          <w:sz w:val="24"/>
          <w:szCs w:val="24"/>
        </w:rPr>
        <w:t xml:space="preserve"> </w:t>
      </w:r>
      <w:r w:rsidR="008B4996">
        <w:rPr>
          <w:sz w:val="24"/>
          <w:szCs w:val="24"/>
          <w:lang w:val="el-GR"/>
        </w:rPr>
        <w:t>κε</w:t>
      </w:r>
      <w:r w:rsidR="008B4996" w:rsidRPr="008B4996">
        <w:rPr>
          <w:sz w:val="24"/>
          <w:szCs w:val="24"/>
        </w:rPr>
        <w:t xml:space="preserve"> </w:t>
      </w:r>
      <w:r w:rsidR="008B4996">
        <w:rPr>
          <w:sz w:val="24"/>
          <w:szCs w:val="24"/>
          <w:lang w:val="el-GR"/>
        </w:rPr>
        <w:t>ς</w:t>
      </w:r>
      <w:r w:rsidR="008B4996" w:rsidRPr="008B4996">
        <w:rPr>
          <w:sz w:val="24"/>
          <w:szCs w:val="24"/>
        </w:rPr>
        <w:t xml:space="preserve">’ </w:t>
      </w:r>
      <w:r w:rsidR="008B4996">
        <w:rPr>
          <w:sz w:val="24"/>
          <w:szCs w:val="24"/>
          <w:lang w:val="el-GR"/>
        </w:rPr>
        <w:t>ἤ</w:t>
      </w:r>
      <w:r w:rsidR="008B4996" w:rsidRPr="008B4996">
        <w:rPr>
          <w:sz w:val="24"/>
          <w:szCs w:val="24"/>
        </w:rPr>
        <w:t xml:space="preserve"> </w:t>
      </w:r>
      <w:r w:rsidR="008B4996">
        <w:rPr>
          <w:sz w:val="24"/>
          <w:szCs w:val="24"/>
          <w:lang w:val="el-GR"/>
        </w:rPr>
        <w:t>ἀλοχον</w:t>
      </w:r>
      <w:r w:rsidR="008B4996" w:rsidRPr="008B4996">
        <w:rPr>
          <w:sz w:val="24"/>
          <w:szCs w:val="24"/>
        </w:rPr>
        <w:t xml:space="preserve"> </w:t>
      </w:r>
      <w:r w:rsidR="008B4996">
        <w:rPr>
          <w:sz w:val="24"/>
          <w:szCs w:val="24"/>
          <w:lang w:val="el-GR"/>
        </w:rPr>
        <w:t>ποιήσεται</w:t>
      </w:r>
      <w:r w:rsidR="008B4996" w:rsidRPr="008B4996">
        <w:rPr>
          <w:sz w:val="24"/>
          <w:szCs w:val="24"/>
        </w:rPr>
        <w:t xml:space="preserve"> </w:t>
      </w:r>
      <w:r w:rsidR="008B4996">
        <w:rPr>
          <w:sz w:val="24"/>
          <w:szCs w:val="24"/>
          <w:lang w:val="el-GR"/>
        </w:rPr>
        <w:t>ἢ</w:t>
      </w:r>
      <w:r w:rsidR="008B4996" w:rsidRPr="008B4996">
        <w:rPr>
          <w:sz w:val="24"/>
          <w:szCs w:val="24"/>
        </w:rPr>
        <w:t xml:space="preserve"> </w:t>
      </w:r>
      <w:r w:rsidR="008B4996">
        <w:rPr>
          <w:sz w:val="24"/>
          <w:szCs w:val="24"/>
          <w:lang w:val="el-GR"/>
        </w:rPr>
        <w:t>ὁ</w:t>
      </w:r>
      <w:r w:rsidR="008B4996" w:rsidRPr="008B4996">
        <w:rPr>
          <w:sz w:val="24"/>
          <w:szCs w:val="24"/>
        </w:rPr>
        <w:t xml:space="preserve"> </w:t>
      </w:r>
      <w:r w:rsidR="008B4996">
        <w:rPr>
          <w:sz w:val="24"/>
          <w:szCs w:val="24"/>
          <w:lang w:val="el-GR"/>
        </w:rPr>
        <w:t>γε</w:t>
      </w:r>
      <w:r w:rsidR="008B4996" w:rsidRPr="008B4996">
        <w:rPr>
          <w:sz w:val="24"/>
          <w:szCs w:val="24"/>
        </w:rPr>
        <w:t xml:space="preserve"> </w:t>
      </w:r>
      <w:r w:rsidR="008B4996">
        <w:rPr>
          <w:sz w:val="24"/>
          <w:szCs w:val="24"/>
          <w:lang w:val="el-GR"/>
        </w:rPr>
        <w:t>δούλην</w:t>
      </w:r>
      <w:r w:rsidR="008B4996" w:rsidRPr="008B4996">
        <w:rPr>
          <w:sz w:val="24"/>
          <w:szCs w:val="24"/>
        </w:rPr>
        <w:t xml:space="preserve">, </w:t>
      </w:r>
      <w:r w:rsidR="008B4996">
        <w:rPr>
          <w:sz w:val="24"/>
          <w:szCs w:val="24"/>
        </w:rPr>
        <w:t>where Helen dismissively tells Aphrodite to look after Paris herself.</w:t>
      </w:r>
      <w:r w:rsidR="008B4996">
        <w:rPr>
          <w:rStyle w:val="FootnoteReference"/>
          <w:sz w:val="24"/>
          <w:szCs w:val="24"/>
        </w:rPr>
        <w:footnoteReference w:id="24"/>
      </w:r>
      <w:r w:rsidR="008B4996">
        <w:rPr>
          <w:sz w:val="24"/>
          <w:szCs w:val="24"/>
        </w:rPr>
        <w:t xml:space="preserve"> </w:t>
      </w:r>
      <w:r w:rsidR="00435D85">
        <w:rPr>
          <w:sz w:val="24"/>
          <w:szCs w:val="24"/>
        </w:rPr>
        <w:t xml:space="preserve"> </w:t>
      </w:r>
      <w:r w:rsidR="008B4996">
        <w:rPr>
          <w:sz w:val="24"/>
          <w:szCs w:val="24"/>
        </w:rPr>
        <w:t>By Catullus</w:t>
      </w:r>
      <w:r w:rsidR="009651C1">
        <w:rPr>
          <w:sz w:val="24"/>
          <w:szCs w:val="24"/>
        </w:rPr>
        <w:t>’</w:t>
      </w:r>
      <w:r w:rsidR="008B4996">
        <w:rPr>
          <w:sz w:val="24"/>
          <w:szCs w:val="24"/>
        </w:rPr>
        <w:t xml:space="preserve"> time it had become more commonplace</w:t>
      </w:r>
      <w:r w:rsidR="009651C1">
        <w:rPr>
          <w:sz w:val="24"/>
          <w:szCs w:val="24"/>
        </w:rPr>
        <w:t xml:space="preserve"> for desperate women to offer slavery when addressing their lovers. Glenn develops the idea of eroticism. He believes that Ariadne’s psychological circumstances and accompanying frustration would have caused her to submit </w:t>
      </w:r>
      <w:r w:rsidR="009651C1">
        <w:rPr>
          <w:i/>
          <w:iCs/>
          <w:sz w:val="24"/>
          <w:szCs w:val="24"/>
        </w:rPr>
        <w:t xml:space="preserve">iucundo </w:t>
      </w:r>
      <w:r w:rsidR="009651C1">
        <w:rPr>
          <w:sz w:val="24"/>
          <w:szCs w:val="24"/>
        </w:rPr>
        <w:t xml:space="preserve">to the sexual </w:t>
      </w:r>
      <w:r w:rsidR="004211C0">
        <w:rPr>
          <w:sz w:val="24"/>
          <w:szCs w:val="24"/>
        </w:rPr>
        <w:t>conventions</w:t>
      </w:r>
      <w:r w:rsidR="009651C1">
        <w:rPr>
          <w:sz w:val="24"/>
          <w:szCs w:val="24"/>
        </w:rPr>
        <w:t xml:space="preserve"> of a </w:t>
      </w:r>
      <w:r w:rsidR="009651C1">
        <w:rPr>
          <w:i/>
          <w:iCs/>
          <w:sz w:val="24"/>
          <w:szCs w:val="24"/>
        </w:rPr>
        <w:t xml:space="preserve">dominus…famula </w:t>
      </w:r>
      <w:r w:rsidR="009651C1">
        <w:rPr>
          <w:sz w:val="24"/>
          <w:szCs w:val="24"/>
        </w:rPr>
        <w:t>relationship.</w:t>
      </w:r>
      <w:r w:rsidR="009651C1">
        <w:rPr>
          <w:rStyle w:val="FootnoteReference"/>
          <w:sz w:val="24"/>
          <w:szCs w:val="24"/>
        </w:rPr>
        <w:footnoteReference w:id="25"/>
      </w:r>
      <w:r w:rsidR="004211C0">
        <w:rPr>
          <w:sz w:val="24"/>
          <w:szCs w:val="24"/>
        </w:rPr>
        <w:t xml:space="preserve">  </w:t>
      </w:r>
      <w:r w:rsidR="00342167">
        <w:rPr>
          <w:sz w:val="24"/>
          <w:szCs w:val="24"/>
        </w:rPr>
        <w:t xml:space="preserve">Certainly, in Classical literature, </w:t>
      </w:r>
      <w:r w:rsidR="00342167">
        <w:rPr>
          <w:i/>
          <w:iCs/>
          <w:sz w:val="24"/>
          <w:szCs w:val="24"/>
        </w:rPr>
        <w:t xml:space="preserve">famulae </w:t>
      </w:r>
      <w:r w:rsidR="00342167">
        <w:rPr>
          <w:sz w:val="24"/>
          <w:szCs w:val="24"/>
        </w:rPr>
        <w:t xml:space="preserve">and </w:t>
      </w:r>
      <w:r w:rsidR="00342167">
        <w:rPr>
          <w:sz w:val="24"/>
          <w:szCs w:val="24"/>
          <w:lang w:val="el-GR"/>
        </w:rPr>
        <w:t>δμωαί</w:t>
      </w:r>
      <w:r w:rsidR="00342167" w:rsidRPr="00342167">
        <w:rPr>
          <w:sz w:val="24"/>
          <w:szCs w:val="24"/>
        </w:rPr>
        <w:t xml:space="preserve"> </w:t>
      </w:r>
      <w:r w:rsidR="00342167">
        <w:rPr>
          <w:sz w:val="24"/>
          <w:szCs w:val="24"/>
        </w:rPr>
        <w:t>were expected to provide macho mythological heroes with much more than light housekeeping duties.</w:t>
      </w:r>
      <w:r w:rsidR="00A62564">
        <w:rPr>
          <w:rStyle w:val="FootnoteReference"/>
          <w:sz w:val="24"/>
          <w:szCs w:val="24"/>
        </w:rPr>
        <w:footnoteReference w:id="26"/>
      </w:r>
      <w:r w:rsidR="00342167">
        <w:rPr>
          <w:sz w:val="24"/>
          <w:szCs w:val="24"/>
        </w:rPr>
        <w:t xml:space="preserve"> </w:t>
      </w:r>
    </w:p>
    <w:p w14:paraId="338225B5" w14:textId="0F7552BD" w:rsidR="0077428F" w:rsidRDefault="00A81B5C" w:rsidP="00C92EC6">
      <w:pPr>
        <w:rPr>
          <w:sz w:val="24"/>
          <w:szCs w:val="24"/>
        </w:rPr>
      </w:pPr>
      <w:r>
        <w:rPr>
          <w:sz w:val="24"/>
          <w:szCs w:val="24"/>
        </w:rPr>
        <w:t>The act of</w:t>
      </w:r>
      <w:r w:rsidR="00EB09F2">
        <w:rPr>
          <w:sz w:val="24"/>
          <w:szCs w:val="24"/>
        </w:rPr>
        <w:t xml:space="preserve"> washing of feet by slaves (line 162), </w:t>
      </w:r>
      <w:r>
        <w:rPr>
          <w:sz w:val="24"/>
          <w:szCs w:val="24"/>
        </w:rPr>
        <w:t>also has sexual potential, as</w:t>
      </w:r>
      <w:r w:rsidR="00EB09F2">
        <w:rPr>
          <w:sz w:val="24"/>
          <w:szCs w:val="24"/>
        </w:rPr>
        <w:t xml:space="preserve"> is seen in </w:t>
      </w:r>
      <w:r w:rsidR="00EB09F2">
        <w:rPr>
          <w:i/>
          <w:iCs/>
          <w:sz w:val="24"/>
          <w:szCs w:val="24"/>
        </w:rPr>
        <w:t xml:space="preserve">Odyssey </w:t>
      </w:r>
      <w:r w:rsidR="00EB09F2">
        <w:rPr>
          <w:sz w:val="24"/>
          <w:szCs w:val="24"/>
        </w:rPr>
        <w:t>19.344-8, where Odysseus requests that only a trusted olde</w:t>
      </w:r>
      <w:r w:rsidR="00126E7E">
        <w:rPr>
          <w:sz w:val="24"/>
          <w:szCs w:val="24"/>
        </w:rPr>
        <w:t>r woman should perform such a task</w:t>
      </w:r>
      <w:r w:rsidR="00EB09F2">
        <w:rPr>
          <w:sz w:val="24"/>
          <w:szCs w:val="24"/>
        </w:rPr>
        <w:t>.</w:t>
      </w:r>
      <w:r w:rsidR="00A52911">
        <w:rPr>
          <w:rStyle w:val="FootnoteReference"/>
          <w:sz w:val="24"/>
          <w:szCs w:val="24"/>
        </w:rPr>
        <w:footnoteReference w:id="27"/>
      </w:r>
      <w:r w:rsidR="00EB09F2">
        <w:rPr>
          <w:sz w:val="24"/>
          <w:szCs w:val="24"/>
        </w:rPr>
        <w:t xml:space="preserve"> </w:t>
      </w:r>
      <w:r w:rsidR="00EB09F2">
        <w:rPr>
          <w:i/>
          <w:iCs/>
          <w:sz w:val="24"/>
          <w:szCs w:val="24"/>
        </w:rPr>
        <w:t xml:space="preserve">Permulceo </w:t>
      </w:r>
      <w:r w:rsidR="008771C0">
        <w:rPr>
          <w:sz w:val="24"/>
          <w:szCs w:val="24"/>
        </w:rPr>
        <w:t xml:space="preserve">suggests ‘soothing, pacifying, </w:t>
      </w:r>
      <w:r w:rsidR="002D5ABE">
        <w:rPr>
          <w:sz w:val="24"/>
          <w:szCs w:val="24"/>
        </w:rPr>
        <w:t>alleviating</w:t>
      </w:r>
      <w:r w:rsidR="008771C0">
        <w:rPr>
          <w:sz w:val="24"/>
          <w:szCs w:val="24"/>
        </w:rPr>
        <w:t xml:space="preserve">’, while </w:t>
      </w:r>
      <w:r w:rsidR="008771C0">
        <w:rPr>
          <w:i/>
          <w:iCs/>
          <w:sz w:val="24"/>
          <w:szCs w:val="24"/>
        </w:rPr>
        <w:t xml:space="preserve">candida </w:t>
      </w:r>
      <w:r w:rsidR="008771C0">
        <w:rPr>
          <w:sz w:val="24"/>
          <w:szCs w:val="24"/>
        </w:rPr>
        <w:t>suggests beautiful, shining white.</w:t>
      </w:r>
      <w:r w:rsidR="008771C0">
        <w:rPr>
          <w:rStyle w:val="FootnoteReference"/>
          <w:sz w:val="24"/>
          <w:szCs w:val="24"/>
        </w:rPr>
        <w:footnoteReference w:id="28"/>
      </w:r>
      <w:r w:rsidR="008771C0">
        <w:rPr>
          <w:sz w:val="24"/>
          <w:szCs w:val="24"/>
        </w:rPr>
        <w:t xml:space="preserve"> </w:t>
      </w:r>
      <w:r w:rsidR="00A62564">
        <w:rPr>
          <w:sz w:val="24"/>
          <w:szCs w:val="24"/>
        </w:rPr>
        <w:t>Theseus’ feet are not yet white, but Ariadne will wash them until they are!</w:t>
      </w:r>
      <w:r w:rsidR="00A62564">
        <w:rPr>
          <w:rStyle w:val="FootnoteReference"/>
          <w:sz w:val="24"/>
          <w:szCs w:val="24"/>
        </w:rPr>
        <w:footnoteReference w:id="29"/>
      </w:r>
      <w:r>
        <w:rPr>
          <w:sz w:val="24"/>
          <w:szCs w:val="24"/>
        </w:rPr>
        <w:t xml:space="preserve"> </w:t>
      </w:r>
      <w:r w:rsidR="008771C0">
        <w:rPr>
          <w:sz w:val="24"/>
          <w:szCs w:val="24"/>
        </w:rPr>
        <w:t xml:space="preserve">The erotic combination of ‘water’ and ‘bare legs’ relates to the description of Ariadne’s ‘bare knee’ in line 129, </w:t>
      </w:r>
      <w:r w:rsidR="008771C0">
        <w:rPr>
          <w:i/>
          <w:iCs/>
          <w:sz w:val="24"/>
          <w:szCs w:val="24"/>
        </w:rPr>
        <w:t>nudatae..surae.</w:t>
      </w:r>
      <w:r>
        <w:rPr>
          <w:sz w:val="24"/>
          <w:szCs w:val="24"/>
        </w:rPr>
        <w:t xml:space="preserve"> </w:t>
      </w:r>
      <w:r w:rsidR="00513D78">
        <w:rPr>
          <w:sz w:val="24"/>
          <w:szCs w:val="24"/>
        </w:rPr>
        <w:t xml:space="preserve"> </w:t>
      </w:r>
      <w:r>
        <w:rPr>
          <w:sz w:val="24"/>
          <w:szCs w:val="24"/>
        </w:rPr>
        <w:t xml:space="preserve">These lines </w:t>
      </w:r>
      <w:r w:rsidR="00513D78">
        <w:rPr>
          <w:sz w:val="24"/>
          <w:szCs w:val="24"/>
        </w:rPr>
        <w:t xml:space="preserve">echoe Catullus’ exhortation to Lesbia that she must not be dissuaded from love making by the harsh talk of </w:t>
      </w:r>
      <w:r w:rsidR="00B25A00">
        <w:rPr>
          <w:sz w:val="24"/>
          <w:szCs w:val="24"/>
        </w:rPr>
        <w:t>strait-laced</w:t>
      </w:r>
      <w:r w:rsidR="00513D78">
        <w:rPr>
          <w:sz w:val="24"/>
          <w:szCs w:val="24"/>
        </w:rPr>
        <w:t xml:space="preserve"> old men </w:t>
      </w:r>
      <w:r w:rsidR="00513D78">
        <w:rPr>
          <w:i/>
          <w:iCs/>
          <w:sz w:val="24"/>
          <w:szCs w:val="24"/>
        </w:rPr>
        <w:t>rumoresque senum severiorum.</w:t>
      </w:r>
      <w:r w:rsidR="00513D78">
        <w:rPr>
          <w:rStyle w:val="FootnoteReference"/>
          <w:i/>
          <w:iCs/>
          <w:sz w:val="24"/>
          <w:szCs w:val="24"/>
        </w:rPr>
        <w:footnoteReference w:id="30"/>
      </w:r>
      <w:r w:rsidR="009A4468">
        <w:rPr>
          <w:sz w:val="24"/>
          <w:szCs w:val="24"/>
        </w:rPr>
        <w:t xml:space="preserve"> </w:t>
      </w:r>
      <w:r w:rsidR="00B91C9E">
        <w:rPr>
          <w:sz w:val="24"/>
          <w:szCs w:val="24"/>
        </w:rPr>
        <w:t xml:space="preserve">The purple </w:t>
      </w:r>
      <w:r w:rsidR="00887A66">
        <w:rPr>
          <w:sz w:val="24"/>
          <w:szCs w:val="24"/>
        </w:rPr>
        <w:t>bedcover</w:t>
      </w:r>
      <w:r w:rsidR="00B91C9E">
        <w:rPr>
          <w:sz w:val="24"/>
          <w:szCs w:val="24"/>
        </w:rPr>
        <w:t xml:space="preserve"> reminds Ariadne of Thetis’ coverlet, on which she sees herself</w:t>
      </w:r>
      <w:r w:rsidR="0066676E">
        <w:rPr>
          <w:sz w:val="24"/>
          <w:szCs w:val="24"/>
        </w:rPr>
        <w:t xml:space="preserve"> serving sexually.</w:t>
      </w:r>
      <w:r w:rsidR="00B91C9E">
        <w:rPr>
          <w:sz w:val="24"/>
          <w:szCs w:val="24"/>
        </w:rPr>
        <w:t xml:space="preserve"> </w:t>
      </w:r>
      <w:r w:rsidR="002D5ABE">
        <w:rPr>
          <w:sz w:val="24"/>
          <w:szCs w:val="24"/>
        </w:rPr>
        <w:t>It is then that she remembers where she is and the daydream ends.</w:t>
      </w:r>
    </w:p>
    <w:p w14:paraId="68AD6EAF" w14:textId="282CE9D5" w:rsidR="00163AE5" w:rsidRDefault="00235E32" w:rsidP="00C92EC6">
      <w:pPr>
        <w:rPr>
          <w:sz w:val="24"/>
          <w:szCs w:val="24"/>
        </w:rPr>
      </w:pPr>
      <w:r>
        <w:rPr>
          <w:sz w:val="24"/>
          <w:szCs w:val="24"/>
        </w:rPr>
        <w:t xml:space="preserve">  </w:t>
      </w:r>
      <w:r w:rsidR="004E0D92">
        <w:rPr>
          <w:sz w:val="24"/>
          <w:szCs w:val="24"/>
        </w:rPr>
        <w:t>Having reflected on what</w:t>
      </w:r>
      <w:r w:rsidR="009A4468">
        <w:rPr>
          <w:sz w:val="24"/>
          <w:szCs w:val="24"/>
        </w:rPr>
        <w:t xml:space="preserve"> could have been, Ariadne promptly snaps back into awareness of </w:t>
      </w:r>
      <w:r w:rsidR="003E4D83">
        <w:rPr>
          <w:sz w:val="24"/>
          <w:szCs w:val="24"/>
        </w:rPr>
        <w:t>her</w:t>
      </w:r>
      <w:r w:rsidR="009A4468">
        <w:rPr>
          <w:sz w:val="24"/>
          <w:szCs w:val="24"/>
        </w:rPr>
        <w:t xml:space="preserve"> present wretched state, left without listeners and with nowhere to turn (lines 164-70).</w:t>
      </w:r>
      <w:r w:rsidR="00C36734">
        <w:rPr>
          <w:sz w:val="24"/>
          <w:szCs w:val="24"/>
        </w:rPr>
        <w:t xml:space="preserve"> </w:t>
      </w:r>
      <w:r w:rsidR="004D1682">
        <w:rPr>
          <w:sz w:val="24"/>
          <w:szCs w:val="24"/>
        </w:rPr>
        <w:t xml:space="preserve"> </w:t>
      </w:r>
      <w:r w:rsidR="00BA4D10">
        <w:rPr>
          <w:sz w:val="24"/>
          <w:szCs w:val="24"/>
        </w:rPr>
        <w:t xml:space="preserve"> </w:t>
      </w:r>
      <w:r w:rsidR="00BA4D10">
        <w:rPr>
          <w:i/>
          <w:iCs/>
          <w:sz w:val="24"/>
          <w:szCs w:val="24"/>
        </w:rPr>
        <w:t xml:space="preserve">Sed quid ego ignaris nequiquam conqueror auris eternata malo. </w:t>
      </w:r>
      <w:r w:rsidR="00F304C8">
        <w:rPr>
          <w:sz w:val="24"/>
          <w:szCs w:val="24"/>
        </w:rPr>
        <w:t xml:space="preserve">This echoes Dido’s turn from unheard command to self-address, </w:t>
      </w:r>
      <w:r w:rsidR="00F304C8">
        <w:rPr>
          <w:i/>
          <w:iCs/>
          <w:sz w:val="24"/>
          <w:szCs w:val="24"/>
        </w:rPr>
        <w:t xml:space="preserve">quid loquor? Aut ubi sum? Quae mentem insania mutat? </w:t>
      </w:r>
      <w:r w:rsidR="00F304C8">
        <w:rPr>
          <w:rStyle w:val="FootnoteReference"/>
          <w:i/>
          <w:iCs/>
          <w:sz w:val="24"/>
          <w:szCs w:val="24"/>
        </w:rPr>
        <w:footnoteReference w:id="31"/>
      </w:r>
      <w:r w:rsidR="00B25A00">
        <w:rPr>
          <w:sz w:val="24"/>
          <w:szCs w:val="24"/>
        </w:rPr>
        <w:t xml:space="preserve"> Both Dido and Ariadne’s words are perhaps a form of madness</w:t>
      </w:r>
      <w:r w:rsidR="00DA5423">
        <w:rPr>
          <w:sz w:val="24"/>
          <w:szCs w:val="24"/>
        </w:rPr>
        <w:t>,</w:t>
      </w:r>
      <w:r w:rsidR="00B25A00">
        <w:rPr>
          <w:rStyle w:val="FootnoteReference"/>
          <w:sz w:val="24"/>
          <w:szCs w:val="24"/>
        </w:rPr>
        <w:footnoteReference w:id="32"/>
      </w:r>
      <w:r w:rsidR="00DA5423">
        <w:rPr>
          <w:sz w:val="24"/>
          <w:szCs w:val="24"/>
        </w:rPr>
        <w:t xml:space="preserve">whose impact is </w:t>
      </w:r>
      <w:r w:rsidR="00DA5423">
        <w:rPr>
          <w:sz w:val="24"/>
          <w:szCs w:val="24"/>
        </w:rPr>
        <w:lastRenderedPageBreak/>
        <w:t>maximised by the sheer energy of the grief and fury which fuel them.</w:t>
      </w:r>
      <w:r w:rsidR="00DA5423">
        <w:rPr>
          <w:rStyle w:val="FootnoteReference"/>
          <w:sz w:val="24"/>
          <w:szCs w:val="24"/>
        </w:rPr>
        <w:footnoteReference w:id="33"/>
      </w:r>
      <w:r w:rsidR="00F304C8">
        <w:rPr>
          <w:i/>
          <w:iCs/>
          <w:sz w:val="24"/>
          <w:szCs w:val="24"/>
        </w:rPr>
        <w:t xml:space="preserve"> </w:t>
      </w:r>
      <w:r w:rsidR="00F304C8">
        <w:rPr>
          <w:sz w:val="24"/>
          <w:szCs w:val="24"/>
        </w:rPr>
        <w:t xml:space="preserve">(what say I? Where am I? What madness turns my brain?). </w:t>
      </w:r>
      <w:r w:rsidR="00BA4D10">
        <w:rPr>
          <w:sz w:val="24"/>
          <w:szCs w:val="24"/>
        </w:rPr>
        <w:t xml:space="preserve"> </w:t>
      </w:r>
      <w:r w:rsidR="00F304C8">
        <w:rPr>
          <w:sz w:val="24"/>
          <w:szCs w:val="24"/>
        </w:rPr>
        <w:t>T</w:t>
      </w:r>
      <w:r w:rsidR="00BA4D10">
        <w:rPr>
          <w:sz w:val="24"/>
          <w:szCs w:val="24"/>
        </w:rPr>
        <w:t xml:space="preserve">ogether with the juxtaposition of </w:t>
      </w:r>
      <w:r w:rsidR="00BA4D10">
        <w:rPr>
          <w:i/>
          <w:iCs/>
          <w:sz w:val="24"/>
          <w:szCs w:val="24"/>
        </w:rPr>
        <w:t>ignaris nequiquem</w:t>
      </w:r>
      <w:r w:rsidR="00BA4D10">
        <w:rPr>
          <w:sz w:val="24"/>
          <w:szCs w:val="24"/>
        </w:rPr>
        <w:t xml:space="preserve"> </w:t>
      </w:r>
      <w:r w:rsidR="00F304C8">
        <w:rPr>
          <w:sz w:val="24"/>
          <w:szCs w:val="24"/>
        </w:rPr>
        <w:t xml:space="preserve">it </w:t>
      </w:r>
      <w:r w:rsidR="00BA4D10">
        <w:rPr>
          <w:sz w:val="24"/>
          <w:szCs w:val="24"/>
        </w:rPr>
        <w:t xml:space="preserve">confirms the theme of futility. </w:t>
      </w:r>
      <w:r w:rsidR="00F304C8">
        <w:rPr>
          <w:sz w:val="24"/>
          <w:szCs w:val="24"/>
        </w:rPr>
        <w:t>Yet, despite that question, Ariadne, like Dido, continues to speak, apparently to herself.</w:t>
      </w:r>
      <w:r w:rsidR="00550EE1">
        <w:rPr>
          <w:sz w:val="24"/>
          <w:szCs w:val="24"/>
        </w:rPr>
        <w:t xml:space="preserve"> </w:t>
      </w:r>
    </w:p>
    <w:p w14:paraId="05B830D1" w14:textId="5D96D24D" w:rsidR="00DA5423" w:rsidRDefault="00163AE5" w:rsidP="00C92EC6">
      <w:pPr>
        <w:rPr>
          <w:sz w:val="24"/>
          <w:szCs w:val="24"/>
        </w:rPr>
      </w:pPr>
      <w:r>
        <w:rPr>
          <w:sz w:val="24"/>
          <w:szCs w:val="24"/>
        </w:rPr>
        <w:t>L</w:t>
      </w:r>
      <w:r w:rsidR="00550EE1">
        <w:rPr>
          <w:sz w:val="24"/>
          <w:szCs w:val="24"/>
        </w:rPr>
        <w:t>amenting to the natural environment</w:t>
      </w:r>
      <w:r>
        <w:rPr>
          <w:sz w:val="24"/>
          <w:szCs w:val="24"/>
        </w:rPr>
        <w:t xml:space="preserve"> is a</w:t>
      </w:r>
      <w:r w:rsidR="00550EE1">
        <w:rPr>
          <w:sz w:val="24"/>
          <w:szCs w:val="24"/>
        </w:rPr>
        <w:t xml:space="preserve"> very conventional refuge in tragedy </w:t>
      </w:r>
      <w:r>
        <w:rPr>
          <w:sz w:val="24"/>
          <w:szCs w:val="24"/>
        </w:rPr>
        <w:t xml:space="preserve">for </w:t>
      </w:r>
      <w:r w:rsidR="00550EE1">
        <w:rPr>
          <w:sz w:val="24"/>
          <w:szCs w:val="24"/>
        </w:rPr>
        <w:t xml:space="preserve">characters in her position.  </w:t>
      </w:r>
      <w:r w:rsidR="00550EE1">
        <w:rPr>
          <w:i/>
          <w:iCs/>
          <w:sz w:val="24"/>
          <w:szCs w:val="24"/>
        </w:rPr>
        <w:t xml:space="preserve">nullis sensibus auctae </w:t>
      </w:r>
      <w:r w:rsidR="00550EE1">
        <w:rPr>
          <w:sz w:val="24"/>
          <w:szCs w:val="24"/>
        </w:rPr>
        <w:t>(</w:t>
      </w:r>
      <w:r w:rsidR="00411530">
        <w:rPr>
          <w:sz w:val="24"/>
          <w:szCs w:val="24"/>
        </w:rPr>
        <w:t xml:space="preserve">endowed with no feelings, </w:t>
      </w:r>
      <w:r w:rsidR="00550EE1">
        <w:rPr>
          <w:sz w:val="24"/>
          <w:szCs w:val="24"/>
        </w:rPr>
        <w:t>line 165)</w:t>
      </w:r>
      <w:r>
        <w:rPr>
          <w:sz w:val="24"/>
          <w:szCs w:val="24"/>
        </w:rPr>
        <w:t xml:space="preserve"> appears to</w:t>
      </w:r>
      <w:r w:rsidR="00550EE1">
        <w:rPr>
          <w:sz w:val="24"/>
          <w:szCs w:val="24"/>
        </w:rPr>
        <w:t xml:space="preserve"> mock artists who have depicted the soul as endowed with physical senses</w:t>
      </w:r>
      <w:r>
        <w:rPr>
          <w:sz w:val="24"/>
          <w:szCs w:val="24"/>
        </w:rPr>
        <w:t>,</w:t>
      </w:r>
      <w:r w:rsidR="00550EE1">
        <w:rPr>
          <w:rStyle w:val="FootnoteReference"/>
          <w:sz w:val="24"/>
          <w:szCs w:val="24"/>
        </w:rPr>
        <w:footnoteReference w:id="34"/>
      </w:r>
      <w:r>
        <w:rPr>
          <w:sz w:val="24"/>
          <w:szCs w:val="24"/>
        </w:rPr>
        <w:t xml:space="preserve"> a</w:t>
      </w:r>
      <w:r w:rsidR="00550EE1">
        <w:rPr>
          <w:sz w:val="24"/>
          <w:szCs w:val="24"/>
        </w:rPr>
        <w:t xml:space="preserve"> parallel</w:t>
      </w:r>
      <w:r>
        <w:rPr>
          <w:sz w:val="24"/>
          <w:szCs w:val="24"/>
        </w:rPr>
        <w:t xml:space="preserve"> of which is seen</w:t>
      </w:r>
      <w:r w:rsidR="00550EE1">
        <w:rPr>
          <w:sz w:val="24"/>
          <w:szCs w:val="24"/>
        </w:rPr>
        <w:t xml:space="preserve"> in Euripides’ </w:t>
      </w:r>
      <w:r w:rsidR="00550EE1">
        <w:rPr>
          <w:i/>
          <w:iCs/>
          <w:sz w:val="24"/>
          <w:szCs w:val="24"/>
        </w:rPr>
        <w:t xml:space="preserve">Medea </w:t>
      </w:r>
      <w:r w:rsidR="00550EE1">
        <w:rPr>
          <w:sz w:val="24"/>
          <w:szCs w:val="24"/>
        </w:rPr>
        <w:t>56-8</w:t>
      </w:r>
      <w:r w:rsidR="00BD2973">
        <w:rPr>
          <w:sz w:val="24"/>
          <w:szCs w:val="24"/>
        </w:rPr>
        <w:t>,</w:t>
      </w:r>
      <w:r w:rsidR="00A52911">
        <w:rPr>
          <w:rStyle w:val="FootnoteReference"/>
          <w:sz w:val="24"/>
          <w:szCs w:val="24"/>
        </w:rPr>
        <w:footnoteReference w:id="35"/>
      </w:r>
      <w:r w:rsidR="00BD2973">
        <w:rPr>
          <w:sz w:val="24"/>
          <w:szCs w:val="24"/>
        </w:rPr>
        <w:t xml:space="preserve"> where the Nurse, who had reached such a degree of anguish, </w:t>
      </w:r>
      <w:r w:rsidR="00BD2973">
        <w:rPr>
          <w:sz w:val="24"/>
          <w:szCs w:val="24"/>
          <w:lang w:val="el-GR"/>
        </w:rPr>
        <w:t>ὣσθ</w:t>
      </w:r>
      <w:r w:rsidR="00BD2973">
        <w:rPr>
          <w:sz w:val="24"/>
          <w:szCs w:val="24"/>
        </w:rPr>
        <w:t>’</w:t>
      </w:r>
      <w:r w:rsidR="00BD2973" w:rsidRPr="00BD2973">
        <w:rPr>
          <w:sz w:val="24"/>
          <w:szCs w:val="24"/>
        </w:rPr>
        <w:t xml:space="preserve"> </w:t>
      </w:r>
      <w:r w:rsidR="00BD2973">
        <w:rPr>
          <w:sz w:val="24"/>
          <w:szCs w:val="24"/>
          <w:lang w:val="el-GR"/>
        </w:rPr>
        <w:t>μ</w:t>
      </w:r>
      <w:r w:rsidR="00BD2973">
        <w:rPr>
          <w:sz w:val="24"/>
          <w:szCs w:val="24"/>
        </w:rPr>
        <w:t>’</w:t>
      </w:r>
      <w:r w:rsidR="00BD2973" w:rsidRPr="00BD2973">
        <w:rPr>
          <w:sz w:val="24"/>
          <w:szCs w:val="24"/>
        </w:rPr>
        <w:t xml:space="preserve"> </w:t>
      </w:r>
      <w:r w:rsidR="00BD2973">
        <w:rPr>
          <w:sz w:val="24"/>
          <w:szCs w:val="24"/>
          <w:lang w:val="el-GR"/>
        </w:rPr>
        <w:t>ὑπῆλθε</w:t>
      </w:r>
      <w:r w:rsidR="00BD2973" w:rsidRPr="00BD2973">
        <w:rPr>
          <w:sz w:val="24"/>
          <w:szCs w:val="24"/>
        </w:rPr>
        <w:t xml:space="preserve"> </w:t>
      </w:r>
      <w:r w:rsidR="00BD2973">
        <w:rPr>
          <w:sz w:val="24"/>
          <w:szCs w:val="24"/>
          <w:lang w:val="el-GR"/>
        </w:rPr>
        <w:t>γῆι</w:t>
      </w:r>
      <w:r w:rsidR="00BD2973" w:rsidRPr="00BD2973">
        <w:rPr>
          <w:sz w:val="24"/>
          <w:szCs w:val="24"/>
        </w:rPr>
        <w:t xml:space="preserve"> </w:t>
      </w:r>
      <w:r w:rsidR="00BD2973">
        <w:rPr>
          <w:sz w:val="24"/>
          <w:szCs w:val="24"/>
          <w:lang w:val="el-GR"/>
        </w:rPr>
        <w:t>τε</w:t>
      </w:r>
      <w:r w:rsidR="00BD2973" w:rsidRPr="00BD2973">
        <w:rPr>
          <w:sz w:val="24"/>
          <w:szCs w:val="24"/>
        </w:rPr>
        <w:t xml:space="preserve"> </w:t>
      </w:r>
      <w:r w:rsidR="00BD2973">
        <w:rPr>
          <w:sz w:val="24"/>
          <w:szCs w:val="24"/>
          <w:lang w:val="el-GR"/>
        </w:rPr>
        <w:t>κοὑρανῶι</w:t>
      </w:r>
      <w:r w:rsidR="00BD2973" w:rsidRPr="00BD2973">
        <w:rPr>
          <w:sz w:val="24"/>
          <w:szCs w:val="24"/>
        </w:rPr>
        <w:t xml:space="preserve"> </w:t>
      </w:r>
      <w:r w:rsidR="00BD2973">
        <w:rPr>
          <w:sz w:val="24"/>
          <w:szCs w:val="24"/>
          <w:lang w:val="el-GR"/>
        </w:rPr>
        <w:t>λέξαι</w:t>
      </w:r>
      <w:r w:rsidR="00BD2973" w:rsidRPr="00BD2973">
        <w:rPr>
          <w:sz w:val="24"/>
          <w:szCs w:val="24"/>
        </w:rPr>
        <w:t xml:space="preserve"> </w:t>
      </w:r>
      <w:r w:rsidR="00BD2973">
        <w:rPr>
          <w:sz w:val="24"/>
          <w:szCs w:val="24"/>
          <w:lang w:val="el-GR"/>
        </w:rPr>
        <w:t>μολούσηι</w:t>
      </w:r>
      <w:r w:rsidR="00BD2973" w:rsidRPr="00BD2973">
        <w:rPr>
          <w:sz w:val="24"/>
          <w:szCs w:val="24"/>
        </w:rPr>
        <w:t xml:space="preserve"> </w:t>
      </w:r>
      <w:r w:rsidR="00BD2973">
        <w:rPr>
          <w:sz w:val="24"/>
          <w:szCs w:val="24"/>
          <w:lang w:val="el-GR"/>
        </w:rPr>
        <w:t>δεῦρο</w:t>
      </w:r>
      <w:r w:rsidR="00BD2973" w:rsidRPr="00BD2973">
        <w:rPr>
          <w:sz w:val="24"/>
          <w:szCs w:val="24"/>
        </w:rPr>
        <w:t xml:space="preserve"> </w:t>
      </w:r>
      <w:r w:rsidR="00BD2973">
        <w:rPr>
          <w:sz w:val="24"/>
          <w:szCs w:val="24"/>
          <w:lang w:val="el-GR"/>
        </w:rPr>
        <w:t>δεσποίνης</w:t>
      </w:r>
      <w:r w:rsidR="00BD2973" w:rsidRPr="00BD2973">
        <w:rPr>
          <w:sz w:val="24"/>
          <w:szCs w:val="24"/>
        </w:rPr>
        <w:t xml:space="preserve"> </w:t>
      </w:r>
      <w:r w:rsidR="00BD2973">
        <w:rPr>
          <w:sz w:val="24"/>
          <w:szCs w:val="24"/>
          <w:lang w:val="el-GR"/>
        </w:rPr>
        <w:t>τύχας</w:t>
      </w:r>
      <w:r w:rsidR="00BD2973" w:rsidRPr="00BD2973">
        <w:rPr>
          <w:sz w:val="24"/>
          <w:szCs w:val="24"/>
        </w:rPr>
        <w:t xml:space="preserve"> </w:t>
      </w:r>
      <w:r w:rsidR="00BD2973">
        <w:rPr>
          <w:sz w:val="24"/>
          <w:szCs w:val="24"/>
        </w:rPr>
        <w:t>(that a love overcame me to come out here and speak my mistresses’ wrongs both to heaven and earth).</w:t>
      </w:r>
      <w:r w:rsidR="00BD2973">
        <w:rPr>
          <w:rStyle w:val="FootnoteReference"/>
          <w:sz w:val="24"/>
          <w:szCs w:val="24"/>
        </w:rPr>
        <w:footnoteReference w:id="36"/>
      </w:r>
      <w:r w:rsidR="00B91C9E">
        <w:rPr>
          <w:sz w:val="24"/>
          <w:szCs w:val="24"/>
        </w:rPr>
        <w:t xml:space="preserve"> Ariadne proceeds to dismiss certain possible audiences: the breezes are unsatisfactory on account of their not being able to hear or reply; Theseus </w:t>
      </w:r>
      <w:r w:rsidR="00BD2973">
        <w:rPr>
          <w:sz w:val="24"/>
          <w:szCs w:val="24"/>
        </w:rPr>
        <w:t>is</w:t>
      </w:r>
      <w:r w:rsidR="00B91C9E">
        <w:rPr>
          <w:sz w:val="24"/>
          <w:szCs w:val="24"/>
        </w:rPr>
        <w:t xml:space="preserve"> far away, and there is no other mortal present (lines 164-8). </w:t>
      </w:r>
      <w:r w:rsidR="00411530">
        <w:rPr>
          <w:i/>
          <w:iCs/>
          <w:sz w:val="24"/>
          <w:szCs w:val="24"/>
        </w:rPr>
        <w:t xml:space="preserve">Nec quisquam apparet vacua mortalis in alga </w:t>
      </w:r>
      <w:r w:rsidR="00411530">
        <w:rPr>
          <w:sz w:val="24"/>
          <w:szCs w:val="24"/>
        </w:rPr>
        <w:t xml:space="preserve"> </w:t>
      </w:r>
      <w:r w:rsidR="00DA5423">
        <w:rPr>
          <w:sz w:val="24"/>
          <w:szCs w:val="24"/>
        </w:rPr>
        <w:t xml:space="preserve">The fact that Ariadne </w:t>
      </w:r>
      <w:r w:rsidR="00562543">
        <w:rPr>
          <w:sz w:val="24"/>
          <w:szCs w:val="24"/>
        </w:rPr>
        <w:t>must</w:t>
      </w:r>
      <w:r w:rsidR="00DA5423">
        <w:rPr>
          <w:sz w:val="24"/>
          <w:szCs w:val="24"/>
        </w:rPr>
        <w:t xml:space="preserve"> deliver her speech to the wind and the waves</w:t>
      </w:r>
      <w:r w:rsidR="00072126">
        <w:rPr>
          <w:sz w:val="24"/>
          <w:szCs w:val="24"/>
        </w:rPr>
        <w:t xml:space="preserve"> renders her less influential than Medea, who reviles Jason to his face, and becomes the instrument of her own vengeance, as is demonstrated </w:t>
      </w:r>
      <w:r w:rsidR="00C5460D">
        <w:rPr>
          <w:sz w:val="24"/>
          <w:szCs w:val="24"/>
        </w:rPr>
        <w:t>i</w:t>
      </w:r>
      <w:r w:rsidR="00072126">
        <w:rPr>
          <w:sz w:val="24"/>
          <w:szCs w:val="24"/>
        </w:rPr>
        <w:t xml:space="preserve">n Euripides’ </w:t>
      </w:r>
      <w:r w:rsidR="00072126">
        <w:rPr>
          <w:i/>
          <w:iCs/>
          <w:sz w:val="24"/>
          <w:szCs w:val="24"/>
        </w:rPr>
        <w:t>Medea.</w:t>
      </w:r>
      <w:r w:rsidR="00072126">
        <w:rPr>
          <w:sz w:val="24"/>
          <w:szCs w:val="24"/>
        </w:rPr>
        <w:t xml:space="preserve"> </w:t>
      </w:r>
      <w:r w:rsidR="007848BA">
        <w:rPr>
          <w:sz w:val="24"/>
          <w:szCs w:val="24"/>
        </w:rPr>
        <w:t>Furthermore, Ariadne is not able to hear what excuses Theseus might make and does not have the satisfaction of letting him know her views.</w:t>
      </w:r>
      <w:r w:rsidR="00072126">
        <w:rPr>
          <w:rStyle w:val="FootnoteReference"/>
          <w:sz w:val="24"/>
          <w:szCs w:val="24"/>
        </w:rPr>
        <w:footnoteReference w:id="37"/>
      </w:r>
    </w:p>
    <w:p w14:paraId="28302A5E" w14:textId="07AF4EE3" w:rsidR="00BA4D10" w:rsidRDefault="00411530" w:rsidP="00C92EC6">
      <w:pPr>
        <w:rPr>
          <w:sz w:val="24"/>
          <w:szCs w:val="24"/>
        </w:rPr>
      </w:pPr>
      <w:r>
        <w:rPr>
          <w:sz w:val="24"/>
          <w:szCs w:val="24"/>
        </w:rPr>
        <w:t xml:space="preserve">In lines 167-8, Ariadne </w:t>
      </w:r>
      <w:r w:rsidR="00C11213">
        <w:rPr>
          <w:sz w:val="24"/>
          <w:szCs w:val="24"/>
        </w:rPr>
        <w:t xml:space="preserve">contrasts Theseus’ being in the middle of the sea, with her having gone nowhere. Interestingly, there is a sandwiching of the non-existent man in the middle of </w:t>
      </w:r>
      <w:r w:rsidR="00C11213">
        <w:rPr>
          <w:i/>
          <w:iCs/>
          <w:sz w:val="24"/>
          <w:szCs w:val="24"/>
        </w:rPr>
        <w:t xml:space="preserve">vacua…in alga, </w:t>
      </w:r>
      <w:r w:rsidR="00C11213">
        <w:rPr>
          <w:sz w:val="24"/>
          <w:szCs w:val="24"/>
        </w:rPr>
        <w:t xml:space="preserve">with mention of </w:t>
      </w:r>
      <w:r w:rsidR="0089625D">
        <w:rPr>
          <w:sz w:val="24"/>
          <w:szCs w:val="24"/>
        </w:rPr>
        <w:t>‘</w:t>
      </w:r>
      <w:r w:rsidR="00C11213">
        <w:rPr>
          <w:sz w:val="24"/>
          <w:szCs w:val="24"/>
        </w:rPr>
        <w:t>weedy</w:t>
      </w:r>
      <w:r w:rsidR="0089625D">
        <w:rPr>
          <w:sz w:val="24"/>
          <w:szCs w:val="24"/>
        </w:rPr>
        <w:t>’</w:t>
      </w:r>
      <w:r w:rsidR="00C11213">
        <w:rPr>
          <w:sz w:val="24"/>
          <w:szCs w:val="24"/>
        </w:rPr>
        <w:t xml:space="preserve"> as opposed to the more poetic, </w:t>
      </w:r>
      <w:r w:rsidR="0089625D">
        <w:rPr>
          <w:sz w:val="24"/>
          <w:szCs w:val="24"/>
        </w:rPr>
        <w:t>‘</w:t>
      </w:r>
      <w:r w:rsidR="00C11213">
        <w:rPr>
          <w:sz w:val="24"/>
          <w:szCs w:val="24"/>
        </w:rPr>
        <w:t>sandy shore</w:t>
      </w:r>
      <w:r w:rsidR="0089625D">
        <w:rPr>
          <w:sz w:val="24"/>
          <w:szCs w:val="24"/>
        </w:rPr>
        <w:t>’</w:t>
      </w:r>
      <w:r w:rsidR="00C11213">
        <w:rPr>
          <w:sz w:val="24"/>
          <w:szCs w:val="24"/>
        </w:rPr>
        <w:t>.</w:t>
      </w:r>
      <w:r w:rsidR="00C11213">
        <w:rPr>
          <w:rStyle w:val="FootnoteReference"/>
          <w:sz w:val="24"/>
          <w:szCs w:val="24"/>
        </w:rPr>
        <w:footnoteReference w:id="38"/>
      </w:r>
      <w:r w:rsidR="00C11213">
        <w:rPr>
          <w:sz w:val="24"/>
          <w:szCs w:val="24"/>
        </w:rPr>
        <w:t xml:space="preserve"> </w:t>
      </w:r>
    </w:p>
    <w:p w14:paraId="188A240F" w14:textId="77777777" w:rsidR="00C5460D" w:rsidRDefault="00971E0D" w:rsidP="00C92EC6">
      <w:pPr>
        <w:rPr>
          <w:sz w:val="24"/>
          <w:szCs w:val="24"/>
        </w:rPr>
      </w:pPr>
      <w:r>
        <w:rPr>
          <w:sz w:val="24"/>
          <w:szCs w:val="24"/>
        </w:rPr>
        <w:t>Having considered her position, Ariadne now entertains the possibility that it was divinely caused</w:t>
      </w:r>
      <w:r w:rsidR="0089625D">
        <w:rPr>
          <w:sz w:val="24"/>
          <w:szCs w:val="24"/>
        </w:rPr>
        <w:t>. If so, this could palliate</w:t>
      </w:r>
      <w:r w:rsidR="00B25A00">
        <w:rPr>
          <w:sz w:val="24"/>
          <w:szCs w:val="24"/>
        </w:rPr>
        <w:t xml:space="preserve"> Theseus’ desertion and further</w:t>
      </w:r>
      <w:r w:rsidR="00BD2973">
        <w:rPr>
          <w:sz w:val="24"/>
          <w:szCs w:val="24"/>
        </w:rPr>
        <w:t xml:space="preserve"> a claim</w:t>
      </w:r>
      <w:r w:rsidR="005439C1">
        <w:rPr>
          <w:sz w:val="24"/>
          <w:szCs w:val="24"/>
        </w:rPr>
        <w:t xml:space="preserve"> by some critics</w:t>
      </w:r>
      <w:r w:rsidR="00B25A00">
        <w:rPr>
          <w:sz w:val="24"/>
          <w:szCs w:val="24"/>
        </w:rPr>
        <w:t xml:space="preserve"> that Catullus gives little space to his baseness</w:t>
      </w:r>
      <w:r w:rsidR="00AC3B86">
        <w:rPr>
          <w:sz w:val="24"/>
          <w:szCs w:val="24"/>
        </w:rPr>
        <w:t>.</w:t>
      </w:r>
      <w:r w:rsidR="00B25A00">
        <w:rPr>
          <w:rStyle w:val="FootnoteReference"/>
          <w:sz w:val="24"/>
          <w:szCs w:val="24"/>
        </w:rPr>
        <w:footnoteReference w:id="39"/>
      </w:r>
      <w:r w:rsidR="007848BA">
        <w:rPr>
          <w:sz w:val="24"/>
          <w:szCs w:val="24"/>
        </w:rPr>
        <w:t xml:space="preserve"> Ariadne’s earlier account of Theseus’ self-sacrifice and success in Crete </w:t>
      </w:r>
      <w:r w:rsidR="005439C1">
        <w:rPr>
          <w:sz w:val="24"/>
          <w:szCs w:val="24"/>
        </w:rPr>
        <w:t>supports this</w:t>
      </w:r>
      <w:r w:rsidR="007848BA">
        <w:rPr>
          <w:sz w:val="24"/>
          <w:szCs w:val="24"/>
        </w:rPr>
        <w:t>.</w:t>
      </w:r>
      <w:r w:rsidR="005439C1">
        <w:rPr>
          <w:sz w:val="24"/>
          <w:szCs w:val="24"/>
        </w:rPr>
        <w:t xml:space="preserve"> </w:t>
      </w:r>
      <w:r w:rsidR="007848BA">
        <w:rPr>
          <w:sz w:val="24"/>
          <w:szCs w:val="24"/>
        </w:rPr>
        <w:t xml:space="preserve"> </w:t>
      </w:r>
    </w:p>
    <w:p w14:paraId="2E53DA8B" w14:textId="0E3FEC3B" w:rsidR="000F6509" w:rsidRPr="00164DA4" w:rsidRDefault="00971E0D" w:rsidP="00C92EC6">
      <w:pPr>
        <w:rPr>
          <w:sz w:val="24"/>
          <w:szCs w:val="24"/>
        </w:rPr>
      </w:pPr>
      <w:r>
        <w:rPr>
          <w:i/>
          <w:iCs/>
          <w:sz w:val="24"/>
          <w:szCs w:val="24"/>
        </w:rPr>
        <w:t xml:space="preserve">Extremo tempore </w:t>
      </w:r>
      <w:r>
        <w:rPr>
          <w:sz w:val="24"/>
          <w:szCs w:val="24"/>
        </w:rPr>
        <w:t>(my last hour)</w:t>
      </w:r>
      <w:r w:rsidR="00164DA4">
        <w:rPr>
          <w:sz w:val="24"/>
          <w:szCs w:val="24"/>
        </w:rPr>
        <w:t xml:space="preserve"> (line 169)</w:t>
      </w:r>
      <w:r>
        <w:rPr>
          <w:sz w:val="24"/>
          <w:szCs w:val="24"/>
        </w:rPr>
        <w:t xml:space="preserve"> indicates </w:t>
      </w:r>
      <w:r w:rsidR="00C5460D">
        <w:rPr>
          <w:sz w:val="24"/>
          <w:szCs w:val="24"/>
        </w:rPr>
        <w:t xml:space="preserve">both </w:t>
      </w:r>
      <w:r>
        <w:rPr>
          <w:sz w:val="24"/>
          <w:szCs w:val="24"/>
        </w:rPr>
        <w:t xml:space="preserve">Ariadne’s conviction that she is about to </w:t>
      </w:r>
      <w:r w:rsidR="00EA2195">
        <w:rPr>
          <w:sz w:val="24"/>
          <w:szCs w:val="24"/>
        </w:rPr>
        <w:t>die</w:t>
      </w:r>
      <w:r w:rsidR="00BD2973">
        <w:rPr>
          <w:sz w:val="24"/>
          <w:szCs w:val="24"/>
        </w:rPr>
        <w:t>,</w:t>
      </w:r>
      <w:r w:rsidR="00EA2195">
        <w:rPr>
          <w:sz w:val="24"/>
          <w:szCs w:val="24"/>
        </w:rPr>
        <w:t xml:space="preserve"> and the cruel nature of fate.</w:t>
      </w:r>
      <w:r>
        <w:rPr>
          <w:sz w:val="24"/>
          <w:szCs w:val="24"/>
        </w:rPr>
        <w:t xml:space="preserve"> </w:t>
      </w:r>
      <w:r w:rsidR="000F6509">
        <w:rPr>
          <w:sz w:val="24"/>
          <w:szCs w:val="24"/>
        </w:rPr>
        <w:t>This</w:t>
      </w:r>
      <w:r w:rsidR="00EA2195">
        <w:rPr>
          <w:sz w:val="24"/>
          <w:szCs w:val="24"/>
        </w:rPr>
        <w:t xml:space="preserve"> </w:t>
      </w:r>
      <w:r>
        <w:rPr>
          <w:sz w:val="24"/>
          <w:szCs w:val="24"/>
        </w:rPr>
        <w:t>ushers in the next section of the speech.</w:t>
      </w:r>
      <w:r w:rsidR="00164DA4">
        <w:rPr>
          <w:sz w:val="24"/>
          <w:szCs w:val="24"/>
        </w:rPr>
        <w:t xml:space="preserve"> P</w:t>
      </w:r>
      <w:r w:rsidR="00DC082F">
        <w:rPr>
          <w:sz w:val="24"/>
          <w:szCs w:val="24"/>
        </w:rPr>
        <w:t>u</w:t>
      </w:r>
      <w:r w:rsidR="00164DA4">
        <w:rPr>
          <w:sz w:val="24"/>
          <w:szCs w:val="24"/>
        </w:rPr>
        <w:t xml:space="preserve">tnam sees a close connection between Catullus’ thoughts on his own </w:t>
      </w:r>
      <w:r w:rsidR="00164DA4">
        <w:rPr>
          <w:i/>
          <w:iCs/>
          <w:sz w:val="24"/>
          <w:szCs w:val="24"/>
        </w:rPr>
        <w:t xml:space="preserve">novissimo casu </w:t>
      </w:r>
      <w:r w:rsidR="00164DA4">
        <w:rPr>
          <w:sz w:val="24"/>
          <w:szCs w:val="24"/>
        </w:rPr>
        <w:t>and Ariadne’s refection on her supposedly imminent death.</w:t>
      </w:r>
      <w:r w:rsidR="00164DA4">
        <w:rPr>
          <w:rStyle w:val="FootnoteReference"/>
          <w:sz w:val="24"/>
          <w:szCs w:val="24"/>
        </w:rPr>
        <w:footnoteReference w:id="40"/>
      </w:r>
    </w:p>
    <w:p w14:paraId="7F34405C" w14:textId="5AE6BA3A" w:rsidR="00562543" w:rsidRDefault="000F6509" w:rsidP="00C92EC6">
      <w:pPr>
        <w:rPr>
          <w:sz w:val="24"/>
          <w:szCs w:val="24"/>
        </w:rPr>
      </w:pPr>
      <w:r>
        <w:rPr>
          <w:sz w:val="24"/>
          <w:szCs w:val="24"/>
        </w:rPr>
        <w:t xml:space="preserve">Lines 171-6 echo the famous opening of Euripides’ and Ennius’ </w:t>
      </w:r>
      <w:r>
        <w:rPr>
          <w:i/>
          <w:iCs/>
          <w:sz w:val="24"/>
          <w:szCs w:val="24"/>
        </w:rPr>
        <w:t>Medea</w:t>
      </w:r>
      <w:r w:rsidR="00E31666">
        <w:rPr>
          <w:i/>
          <w:iCs/>
          <w:sz w:val="24"/>
          <w:szCs w:val="24"/>
        </w:rPr>
        <w:t xml:space="preserve">, </w:t>
      </w:r>
      <w:r w:rsidR="00E31666">
        <w:rPr>
          <w:sz w:val="24"/>
          <w:szCs w:val="24"/>
        </w:rPr>
        <w:t xml:space="preserve">where Ariadne wishes that Theseus had never come to Crete, </w:t>
      </w:r>
      <w:r w:rsidR="00E31666">
        <w:rPr>
          <w:sz w:val="24"/>
          <w:szCs w:val="24"/>
          <w:lang w:val="el-GR"/>
        </w:rPr>
        <w:t>Εἴ</w:t>
      </w:r>
      <w:r w:rsidR="00E31666" w:rsidRPr="00E31666">
        <w:rPr>
          <w:sz w:val="24"/>
          <w:szCs w:val="24"/>
        </w:rPr>
        <w:t xml:space="preserve"> </w:t>
      </w:r>
      <w:r w:rsidR="00E31666">
        <w:rPr>
          <w:sz w:val="24"/>
          <w:szCs w:val="24"/>
          <w:lang w:val="el-GR"/>
        </w:rPr>
        <w:t>ὤφελ</w:t>
      </w:r>
      <w:r w:rsidR="00E31666">
        <w:rPr>
          <w:sz w:val="24"/>
          <w:szCs w:val="24"/>
        </w:rPr>
        <w:t>’</w:t>
      </w:r>
      <w:r w:rsidR="00E31666" w:rsidRPr="00E31666">
        <w:rPr>
          <w:sz w:val="24"/>
          <w:szCs w:val="24"/>
        </w:rPr>
        <w:t xml:space="preserve"> </w:t>
      </w:r>
      <w:r w:rsidR="00E31666">
        <w:rPr>
          <w:sz w:val="24"/>
          <w:szCs w:val="24"/>
          <w:lang w:val="el-GR"/>
        </w:rPr>
        <w:t>Ἀργοῦς</w:t>
      </w:r>
      <w:r w:rsidR="00E31666" w:rsidRPr="00E31666">
        <w:rPr>
          <w:sz w:val="24"/>
          <w:szCs w:val="24"/>
        </w:rPr>
        <w:t xml:space="preserve"> </w:t>
      </w:r>
      <w:r w:rsidR="00E31666">
        <w:rPr>
          <w:sz w:val="24"/>
          <w:szCs w:val="24"/>
          <w:lang w:val="el-GR"/>
        </w:rPr>
        <w:t>μὴ</w:t>
      </w:r>
      <w:r w:rsidR="00E31666" w:rsidRPr="00E31666">
        <w:rPr>
          <w:sz w:val="24"/>
          <w:szCs w:val="24"/>
        </w:rPr>
        <w:t xml:space="preserve"> </w:t>
      </w:r>
      <w:r w:rsidR="00E31666">
        <w:rPr>
          <w:sz w:val="24"/>
          <w:szCs w:val="24"/>
          <w:lang w:val="el-GR"/>
        </w:rPr>
        <w:t>διαπτάσθαι</w:t>
      </w:r>
      <w:r w:rsidR="00E31666" w:rsidRPr="00E31666">
        <w:rPr>
          <w:sz w:val="24"/>
          <w:szCs w:val="24"/>
        </w:rPr>
        <w:t xml:space="preserve"> </w:t>
      </w:r>
      <w:r w:rsidR="00E31666">
        <w:rPr>
          <w:sz w:val="24"/>
          <w:szCs w:val="24"/>
          <w:lang w:val="el-GR"/>
        </w:rPr>
        <w:t>σκάφος</w:t>
      </w:r>
      <w:r w:rsidR="00E31666" w:rsidRPr="00E31666">
        <w:rPr>
          <w:sz w:val="24"/>
          <w:szCs w:val="24"/>
        </w:rPr>
        <w:t xml:space="preserve"> </w:t>
      </w:r>
      <w:r w:rsidR="00E31666">
        <w:rPr>
          <w:sz w:val="24"/>
          <w:szCs w:val="24"/>
          <w:lang w:val="el-GR"/>
        </w:rPr>
        <w:t>Κόλχων</w:t>
      </w:r>
      <w:r w:rsidR="00E31666" w:rsidRPr="00E31666">
        <w:rPr>
          <w:sz w:val="24"/>
          <w:szCs w:val="24"/>
        </w:rPr>
        <w:t xml:space="preserve"> </w:t>
      </w:r>
      <w:r w:rsidR="00E31666">
        <w:rPr>
          <w:sz w:val="24"/>
          <w:szCs w:val="24"/>
          <w:lang w:val="el-GR"/>
        </w:rPr>
        <w:t>ἐς</w:t>
      </w:r>
      <w:r w:rsidR="00E31666" w:rsidRPr="00E31666">
        <w:rPr>
          <w:sz w:val="24"/>
          <w:szCs w:val="24"/>
        </w:rPr>
        <w:t xml:space="preserve"> </w:t>
      </w:r>
      <w:r w:rsidR="00E31666">
        <w:rPr>
          <w:sz w:val="24"/>
          <w:szCs w:val="24"/>
          <w:lang w:val="el-GR"/>
        </w:rPr>
        <w:t>αῖαν</w:t>
      </w:r>
      <w:r w:rsidR="00E31666" w:rsidRPr="00E31666">
        <w:rPr>
          <w:sz w:val="24"/>
          <w:szCs w:val="24"/>
        </w:rPr>
        <w:t xml:space="preserve"> </w:t>
      </w:r>
      <w:r w:rsidR="00E31666">
        <w:rPr>
          <w:sz w:val="24"/>
          <w:szCs w:val="24"/>
          <w:lang w:val="el-GR"/>
        </w:rPr>
        <w:t>κυανέας</w:t>
      </w:r>
      <w:r w:rsidR="00E31666" w:rsidRPr="00E31666">
        <w:rPr>
          <w:sz w:val="24"/>
          <w:szCs w:val="24"/>
        </w:rPr>
        <w:t xml:space="preserve"> </w:t>
      </w:r>
      <w:r w:rsidR="00E31666">
        <w:rPr>
          <w:sz w:val="24"/>
          <w:szCs w:val="24"/>
          <w:lang w:val="el-GR"/>
        </w:rPr>
        <w:t>Συμπληγάδας</w:t>
      </w:r>
      <w:r w:rsidR="00E31666" w:rsidRPr="00E31666">
        <w:rPr>
          <w:sz w:val="24"/>
          <w:szCs w:val="24"/>
        </w:rPr>
        <w:t>..</w:t>
      </w:r>
      <w:r w:rsidR="00387B9F">
        <w:rPr>
          <w:sz w:val="24"/>
          <w:szCs w:val="24"/>
        </w:rPr>
        <w:t>(‘</w:t>
      </w:r>
      <w:r w:rsidR="00E31666">
        <w:rPr>
          <w:sz w:val="24"/>
          <w:szCs w:val="24"/>
        </w:rPr>
        <w:t>Would that the hull of the Argo had not flown through the Clashing Rocks to the land of the Colchians’</w:t>
      </w:r>
      <w:r w:rsidR="00387B9F">
        <w:rPr>
          <w:sz w:val="24"/>
          <w:szCs w:val="24"/>
        </w:rPr>
        <w:t>)</w:t>
      </w:r>
      <w:r w:rsidR="00E31666">
        <w:rPr>
          <w:sz w:val="24"/>
          <w:szCs w:val="24"/>
        </w:rPr>
        <w:t>. Whereas Ariadne</w:t>
      </w:r>
      <w:r w:rsidR="009E2CD4">
        <w:rPr>
          <w:sz w:val="24"/>
          <w:szCs w:val="24"/>
        </w:rPr>
        <w:t xml:space="preserve">, echoing Medea’s own voice, goes on to resemble Ennius even more closely with the </w:t>
      </w:r>
      <w:r w:rsidR="00804532">
        <w:rPr>
          <w:sz w:val="24"/>
          <w:szCs w:val="24"/>
        </w:rPr>
        <w:t xml:space="preserve">questioning </w:t>
      </w:r>
      <w:r w:rsidR="00804532">
        <w:rPr>
          <w:sz w:val="24"/>
          <w:szCs w:val="24"/>
        </w:rPr>
        <w:lastRenderedPageBreak/>
        <w:t xml:space="preserve">which </w:t>
      </w:r>
      <w:r w:rsidR="009E2CD4">
        <w:rPr>
          <w:sz w:val="24"/>
          <w:szCs w:val="24"/>
        </w:rPr>
        <w:t xml:space="preserve">follows in lines 177-83, here she briefly takes that of the Nurse. As Armstrong states, Ariadne </w:t>
      </w:r>
      <w:r w:rsidR="000B344C">
        <w:rPr>
          <w:sz w:val="24"/>
          <w:szCs w:val="24"/>
        </w:rPr>
        <w:t>can</w:t>
      </w:r>
      <w:r w:rsidR="009E2CD4">
        <w:rPr>
          <w:sz w:val="24"/>
          <w:szCs w:val="24"/>
        </w:rPr>
        <w:t xml:space="preserve"> assess her own story as if she were observing it happen to someone else, which would suit the rationality of lines 164-70. </w:t>
      </w:r>
      <w:r w:rsidR="00431C0F">
        <w:rPr>
          <w:rStyle w:val="FootnoteReference"/>
          <w:sz w:val="24"/>
          <w:szCs w:val="24"/>
        </w:rPr>
        <w:footnoteReference w:id="41"/>
      </w:r>
      <w:r w:rsidR="009E2CD4">
        <w:rPr>
          <w:sz w:val="24"/>
          <w:szCs w:val="24"/>
        </w:rPr>
        <w:t xml:space="preserve">It also suggests how closely the Nurse is in sympathy with Medea in </w:t>
      </w:r>
      <w:r w:rsidR="000B344C">
        <w:rPr>
          <w:sz w:val="24"/>
          <w:szCs w:val="24"/>
        </w:rPr>
        <w:t xml:space="preserve">both tragic sources. </w:t>
      </w:r>
      <w:r w:rsidR="00431C0F">
        <w:rPr>
          <w:rStyle w:val="FootnoteReference"/>
          <w:sz w:val="24"/>
          <w:szCs w:val="24"/>
        </w:rPr>
        <w:footnoteReference w:id="42"/>
      </w:r>
    </w:p>
    <w:p w14:paraId="5F2B9833" w14:textId="1295F9AB" w:rsidR="000F6509" w:rsidRPr="005A2FE5" w:rsidRDefault="00562543" w:rsidP="00C92EC6">
      <w:pPr>
        <w:rPr>
          <w:sz w:val="24"/>
          <w:szCs w:val="24"/>
        </w:rPr>
      </w:pPr>
      <w:r>
        <w:rPr>
          <w:sz w:val="24"/>
          <w:szCs w:val="24"/>
        </w:rPr>
        <w:t xml:space="preserve"> </w:t>
      </w:r>
      <w:r w:rsidR="000B344C">
        <w:rPr>
          <w:sz w:val="24"/>
          <w:szCs w:val="24"/>
        </w:rPr>
        <w:t xml:space="preserve">Contaminating Theseus’ ship with the Argo is another use of the Medea myth but it must be borne </w:t>
      </w:r>
      <w:r w:rsidR="00887A66">
        <w:rPr>
          <w:sz w:val="24"/>
          <w:szCs w:val="24"/>
        </w:rPr>
        <w:t>in</w:t>
      </w:r>
      <w:r w:rsidR="000B344C">
        <w:rPr>
          <w:sz w:val="24"/>
          <w:szCs w:val="24"/>
        </w:rPr>
        <w:t xml:space="preserve"> mind that for Ariadne</w:t>
      </w:r>
      <w:r w:rsidR="005439C1">
        <w:rPr>
          <w:sz w:val="24"/>
          <w:szCs w:val="24"/>
        </w:rPr>
        <w:t>,</w:t>
      </w:r>
      <w:r w:rsidR="000B344C">
        <w:rPr>
          <w:sz w:val="24"/>
          <w:szCs w:val="24"/>
        </w:rPr>
        <w:t xml:space="preserve"> it is not Theseus’ departure from Athens (which would be parallel with the sailing of the Argo) that was the crucial moment, but his arrival in Crete. Ariadne’s words recall Medea’s wish that Jason had been killed at sea before arriving in Colchis.</w:t>
      </w:r>
      <w:r w:rsidR="000B344C">
        <w:rPr>
          <w:rStyle w:val="FootnoteReference"/>
          <w:sz w:val="24"/>
          <w:szCs w:val="24"/>
        </w:rPr>
        <w:footnoteReference w:id="43"/>
      </w:r>
      <w:r w:rsidR="000B344C">
        <w:rPr>
          <w:sz w:val="24"/>
          <w:szCs w:val="24"/>
        </w:rPr>
        <w:t xml:space="preserve"> </w:t>
      </w:r>
      <w:r w:rsidR="006A5572">
        <w:rPr>
          <w:sz w:val="24"/>
          <w:szCs w:val="24"/>
        </w:rPr>
        <w:t xml:space="preserve"> </w:t>
      </w:r>
      <w:r w:rsidR="005A2FE5">
        <w:rPr>
          <w:sz w:val="24"/>
          <w:szCs w:val="24"/>
        </w:rPr>
        <w:t xml:space="preserve">Note the understatement in </w:t>
      </w:r>
      <w:r w:rsidR="005A2FE5">
        <w:rPr>
          <w:i/>
          <w:iCs/>
          <w:sz w:val="24"/>
          <w:szCs w:val="24"/>
        </w:rPr>
        <w:t xml:space="preserve">utinam….Gnosia Cecropiae tetigissent litora puppes </w:t>
      </w:r>
      <w:r w:rsidR="005A2FE5">
        <w:rPr>
          <w:sz w:val="24"/>
          <w:szCs w:val="24"/>
        </w:rPr>
        <w:t xml:space="preserve"> (If only the poops of Cecrops had not even touched the shore of Cnossos</w:t>
      </w:r>
      <w:r w:rsidR="00387B9F">
        <w:rPr>
          <w:sz w:val="24"/>
          <w:szCs w:val="24"/>
        </w:rPr>
        <w:t>)</w:t>
      </w:r>
      <w:r w:rsidR="005A2FE5">
        <w:rPr>
          <w:sz w:val="24"/>
          <w:szCs w:val="24"/>
        </w:rPr>
        <w:t xml:space="preserve">. This suggests that Ariadne’s fate was sealed by this tiny act, </w:t>
      </w:r>
      <w:r w:rsidR="00DC082F">
        <w:rPr>
          <w:sz w:val="24"/>
          <w:szCs w:val="24"/>
        </w:rPr>
        <w:t>which Godwin terms</w:t>
      </w:r>
      <w:r w:rsidR="005A2FE5">
        <w:rPr>
          <w:sz w:val="24"/>
          <w:szCs w:val="24"/>
        </w:rPr>
        <w:t xml:space="preserve"> the ‘bomb detonated by a spark.’</w:t>
      </w:r>
      <w:r w:rsidR="005A2FE5">
        <w:rPr>
          <w:rStyle w:val="FootnoteReference"/>
          <w:sz w:val="24"/>
          <w:szCs w:val="24"/>
        </w:rPr>
        <w:footnoteReference w:id="44"/>
      </w:r>
    </w:p>
    <w:p w14:paraId="79431E47" w14:textId="0F6B992D" w:rsidR="00E46F09" w:rsidRDefault="00E46F09" w:rsidP="00C92EC6">
      <w:pPr>
        <w:rPr>
          <w:sz w:val="24"/>
          <w:szCs w:val="24"/>
        </w:rPr>
      </w:pPr>
      <w:r>
        <w:rPr>
          <w:sz w:val="24"/>
          <w:szCs w:val="24"/>
        </w:rPr>
        <w:t xml:space="preserve">  Three aspects of Theseus’ arrival are highlighted, which form a rhetorical </w:t>
      </w:r>
      <w:r w:rsidR="005A2FE5">
        <w:rPr>
          <w:sz w:val="24"/>
          <w:szCs w:val="24"/>
        </w:rPr>
        <w:t>crescendo,</w:t>
      </w:r>
      <w:r>
        <w:rPr>
          <w:sz w:val="24"/>
          <w:szCs w:val="24"/>
        </w:rPr>
        <w:t xml:space="preserve"> but which are primarily emotional: the arrival of Athenian ships in Crete</w:t>
      </w:r>
      <w:r w:rsidR="00387B9F">
        <w:rPr>
          <w:sz w:val="24"/>
          <w:szCs w:val="24"/>
        </w:rPr>
        <w:t xml:space="preserve"> (line 172)</w:t>
      </w:r>
      <w:r>
        <w:rPr>
          <w:sz w:val="24"/>
          <w:szCs w:val="24"/>
        </w:rPr>
        <w:t>;</w:t>
      </w:r>
      <w:r w:rsidR="00934B9C">
        <w:rPr>
          <w:sz w:val="24"/>
          <w:szCs w:val="24"/>
        </w:rPr>
        <w:t xml:space="preserve"> the</w:t>
      </w:r>
      <w:r>
        <w:rPr>
          <w:sz w:val="24"/>
          <w:szCs w:val="24"/>
        </w:rPr>
        <w:t xml:space="preserve"> unnamed </w:t>
      </w:r>
      <w:r>
        <w:rPr>
          <w:i/>
          <w:iCs/>
          <w:sz w:val="24"/>
          <w:szCs w:val="24"/>
        </w:rPr>
        <w:t>perfidus navita</w:t>
      </w:r>
      <w:r>
        <w:rPr>
          <w:sz w:val="24"/>
          <w:szCs w:val="24"/>
        </w:rPr>
        <w:t xml:space="preserve"> tying up his ship</w:t>
      </w:r>
      <w:r w:rsidR="00934B9C">
        <w:rPr>
          <w:sz w:val="24"/>
          <w:szCs w:val="24"/>
        </w:rPr>
        <w:t xml:space="preserve"> (line 174)</w:t>
      </w:r>
      <w:r>
        <w:rPr>
          <w:sz w:val="24"/>
          <w:szCs w:val="24"/>
        </w:rPr>
        <w:t xml:space="preserve">, and the appearance of the prepossessing, deceptive </w:t>
      </w:r>
      <w:r>
        <w:rPr>
          <w:i/>
          <w:iCs/>
          <w:sz w:val="24"/>
          <w:szCs w:val="24"/>
        </w:rPr>
        <w:t xml:space="preserve">malus hic </w:t>
      </w:r>
      <w:r>
        <w:rPr>
          <w:sz w:val="24"/>
          <w:szCs w:val="24"/>
        </w:rPr>
        <w:t>in her own family home</w:t>
      </w:r>
      <w:r w:rsidR="00934B9C">
        <w:rPr>
          <w:sz w:val="24"/>
          <w:szCs w:val="24"/>
        </w:rPr>
        <w:t xml:space="preserve"> (lines 174-5)</w:t>
      </w:r>
      <w:r>
        <w:rPr>
          <w:sz w:val="24"/>
          <w:szCs w:val="24"/>
        </w:rPr>
        <w:t xml:space="preserve">. </w:t>
      </w:r>
      <w:r w:rsidR="00033282">
        <w:rPr>
          <w:sz w:val="24"/>
          <w:szCs w:val="24"/>
        </w:rPr>
        <w:t xml:space="preserve">Although the narrator had highlighted Theseus’ arrival in Crete as the beginning of Ariadne’s woes, </w:t>
      </w:r>
      <w:r w:rsidR="00033282">
        <w:rPr>
          <w:i/>
          <w:iCs/>
          <w:sz w:val="24"/>
          <w:szCs w:val="24"/>
        </w:rPr>
        <w:t xml:space="preserve">egressus curvis e litoribus Piraei attigit iniusti regis Cortynia templa </w:t>
      </w:r>
      <w:r w:rsidR="00033282">
        <w:rPr>
          <w:sz w:val="24"/>
          <w:szCs w:val="24"/>
        </w:rPr>
        <w:t>(setting forth from the winding shores of Piraeus reached the Gortynian palace of the lawless king),</w:t>
      </w:r>
      <w:r w:rsidR="00033282">
        <w:rPr>
          <w:rStyle w:val="FootnoteReference"/>
          <w:sz w:val="24"/>
          <w:szCs w:val="24"/>
        </w:rPr>
        <w:footnoteReference w:id="45"/>
      </w:r>
      <w:r w:rsidR="00033282">
        <w:rPr>
          <w:sz w:val="24"/>
          <w:szCs w:val="24"/>
        </w:rPr>
        <w:t xml:space="preserve"> Ariadne </w:t>
      </w:r>
      <w:r w:rsidR="00DC082F">
        <w:rPr>
          <w:sz w:val="24"/>
          <w:szCs w:val="24"/>
        </w:rPr>
        <w:t>recounts</w:t>
      </w:r>
      <w:r w:rsidR="00033282">
        <w:rPr>
          <w:sz w:val="24"/>
          <w:szCs w:val="24"/>
        </w:rPr>
        <w:t xml:space="preserve"> lines 76-85 here too, and the hideous paying of tribute to the Min</w:t>
      </w:r>
      <w:r w:rsidR="005A279D">
        <w:rPr>
          <w:sz w:val="24"/>
          <w:szCs w:val="24"/>
        </w:rPr>
        <w:t>otaur. Whereas some words are merely echoes (</w:t>
      </w:r>
      <w:r w:rsidR="005A279D">
        <w:rPr>
          <w:i/>
          <w:iCs/>
          <w:sz w:val="24"/>
          <w:szCs w:val="24"/>
        </w:rPr>
        <w:t>Cecropiae, Cretam, tetigissent..attigit</w:t>
      </w:r>
      <w:r w:rsidR="005A279D">
        <w:rPr>
          <w:sz w:val="24"/>
          <w:szCs w:val="24"/>
        </w:rPr>
        <w:t>)</w:t>
      </w:r>
      <w:r w:rsidR="00562543">
        <w:rPr>
          <w:sz w:val="24"/>
          <w:szCs w:val="24"/>
        </w:rPr>
        <w:t>,</w:t>
      </w:r>
      <w:r w:rsidR="005A279D">
        <w:rPr>
          <w:sz w:val="24"/>
          <w:szCs w:val="24"/>
        </w:rPr>
        <w:t xml:space="preserve"> other details reappear through Ariadne’s focalisation (</w:t>
      </w:r>
      <w:r w:rsidR="005A279D">
        <w:rPr>
          <w:i/>
          <w:iCs/>
          <w:sz w:val="24"/>
          <w:szCs w:val="24"/>
        </w:rPr>
        <w:t xml:space="preserve">sedes superbas </w:t>
      </w:r>
      <w:r w:rsidR="005A279D">
        <w:rPr>
          <w:sz w:val="24"/>
          <w:szCs w:val="24"/>
        </w:rPr>
        <w:t xml:space="preserve">become </w:t>
      </w:r>
      <w:r w:rsidR="005A279D">
        <w:rPr>
          <w:i/>
          <w:iCs/>
          <w:sz w:val="24"/>
          <w:szCs w:val="24"/>
        </w:rPr>
        <w:t>nostris sedibus</w:t>
      </w:r>
      <w:r w:rsidR="00113505">
        <w:rPr>
          <w:sz w:val="24"/>
          <w:szCs w:val="24"/>
        </w:rPr>
        <w:t>).</w:t>
      </w:r>
      <w:r w:rsidR="005A279D">
        <w:rPr>
          <w:i/>
          <w:iCs/>
          <w:sz w:val="24"/>
          <w:szCs w:val="24"/>
        </w:rPr>
        <w:t xml:space="preserve"> </w:t>
      </w:r>
      <w:r w:rsidR="005A279D">
        <w:rPr>
          <w:sz w:val="24"/>
          <w:szCs w:val="24"/>
        </w:rPr>
        <w:t xml:space="preserve">The heroic ferox Theseus is now </w:t>
      </w:r>
      <w:r w:rsidR="005A279D">
        <w:rPr>
          <w:i/>
          <w:iCs/>
          <w:sz w:val="24"/>
          <w:szCs w:val="24"/>
        </w:rPr>
        <w:t xml:space="preserve">perfidus ..navita </w:t>
      </w:r>
      <w:r w:rsidR="005A279D">
        <w:rPr>
          <w:sz w:val="24"/>
          <w:szCs w:val="24"/>
        </w:rPr>
        <w:t xml:space="preserve">and </w:t>
      </w:r>
      <w:r w:rsidR="005A279D">
        <w:rPr>
          <w:i/>
          <w:iCs/>
          <w:sz w:val="24"/>
          <w:szCs w:val="24"/>
        </w:rPr>
        <w:t xml:space="preserve">malus hic, </w:t>
      </w:r>
      <w:r w:rsidR="005A279D">
        <w:rPr>
          <w:sz w:val="24"/>
          <w:szCs w:val="24"/>
        </w:rPr>
        <w:t xml:space="preserve">whereas his patriotic motivation, </w:t>
      </w:r>
      <w:r w:rsidR="005A279D">
        <w:rPr>
          <w:i/>
          <w:iCs/>
          <w:sz w:val="24"/>
          <w:szCs w:val="24"/>
        </w:rPr>
        <w:t xml:space="preserve">ipse suum Theseus pro caris corpus Athenis proicere optavit, </w:t>
      </w:r>
      <w:r w:rsidR="005A279D">
        <w:rPr>
          <w:sz w:val="24"/>
          <w:szCs w:val="24"/>
        </w:rPr>
        <w:t>(Theseus himself for his dear Athens chose to offer his own body)</w:t>
      </w:r>
      <w:r w:rsidR="006C2065">
        <w:rPr>
          <w:rStyle w:val="FootnoteReference"/>
          <w:sz w:val="24"/>
          <w:szCs w:val="24"/>
        </w:rPr>
        <w:footnoteReference w:id="46"/>
      </w:r>
      <w:r w:rsidR="005A279D">
        <w:rPr>
          <w:sz w:val="24"/>
          <w:szCs w:val="24"/>
        </w:rPr>
        <w:t>, is replaced</w:t>
      </w:r>
      <w:r w:rsidR="006C2065">
        <w:rPr>
          <w:sz w:val="24"/>
          <w:szCs w:val="24"/>
        </w:rPr>
        <w:t xml:space="preserve"> by </w:t>
      </w:r>
      <w:r w:rsidR="006C2065">
        <w:rPr>
          <w:i/>
          <w:iCs/>
          <w:sz w:val="24"/>
          <w:szCs w:val="24"/>
        </w:rPr>
        <w:t xml:space="preserve">celans dulci crudelia forma consilia, </w:t>
      </w:r>
      <w:r w:rsidR="006C2065">
        <w:rPr>
          <w:sz w:val="24"/>
          <w:szCs w:val="24"/>
        </w:rPr>
        <w:t>(hiding cruel designs under a fair outside).</w:t>
      </w:r>
      <w:r w:rsidR="006C2065">
        <w:rPr>
          <w:rStyle w:val="FootnoteReference"/>
          <w:sz w:val="24"/>
          <w:szCs w:val="24"/>
        </w:rPr>
        <w:footnoteReference w:id="47"/>
      </w:r>
    </w:p>
    <w:p w14:paraId="4A541FAC" w14:textId="4CB9CEF3" w:rsidR="001D7EE1" w:rsidRPr="00522330" w:rsidRDefault="006453C5" w:rsidP="00C92EC6">
      <w:pPr>
        <w:rPr>
          <w:i/>
          <w:iCs/>
          <w:sz w:val="24"/>
          <w:szCs w:val="24"/>
        </w:rPr>
      </w:pPr>
      <w:r>
        <w:rPr>
          <w:sz w:val="24"/>
          <w:szCs w:val="24"/>
        </w:rPr>
        <w:t xml:space="preserve">  </w:t>
      </w:r>
      <w:r>
        <w:rPr>
          <w:i/>
          <w:iCs/>
          <w:sz w:val="24"/>
          <w:szCs w:val="24"/>
        </w:rPr>
        <w:t xml:space="preserve">Juppiter omnipotens </w:t>
      </w:r>
      <w:r>
        <w:rPr>
          <w:sz w:val="24"/>
          <w:szCs w:val="24"/>
        </w:rPr>
        <w:t xml:space="preserve">(line 171) Ariadne, deprived of human audience, </w:t>
      </w:r>
      <w:r w:rsidR="00CA6EB1">
        <w:rPr>
          <w:sz w:val="24"/>
          <w:szCs w:val="24"/>
        </w:rPr>
        <w:t xml:space="preserve">in her righteous indignation </w:t>
      </w:r>
      <w:r>
        <w:rPr>
          <w:sz w:val="24"/>
          <w:szCs w:val="24"/>
        </w:rPr>
        <w:t>directs her plea to almighty Jupiter</w:t>
      </w:r>
      <w:r w:rsidR="00CA6EB1">
        <w:rPr>
          <w:sz w:val="24"/>
          <w:szCs w:val="24"/>
        </w:rPr>
        <w:t>,</w:t>
      </w:r>
      <w:r w:rsidR="005879E9">
        <w:rPr>
          <w:sz w:val="24"/>
          <w:szCs w:val="24"/>
        </w:rPr>
        <w:t xml:space="preserve"> who appears as a kind of ‘primordial vengeance embodied in forces of nature </w:t>
      </w:r>
      <w:r w:rsidR="005879E9">
        <w:rPr>
          <w:i/>
          <w:iCs/>
          <w:sz w:val="24"/>
          <w:szCs w:val="24"/>
        </w:rPr>
        <w:t>ventorum flamine</w:t>
      </w:r>
      <w:r w:rsidR="005439C1">
        <w:rPr>
          <w:i/>
          <w:iCs/>
          <w:sz w:val="24"/>
          <w:szCs w:val="24"/>
        </w:rPr>
        <w:t>,</w:t>
      </w:r>
      <w:r w:rsidR="005879E9">
        <w:rPr>
          <w:i/>
          <w:iCs/>
          <w:sz w:val="24"/>
          <w:szCs w:val="24"/>
        </w:rPr>
        <w:t xml:space="preserve"> </w:t>
      </w:r>
      <w:r w:rsidR="005879E9">
        <w:rPr>
          <w:sz w:val="24"/>
          <w:szCs w:val="24"/>
        </w:rPr>
        <w:t>explicitly beyond human control.</w:t>
      </w:r>
      <w:r w:rsidR="005879E9">
        <w:rPr>
          <w:rStyle w:val="FootnoteReference"/>
          <w:sz w:val="24"/>
          <w:szCs w:val="24"/>
        </w:rPr>
        <w:footnoteReference w:id="48"/>
      </w:r>
      <w:r>
        <w:rPr>
          <w:sz w:val="24"/>
          <w:szCs w:val="24"/>
        </w:rPr>
        <w:t xml:space="preserve"> </w:t>
      </w:r>
      <w:r w:rsidR="005879E9">
        <w:rPr>
          <w:sz w:val="24"/>
          <w:szCs w:val="24"/>
        </w:rPr>
        <w:t xml:space="preserve"> Ariadne</w:t>
      </w:r>
      <w:r w:rsidR="00DC082F">
        <w:rPr>
          <w:sz w:val="24"/>
          <w:szCs w:val="24"/>
        </w:rPr>
        <w:t>, however,</w:t>
      </w:r>
      <w:r w:rsidR="005879E9">
        <w:rPr>
          <w:sz w:val="24"/>
          <w:szCs w:val="24"/>
        </w:rPr>
        <w:t xml:space="preserve"> has little</w:t>
      </w:r>
      <w:r>
        <w:rPr>
          <w:sz w:val="24"/>
          <w:szCs w:val="24"/>
        </w:rPr>
        <w:t xml:space="preserve"> real conviction that </w:t>
      </w:r>
      <w:r w:rsidR="005879E9">
        <w:rPr>
          <w:sz w:val="24"/>
          <w:szCs w:val="24"/>
        </w:rPr>
        <w:t>her vengeance might be effected.</w:t>
      </w:r>
      <w:r w:rsidR="00CA6EB1">
        <w:rPr>
          <w:sz w:val="24"/>
          <w:szCs w:val="24"/>
        </w:rPr>
        <w:t xml:space="preserve"> </w:t>
      </w:r>
      <w:r>
        <w:rPr>
          <w:sz w:val="24"/>
          <w:szCs w:val="24"/>
        </w:rPr>
        <w:t xml:space="preserve"> It isn’t until line 192 that there is </w:t>
      </w:r>
      <w:r w:rsidR="00887A66">
        <w:rPr>
          <w:sz w:val="24"/>
          <w:szCs w:val="24"/>
        </w:rPr>
        <w:t>suggestion</w:t>
      </w:r>
      <w:r>
        <w:rPr>
          <w:sz w:val="24"/>
          <w:szCs w:val="24"/>
        </w:rPr>
        <w:t xml:space="preserve"> of </w:t>
      </w:r>
      <w:r w:rsidR="00DC082F">
        <w:rPr>
          <w:sz w:val="24"/>
          <w:szCs w:val="24"/>
        </w:rPr>
        <w:t xml:space="preserve">her </w:t>
      </w:r>
      <w:r>
        <w:rPr>
          <w:sz w:val="24"/>
          <w:szCs w:val="24"/>
        </w:rPr>
        <w:t xml:space="preserve">having an addressee in mind (Eumenides). </w:t>
      </w:r>
      <w:r w:rsidR="00DC082F">
        <w:rPr>
          <w:sz w:val="24"/>
          <w:szCs w:val="24"/>
        </w:rPr>
        <w:t>Yet</w:t>
      </w:r>
      <w:r w:rsidR="00F251CF">
        <w:rPr>
          <w:sz w:val="24"/>
          <w:szCs w:val="24"/>
        </w:rPr>
        <w:t xml:space="preserve"> the story of Theseus forgetting to hoist the white sail</w:t>
      </w:r>
      <w:r w:rsidR="005879E9">
        <w:rPr>
          <w:sz w:val="24"/>
          <w:szCs w:val="24"/>
        </w:rPr>
        <w:t>,</w:t>
      </w:r>
      <w:r w:rsidR="00F251CF">
        <w:rPr>
          <w:sz w:val="24"/>
          <w:szCs w:val="24"/>
        </w:rPr>
        <w:t xml:space="preserve"> and of Aegeus’ suicide is later told as the vengeance which Jupiter </w:t>
      </w:r>
      <w:r w:rsidR="00562543">
        <w:rPr>
          <w:sz w:val="24"/>
          <w:szCs w:val="24"/>
        </w:rPr>
        <w:t xml:space="preserve">ultimately </w:t>
      </w:r>
      <w:r w:rsidR="00F251CF">
        <w:rPr>
          <w:sz w:val="24"/>
          <w:szCs w:val="24"/>
        </w:rPr>
        <w:t>granted her (line 205ff).</w:t>
      </w:r>
      <w:r w:rsidR="00F251CF">
        <w:rPr>
          <w:rStyle w:val="FootnoteReference"/>
          <w:sz w:val="24"/>
          <w:szCs w:val="24"/>
        </w:rPr>
        <w:footnoteReference w:id="49"/>
      </w:r>
      <w:r w:rsidR="001D7EE1">
        <w:rPr>
          <w:sz w:val="24"/>
          <w:szCs w:val="24"/>
        </w:rPr>
        <w:t xml:space="preserve"> Putnam discusses Theseus’ forgetting of both Ariadne and Aegeus as a reflection of Catullus’ </w:t>
      </w:r>
      <w:r w:rsidR="001D7EE1">
        <w:rPr>
          <w:sz w:val="24"/>
          <w:szCs w:val="24"/>
        </w:rPr>
        <w:lastRenderedPageBreak/>
        <w:t xml:space="preserve">own </w:t>
      </w:r>
      <w:r w:rsidR="008B3025">
        <w:rPr>
          <w:sz w:val="24"/>
          <w:szCs w:val="24"/>
        </w:rPr>
        <w:t>disillusionment</w:t>
      </w:r>
      <w:r w:rsidR="001D7EE1">
        <w:rPr>
          <w:sz w:val="24"/>
          <w:szCs w:val="24"/>
        </w:rPr>
        <w:t xml:space="preserve"> at the hands of </w:t>
      </w:r>
      <w:r w:rsidR="00DC082F">
        <w:rPr>
          <w:sz w:val="24"/>
          <w:szCs w:val="24"/>
        </w:rPr>
        <w:t>Lesbia and</w:t>
      </w:r>
      <w:r w:rsidR="001D7EE1">
        <w:rPr>
          <w:sz w:val="24"/>
          <w:szCs w:val="24"/>
        </w:rPr>
        <w:t xml:space="preserve"> considers the connection between Cat 64 and the rest of Catullus’ work.</w:t>
      </w:r>
      <w:r w:rsidR="008600F2">
        <w:rPr>
          <w:rStyle w:val="FootnoteReference"/>
          <w:sz w:val="24"/>
          <w:szCs w:val="24"/>
        </w:rPr>
        <w:footnoteReference w:id="50"/>
      </w:r>
      <w:r w:rsidR="00B7495A">
        <w:rPr>
          <w:sz w:val="24"/>
          <w:szCs w:val="24"/>
        </w:rPr>
        <w:t xml:space="preserve"> </w:t>
      </w:r>
      <w:r w:rsidR="00522330">
        <w:rPr>
          <w:sz w:val="24"/>
          <w:szCs w:val="24"/>
        </w:rPr>
        <w:t xml:space="preserve">This poem forms a sort of </w:t>
      </w:r>
      <w:r w:rsidR="00522330">
        <w:rPr>
          <w:i/>
          <w:iCs/>
          <w:sz w:val="24"/>
          <w:szCs w:val="24"/>
        </w:rPr>
        <w:t xml:space="preserve">roman a clef </w:t>
      </w:r>
      <w:r w:rsidR="00522330">
        <w:rPr>
          <w:sz w:val="24"/>
          <w:szCs w:val="24"/>
        </w:rPr>
        <w:t xml:space="preserve">which Godwin suggests allows Catullus the disguise inside which he can indulge a moralising code which he would have found difficult </w:t>
      </w:r>
      <w:r w:rsidR="00522330">
        <w:rPr>
          <w:i/>
          <w:iCs/>
          <w:sz w:val="24"/>
          <w:szCs w:val="24"/>
        </w:rPr>
        <w:t>in propria persona.</w:t>
      </w:r>
      <w:r w:rsidR="00522330">
        <w:rPr>
          <w:rStyle w:val="FootnoteReference"/>
          <w:i/>
          <w:iCs/>
          <w:sz w:val="24"/>
          <w:szCs w:val="24"/>
        </w:rPr>
        <w:footnoteReference w:id="51"/>
      </w:r>
    </w:p>
    <w:p w14:paraId="7D6BB3E7" w14:textId="1E789378" w:rsidR="006453C5" w:rsidRDefault="006453C5" w:rsidP="00C92EC6">
      <w:pPr>
        <w:rPr>
          <w:sz w:val="24"/>
          <w:szCs w:val="24"/>
        </w:rPr>
      </w:pPr>
      <w:r>
        <w:rPr>
          <w:i/>
          <w:iCs/>
          <w:sz w:val="24"/>
          <w:szCs w:val="24"/>
        </w:rPr>
        <w:t xml:space="preserve">Tempore primo </w:t>
      </w:r>
      <w:r>
        <w:rPr>
          <w:sz w:val="24"/>
          <w:szCs w:val="24"/>
        </w:rPr>
        <w:t>(line 171) returns to the moment when Ariadne first saw Theseus although its translation, ‘</w:t>
      </w:r>
      <w:r w:rsidR="007E2B47">
        <w:rPr>
          <w:sz w:val="24"/>
          <w:szCs w:val="24"/>
        </w:rPr>
        <w:t xml:space="preserve">in the first place’ identifies the difficulty of identifying the real beginning of a chain of events. It has the same reference as </w:t>
      </w:r>
      <w:r w:rsidR="007E2B47">
        <w:rPr>
          <w:i/>
          <w:iCs/>
          <w:sz w:val="24"/>
          <w:szCs w:val="24"/>
        </w:rPr>
        <w:t xml:space="preserve">quo tempore </w:t>
      </w:r>
      <w:r w:rsidR="007E2B47">
        <w:rPr>
          <w:sz w:val="24"/>
          <w:szCs w:val="24"/>
        </w:rPr>
        <w:t>(line 73),</w:t>
      </w:r>
      <w:r w:rsidR="007E2B47">
        <w:rPr>
          <w:i/>
          <w:iCs/>
          <w:sz w:val="24"/>
          <w:szCs w:val="24"/>
        </w:rPr>
        <w:t xml:space="preserve"> </w:t>
      </w:r>
      <w:r w:rsidR="007E2B47">
        <w:rPr>
          <w:sz w:val="24"/>
          <w:szCs w:val="24"/>
        </w:rPr>
        <w:t>while</w:t>
      </w:r>
      <w:r>
        <w:rPr>
          <w:sz w:val="24"/>
          <w:szCs w:val="24"/>
        </w:rPr>
        <w:t xml:space="preserve"> </w:t>
      </w:r>
      <w:r w:rsidR="007E2B47">
        <w:rPr>
          <w:sz w:val="24"/>
          <w:szCs w:val="24"/>
        </w:rPr>
        <w:t xml:space="preserve">it is clearly opposed to </w:t>
      </w:r>
      <w:r w:rsidR="007E2B47">
        <w:rPr>
          <w:i/>
          <w:iCs/>
          <w:sz w:val="24"/>
          <w:szCs w:val="24"/>
        </w:rPr>
        <w:t>extrem</w:t>
      </w:r>
      <w:r w:rsidR="0089224B">
        <w:rPr>
          <w:i/>
          <w:iCs/>
          <w:sz w:val="24"/>
          <w:szCs w:val="24"/>
        </w:rPr>
        <w:t>o</w:t>
      </w:r>
      <w:r w:rsidR="007E2B47">
        <w:rPr>
          <w:i/>
          <w:iCs/>
          <w:sz w:val="24"/>
          <w:szCs w:val="24"/>
        </w:rPr>
        <w:t xml:space="preserve"> tempore </w:t>
      </w:r>
      <w:r w:rsidR="007E2B47">
        <w:rPr>
          <w:sz w:val="24"/>
          <w:szCs w:val="24"/>
        </w:rPr>
        <w:t>(line 169).</w:t>
      </w:r>
      <w:r w:rsidR="007E2B47">
        <w:rPr>
          <w:rStyle w:val="FootnoteReference"/>
          <w:sz w:val="24"/>
          <w:szCs w:val="24"/>
        </w:rPr>
        <w:footnoteReference w:id="52"/>
      </w:r>
      <w:r w:rsidR="007E2B47">
        <w:rPr>
          <w:sz w:val="24"/>
          <w:szCs w:val="24"/>
        </w:rPr>
        <w:t xml:space="preserve"> </w:t>
      </w:r>
      <w:r w:rsidR="0089224B">
        <w:rPr>
          <w:sz w:val="24"/>
          <w:szCs w:val="24"/>
        </w:rPr>
        <w:t xml:space="preserve">From Ariadne’s perspective, </w:t>
      </w:r>
      <w:r w:rsidR="00887A66">
        <w:rPr>
          <w:sz w:val="24"/>
          <w:szCs w:val="24"/>
        </w:rPr>
        <w:t>Theseus</w:t>
      </w:r>
      <w:r w:rsidR="0089224B">
        <w:rPr>
          <w:sz w:val="24"/>
          <w:szCs w:val="24"/>
        </w:rPr>
        <w:t xml:space="preserve">’ narrative assumes a linear course, beginning with his arrival at Knossos, </w:t>
      </w:r>
      <w:r w:rsidR="0089224B">
        <w:rPr>
          <w:i/>
          <w:iCs/>
          <w:sz w:val="24"/>
          <w:szCs w:val="24"/>
        </w:rPr>
        <w:t xml:space="preserve">tempore primo </w:t>
      </w:r>
      <w:r w:rsidR="0089224B">
        <w:rPr>
          <w:sz w:val="24"/>
          <w:szCs w:val="24"/>
        </w:rPr>
        <w:t xml:space="preserve">culminating in his slaying of the Minotaur, </w:t>
      </w:r>
      <w:r w:rsidR="0089224B">
        <w:rPr>
          <w:i/>
          <w:iCs/>
          <w:sz w:val="24"/>
          <w:szCs w:val="24"/>
        </w:rPr>
        <w:t xml:space="preserve">supremo in tempore, </w:t>
      </w:r>
      <w:r w:rsidR="0089224B">
        <w:rPr>
          <w:sz w:val="24"/>
          <w:szCs w:val="24"/>
        </w:rPr>
        <w:t xml:space="preserve">and ending with his swift departure for Athens. Ariadne’s experience of time, </w:t>
      </w:r>
      <w:r w:rsidR="00887A66">
        <w:rPr>
          <w:sz w:val="24"/>
          <w:szCs w:val="24"/>
        </w:rPr>
        <w:t>however,</w:t>
      </w:r>
      <w:r w:rsidR="0089224B">
        <w:rPr>
          <w:sz w:val="24"/>
          <w:szCs w:val="24"/>
        </w:rPr>
        <w:t xml:space="preserve"> is different; she can speak of the present, </w:t>
      </w:r>
      <w:r w:rsidR="0089224B">
        <w:rPr>
          <w:i/>
          <w:iCs/>
          <w:sz w:val="24"/>
          <w:szCs w:val="24"/>
        </w:rPr>
        <w:t xml:space="preserve">extremo tempore, </w:t>
      </w:r>
      <w:r w:rsidR="0089224B">
        <w:rPr>
          <w:sz w:val="24"/>
          <w:szCs w:val="24"/>
        </w:rPr>
        <w:t>and contemplate the end (lines 177-185) but has no beginning or end that is not wholly dependent on Theseus (lines 185-6).</w:t>
      </w:r>
      <w:r w:rsidR="0089224B">
        <w:rPr>
          <w:rStyle w:val="FootnoteReference"/>
          <w:sz w:val="24"/>
          <w:szCs w:val="24"/>
        </w:rPr>
        <w:footnoteReference w:id="53"/>
      </w:r>
      <w:r w:rsidR="005A2FE5">
        <w:rPr>
          <w:sz w:val="24"/>
          <w:szCs w:val="24"/>
        </w:rPr>
        <w:t xml:space="preserve"> </w:t>
      </w:r>
    </w:p>
    <w:p w14:paraId="18DCFB20" w14:textId="1936F54D" w:rsidR="009C163B" w:rsidRDefault="005A2FE5" w:rsidP="00C92EC6">
      <w:pPr>
        <w:rPr>
          <w:sz w:val="24"/>
          <w:szCs w:val="24"/>
        </w:rPr>
      </w:pPr>
      <w:r w:rsidRPr="005A2FE5">
        <w:rPr>
          <w:i/>
          <w:iCs/>
          <w:sz w:val="24"/>
          <w:szCs w:val="24"/>
        </w:rPr>
        <w:t>Puppes</w:t>
      </w:r>
      <w:r>
        <w:rPr>
          <w:i/>
          <w:iCs/>
          <w:sz w:val="24"/>
          <w:szCs w:val="24"/>
        </w:rPr>
        <w:t xml:space="preserve">. </w:t>
      </w:r>
      <w:r>
        <w:rPr>
          <w:sz w:val="24"/>
          <w:szCs w:val="24"/>
        </w:rPr>
        <w:t xml:space="preserve">In line 53, Theseus leaves Dia </w:t>
      </w:r>
      <w:r>
        <w:rPr>
          <w:i/>
          <w:iCs/>
          <w:sz w:val="24"/>
          <w:szCs w:val="24"/>
        </w:rPr>
        <w:t>celer</w:t>
      </w:r>
      <w:r w:rsidR="001251EA">
        <w:rPr>
          <w:i/>
          <w:iCs/>
          <w:sz w:val="24"/>
          <w:szCs w:val="24"/>
        </w:rPr>
        <w:t>i</w:t>
      </w:r>
      <w:r>
        <w:rPr>
          <w:i/>
          <w:iCs/>
          <w:sz w:val="24"/>
          <w:szCs w:val="24"/>
        </w:rPr>
        <w:t xml:space="preserve"> cum classe</w:t>
      </w:r>
      <w:r w:rsidR="001251EA">
        <w:rPr>
          <w:i/>
          <w:iCs/>
          <w:sz w:val="24"/>
          <w:szCs w:val="24"/>
        </w:rPr>
        <w:t xml:space="preserve"> </w:t>
      </w:r>
      <w:r w:rsidR="001251EA">
        <w:rPr>
          <w:sz w:val="24"/>
          <w:szCs w:val="24"/>
        </w:rPr>
        <w:t xml:space="preserve">(with swift fleet); In line 212, he leaves Athens </w:t>
      </w:r>
      <w:r w:rsidR="001251EA">
        <w:rPr>
          <w:i/>
          <w:iCs/>
          <w:sz w:val="24"/>
          <w:szCs w:val="24"/>
        </w:rPr>
        <w:t xml:space="preserve">classi, </w:t>
      </w:r>
      <w:r w:rsidR="001251EA">
        <w:rPr>
          <w:sz w:val="24"/>
          <w:szCs w:val="24"/>
        </w:rPr>
        <w:t xml:space="preserve">while, in contrast, in line 85 he </w:t>
      </w:r>
      <w:r w:rsidR="005E21A5">
        <w:rPr>
          <w:sz w:val="24"/>
          <w:szCs w:val="24"/>
        </w:rPr>
        <w:t>continues</w:t>
      </w:r>
      <w:r w:rsidR="001251EA">
        <w:rPr>
          <w:sz w:val="24"/>
          <w:szCs w:val="24"/>
        </w:rPr>
        <w:t xml:space="preserve"> his journey to Minos </w:t>
      </w:r>
      <w:r w:rsidR="001251EA">
        <w:rPr>
          <w:i/>
          <w:iCs/>
          <w:sz w:val="24"/>
          <w:szCs w:val="24"/>
        </w:rPr>
        <w:t xml:space="preserve">nave levi </w:t>
      </w:r>
      <w:r w:rsidR="001251EA">
        <w:rPr>
          <w:sz w:val="24"/>
          <w:szCs w:val="24"/>
        </w:rPr>
        <w:t>(with light bark)</w:t>
      </w:r>
      <w:r w:rsidR="00934B9C">
        <w:rPr>
          <w:sz w:val="24"/>
          <w:szCs w:val="24"/>
        </w:rPr>
        <w:t>.</w:t>
      </w:r>
      <w:r w:rsidR="001251EA">
        <w:rPr>
          <w:sz w:val="24"/>
          <w:szCs w:val="24"/>
        </w:rPr>
        <w:t xml:space="preserve"> </w:t>
      </w:r>
      <w:r w:rsidR="00934B9C">
        <w:rPr>
          <w:sz w:val="24"/>
          <w:szCs w:val="24"/>
        </w:rPr>
        <w:t>In</w:t>
      </w:r>
      <w:r w:rsidR="001251EA">
        <w:rPr>
          <w:sz w:val="24"/>
          <w:szCs w:val="24"/>
        </w:rPr>
        <w:t xml:space="preserve"> line 121, the one </w:t>
      </w:r>
      <w:r w:rsidR="001251EA">
        <w:rPr>
          <w:i/>
          <w:iCs/>
          <w:sz w:val="24"/>
          <w:szCs w:val="24"/>
        </w:rPr>
        <w:t xml:space="preserve">ratis </w:t>
      </w:r>
      <w:r w:rsidR="001251EA">
        <w:rPr>
          <w:sz w:val="24"/>
          <w:szCs w:val="24"/>
        </w:rPr>
        <w:t xml:space="preserve">which bore </w:t>
      </w:r>
      <w:r w:rsidR="005E21A5">
        <w:rPr>
          <w:sz w:val="24"/>
          <w:szCs w:val="24"/>
        </w:rPr>
        <w:t>him,</w:t>
      </w:r>
      <w:r w:rsidR="001251EA">
        <w:rPr>
          <w:sz w:val="24"/>
          <w:szCs w:val="24"/>
        </w:rPr>
        <w:t xml:space="preserve"> and Ariadne reaches Dia. It is probable that the expedition consisted of more than one </w:t>
      </w:r>
      <w:r w:rsidR="00887A66">
        <w:rPr>
          <w:sz w:val="24"/>
          <w:szCs w:val="24"/>
        </w:rPr>
        <w:t>ship,</w:t>
      </w:r>
      <w:r w:rsidR="001251EA">
        <w:rPr>
          <w:sz w:val="24"/>
          <w:szCs w:val="24"/>
        </w:rPr>
        <w:t xml:space="preserve"> but that Theseus’ ship was sometimes spoken of as part of the collective fleet but pursuing its journey apart from the rest.</w:t>
      </w:r>
      <w:r w:rsidR="001251EA">
        <w:rPr>
          <w:rStyle w:val="FootnoteReference"/>
          <w:sz w:val="24"/>
          <w:szCs w:val="24"/>
        </w:rPr>
        <w:footnoteReference w:id="54"/>
      </w:r>
    </w:p>
    <w:p w14:paraId="18335E1B" w14:textId="77777777" w:rsidR="00C5460D" w:rsidRDefault="009C163B" w:rsidP="00C92EC6">
      <w:pPr>
        <w:rPr>
          <w:sz w:val="24"/>
          <w:szCs w:val="24"/>
        </w:rPr>
      </w:pPr>
      <w:r>
        <w:rPr>
          <w:i/>
          <w:iCs/>
          <w:sz w:val="24"/>
          <w:szCs w:val="24"/>
        </w:rPr>
        <w:t xml:space="preserve">Stipendia </w:t>
      </w:r>
      <w:r>
        <w:rPr>
          <w:sz w:val="24"/>
          <w:szCs w:val="24"/>
        </w:rPr>
        <w:t xml:space="preserve">stresses the horror of a situation where human victims equate </w:t>
      </w:r>
      <w:r w:rsidR="00DC082F">
        <w:rPr>
          <w:sz w:val="24"/>
          <w:szCs w:val="24"/>
        </w:rPr>
        <w:t>to</w:t>
      </w:r>
      <w:r>
        <w:rPr>
          <w:sz w:val="24"/>
          <w:szCs w:val="24"/>
        </w:rPr>
        <w:t xml:space="preserve"> cash which was paid regularly. </w:t>
      </w:r>
      <w:r>
        <w:rPr>
          <w:i/>
          <w:iCs/>
          <w:sz w:val="24"/>
          <w:szCs w:val="24"/>
        </w:rPr>
        <w:t xml:space="preserve">Dira </w:t>
      </w:r>
      <w:r>
        <w:rPr>
          <w:sz w:val="24"/>
          <w:szCs w:val="24"/>
        </w:rPr>
        <w:t xml:space="preserve">implies that Ariadne shares such horror (line 173) </w:t>
      </w:r>
      <w:r w:rsidR="001251EA">
        <w:rPr>
          <w:sz w:val="24"/>
          <w:szCs w:val="24"/>
        </w:rPr>
        <w:t xml:space="preserve"> </w:t>
      </w:r>
      <w:r>
        <w:rPr>
          <w:i/>
          <w:iCs/>
          <w:sz w:val="24"/>
          <w:szCs w:val="24"/>
        </w:rPr>
        <w:t xml:space="preserve"> </w:t>
      </w:r>
      <w:r>
        <w:rPr>
          <w:sz w:val="24"/>
          <w:szCs w:val="24"/>
        </w:rPr>
        <w:t xml:space="preserve">Like Ariadne, Virgil’s Dido also follows her two vocatives with one nominative, </w:t>
      </w:r>
      <w:r>
        <w:rPr>
          <w:i/>
          <w:iCs/>
          <w:sz w:val="24"/>
          <w:szCs w:val="24"/>
        </w:rPr>
        <w:t>perfidus</w:t>
      </w:r>
      <w:r w:rsidR="00EF54A0">
        <w:rPr>
          <w:i/>
          <w:iCs/>
          <w:sz w:val="24"/>
          <w:szCs w:val="24"/>
        </w:rPr>
        <w:t xml:space="preserve"> </w:t>
      </w:r>
      <w:r w:rsidR="00EF54A0">
        <w:rPr>
          <w:sz w:val="24"/>
          <w:szCs w:val="24"/>
        </w:rPr>
        <w:t>(line 174)</w:t>
      </w:r>
      <w:r w:rsidR="005D39C2">
        <w:rPr>
          <w:sz w:val="24"/>
          <w:szCs w:val="24"/>
        </w:rPr>
        <w:t>, referring to the faithless seaman who had moored his cable on the shore of Crete.</w:t>
      </w:r>
      <w:r w:rsidR="00431C0F">
        <w:rPr>
          <w:rStyle w:val="FootnoteReference"/>
          <w:sz w:val="24"/>
          <w:szCs w:val="24"/>
        </w:rPr>
        <w:footnoteReference w:id="55"/>
      </w:r>
    </w:p>
    <w:p w14:paraId="3C9DFA66" w14:textId="45563B72" w:rsidR="005A2FE5" w:rsidRDefault="008B3025" w:rsidP="00C92EC6">
      <w:pPr>
        <w:rPr>
          <w:i/>
          <w:iCs/>
          <w:sz w:val="24"/>
          <w:szCs w:val="24"/>
        </w:rPr>
      </w:pPr>
      <w:r>
        <w:rPr>
          <w:i/>
          <w:iCs/>
          <w:sz w:val="24"/>
          <w:szCs w:val="24"/>
        </w:rPr>
        <w:t xml:space="preserve"> </w:t>
      </w:r>
      <w:r>
        <w:rPr>
          <w:sz w:val="24"/>
          <w:szCs w:val="24"/>
        </w:rPr>
        <w:t xml:space="preserve"> </w:t>
      </w:r>
      <w:r w:rsidR="005D39C2">
        <w:rPr>
          <w:i/>
          <w:iCs/>
          <w:sz w:val="24"/>
          <w:szCs w:val="24"/>
        </w:rPr>
        <w:t xml:space="preserve">Hospes </w:t>
      </w:r>
      <w:r w:rsidR="005D39C2">
        <w:rPr>
          <w:sz w:val="24"/>
          <w:szCs w:val="24"/>
        </w:rPr>
        <w:t>(line 176) is ironic given that Theseus was staying as a guest in Minos’ palace until such time that he would be eaten by the Minotaur</w:t>
      </w:r>
      <w:r w:rsidR="006D0B80">
        <w:rPr>
          <w:sz w:val="24"/>
          <w:szCs w:val="24"/>
        </w:rPr>
        <w:t xml:space="preserve">, but is also sardonic, given that Theseus had been invited in, and looked after. </w:t>
      </w:r>
      <w:r w:rsidR="005D39C2">
        <w:rPr>
          <w:sz w:val="24"/>
          <w:szCs w:val="24"/>
        </w:rPr>
        <w:t xml:space="preserve">Perhaps Catullus emphasizes this hospitality to contrast the behaviour of his Theseus with that of the pious guest in Callimachus’ </w:t>
      </w:r>
      <w:r w:rsidR="005D39C2">
        <w:rPr>
          <w:i/>
          <w:iCs/>
          <w:sz w:val="24"/>
          <w:szCs w:val="24"/>
        </w:rPr>
        <w:t xml:space="preserve">Hecale. </w:t>
      </w:r>
      <w:r w:rsidR="005D39C2">
        <w:rPr>
          <w:sz w:val="24"/>
          <w:szCs w:val="24"/>
        </w:rPr>
        <w:t xml:space="preserve">Virgil’s Dido echoes this line at an ironically early point in her relationship with Aeneas: </w:t>
      </w:r>
      <w:r w:rsidR="004665E5">
        <w:rPr>
          <w:i/>
          <w:iCs/>
          <w:sz w:val="24"/>
          <w:szCs w:val="24"/>
        </w:rPr>
        <w:t xml:space="preserve">quis novvus hic nostris successit sedibus hospes </w:t>
      </w:r>
      <w:r w:rsidR="004665E5">
        <w:rPr>
          <w:sz w:val="24"/>
          <w:szCs w:val="24"/>
        </w:rPr>
        <w:t>(who is this stranger guest who has entered our home?)</w:t>
      </w:r>
      <w:r w:rsidR="004665E5">
        <w:rPr>
          <w:rStyle w:val="FootnoteReference"/>
          <w:sz w:val="24"/>
          <w:szCs w:val="24"/>
        </w:rPr>
        <w:footnoteReference w:id="56"/>
      </w:r>
      <w:r w:rsidR="005D39C2">
        <w:rPr>
          <w:sz w:val="24"/>
          <w:szCs w:val="24"/>
        </w:rPr>
        <w:t xml:space="preserve"> </w:t>
      </w:r>
      <w:r w:rsidR="006D0B80">
        <w:rPr>
          <w:i/>
          <w:iCs/>
          <w:sz w:val="24"/>
          <w:szCs w:val="24"/>
        </w:rPr>
        <w:t xml:space="preserve"> </w:t>
      </w:r>
    </w:p>
    <w:p w14:paraId="28B2C03C" w14:textId="0F026E44" w:rsidR="001062A3" w:rsidRDefault="001062A3" w:rsidP="00C92EC6">
      <w:pPr>
        <w:rPr>
          <w:sz w:val="24"/>
          <w:szCs w:val="24"/>
        </w:rPr>
      </w:pPr>
      <w:r>
        <w:rPr>
          <w:i/>
          <w:iCs/>
          <w:sz w:val="24"/>
          <w:szCs w:val="24"/>
        </w:rPr>
        <w:t xml:space="preserve"> </w:t>
      </w:r>
      <w:r>
        <w:rPr>
          <w:sz w:val="24"/>
          <w:szCs w:val="24"/>
        </w:rPr>
        <w:t>In the final section</w:t>
      </w:r>
      <w:r w:rsidR="009916E4">
        <w:rPr>
          <w:sz w:val="24"/>
          <w:szCs w:val="24"/>
        </w:rPr>
        <w:t xml:space="preserve"> (lines 177-83)</w:t>
      </w:r>
      <w:r>
        <w:rPr>
          <w:sz w:val="24"/>
          <w:szCs w:val="24"/>
        </w:rPr>
        <w:t xml:space="preserve">, </w:t>
      </w:r>
      <w:r w:rsidR="00F875CC">
        <w:rPr>
          <w:sz w:val="24"/>
          <w:szCs w:val="24"/>
        </w:rPr>
        <w:t xml:space="preserve">which Clare has </w:t>
      </w:r>
      <w:r w:rsidR="00C5460D">
        <w:rPr>
          <w:sz w:val="24"/>
          <w:szCs w:val="24"/>
        </w:rPr>
        <w:t xml:space="preserve">correctly </w:t>
      </w:r>
      <w:r w:rsidR="00F875CC">
        <w:rPr>
          <w:sz w:val="24"/>
          <w:szCs w:val="24"/>
        </w:rPr>
        <w:t>termed ‘the emotional heart of the speech’,</w:t>
      </w:r>
      <w:r w:rsidR="00F875CC">
        <w:rPr>
          <w:rStyle w:val="FootnoteReference"/>
          <w:sz w:val="24"/>
          <w:szCs w:val="24"/>
        </w:rPr>
        <w:footnoteReference w:id="57"/>
      </w:r>
      <w:r>
        <w:rPr>
          <w:sz w:val="24"/>
          <w:szCs w:val="24"/>
        </w:rPr>
        <w:t>Ariadne’s concern returns to her current plight</w:t>
      </w:r>
      <w:r w:rsidR="00A327BF">
        <w:rPr>
          <w:sz w:val="24"/>
          <w:szCs w:val="24"/>
        </w:rPr>
        <w:t xml:space="preserve"> and, instead of addressing Theseus she addresses herself in</w:t>
      </w:r>
      <w:r>
        <w:rPr>
          <w:sz w:val="24"/>
          <w:szCs w:val="24"/>
        </w:rPr>
        <w:t xml:space="preserve"> a series of despairing questions in what Fowler terms ‘the </w:t>
      </w:r>
      <w:r>
        <w:rPr>
          <w:sz w:val="24"/>
          <w:szCs w:val="24"/>
        </w:rPr>
        <w:lastRenderedPageBreak/>
        <w:t>rhetoric of desperation’.</w:t>
      </w:r>
      <w:r>
        <w:rPr>
          <w:rStyle w:val="FootnoteReference"/>
          <w:sz w:val="24"/>
          <w:szCs w:val="24"/>
        </w:rPr>
        <w:footnoteReference w:id="58"/>
      </w:r>
      <w:r>
        <w:rPr>
          <w:sz w:val="24"/>
          <w:szCs w:val="24"/>
        </w:rPr>
        <w:t xml:space="preserve"> </w:t>
      </w:r>
      <w:r w:rsidR="00301011">
        <w:rPr>
          <w:sz w:val="24"/>
          <w:szCs w:val="24"/>
        </w:rPr>
        <w:t>Echoes of  Medea abound once again</w:t>
      </w:r>
      <w:r w:rsidR="00F1270A">
        <w:rPr>
          <w:sz w:val="24"/>
          <w:szCs w:val="24"/>
        </w:rPr>
        <w:t xml:space="preserve">, both in Euripides’ </w:t>
      </w:r>
      <w:r w:rsidR="00F1270A">
        <w:rPr>
          <w:i/>
          <w:iCs/>
          <w:sz w:val="24"/>
          <w:szCs w:val="24"/>
        </w:rPr>
        <w:t xml:space="preserve">Medea, </w:t>
      </w:r>
      <w:r w:rsidR="00F1270A">
        <w:rPr>
          <w:sz w:val="24"/>
          <w:szCs w:val="24"/>
        </w:rPr>
        <w:t>where she laments,</w:t>
      </w:r>
      <w:r w:rsidR="00301011">
        <w:rPr>
          <w:sz w:val="24"/>
          <w:szCs w:val="24"/>
        </w:rPr>
        <w:t xml:space="preserve"> </w:t>
      </w:r>
      <w:r w:rsidR="00301011">
        <w:rPr>
          <w:sz w:val="24"/>
          <w:szCs w:val="24"/>
          <w:lang w:val="el-GR"/>
        </w:rPr>
        <w:t>νῦν</w:t>
      </w:r>
      <w:r w:rsidR="00301011" w:rsidRPr="00301011">
        <w:rPr>
          <w:sz w:val="24"/>
          <w:szCs w:val="24"/>
        </w:rPr>
        <w:t xml:space="preserve"> </w:t>
      </w:r>
      <w:r w:rsidR="00301011">
        <w:rPr>
          <w:sz w:val="24"/>
          <w:szCs w:val="24"/>
          <w:lang w:val="el-GR"/>
        </w:rPr>
        <w:t>ποῖ</w:t>
      </w:r>
      <w:r w:rsidR="00301011" w:rsidRPr="00301011">
        <w:rPr>
          <w:sz w:val="24"/>
          <w:szCs w:val="24"/>
        </w:rPr>
        <w:t xml:space="preserve"> </w:t>
      </w:r>
      <w:r w:rsidR="00301011">
        <w:rPr>
          <w:sz w:val="24"/>
          <w:szCs w:val="24"/>
          <w:lang w:val="el-GR"/>
        </w:rPr>
        <w:t>τράπωμαι</w:t>
      </w:r>
      <w:r w:rsidR="00301011">
        <w:rPr>
          <w:sz w:val="24"/>
          <w:szCs w:val="24"/>
        </w:rPr>
        <w:t xml:space="preserve">; </w:t>
      </w:r>
      <w:r w:rsidR="00301011">
        <w:rPr>
          <w:sz w:val="24"/>
          <w:szCs w:val="24"/>
          <w:lang w:val="el-GR"/>
        </w:rPr>
        <w:t>πότερα</w:t>
      </w:r>
      <w:r w:rsidR="00301011" w:rsidRPr="00301011">
        <w:rPr>
          <w:sz w:val="24"/>
          <w:szCs w:val="24"/>
        </w:rPr>
        <w:t xml:space="preserve"> </w:t>
      </w:r>
      <w:r w:rsidR="00301011">
        <w:rPr>
          <w:sz w:val="24"/>
          <w:szCs w:val="24"/>
          <w:lang w:val="el-GR"/>
        </w:rPr>
        <w:t>πρὸς</w:t>
      </w:r>
      <w:r w:rsidR="00301011" w:rsidRPr="00301011">
        <w:rPr>
          <w:sz w:val="24"/>
          <w:szCs w:val="24"/>
        </w:rPr>
        <w:t xml:space="preserve"> </w:t>
      </w:r>
      <w:r w:rsidR="00301011">
        <w:rPr>
          <w:sz w:val="24"/>
          <w:szCs w:val="24"/>
          <w:lang w:val="el-GR"/>
        </w:rPr>
        <w:t>πατρὸς</w:t>
      </w:r>
      <w:r w:rsidR="00301011" w:rsidRPr="00301011">
        <w:rPr>
          <w:sz w:val="24"/>
          <w:szCs w:val="24"/>
        </w:rPr>
        <w:t xml:space="preserve"> </w:t>
      </w:r>
      <w:r w:rsidR="00301011">
        <w:rPr>
          <w:sz w:val="24"/>
          <w:szCs w:val="24"/>
          <w:lang w:val="el-GR"/>
        </w:rPr>
        <w:t>δόμους</w:t>
      </w:r>
      <w:r w:rsidR="00301011" w:rsidRPr="00301011">
        <w:rPr>
          <w:sz w:val="24"/>
          <w:szCs w:val="24"/>
        </w:rPr>
        <w:t xml:space="preserve">, </w:t>
      </w:r>
      <w:r w:rsidR="00301011">
        <w:rPr>
          <w:sz w:val="24"/>
          <w:szCs w:val="24"/>
          <w:lang w:val="el-GR"/>
        </w:rPr>
        <w:t>οὓς</w:t>
      </w:r>
      <w:r w:rsidR="00301011" w:rsidRPr="00301011">
        <w:rPr>
          <w:sz w:val="24"/>
          <w:szCs w:val="24"/>
        </w:rPr>
        <w:t xml:space="preserve"> </w:t>
      </w:r>
      <w:r w:rsidR="00301011">
        <w:rPr>
          <w:sz w:val="24"/>
          <w:szCs w:val="24"/>
          <w:lang w:val="el-GR"/>
        </w:rPr>
        <w:t>σοὶ</w:t>
      </w:r>
      <w:r w:rsidR="00301011" w:rsidRPr="00301011">
        <w:rPr>
          <w:sz w:val="24"/>
          <w:szCs w:val="24"/>
        </w:rPr>
        <w:t xml:space="preserve"> </w:t>
      </w:r>
      <w:r w:rsidR="00301011">
        <w:rPr>
          <w:sz w:val="24"/>
          <w:szCs w:val="24"/>
          <w:lang w:val="el-GR"/>
        </w:rPr>
        <w:t>προδοῦσα</w:t>
      </w:r>
      <w:r w:rsidR="00301011" w:rsidRPr="00301011">
        <w:rPr>
          <w:sz w:val="24"/>
          <w:szCs w:val="24"/>
        </w:rPr>
        <w:t xml:space="preserve"> </w:t>
      </w:r>
      <w:r w:rsidR="00301011">
        <w:rPr>
          <w:sz w:val="24"/>
          <w:szCs w:val="24"/>
          <w:lang w:val="el-GR"/>
        </w:rPr>
        <w:t>καὶ</w:t>
      </w:r>
      <w:r w:rsidR="00301011" w:rsidRPr="00301011">
        <w:rPr>
          <w:sz w:val="24"/>
          <w:szCs w:val="24"/>
        </w:rPr>
        <w:t xml:space="preserve"> </w:t>
      </w:r>
      <w:r w:rsidR="00301011">
        <w:rPr>
          <w:sz w:val="24"/>
          <w:szCs w:val="24"/>
          <w:lang w:val="el-GR"/>
        </w:rPr>
        <w:t>πάτραν</w:t>
      </w:r>
      <w:r w:rsidR="00301011" w:rsidRPr="00301011">
        <w:rPr>
          <w:sz w:val="24"/>
          <w:szCs w:val="24"/>
        </w:rPr>
        <w:t xml:space="preserve"> </w:t>
      </w:r>
      <w:r w:rsidR="00301011">
        <w:rPr>
          <w:sz w:val="24"/>
          <w:szCs w:val="24"/>
          <w:lang w:val="el-GR"/>
        </w:rPr>
        <w:t>ἀφικόμην</w:t>
      </w:r>
      <w:r w:rsidR="00301011">
        <w:rPr>
          <w:sz w:val="24"/>
          <w:szCs w:val="24"/>
        </w:rPr>
        <w:t>; (Now, where am I to turn? Either to my father’s house, which I betrayed, like my country for you when I arrived</w:t>
      </w:r>
      <w:r w:rsidR="00F1270A">
        <w:rPr>
          <w:sz w:val="24"/>
          <w:szCs w:val="24"/>
        </w:rPr>
        <w:t>?),</w:t>
      </w:r>
      <w:r w:rsidR="00F1270A">
        <w:rPr>
          <w:rStyle w:val="FootnoteReference"/>
          <w:sz w:val="24"/>
          <w:szCs w:val="24"/>
        </w:rPr>
        <w:footnoteReference w:id="59"/>
      </w:r>
      <w:r w:rsidR="00F1270A">
        <w:rPr>
          <w:sz w:val="24"/>
          <w:szCs w:val="24"/>
        </w:rPr>
        <w:t xml:space="preserve"> and in Medea’s second set of desperate questions in her speech in Ap. </w:t>
      </w:r>
      <w:r w:rsidR="00F1270A">
        <w:rPr>
          <w:i/>
          <w:iCs/>
          <w:sz w:val="24"/>
          <w:szCs w:val="24"/>
        </w:rPr>
        <w:t xml:space="preserve">Argonautica, </w:t>
      </w:r>
      <w:r w:rsidR="009916E4">
        <w:rPr>
          <w:sz w:val="24"/>
          <w:szCs w:val="24"/>
        </w:rPr>
        <w:t>IV.</w:t>
      </w:r>
      <w:r w:rsidR="009916E4">
        <w:rPr>
          <w:rStyle w:val="FootnoteReference"/>
          <w:sz w:val="24"/>
          <w:szCs w:val="24"/>
        </w:rPr>
        <w:footnoteReference w:id="60"/>
      </w:r>
      <w:r w:rsidR="00F1270A">
        <w:rPr>
          <w:sz w:val="24"/>
          <w:szCs w:val="24"/>
        </w:rPr>
        <w:t xml:space="preserve"> Although Ariadne dwells on her past actions, the pervading presence of Medea</w:t>
      </w:r>
      <w:r w:rsidR="00837F56">
        <w:rPr>
          <w:sz w:val="24"/>
          <w:szCs w:val="24"/>
        </w:rPr>
        <w:t xml:space="preserve"> here would lead one to consider just how much less guilty Ariadne is in comparison. </w:t>
      </w:r>
      <w:r w:rsidR="00887A66">
        <w:rPr>
          <w:sz w:val="24"/>
          <w:szCs w:val="24"/>
        </w:rPr>
        <w:t>Furthermore,</w:t>
      </w:r>
      <w:r w:rsidR="00837F56">
        <w:rPr>
          <w:sz w:val="24"/>
          <w:szCs w:val="24"/>
        </w:rPr>
        <w:t xml:space="preserve"> she refers to the demise of her ‘brother’ the Minotaur (line 181) at the point where Medea could have referred to her murder of Apsyrtus, in Euripides’ </w:t>
      </w:r>
      <w:r w:rsidR="00837F56">
        <w:rPr>
          <w:i/>
          <w:iCs/>
          <w:sz w:val="24"/>
          <w:szCs w:val="24"/>
        </w:rPr>
        <w:t xml:space="preserve">Medea, </w:t>
      </w:r>
      <w:r w:rsidR="00837F56">
        <w:rPr>
          <w:sz w:val="24"/>
          <w:szCs w:val="24"/>
        </w:rPr>
        <w:t>but did not.</w:t>
      </w:r>
      <w:r w:rsidR="00CC30EE">
        <w:rPr>
          <w:sz w:val="24"/>
          <w:szCs w:val="24"/>
        </w:rPr>
        <w:t xml:space="preserve"> In contrast to Medea, the option of returning home for Ariadne</w:t>
      </w:r>
      <w:r w:rsidR="00DA5423">
        <w:rPr>
          <w:sz w:val="24"/>
          <w:szCs w:val="24"/>
        </w:rPr>
        <w:t xml:space="preserve">, although raised, is dismissed as an impossible scenario; for Medea the possibility is especially realistic but one she is </w:t>
      </w:r>
      <w:r w:rsidR="00CA6EB1">
        <w:rPr>
          <w:sz w:val="24"/>
          <w:szCs w:val="24"/>
        </w:rPr>
        <w:t>desperate</w:t>
      </w:r>
      <w:r w:rsidR="00DA5423">
        <w:rPr>
          <w:sz w:val="24"/>
          <w:szCs w:val="24"/>
        </w:rPr>
        <w:t xml:space="preserve"> to avoid.</w:t>
      </w:r>
      <w:r w:rsidR="00DA5423">
        <w:rPr>
          <w:rStyle w:val="FootnoteReference"/>
          <w:sz w:val="24"/>
          <w:szCs w:val="24"/>
        </w:rPr>
        <w:footnoteReference w:id="61"/>
      </w:r>
      <w:r w:rsidR="00CA6EB1">
        <w:rPr>
          <w:sz w:val="24"/>
          <w:szCs w:val="24"/>
        </w:rPr>
        <w:t xml:space="preserve"> </w:t>
      </w:r>
      <w:r w:rsidR="00DC12C0">
        <w:rPr>
          <w:sz w:val="24"/>
          <w:szCs w:val="24"/>
        </w:rPr>
        <w:t xml:space="preserve">Repeated mention in this poem is made to the paternal order in which Ariadne no longer participates (lines 132 </w:t>
      </w:r>
      <w:r w:rsidR="00DC12C0">
        <w:rPr>
          <w:i/>
          <w:iCs/>
          <w:sz w:val="24"/>
          <w:szCs w:val="24"/>
        </w:rPr>
        <w:t>patriis…ab aris</w:t>
      </w:r>
      <w:r w:rsidR="00DC12C0">
        <w:rPr>
          <w:sz w:val="24"/>
          <w:szCs w:val="24"/>
        </w:rPr>
        <w:t xml:space="preserve">; 159 </w:t>
      </w:r>
      <w:r w:rsidR="00DC12C0">
        <w:rPr>
          <w:i/>
          <w:iCs/>
          <w:sz w:val="24"/>
          <w:szCs w:val="24"/>
        </w:rPr>
        <w:t>prisci  parentis</w:t>
      </w:r>
      <w:r w:rsidR="00DC12C0">
        <w:rPr>
          <w:sz w:val="24"/>
          <w:szCs w:val="24"/>
        </w:rPr>
        <w:t>;</w:t>
      </w:r>
      <w:r w:rsidR="009916E4">
        <w:rPr>
          <w:sz w:val="24"/>
          <w:szCs w:val="24"/>
        </w:rPr>
        <w:t xml:space="preserve"> and here, in</w:t>
      </w:r>
      <w:r w:rsidR="00DC12C0">
        <w:rPr>
          <w:sz w:val="24"/>
          <w:szCs w:val="24"/>
        </w:rPr>
        <w:t xml:space="preserve"> 180 </w:t>
      </w:r>
      <w:r w:rsidR="00DC12C0">
        <w:rPr>
          <w:i/>
          <w:iCs/>
          <w:sz w:val="24"/>
          <w:szCs w:val="24"/>
        </w:rPr>
        <w:t>patris</w:t>
      </w:r>
      <w:r w:rsidR="00DC12C0">
        <w:rPr>
          <w:sz w:val="24"/>
          <w:szCs w:val="24"/>
        </w:rPr>
        <w:t>).</w:t>
      </w:r>
      <w:r w:rsidR="00342167">
        <w:rPr>
          <w:rStyle w:val="FootnoteReference"/>
          <w:sz w:val="24"/>
          <w:szCs w:val="24"/>
        </w:rPr>
        <w:footnoteReference w:id="62"/>
      </w:r>
    </w:p>
    <w:p w14:paraId="55275103" w14:textId="1FB8C998" w:rsidR="009916E4" w:rsidRDefault="00837F56" w:rsidP="00C92EC6">
      <w:pPr>
        <w:rPr>
          <w:sz w:val="24"/>
          <w:szCs w:val="24"/>
        </w:rPr>
      </w:pPr>
      <w:r>
        <w:rPr>
          <w:sz w:val="24"/>
          <w:szCs w:val="24"/>
        </w:rPr>
        <w:t xml:space="preserve">  While Medea’s questions in Euripides’ </w:t>
      </w:r>
      <w:r>
        <w:rPr>
          <w:i/>
          <w:iCs/>
          <w:sz w:val="24"/>
          <w:szCs w:val="24"/>
        </w:rPr>
        <w:t xml:space="preserve">Medea </w:t>
      </w:r>
      <w:r>
        <w:rPr>
          <w:sz w:val="24"/>
          <w:szCs w:val="24"/>
        </w:rPr>
        <w:t xml:space="preserve">are designed to shame the listening Jason, Ariadne’s </w:t>
      </w:r>
      <w:r w:rsidR="002D2BE7">
        <w:rPr>
          <w:sz w:val="24"/>
          <w:szCs w:val="24"/>
        </w:rPr>
        <w:t>soliloquising</w:t>
      </w:r>
      <w:r>
        <w:rPr>
          <w:sz w:val="24"/>
          <w:szCs w:val="24"/>
        </w:rPr>
        <w:t xml:space="preserve"> is more characteristic of desperation speeches</w:t>
      </w:r>
      <w:r w:rsidR="002D2BE7">
        <w:rPr>
          <w:sz w:val="24"/>
          <w:szCs w:val="24"/>
        </w:rPr>
        <w:t>, which are primarily dramatizations of the speaker’s thoughts as he/she comes to a decision.</w:t>
      </w:r>
      <w:r w:rsidR="00431C0F">
        <w:rPr>
          <w:rStyle w:val="FootnoteReference"/>
          <w:sz w:val="24"/>
          <w:szCs w:val="24"/>
        </w:rPr>
        <w:footnoteReference w:id="63"/>
      </w:r>
      <w:r w:rsidR="002D2BE7">
        <w:rPr>
          <w:sz w:val="24"/>
          <w:szCs w:val="24"/>
        </w:rPr>
        <w:t xml:space="preserve"> The desperation speech of Dido is such a soliloquy: ‘</w:t>
      </w:r>
      <w:r w:rsidR="002D2BE7">
        <w:rPr>
          <w:i/>
          <w:iCs/>
          <w:sz w:val="24"/>
          <w:szCs w:val="24"/>
        </w:rPr>
        <w:t>en, quid ago? Rursusne procos inrisa priores experiar..?</w:t>
      </w:r>
      <w:r w:rsidR="002D2BE7">
        <w:rPr>
          <w:sz w:val="24"/>
          <w:szCs w:val="24"/>
        </w:rPr>
        <w:t xml:space="preserve">(‘See, what am I to do? Shall I once more make trial of my old </w:t>
      </w:r>
      <w:r w:rsidR="00887A66">
        <w:rPr>
          <w:sz w:val="24"/>
          <w:szCs w:val="24"/>
        </w:rPr>
        <w:t>wooers...?</w:t>
      </w:r>
      <w:r w:rsidR="002D2BE7">
        <w:rPr>
          <w:rStyle w:val="FootnoteReference"/>
          <w:sz w:val="24"/>
          <w:szCs w:val="24"/>
        </w:rPr>
        <w:footnoteReference w:id="64"/>
      </w:r>
      <w:r w:rsidR="00887A66">
        <w:rPr>
          <w:sz w:val="24"/>
          <w:szCs w:val="24"/>
        </w:rPr>
        <w:t xml:space="preserve"> </w:t>
      </w:r>
      <w:r w:rsidR="00F74CFE">
        <w:rPr>
          <w:sz w:val="24"/>
          <w:szCs w:val="24"/>
        </w:rPr>
        <w:t xml:space="preserve">Ariadne is clearly trapped, </w:t>
      </w:r>
      <w:r w:rsidR="00887A66">
        <w:rPr>
          <w:sz w:val="24"/>
          <w:szCs w:val="24"/>
        </w:rPr>
        <w:t>like</w:t>
      </w:r>
      <w:r w:rsidR="00F74CFE">
        <w:rPr>
          <w:sz w:val="24"/>
          <w:szCs w:val="24"/>
        </w:rPr>
        <w:t xml:space="preserve"> Philoctetes (abandoned on the island of Lemnos) and Daedalus and Icarus, who seek to escape from Minos by flying. </w:t>
      </w:r>
      <w:r w:rsidR="00F74CFE">
        <w:rPr>
          <w:i/>
          <w:iCs/>
          <w:sz w:val="24"/>
          <w:szCs w:val="24"/>
        </w:rPr>
        <w:t xml:space="preserve">Quo me referam? </w:t>
      </w:r>
      <w:r w:rsidR="00F74CFE">
        <w:rPr>
          <w:sz w:val="24"/>
          <w:szCs w:val="24"/>
        </w:rPr>
        <w:t>(Where shall I go?/Am I to return?)</w:t>
      </w:r>
      <w:r w:rsidR="002D2BE7">
        <w:rPr>
          <w:sz w:val="24"/>
          <w:szCs w:val="24"/>
        </w:rPr>
        <w:t xml:space="preserve"> </w:t>
      </w:r>
      <w:r w:rsidR="00F74CFE">
        <w:rPr>
          <w:i/>
          <w:iCs/>
          <w:sz w:val="24"/>
          <w:szCs w:val="24"/>
        </w:rPr>
        <w:t xml:space="preserve">nitor </w:t>
      </w:r>
      <w:r w:rsidR="00F74CFE">
        <w:rPr>
          <w:sz w:val="24"/>
          <w:szCs w:val="24"/>
        </w:rPr>
        <w:t>(What hope have I to rest upon?).</w:t>
      </w:r>
      <w:r w:rsidR="00F74CFE">
        <w:rPr>
          <w:rStyle w:val="FootnoteReference"/>
          <w:sz w:val="24"/>
          <w:szCs w:val="24"/>
        </w:rPr>
        <w:footnoteReference w:id="65"/>
      </w:r>
      <w:r w:rsidR="00F74CFE">
        <w:rPr>
          <w:sz w:val="24"/>
          <w:szCs w:val="24"/>
        </w:rPr>
        <w:t xml:space="preserve"> </w:t>
      </w:r>
    </w:p>
    <w:p w14:paraId="23C5E9B2" w14:textId="77777777" w:rsidR="009916E4" w:rsidRDefault="009916E4" w:rsidP="00C92EC6">
      <w:pPr>
        <w:rPr>
          <w:sz w:val="24"/>
          <w:szCs w:val="24"/>
        </w:rPr>
      </w:pPr>
      <w:r>
        <w:rPr>
          <w:sz w:val="24"/>
          <w:szCs w:val="24"/>
        </w:rPr>
        <w:t xml:space="preserve"> </w:t>
      </w:r>
      <w:r w:rsidR="00697081">
        <w:rPr>
          <w:i/>
          <w:iCs/>
          <w:sz w:val="24"/>
          <w:szCs w:val="24"/>
        </w:rPr>
        <w:t xml:space="preserve">Idaeosne </w:t>
      </w:r>
      <w:r w:rsidR="00697081">
        <w:rPr>
          <w:sz w:val="24"/>
          <w:szCs w:val="24"/>
        </w:rPr>
        <w:t>(Line 178) Mount Ida is in Ariadne’s native Crete. As with Medea, Ariadne initially asks whether she can go home, but in her contrasting situation, the physical impediment of her getting there at all</w:t>
      </w:r>
      <w:r>
        <w:rPr>
          <w:sz w:val="24"/>
          <w:szCs w:val="24"/>
        </w:rPr>
        <w:t>,</w:t>
      </w:r>
      <w:r w:rsidR="00697081">
        <w:rPr>
          <w:sz w:val="24"/>
          <w:szCs w:val="24"/>
        </w:rPr>
        <w:t xml:space="preserve"> is considered separately first, before her betrayal of her father. </w:t>
      </w:r>
      <w:r w:rsidR="00D77DA6">
        <w:rPr>
          <w:sz w:val="24"/>
          <w:szCs w:val="24"/>
        </w:rPr>
        <w:t>In</w:t>
      </w:r>
      <w:r w:rsidR="00697081">
        <w:rPr>
          <w:sz w:val="24"/>
          <w:szCs w:val="24"/>
        </w:rPr>
        <w:t xml:space="preserve"> Ovid’s </w:t>
      </w:r>
      <w:r w:rsidR="00697081">
        <w:rPr>
          <w:i/>
          <w:iCs/>
          <w:sz w:val="24"/>
          <w:szCs w:val="24"/>
        </w:rPr>
        <w:t xml:space="preserve">Heroides </w:t>
      </w:r>
      <w:r w:rsidR="00697081">
        <w:rPr>
          <w:sz w:val="24"/>
          <w:szCs w:val="24"/>
        </w:rPr>
        <w:t>10. 61-4 the</w:t>
      </w:r>
      <w:r w:rsidR="00D77DA6">
        <w:rPr>
          <w:sz w:val="24"/>
          <w:szCs w:val="24"/>
        </w:rPr>
        <w:t>se</w:t>
      </w:r>
      <w:r w:rsidR="00697081">
        <w:rPr>
          <w:sz w:val="24"/>
          <w:szCs w:val="24"/>
        </w:rPr>
        <w:t xml:space="preserve"> physical barriers are manifest, </w:t>
      </w:r>
      <w:r w:rsidR="00697081">
        <w:rPr>
          <w:i/>
          <w:iCs/>
          <w:sz w:val="24"/>
          <w:szCs w:val="24"/>
        </w:rPr>
        <w:t xml:space="preserve">omne latus terrae cingit mare: navita nusquam, nulla </w:t>
      </w:r>
      <w:r w:rsidR="00D77DA6">
        <w:rPr>
          <w:i/>
          <w:iCs/>
          <w:sz w:val="24"/>
          <w:szCs w:val="24"/>
        </w:rPr>
        <w:t xml:space="preserve">per ambiguas puppis itura vias.. </w:t>
      </w:r>
      <w:r w:rsidR="00D77DA6">
        <w:rPr>
          <w:sz w:val="24"/>
          <w:szCs w:val="24"/>
        </w:rPr>
        <w:t>(On every side the land is girt by sea; nowhere a sailor, no craft to make its way over the dubious paths).</w:t>
      </w:r>
      <w:r w:rsidR="00D77DA6">
        <w:rPr>
          <w:rStyle w:val="FootnoteReference"/>
          <w:sz w:val="24"/>
          <w:szCs w:val="24"/>
        </w:rPr>
        <w:footnoteReference w:id="66"/>
      </w:r>
      <w:r w:rsidR="00D77DA6">
        <w:rPr>
          <w:i/>
          <w:iCs/>
          <w:sz w:val="24"/>
          <w:szCs w:val="24"/>
        </w:rPr>
        <w:t xml:space="preserve">discernens…dividit, </w:t>
      </w:r>
      <w:r w:rsidR="00D77DA6">
        <w:rPr>
          <w:sz w:val="24"/>
          <w:szCs w:val="24"/>
        </w:rPr>
        <w:t xml:space="preserve">(separating me from them with a wide expanse of turbulent water, line 179)  emphasizes the physical isolation, whereas </w:t>
      </w:r>
      <w:r w:rsidR="00D77DA6">
        <w:rPr>
          <w:i/>
          <w:iCs/>
          <w:sz w:val="24"/>
          <w:szCs w:val="24"/>
        </w:rPr>
        <w:t xml:space="preserve">truculentum </w:t>
      </w:r>
      <w:r w:rsidR="006426EA">
        <w:rPr>
          <w:sz w:val="24"/>
          <w:szCs w:val="24"/>
        </w:rPr>
        <w:t xml:space="preserve"> suggests the savage nature of the sea, which could be deemed ‘cross in thwarting Ariadne’s homecoming.</w:t>
      </w:r>
      <w:r w:rsidR="006426EA">
        <w:rPr>
          <w:rStyle w:val="FootnoteReference"/>
          <w:sz w:val="24"/>
          <w:szCs w:val="24"/>
        </w:rPr>
        <w:footnoteReference w:id="67"/>
      </w:r>
      <w:r w:rsidR="00F45C8F">
        <w:rPr>
          <w:sz w:val="24"/>
          <w:szCs w:val="24"/>
        </w:rPr>
        <w:t xml:space="preserve"> </w:t>
      </w:r>
    </w:p>
    <w:p w14:paraId="3D04E842" w14:textId="672F6FC3" w:rsidR="00837F56" w:rsidRDefault="009916E4" w:rsidP="00C92EC6">
      <w:pPr>
        <w:rPr>
          <w:sz w:val="24"/>
          <w:szCs w:val="24"/>
        </w:rPr>
      </w:pPr>
      <w:r>
        <w:rPr>
          <w:sz w:val="24"/>
          <w:szCs w:val="24"/>
        </w:rPr>
        <w:t xml:space="preserve"> </w:t>
      </w:r>
      <w:r w:rsidR="00F45C8F">
        <w:rPr>
          <w:i/>
          <w:iCs/>
          <w:sz w:val="24"/>
          <w:szCs w:val="24"/>
        </w:rPr>
        <w:t xml:space="preserve">An patris auxilium sperem? </w:t>
      </w:r>
      <w:r w:rsidR="00F45C8F">
        <w:rPr>
          <w:sz w:val="24"/>
          <w:szCs w:val="24"/>
        </w:rPr>
        <w:t xml:space="preserve">(line 180). It is questionable whether Ariadne’s father would follow and rescue her, before welcoming her home, given her treatment of him. </w:t>
      </w:r>
      <w:r w:rsidR="000C7219">
        <w:rPr>
          <w:sz w:val="24"/>
          <w:szCs w:val="24"/>
        </w:rPr>
        <w:t xml:space="preserve">This contrasts Aeetes’ pursuit of his daughter, which Medea in </w:t>
      </w:r>
      <w:r w:rsidR="000C7219">
        <w:rPr>
          <w:i/>
          <w:iCs/>
          <w:sz w:val="24"/>
          <w:szCs w:val="24"/>
        </w:rPr>
        <w:t xml:space="preserve">Arg </w:t>
      </w:r>
      <w:r>
        <w:rPr>
          <w:sz w:val="24"/>
          <w:szCs w:val="24"/>
        </w:rPr>
        <w:t>IV</w:t>
      </w:r>
      <w:r w:rsidR="000C7219">
        <w:rPr>
          <w:sz w:val="24"/>
          <w:szCs w:val="24"/>
        </w:rPr>
        <w:t xml:space="preserve"> is endeavouring to escape. Adding the question </w:t>
      </w:r>
      <w:r w:rsidR="000C7219">
        <w:rPr>
          <w:i/>
          <w:iCs/>
          <w:sz w:val="24"/>
          <w:szCs w:val="24"/>
        </w:rPr>
        <w:t xml:space="preserve">quemne </w:t>
      </w:r>
      <w:r w:rsidR="000C7219">
        <w:rPr>
          <w:sz w:val="24"/>
          <w:szCs w:val="24"/>
        </w:rPr>
        <w:t xml:space="preserve">as a relative clause mirrors Euripides’ </w:t>
      </w:r>
      <w:r w:rsidR="000C7219">
        <w:rPr>
          <w:i/>
          <w:iCs/>
          <w:sz w:val="24"/>
          <w:szCs w:val="24"/>
        </w:rPr>
        <w:t>Medea.</w:t>
      </w:r>
      <w:r w:rsidR="000C7219">
        <w:rPr>
          <w:sz w:val="24"/>
          <w:szCs w:val="24"/>
        </w:rPr>
        <w:t xml:space="preserve"> </w:t>
      </w:r>
      <w:r w:rsidR="000C7219">
        <w:rPr>
          <w:sz w:val="24"/>
          <w:szCs w:val="24"/>
          <w:lang w:val="el-GR"/>
        </w:rPr>
        <w:t>οὓς</w:t>
      </w:r>
      <w:r w:rsidR="000C7219" w:rsidRPr="000C7219">
        <w:rPr>
          <w:sz w:val="24"/>
          <w:szCs w:val="24"/>
        </w:rPr>
        <w:t xml:space="preserve"> </w:t>
      </w:r>
      <w:r w:rsidR="000C7219">
        <w:rPr>
          <w:sz w:val="24"/>
          <w:szCs w:val="24"/>
          <w:lang w:val="el-GR"/>
        </w:rPr>
        <w:t>σοὶ</w:t>
      </w:r>
      <w:r w:rsidR="000C7219" w:rsidRPr="000C7219">
        <w:rPr>
          <w:sz w:val="24"/>
          <w:szCs w:val="24"/>
        </w:rPr>
        <w:t xml:space="preserve"> </w:t>
      </w:r>
      <w:r w:rsidR="000C7219">
        <w:rPr>
          <w:sz w:val="24"/>
          <w:szCs w:val="24"/>
          <w:lang w:val="el-GR"/>
        </w:rPr>
        <w:lastRenderedPageBreak/>
        <w:t>προδοῦσα</w:t>
      </w:r>
      <w:r w:rsidR="000C7219" w:rsidRPr="000C7219">
        <w:rPr>
          <w:sz w:val="24"/>
          <w:szCs w:val="24"/>
        </w:rPr>
        <w:t xml:space="preserve"> </w:t>
      </w:r>
      <w:r w:rsidR="000C7219">
        <w:rPr>
          <w:sz w:val="24"/>
          <w:szCs w:val="24"/>
          <w:lang w:val="el-GR"/>
        </w:rPr>
        <w:t>καὶ</w:t>
      </w:r>
      <w:r w:rsidR="000C7219" w:rsidRPr="000C7219">
        <w:rPr>
          <w:sz w:val="24"/>
          <w:szCs w:val="24"/>
        </w:rPr>
        <w:t xml:space="preserve"> </w:t>
      </w:r>
      <w:r w:rsidR="000C7219">
        <w:rPr>
          <w:sz w:val="24"/>
          <w:szCs w:val="24"/>
          <w:lang w:val="el-GR"/>
        </w:rPr>
        <w:t>πάτραν</w:t>
      </w:r>
      <w:r w:rsidR="000C7219" w:rsidRPr="000C7219">
        <w:rPr>
          <w:sz w:val="24"/>
          <w:szCs w:val="24"/>
        </w:rPr>
        <w:t xml:space="preserve"> </w:t>
      </w:r>
      <w:r w:rsidR="000C7219">
        <w:rPr>
          <w:sz w:val="24"/>
          <w:szCs w:val="24"/>
          <w:lang w:val="el-GR"/>
        </w:rPr>
        <w:t>ἀφικόμην</w:t>
      </w:r>
      <w:r w:rsidR="000C7219">
        <w:rPr>
          <w:sz w:val="24"/>
          <w:szCs w:val="24"/>
        </w:rPr>
        <w:t xml:space="preserve">; </w:t>
      </w:r>
      <w:r w:rsidR="00CB7B8F">
        <w:rPr>
          <w:sz w:val="24"/>
          <w:szCs w:val="24"/>
        </w:rPr>
        <w:t>(which I betrayed for you, like my country when I arrived).</w:t>
      </w:r>
      <w:r w:rsidR="000C7219">
        <w:rPr>
          <w:rStyle w:val="FootnoteReference"/>
          <w:sz w:val="24"/>
          <w:szCs w:val="24"/>
        </w:rPr>
        <w:footnoteReference w:id="68"/>
      </w:r>
      <w:r w:rsidR="000C7219">
        <w:rPr>
          <w:sz w:val="24"/>
          <w:szCs w:val="24"/>
        </w:rPr>
        <w:t xml:space="preserve"> </w:t>
      </w:r>
      <w:r w:rsidR="000C7219">
        <w:rPr>
          <w:i/>
          <w:iCs/>
          <w:sz w:val="24"/>
          <w:szCs w:val="24"/>
        </w:rPr>
        <w:t xml:space="preserve">ipsa reliqui  </w:t>
      </w:r>
      <w:r w:rsidR="000C7219">
        <w:rPr>
          <w:sz w:val="24"/>
          <w:szCs w:val="24"/>
        </w:rPr>
        <w:t>Here Ariadne views the abandonment of her father as a comparable crime to Theseus’ desertion of he</w:t>
      </w:r>
      <w:r w:rsidR="009A7952">
        <w:rPr>
          <w:sz w:val="24"/>
          <w:szCs w:val="24"/>
        </w:rPr>
        <w:t>r</w:t>
      </w:r>
      <w:r w:rsidR="000C7219">
        <w:rPr>
          <w:sz w:val="24"/>
          <w:szCs w:val="24"/>
        </w:rPr>
        <w:t xml:space="preserve">, yet a comparison with Medea’s </w:t>
      </w:r>
      <w:r w:rsidR="000C7219">
        <w:rPr>
          <w:sz w:val="24"/>
          <w:szCs w:val="24"/>
          <w:lang w:val="el-GR"/>
        </w:rPr>
        <w:t>προδοῦσα</w:t>
      </w:r>
      <w:r w:rsidR="00AD0665" w:rsidRPr="00AD0665">
        <w:rPr>
          <w:sz w:val="24"/>
          <w:szCs w:val="24"/>
        </w:rPr>
        <w:t xml:space="preserve"> </w:t>
      </w:r>
      <w:r w:rsidR="00AD0665">
        <w:rPr>
          <w:sz w:val="24"/>
          <w:szCs w:val="24"/>
        </w:rPr>
        <w:t>(</w:t>
      </w:r>
      <w:r w:rsidR="000C7219">
        <w:rPr>
          <w:sz w:val="24"/>
          <w:szCs w:val="24"/>
        </w:rPr>
        <w:t>betraying</w:t>
      </w:r>
      <w:r w:rsidR="00AD0665">
        <w:rPr>
          <w:sz w:val="24"/>
          <w:szCs w:val="24"/>
        </w:rPr>
        <w:t>)</w:t>
      </w:r>
      <w:r w:rsidR="000C7219">
        <w:rPr>
          <w:sz w:val="24"/>
          <w:szCs w:val="24"/>
        </w:rPr>
        <w:t xml:space="preserve"> in the line</w:t>
      </w:r>
      <w:r w:rsidR="00AD0665">
        <w:rPr>
          <w:sz w:val="24"/>
          <w:szCs w:val="24"/>
        </w:rPr>
        <w:t xml:space="preserve"> evoked suggests strongly that Ariadne’s guilt is much less than Medea’s: </w:t>
      </w:r>
      <w:r w:rsidR="00AD0665">
        <w:rPr>
          <w:sz w:val="24"/>
          <w:szCs w:val="24"/>
          <w:lang w:val="el-GR"/>
        </w:rPr>
        <w:t>αὐτὴ</w:t>
      </w:r>
      <w:r w:rsidR="00AD0665" w:rsidRPr="00AD0665">
        <w:rPr>
          <w:sz w:val="24"/>
          <w:szCs w:val="24"/>
        </w:rPr>
        <w:t xml:space="preserve"> </w:t>
      </w:r>
      <w:r w:rsidR="00AD0665">
        <w:rPr>
          <w:sz w:val="24"/>
          <w:szCs w:val="24"/>
          <w:lang w:val="el-GR"/>
        </w:rPr>
        <w:t>δὲ</w:t>
      </w:r>
      <w:r w:rsidR="00AD0665" w:rsidRPr="00AD0665">
        <w:rPr>
          <w:sz w:val="24"/>
          <w:szCs w:val="24"/>
        </w:rPr>
        <w:t xml:space="preserve"> </w:t>
      </w:r>
      <w:r w:rsidR="00AD0665">
        <w:rPr>
          <w:sz w:val="24"/>
          <w:szCs w:val="24"/>
          <w:lang w:val="el-GR"/>
        </w:rPr>
        <w:t>πατέρα</w:t>
      </w:r>
      <w:r w:rsidR="00AD0665" w:rsidRPr="00AD0665">
        <w:rPr>
          <w:sz w:val="24"/>
          <w:szCs w:val="24"/>
        </w:rPr>
        <w:t xml:space="preserve"> </w:t>
      </w:r>
      <w:r w:rsidR="00AD0665">
        <w:rPr>
          <w:sz w:val="24"/>
          <w:szCs w:val="24"/>
          <w:lang w:val="el-GR"/>
        </w:rPr>
        <w:t>καὶ</w:t>
      </w:r>
      <w:r w:rsidR="00AD0665" w:rsidRPr="00AD0665">
        <w:rPr>
          <w:sz w:val="24"/>
          <w:szCs w:val="24"/>
        </w:rPr>
        <w:t xml:space="preserve"> </w:t>
      </w:r>
      <w:r w:rsidR="00AD0665">
        <w:rPr>
          <w:sz w:val="24"/>
          <w:szCs w:val="24"/>
          <w:lang w:val="el-GR"/>
        </w:rPr>
        <w:t>δὸμους</w:t>
      </w:r>
      <w:r w:rsidR="00AD0665" w:rsidRPr="00AD0665">
        <w:rPr>
          <w:sz w:val="24"/>
          <w:szCs w:val="24"/>
        </w:rPr>
        <w:t xml:space="preserve"> </w:t>
      </w:r>
      <w:r w:rsidR="00AD0665">
        <w:rPr>
          <w:sz w:val="24"/>
          <w:szCs w:val="24"/>
          <w:lang w:val="el-GR"/>
        </w:rPr>
        <w:t>προδοῦσ</w:t>
      </w:r>
      <w:r w:rsidR="00AD0665">
        <w:rPr>
          <w:sz w:val="24"/>
          <w:szCs w:val="24"/>
        </w:rPr>
        <w:t>’</w:t>
      </w:r>
      <w:r w:rsidR="00AD0665" w:rsidRPr="00AD0665">
        <w:rPr>
          <w:sz w:val="24"/>
          <w:szCs w:val="24"/>
        </w:rPr>
        <w:t xml:space="preserve"> </w:t>
      </w:r>
      <w:r w:rsidR="00AD0665">
        <w:rPr>
          <w:sz w:val="24"/>
          <w:szCs w:val="24"/>
          <w:lang w:val="el-GR"/>
        </w:rPr>
        <w:t>ἐμούς</w:t>
      </w:r>
      <w:r w:rsidR="00AD0665" w:rsidRPr="00AD0665">
        <w:rPr>
          <w:sz w:val="24"/>
          <w:szCs w:val="24"/>
        </w:rPr>
        <w:t xml:space="preserve"> </w:t>
      </w:r>
      <w:r w:rsidR="00AD0665">
        <w:rPr>
          <w:sz w:val="24"/>
          <w:szCs w:val="24"/>
        </w:rPr>
        <w:t>(I abandoned my father and my home).</w:t>
      </w:r>
    </w:p>
    <w:p w14:paraId="26834760" w14:textId="6F99EF20" w:rsidR="00AD0665" w:rsidRDefault="00AD0665" w:rsidP="00C92EC6">
      <w:pPr>
        <w:rPr>
          <w:sz w:val="24"/>
          <w:szCs w:val="24"/>
        </w:rPr>
      </w:pPr>
      <w:r>
        <w:rPr>
          <w:sz w:val="24"/>
          <w:szCs w:val="24"/>
        </w:rPr>
        <w:t xml:space="preserve"> </w:t>
      </w:r>
      <w:r>
        <w:rPr>
          <w:i/>
          <w:iCs/>
          <w:sz w:val="24"/>
          <w:szCs w:val="24"/>
        </w:rPr>
        <w:t>Respersum..fraterna caede.</w:t>
      </w:r>
      <w:r>
        <w:rPr>
          <w:sz w:val="24"/>
          <w:szCs w:val="24"/>
        </w:rPr>
        <w:t xml:space="preserve"> (line 181) As Godwin states, the sentiments are rhetorically pleasing but less than fully reasonable. One wonders how much affection her father bore for the monster born of his wife’s bestiality, whom he locked in the labyrinth.</w:t>
      </w:r>
      <w:r>
        <w:rPr>
          <w:rStyle w:val="FootnoteReference"/>
          <w:sz w:val="24"/>
          <w:szCs w:val="24"/>
        </w:rPr>
        <w:footnoteReference w:id="69"/>
      </w:r>
      <w:r>
        <w:rPr>
          <w:sz w:val="24"/>
          <w:szCs w:val="24"/>
        </w:rPr>
        <w:t xml:space="preserve"> </w:t>
      </w:r>
      <w:r w:rsidR="001D54B3">
        <w:rPr>
          <w:sz w:val="24"/>
          <w:szCs w:val="24"/>
        </w:rPr>
        <w:t xml:space="preserve">Ariadne speaks as if Theseus </w:t>
      </w:r>
      <w:r w:rsidR="00741068">
        <w:rPr>
          <w:sz w:val="24"/>
          <w:szCs w:val="24"/>
        </w:rPr>
        <w:t>were</w:t>
      </w:r>
      <w:r w:rsidR="001D54B3">
        <w:rPr>
          <w:sz w:val="24"/>
          <w:szCs w:val="24"/>
        </w:rPr>
        <w:t xml:space="preserve"> still spattered with the Minotaur’s blood when she left Crete with him. In Virgil’s </w:t>
      </w:r>
      <w:r w:rsidR="001D54B3">
        <w:rPr>
          <w:i/>
          <w:iCs/>
          <w:sz w:val="24"/>
          <w:szCs w:val="24"/>
        </w:rPr>
        <w:t xml:space="preserve">Aeneid </w:t>
      </w:r>
      <w:r w:rsidR="001D54B3">
        <w:rPr>
          <w:sz w:val="24"/>
          <w:szCs w:val="24"/>
        </w:rPr>
        <w:t xml:space="preserve">4.21, </w:t>
      </w:r>
      <w:r w:rsidR="001D54B3">
        <w:rPr>
          <w:i/>
          <w:iCs/>
          <w:sz w:val="24"/>
          <w:szCs w:val="24"/>
        </w:rPr>
        <w:t>sparsos fraternal caede penates</w:t>
      </w:r>
      <w:r w:rsidR="00741068">
        <w:rPr>
          <w:i/>
          <w:iCs/>
          <w:sz w:val="24"/>
          <w:szCs w:val="24"/>
        </w:rPr>
        <w:t>,</w:t>
      </w:r>
      <w:r w:rsidR="001D54B3">
        <w:rPr>
          <w:i/>
          <w:iCs/>
          <w:sz w:val="24"/>
          <w:szCs w:val="24"/>
        </w:rPr>
        <w:t xml:space="preserve"> </w:t>
      </w:r>
      <w:r w:rsidR="001D54B3">
        <w:rPr>
          <w:sz w:val="24"/>
          <w:szCs w:val="24"/>
        </w:rPr>
        <w:t xml:space="preserve">the allusion to this line signifies </w:t>
      </w:r>
      <w:r w:rsidR="003176FD">
        <w:rPr>
          <w:sz w:val="24"/>
          <w:szCs w:val="24"/>
        </w:rPr>
        <w:t xml:space="preserve">not only the similarities but </w:t>
      </w:r>
      <w:r w:rsidR="001D54B3">
        <w:rPr>
          <w:sz w:val="24"/>
          <w:szCs w:val="24"/>
        </w:rPr>
        <w:t>the differences between Dido and Ariadne. As Nappa states,</w:t>
      </w:r>
      <w:r w:rsidR="003176FD">
        <w:rPr>
          <w:sz w:val="24"/>
          <w:szCs w:val="24"/>
        </w:rPr>
        <w:t xml:space="preserve"> Dido indicates that her husband, Sychaeus is already dead, yet Ariadne, sarcastically admits to having none. Furthermore,</w:t>
      </w:r>
      <w:r w:rsidR="001D54B3">
        <w:rPr>
          <w:sz w:val="24"/>
          <w:szCs w:val="24"/>
        </w:rPr>
        <w:t xml:space="preserve"> Ariadne has lost the possibility of help from her family and of a normal married life because she has followed a young man, whereas Dido fled her homeland following no-one.</w:t>
      </w:r>
      <w:r w:rsidR="001D54B3">
        <w:rPr>
          <w:rStyle w:val="FootnoteReference"/>
          <w:sz w:val="24"/>
          <w:szCs w:val="24"/>
        </w:rPr>
        <w:footnoteReference w:id="70"/>
      </w:r>
      <w:r>
        <w:rPr>
          <w:sz w:val="24"/>
          <w:szCs w:val="24"/>
        </w:rPr>
        <w:t xml:space="preserve"> </w:t>
      </w:r>
      <w:r w:rsidR="003176FD">
        <w:rPr>
          <w:sz w:val="24"/>
          <w:szCs w:val="24"/>
        </w:rPr>
        <w:t xml:space="preserve"> In a passage which alludes to Medea, one would probably remember Apsytus’ murder, even perhaps Jason’s deliberately staining Medea’s clothes with her brother’s blood (Apollonius. </w:t>
      </w:r>
      <w:r w:rsidR="003176FD">
        <w:rPr>
          <w:i/>
          <w:iCs/>
          <w:sz w:val="24"/>
          <w:szCs w:val="24"/>
        </w:rPr>
        <w:t xml:space="preserve">Arg. </w:t>
      </w:r>
      <w:r w:rsidR="003176FD">
        <w:rPr>
          <w:sz w:val="24"/>
          <w:szCs w:val="24"/>
        </w:rPr>
        <w:t xml:space="preserve">4.471-4), yet it is not mentioned in the parallel passage of Euripides’ </w:t>
      </w:r>
      <w:r w:rsidR="003176FD">
        <w:rPr>
          <w:i/>
          <w:iCs/>
          <w:sz w:val="24"/>
          <w:szCs w:val="24"/>
        </w:rPr>
        <w:t xml:space="preserve">Medea. </w:t>
      </w:r>
      <w:r w:rsidR="003176FD">
        <w:rPr>
          <w:sz w:val="24"/>
          <w:szCs w:val="24"/>
        </w:rPr>
        <w:t xml:space="preserve">Instead, we note that the Minotaur’s death </w:t>
      </w:r>
      <w:r w:rsidR="00B70BA2">
        <w:rPr>
          <w:sz w:val="24"/>
          <w:szCs w:val="24"/>
        </w:rPr>
        <w:t xml:space="preserve">replaces Medea’s reference to her killing of Pelias at the hands of his daughters, where Medea states sarcastically, </w:t>
      </w:r>
      <w:r w:rsidR="00B70BA2" w:rsidRPr="00B70BA2">
        <w:rPr>
          <w:sz w:val="24"/>
          <w:szCs w:val="24"/>
          <w:lang w:val="el-GR"/>
        </w:rPr>
        <w:t>καλῶς</w:t>
      </w:r>
      <w:r w:rsidR="00B70BA2" w:rsidRPr="00B70BA2">
        <w:rPr>
          <w:sz w:val="24"/>
          <w:szCs w:val="24"/>
        </w:rPr>
        <w:t xml:space="preserve"> </w:t>
      </w:r>
      <w:r w:rsidR="00B70BA2" w:rsidRPr="00B70BA2">
        <w:rPr>
          <w:sz w:val="24"/>
          <w:szCs w:val="24"/>
          <w:lang w:val="el-GR"/>
        </w:rPr>
        <w:t>υ</w:t>
      </w:r>
      <w:r w:rsidR="00B70BA2" w:rsidRPr="00B70BA2">
        <w:rPr>
          <w:sz w:val="24"/>
          <w:szCs w:val="24"/>
        </w:rPr>
        <w:t xml:space="preserve">’ </w:t>
      </w:r>
      <w:r w:rsidR="00B70BA2" w:rsidRPr="00B70BA2">
        <w:rPr>
          <w:sz w:val="24"/>
          <w:szCs w:val="24"/>
          <w:lang w:val="el-GR"/>
        </w:rPr>
        <w:t>ἂν</w:t>
      </w:r>
      <w:r w:rsidR="00B70BA2" w:rsidRPr="00B70BA2">
        <w:rPr>
          <w:sz w:val="24"/>
          <w:szCs w:val="24"/>
        </w:rPr>
        <w:t xml:space="preserve"> </w:t>
      </w:r>
      <w:r w:rsidR="00B70BA2" w:rsidRPr="00B70BA2">
        <w:rPr>
          <w:sz w:val="24"/>
          <w:szCs w:val="24"/>
          <w:lang w:val="el-GR"/>
        </w:rPr>
        <w:t>οῦν</w:t>
      </w:r>
      <w:r w:rsidR="00B70BA2" w:rsidRPr="00B70BA2">
        <w:rPr>
          <w:sz w:val="24"/>
          <w:szCs w:val="24"/>
        </w:rPr>
        <w:t xml:space="preserve"> </w:t>
      </w:r>
      <w:r w:rsidR="00B70BA2" w:rsidRPr="00B70BA2">
        <w:rPr>
          <w:sz w:val="24"/>
          <w:szCs w:val="24"/>
          <w:lang w:val="el-GR"/>
        </w:rPr>
        <w:t>δέξαιντό</w:t>
      </w:r>
      <w:r w:rsidR="00B70BA2" w:rsidRPr="00B70BA2">
        <w:rPr>
          <w:sz w:val="24"/>
          <w:szCs w:val="24"/>
        </w:rPr>
        <w:t xml:space="preserve"> </w:t>
      </w:r>
      <w:r w:rsidR="00B70BA2">
        <w:rPr>
          <w:sz w:val="24"/>
          <w:szCs w:val="24"/>
          <w:lang w:val="el-GR"/>
        </w:rPr>
        <w:t>μ</w:t>
      </w:r>
      <w:r w:rsidR="00B70BA2">
        <w:rPr>
          <w:sz w:val="24"/>
          <w:szCs w:val="24"/>
        </w:rPr>
        <w:t xml:space="preserve">’ </w:t>
      </w:r>
      <w:r w:rsidR="00B70BA2">
        <w:rPr>
          <w:sz w:val="24"/>
          <w:szCs w:val="24"/>
          <w:lang w:val="el-GR"/>
        </w:rPr>
        <w:t>οἲκοις</w:t>
      </w:r>
      <w:r w:rsidR="00B70BA2" w:rsidRPr="00B70BA2">
        <w:rPr>
          <w:sz w:val="24"/>
          <w:szCs w:val="24"/>
        </w:rPr>
        <w:t xml:space="preserve"> </w:t>
      </w:r>
      <w:r w:rsidR="00B70BA2">
        <w:rPr>
          <w:sz w:val="24"/>
          <w:szCs w:val="24"/>
          <w:lang w:val="el-GR"/>
        </w:rPr>
        <w:t>ῶν</w:t>
      </w:r>
      <w:r w:rsidR="00B70BA2" w:rsidRPr="00B70BA2">
        <w:rPr>
          <w:sz w:val="24"/>
          <w:szCs w:val="24"/>
        </w:rPr>
        <w:t xml:space="preserve"> </w:t>
      </w:r>
      <w:r w:rsidR="00B70BA2">
        <w:rPr>
          <w:sz w:val="24"/>
          <w:szCs w:val="24"/>
          <w:lang w:val="el-GR"/>
        </w:rPr>
        <w:t>πατέρα</w:t>
      </w:r>
      <w:r w:rsidR="00B70BA2" w:rsidRPr="00B70BA2">
        <w:rPr>
          <w:sz w:val="24"/>
          <w:szCs w:val="24"/>
        </w:rPr>
        <w:t xml:space="preserve"> </w:t>
      </w:r>
      <w:r w:rsidR="00B70BA2">
        <w:rPr>
          <w:sz w:val="24"/>
          <w:szCs w:val="24"/>
          <w:lang w:val="el-GR"/>
        </w:rPr>
        <w:t>κατέκτανον</w:t>
      </w:r>
      <w:r w:rsidR="00B70BA2" w:rsidRPr="00B70BA2">
        <w:rPr>
          <w:sz w:val="24"/>
          <w:szCs w:val="24"/>
        </w:rPr>
        <w:t xml:space="preserve"> </w:t>
      </w:r>
      <w:r w:rsidR="00B70BA2">
        <w:rPr>
          <w:sz w:val="24"/>
          <w:szCs w:val="24"/>
        </w:rPr>
        <w:t>(they would receive me really well in their house being I killed their father).</w:t>
      </w:r>
      <w:r w:rsidR="00B70BA2">
        <w:rPr>
          <w:rStyle w:val="FootnoteReference"/>
          <w:sz w:val="24"/>
          <w:szCs w:val="24"/>
        </w:rPr>
        <w:footnoteReference w:id="71"/>
      </w:r>
    </w:p>
    <w:p w14:paraId="4C1D802F" w14:textId="79459A03" w:rsidR="00B70BA2" w:rsidRDefault="00B70BA2" w:rsidP="00C92EC6">
      <w:pPr>
        <w:rPr>
          <w:sz w:val="24"/>
          <w:szCs w:val="24"/>
        </w:rPr>
      </w:pPr>
      <w:r>
        <w:rPr>
          <w:sz w:val="24"/>
          <w:szCs w:val="24"/>
        </w:rPr>
        <w:t xml:space="preserve">  </w:t>
      </w:r>
      <w:r w:rsidR="00615CE4">
        <w:rPr>
          <w:sz w:val="24"/>
          <w:szCs w:val="24"/>
        </w:rPr>
        <w:t xml:space="preserve">In lines 182-3, </w:t>
      </w:r>
      <w:r w:rsidR="00615CE4">
        <w:rPr>
          <w:i/>
          <w:iCs/>
          <w:sz w:val="24"/>
          <w:szCs w:val="24"/>
        </w:rPr>
        <w:t>coniugis an fido consoler memet amore, quine fugit..</w:t>
      </w:r>
      <w:r w:rsidR="00A602FB">
        <w:rPr>
          <w:i/>
          <w:iCs/>
          <w:sz w:val="24"/>
          <w:szCs w:val="24"/>
        </w:rPr>
        <w:t xml:space="preserve"> </w:t>
      </w:r>
      <w:r w:rsidR="00615CE4">
        <w:rPr>
          <w:sz w:val="24"/>
          <w:szCs w:val="24"/>
        </w:rPr>
        <w:t>Ariadne asks whether she can ‘comfort’ herself ‘with a husband’s faithful love? Such words are sardonic again, given that her ‘faithful’ husband is now fleeing her. Ariadne’s point is that all the normal sources of comfort (home, father, husband) have been denied her.</w:t>
      </w:r>
      <w:r w:rsidR="00615CE4">
        <w:rPr>
          <w:rStyle w:val="FootnoteReference"/>
          <w:sz w:val="24"/>
          <w:szCs w:val="24"/>
        </w:rPr>
        <w:footnoteReference w:id="72"/>
      </w:r>
      <w:r w:rsidR="00615CE4">
        <w:rPr>
          <w:sz w:val="24"/>
          <w:szCs w:val="24"/>
        </w:rPr>
        <w:t xml:space="preserve"> </w:t>
      </w:r>
      <w:r w:rsidR="00615CE4">
        <w:rPr>
          <w:i/>
          <w:iCs/>
          <w:sz w:val="24"/>
          <w:szCs w:val="24"/>
        </w:rPr>
        <w:t xml:space="preserve">fido..amore </w:t>
      </w:r>
      <w:r w:rsidR="00615CE4">
        <w:rPr>
          <w:sz w:val="24"/>
          <w:szCs w:val="24"/>
        </w:rPr>
        <w:t xml:space="preserve">echoes Medea’s sarcasm as, following her questions, she summaries the situation in which she has been left by Jason, </w:t>
      </w:r>
      <w:r w:rsidR="00615CE4">
        <w:rPr>
          <w:sz w:val="24"/>
          <w:szCs w:val="24"/>
          <w:lang w:val="el-GR"/>
        </w:rPr>
        <w:t>θαυμαστὸν</w:t>
      </w:r>
      <w:r w:rsidR="00615CE4" w:rsidRPr="00615CE4">
        <w:rPr>
          <w:sz w:val="24"/>
          <w:szCs w:val="24"/>
        </w:rPr>
        <w:t xml:space="preserve"> </w:t>
      </w:r>
      <w:r w:rsidR="00615CE4">
        <w:rPr>
          <w:sz w:val="24"/>
          <w:szCs w:val="24"/>
          <w:lang w:val="el-GR"/>
        </w:rPr>
        <w:t>δέ</w:t>
      </w:r>
      <w:r w:rsidR="00615CE4" w:rsidRPr="00615CE4">
        <w:rPr>
          <w:sz w:val="24"/>
          <w:szCs w:val="24"/>
        </w:rPr>
        <w:t>..</w:t>
      </w:r>
      <w:r w:rsidR="00615CE4">
        <w:rPr>
          <w:sz w:val="24"/>
          <w:szCs w:val="24"/>
          <w:lang w:val="el-GR"/>
        </w:rPr>
        <w:t>ἔχω</w:t>
      </w:r>
      <w:r w:rsidR="00615CE4" w:rsidRPr="00615CE4">
        <w:rPr>
          <w:sz w:val="24"/>
          <w:szCs w:val="24"/>
        </w:rPr>
        <w:t xml:space="preserve"> </w:t>
      </w:r>
      <w:r w:rsidR="00615CE4">
        <w:rPr>
          <w:sz w:val="24"/>
          <w:szCs w:val="24"/>
          <w:lang w:val="el-GR"/>
        </w:rPr>
        <w:t>πόσιν</w:t>
      </w:r>
      <w:r w:rsidR="00615CE4" w:rsidRPr="00615CE4">
        <w:rPr>
          <w:sz w:val="24"/>
          <w:szCs w:val="24"/>
        </w:rPr>
        <w:t xml:space="preserve"> </w:t>
      </w:r>
      <w:r w:rsidR="00615CE4">
        <w:rPr>
          <w:sz w:val="24"/>
          <w:szCs w:val="24"/>
          <w:lang w:val="el-GR"/>
        </w:rPr>
        <w:t>καὶ</w:t>
      </w:r>
      <w:r w:rsidR="00615CE4" w:rsidRPr="00615CE4">
        <w:rPr>
          <w:sz w:val="24"/>
          <w:szCs w:val="24"/>
        </w:rPr>
        <w:t xml:space="preserve"> </w:t>
      </w:r>
      <w:r w:rsidR="00615CE4">
        <w:rPr>
          <w:sz w:val="24"/>
          <w:szCs w:val="24"/>
          <w:lang w:val="el-GR"/>
        </w:rPr>
        <w:t>πιστὸν</w:t>
      </w:r>
      <w:r w:rsidR="00615CE4" w:rsidRPr="00615CE4">
        <w:rPr>
          <w:sz w:val="24"/>
          <w:szCs w:val="24"/>
        </w:rPr>
        <w:t xml:space="preserve"> </w:t>
      </w:r>
      <w:r w:rsidR="00BF62DE">
        <w:rPr>
          <w:sz w:val="24"/>
          <w:szCs w:val="24"/>
          <w:lang w:val="el-GR"/>
        </w:rPr>
        <w:t>ἡ</w:t>
      </w:r>
      <w:r w:rsidR="00BF62DE" w:rsidRPr="00BF62DE">
        <w:rPr>
          <w:sz w:val="24"/>
          <w:szCs w:val="24"/>
        </w:rPr>
        <w:t xml:space="preserve"> </w:t>
      </w:r>
      <w:r w:rsidR="00BF62DE">
        <w:rPr>
          <w:sz w:val="24"/>
          <w:szCs w:val="24"/>
          <w:lang w:val="el-GR"/>
        </w:rPr>
        <w:t>τάλαιν</w:t>
      </w:r>
      <w:r w:rsidR="00BF62DE">
        <w:rPr>
          <w:sz w:val="24"/>
          <w:szCs w:val="24"/>
        </w:rPr>
        <w:t xml:space="preserve">’ </w:t>
      </w:r>
      <w:r w:rsidR="00BF62DE">
        <w:rPr>
          <w:sz w:val="24"/>
          <w:szCs w:val="24"/>
          <w:lang w:val="el-GR"/>
        </w:rPr>
        <w:t>ἐγώ</w:t>
      </w:r>
      <w:r w:rsidR="00BF62DE" w:rsidRPr="00BF62DE">
        <w:rPr>
          <w:sz w:val="24"/>
          <w:szCs w:val="24"/>
        </w:rPr>
        <w:t xml:space="preserve"> </w:t>
      </w:r>
      <w:r w:rsidR="00BF62DE">
        <w:rPr>
          <w:sz w:val="24"/>
          <w:szCs w:val="24"/>
        </w:rPr>
        <w:t>( I, poor wretch, have in you a wonderful and faithful husband).</w:t>
      </w:r>
      <w:r w:rsidR="00BF62DE">
        <w:rPr>
          <w:rStyle w:val="FootnoteReference"/>
          <w:sz w:val="24"/>
          <w:szCs w:val="24"/>
        </w:rPr>
        <w:footnoteReference w:id="73"/>
      </w:r>
      <w:r w:rsidR="00BF62DE">
        <w:rPr>
          <w:sz w:val="24"/>
          <w:szCs w:val="24"/>
        </w:rPr>
        <w:t xml:space="preserve"> </w:t>
      </w:r>
      <w:r w:rsidR="00BF62DE">
        <w:rPr>
          <w:i/>
          <w:iCs/>
          <w:sz w:val="24"/>
          <w:szCs w:val="24"/>
        </w:rPr>
        <w:t xml:space="preserve">Memet </w:t>
      </w:r>
      <w:r w:rsidR="00BF62DE">
        <w:rPr>
          <w:sz w:val="24"/>
          <w:szCs w:val="24"/>
        </w:rPr>
        <w:t>is particularly rare in poetry and here, intensifies the feeling of isolation.</w:t>
      </w:r>
      <w:r w:rsidR="00BF62DE">
        <w:rPr>
          <w:rStyle w:val="FootnoteReference"/>
          <w:sz w:val="24"/>
          <w:szCs w:val="24"/>
        </w:rPr>
        <w:footnoteReference w:id="74"/>
      </w:r>
    </w:p>
    <w:p w14:paraId="59C2C908" w14:textId="23BDC25C" w:rsidR="00BF62DE" w:rsidRDefault="00BF62DE" w:rsidP="00C92EC6">
      <w:pPr>
        <w:rPr>
          <w:sz w:val="24"/>
          <w:szCs w:val="24"/>
        </w:rPr>
      </w:pPr>
      <w:r>
        <w:rPr>
          <w:sz w:val="24"/>
          <w:szCs w:val="24"/>
        </w:rPr>
        <w:t xml:space="preserve"> </w:t>
      </w:r>
      <w:r>
        <w:rPr>
          <w:i/>
          <w:iCs/>
          <w:sz w:val="24"/>
          <w:szCs w:val="24"/>
        </w:rPr>
        <w:t>Lentos incur</w:t>
      </w:r>
      <w:r w:rsidR="00585D79">
        <w:rPr>
          <w:i/>
          <w:iCs/>
          <w:sz w:val="24"/>
          <w:szCs w:val="24"/>
        </w:rPr>
        <w:t>u</w:t>
      </w:r>
      <w:r>
        <w:rPr>
          <w:i/>
          <w:iCs/>
          <w:sz w:val="24"/>
          <w:szCs w:val="24"/>
        </w:rPr>
        <w:t xml:space="preserve">ans…remos </w:t>
      </w:r>
      <w:r>
        <w:rPr>
          <w:sz w:val="24"/>
          <w:szCs w:val="24"/>
        </w:rPr>
        <w:t>(line 183) One gets a sense of straining at the oars, bending slowly or reluctantly</w:t>
      </w:r>
      <w:r w:rsidR="00741068">
        <w:rPr>
          <w:sz w:val="24"/>
          <w:szCs w:val="24"/>
        </w:rPr>
        <w:t>, perhaps</w:t>
      </w:r>
      <w:r>
        <w:rPr>
          <w:sz w:val="24"/>
          <w:szCs w:val="24"/>
        </w:rPr>
        <w:t xml:space="preserve"> yielding under pressure, pliant.</w:t>
      </w:r>
      <w:r w:rsidR="00741068">
        <w:rPr>
          <w:sz w:val="24"/>
          <w:szCs w:val="24"/>
        </w:rPr>
        <w:t xml:space="preserve">  </w:t>
      </w:r>
      <w:r>
        <w:rPr>
          <w:sz w:val="24"/>
          <w:szCs w:val="24"/>
        </w:rPr>
        <w:t xml:space="preserve">Ellis questions the relationship between </w:t>
      </w:r>
      <w:r>
        <w:rPr>
          <w:i/>
          <w:iCs/>
          <w:sz w:val="24"/>
          <w:szCs w:val="24"/>
        </w:rPr>
        <w:t xml:space="preserve">lentos </w:t>
      </w:r>
      <w:r>
        <w:rPr>
          <w:sz w:val="24"/>
          <w:szCs w:val="24"/>
        </w:rPr>
        <w:t xml:space="preserve">and </w:t>
      </w:r>
      <w:r w:rsidR="00585D79">
        <w:rPr>
          <w:i/>
          <w:iCs/>
          <w:sz w:val="24"/>
          <w:szCs w:val="24"/>
        </w:rPr>
        <w:t xml:space="preserve">incuruans, </w:t>
      </w:r>
      <w:r w:rsidR="00585D79">
        <w:rPr>
          <w:sz w:val="24"/>
          <w:szCs w:val="24"/>
        </w:rPr>
        <w:t xml:space="preserve">as </w:t>
      </w:r>
      <w:r w:rsidR="00585D79">
        <w:rPr>
          <w:i/>
          <w:iCs/>
          <w:sz w:val="24"/>
          <w:szCs w:val="24"/>
        </w:rPr>
        <w:t xml:space="preserve">lentos </w:t>
      </w:r>
      <w:r w:rsidR="00585D79">
        <w:rPr>
          <w:sz w:val="24"/>
          <w:szCs w:val="24"/>
        </w:rPr>
        <w:t>can also mean ‘resisting’. Here we have the image of a rower bending the resistant oar by the strain of his pull, which perhaps heightens the eagerness of Theseus to get away.</w:t>
      </w:r>
      <w:r w:rsidR="00585D79">
        <w:rPr>
          <w:rStyle w:val="FootnoteReference"/>
          <w:sz w:val="24"/>
          <w:szCs w:val="24"/>
        </w:rPr>
        <w:footnoteReference w:id="75"/>
      </w:r>
      <w:r w:rsidR="00585D79">
        <w:rPr>
          <w:sz w:val="24"/>
          <w:szCs w:val="24"/>
        </w:rPr>
        <w:t xml:space="preserve"> Ariadne imagines that Theseus is rowing his own ship.</w:t>
      </w:r>
    </w:p>
    <w:p w14:paraId="41D6104C" w14:textId="245E7F42" w:rsidR="00741068" w:rsidRDefault="00741068" w:rsidP="00C92EC6">
      <w:pPr>
        <w:rPr>
          <w:sz w:val="24"/>
          <w:szCs w:val="24"/>
        </w:rPr>
      </w:pPr>
      <w:r>
        <w:rPr>
          <w:sz w:val="24"/>
          <w:szCs w:val="24"/>
        </w:rPr>
        <w:lastRenderedPageBreak/>
        <w:t xml:space="preserve">  </w:t>
      </w:r>
      <w:r w:rsidR="00313335">
        <w:rPr>
          <w:sz w:val="24"/>
          <w:szCs w:val="24"/>
        </w:rPr>
        <w:t>This lament is replete with comparisons between Ariadne and Dido, not least their feeling of abandonment. Yet, although Ariadne suffers at the hands of Theseus</w:t>
      </w:r>
      <w:r w:rsidR="00B27367">
        <w:rPr>
          <w:sz w:val="24"/>
          <w:szCs w:val="24"/>
        </w:rPr>
        <w:t xml:space="preserve"> and appears to have ‘no escape from her labyrinth,’</w:t>
      </w:r>
      <w:r w:rsidR="00B27367">
        <w:rPr>
          <w:rStyle w:val="FootnoteReference"/>
          <w:sz w:val="24"/>
          <w:szCs w:val="24"/>
        </w:rPr>
        <w:footnoteReference w:id="76"/>
      </w:r>
      <w:r w:rsidR="00313335">
        <w:rPr>
          <w:sz w:val="24"/>
          <w:szCs w:val="24"/>
        </w:rPr>
        <w:t xml:space="preserve"> in time</w:t>
      </w:r>
      <w:r w:rsidR="00B27367">
        <w:rPr>
          <w:sz w:val="24"/>
          <w:szCs w:val="24"/>
        </w:rPr>
        <w:t xml:space="preserve"> her curse will be fulfilled, </w:t>
      </w:r>
      <w:r w:rsidR="00A602FB">
        <w:rPr>
          <w:sz w:val="24"/>
          <w:szCs w:val="24"/>
        </w:rPr>
        <w:t>as</w:t>
      </w:r>
      <w:r w:rsidR="00313335">
        <w:rPr>
          <w:sz w:val="24"/>
          <w:szCs w:val="24"/>
        </w:rPr>
        <w:t xml:space="preserve"> </w:t>
      </w:r>
      <w:r w:rsidR="00522330">
        <w:rPr>
          <w:sz w:val="24"/>
          <w:szCs w:val="24"/>
        </w:rPr>
        <w:t>Bacchus</w:t>
      </w:r>
      <w:r w:rsidR="00313335">
        <w:rPr>
          <w:sz w:val="24"/>
          <w:szCs w:val="24"/>
        </w:rPr>
        <w:t xml:space="preserve"> </w:t>
      </w:r>
      <w:r w:rsidR="00B27367">
        <w:rPr>
          <w:sz w:val="24"/>
          <w:szCs w:val="24"/>
        </w:rPr>
        <w:t>will arrive</w:t>
      </w:r>
      <w:r w:rsidR="00313335">
        <w:rPr>
          <w:sz w:val="24"/>
          <w:szCs w:val="24"/>
        </w:rPr>
        <w:t xml:space="preserve"> to save her</w:t>
      </w:r>
      <w:r w:rsidR="00A35A38">
        <w:rPr>
          <w:sz w:val="24"/>
          <w:szCs w:val="24"/>
        </w:rPr>
        <w:t>. One</w:t>
      </w:r>
      <w:r w:rsidR="0053220C">
        <w:rPr>
          <w:sz w:val="24"/>
          <w:szCs w:val="24"/>
        </w:rPr>
        <w:t xml:space="preserve"> contrast ultimately overwhelms any similarity between the two heroines: Ariadne has a saviour, Dido does not.</w:t>
      </w:r>
      <w:r w:rsidR="0053220C">
        <w:rPr>
          <w:rStyle w:val="FootnoteReference"/>
          <w:sz w:val="24"/>
          <w:szCs w:val="24"/>
        </w:rPr>
        <w:footnoteReference w:id="77"/>
      </w:r>
    </w:p>
    <w:p w14:paraId="685B6A02" w14:textId="15FEAF50" w:rsidR="00604BCC" w:rsidRDefault="00604BCC" w:rsidP="00C92EC6">
      <w:pPr>
        <w:rPr>
          <w:sz w:val="24"/>
          <w:szCs w:val="24"/>
        </w:rPr>
      </w:pPr>
    </w:p>
    <w:p w14:paraId="669848B5" w14:textId="7113069A" w:rsidR="00604BCC" w:rsidRDefault="00604BCC" w:rsidP="00604BCC">
      <w:pPr>
        <w:jc w:val="center"/>
        <w:rPr>
          <w:sz w:val="32"/>
          <w:szCs w:val="32"/>
        </w:rPr>
      </w:pPr>
      <w:r w:rsidRPr="00604BCC">
        <w:rPr>
          <w:sz w:val="32"/>
          <w:szCs w:val="32"/>
        </w:rPr>
        <w:t>Bibliography</w:t>
      </w:r>
    </w:p>
    <w:p w14:paraId="7F6DD131" w14:textId="14756F92" w:rsidR="00DD3AA4" w:rsidRDefault="00604BCC" w:rsidP="00604BCC">
      <w:pPr>
        <w:rPr>
          <w:sz w:val="28"/>
          <w:szCs w:val="28"/>
        </w:rPr>
      </w:pPr>
      <w:r>
        <w:rPr>
          <w:sz w:val="28"/>
          <w:szCs w:val="28"/>
        </w:rPr>
        <w:t xml:space="preserve">Armstrong, R. </w:t>
      </w:r>
      <w:r w:rsidR="00D83998">
        <w:rPr>
          <w:sz w:val="28"/>
          <w:szCs w:val="28"/>
        </w:rPr>
        <w:t>(</w:t>
      </w:r>
      <w:r>
        <w:rPr>
          <w:sz w:val="28"/>
          <w:szCs w:val="28"/>
        </w:rPr>
        <w:t>2006</w:t>
      </w:r>
      <w:r w:rsidR="00D83998">
        <w:rPr>
          <w:sz w:val="28"/>
          <w:szCs w:val="28"/>
        </w:rPr>
        <w:t>)</w:t>
      </w:r>
      <w:r>
        <w:rPr>
          <w:sz w:val="28"/>
          <w:szCs w:val="28"/>
        </w:rPr>
        <w:t xml:space="preserve">. </w:t>
      </w:r>
      <w:r>
        <w:rPr>
          <w:i/>
          <w:iCs/>
          <w:sz w:val="28"/>
          <w:szCs w:val="28"/>
        </w:rPr>
        <w:t xml:space="preserve">Cretan Women, Pasiphae, Ariadne, and Phaedra in Latin Poetry, </w:t>
      </w:r>
      <w:r w:rsidRPr="00604BCC">
        <w:rPr>
          <w:sz w:val="28"/>
          <w:szCs w:val="28"/>
        </w:rPr>
        <w:t>Chapter 5</w:t>
      </w:r>
      <w:r w:rsidR="00D83998">
        <w:rPr>
          <w:sz w:val="28"/>
          <w:szCs w:val="28"/>
        </w:rPr>
        <w:t xml:space="preserve"> pp187-220  Oxford University Press</w:t>
      </w:r>
    </w:p>
    <w:p w14:paraId="2221EAC2" w14:textId="14720071" w:rsidR="00604BCC" w:rsidRDefault="00604BCC" w:rsidP="00604BCC">
      <w:pPr>
        <w:rPr>
          <w:sz w:val="28"/>
          <w:szCs w:val="28"/>
        </w:rPr>
      </w:pPr>
      <w:r>
        <w:rPr>
          <w:sz w:val="28"/>
          <w:szCs w:val="28"/>
        </w:rPr>
        <w:t xml:space="preserve">Clare, R. C. 1996. ‘Catullus 64 and the </w:t>
      </w:r>
      <w:r>
        <w:rPr>
          <w:i/>
          <w:iCs/>
          <w:sz w:val="28"/>
          <w:szCs w:val="28"/>
        </w:rPr>
        <w:t xml:space="preserve">Argonautica </w:t>
      </w:r>
      <w:r>
        <w:rPr>
          <w:sz w:val="28"/>
          <w:szCs w:val="28"/>
        </w:rPr>
        <w:t xml:space="preserve">of Apollonius Rhodius: allusion and exemplarity’, </w:t>
      </w:r>
      <w:r>
        <w:rPr>
          <w:i/>
          <w:iCs/>
          <w:sz w:val="28"/>
          <w:szCs w:val="28"/>
        </w:rPr>
        <w:t xml:space="preserve">PCPS </w:t>
      </w:r>
      <w:r>
        <w:rPr>
          <w:sz w:val="28"/>
          <w:szCs w:val="28"/>
        </w:rPr>
        <w:t xml:space="preserve">42: </w:t>
      </w:r>
      <w:r w:rsidR="00D83998">
        <w:rPr>
          <w:sz w:val="28"/>
          <w:szCs w:val="28"/>
        </w:rPr>
        <w:t>pp</w:t>
      </w:r>
      <w:r>
        <w:rPr>
          <w:sz w:val="28"/>
          <w:szCs w:val="28"/>
        </w:rPr>
        <w:t>60-88</w:t>
      </w:r>
    </w:p>
    <w:p w14:paraId="590928C2" w14:textId="2B70D468" w:rsidR="00604BCC" w:rsidRDefault="00604BCC" w:rsidP="00604BCC">
      <w:pPr>
        <w:rPr>
          <w:sz w:val="28"/>
          <w:szCs w:val="28"/>
        </w:rPr>
      </w:pPr>
      <w:r>
        <w:rPr>
          <w:sz w:val="28"/>
          <w:szCs w:val="28"/>
        </w:rPr>
        <w:t xml:space="preserve">DeBrohun, Jeri Blair. 2007.  ‘Catullan intertextuality: Apollonius and the allusive plot of Catullus 64.’ In: Marilyn B. Skinner (ed.). </w:t>
      </w:r>
      <w:r>
        <w:rPr>
          <w:i/>
          <w:iCs/>
          <w:sz w:val="28"/>
          <w:szCs w:val="28"/>
        </w:rPr>
        <w:t xml:space="preserve">A Companion to Catullus. </w:t>
      </w:r>
      <w:r>
        <w:rPr>
          <w:sz w:val="28"/>
          <w:szCs w:val="28"/>
        </w:rPr>
        <w:t xml:space="preserve">Malden: Blackwell, 2007, </w:t>
      </w:r>
      <w:r w:rsidR="00D83998">
        <w:rPr>
          <w:sz w:val="28"/>
          <w:szCs w:val="28"/>
        </w:rPr>
        <w:t>pp</w:t>
      </w:r>
      <w:r>
        <w:rPr>
          <w:sz w:val="28"/>
          <w:szCs w:val="28"/>
        </w:rPr>
        <w:t>293-313 [ebook 2008]</w:t>
      </w:r>
    </w:p>
    <w:p w14:paraId="2A005CCD" w14:textId="6A62EC4E" w:rsidR="00EF7A73" w:rsidRDefault="00EF7A73" w:rsidP="00604BCC">
      <w:pPr>
        <w:rPr>
          <w:sz w:val="28"/>
          <w:szCs w:val="28"/>
        </w:rPr>
      </w:pPr>
      <w:r>
        <w:rPr>
          <w:sz w:val="28"/>
          <w:szCs w:val="28"/>
        </w:rPr>
        <w:t>Ellis, Robinson. 1876 (ed.), ‘</w:t>
      </w:r>
      <w:r w:rsidRPr="00472A8F">
        <w:rPr>
          <w:i/>
          <w:iCs/>
          <w:sz w:val="28"/>
          <w:szCs w:val="28"/>
        </w:rPr>
        <w:t>A Commentary on Catullus’</w:t>
      </w:r>
      <w:r>
        <w:rPr>
          <w:sz w:val="28"/>
          <w:szCs w:val="28"/>
        </w:rPr>
        <w:t>. Oxford at the Clarendon Press.</w:t>
      </w:r>
    </w:p>
    <w:p w14:paraId="70105AB4" w14:textId="3BD7A871" w:rsidR="00FB0B03" w:rsidRDefault="00FB0B03" w:rsidP="00604BCC">
      <w:pPr>
        <w:rPr>
          <w:sz w:val="28"/>
          <w:szCs w:val="28"/>
        </w:rPr>
      </w:pPr>
      <w:r>
        <w:rPr>
          <w:sz w:val="28"/>
          <w:szCs w:val="28"/>
        </w:rPr>
        <w:t>Fowler</w:t>
      </w:r>
      <w:r w:rsidR="00A26217">
        <w:rPr>
          <w:sz w:val="28"/>
          <w:szCs w:val="28"/>
        </w:rPr>
        <w:t xml:space="preserve">, D.P. (1987)  ‘The Rhetoric of Desperation’, HSPh 91: </w:t>
      </w:r>
      <w:r w:rsidR="00D83998">
        <w:rPr>
          <w:sz w:val="28"/>
          <w:szCs w:val="28"/>
        </w:rPr>
        <w:t>pp</w:t>
      </w:r>
      <w:r w:rsidR="00A26217">
        <w:rPr>
          <w:sz w:val="28"/>
          <w:szCs w:val="28"/>
        </w:rPr>
        <w:t>5-38</w:t>
      </w:r>
    </w:p>
    <w:p w14:paraId="39D43920" w14:textId="6AA57EB0" w:rsidR="0004549C" w:rsidRDefault="00604BCC" w:rsidP="00604BCC">
      <w:pPr>
        <w:rPr>
          <w:sz w:val="28"/>
          <w:szCs w:val="28"/>
        </w:rPr>
      </w:pPr>
      <w:r>
        <w:rPr>
          <w:sz w:val="28"/>
          <w:szCs w:val="28"/>
        </w:rPr>
        <w:t xml:space="preserve">Gaisser, J. H. </w:t>
      </w:r>
      <w:r w:rsidR="00F80692">
        <w:rPr>
          <w:sz w:val="28"/>
          <w:szCs w:val="28"/>
        </w:rPr>
        <w:t xml:space="preserve">1995. ‘Threads in the Labyrinth: Competing Views and Voices in Catullus 64’ </w:t>
      </w:r>
      <w:r w:rsidR="00F80692">
        <w:rPr>
          <w:i/>
          <w:iCs/>
          <w:sz w:val="28"/>
          <w:szCs w:val="28"/>
        </w:rPr>
        <w:t xml:space="preserve">AJPh </w:t>
      </w:r>
      <w:r w:rsidR="00F80692">
        <w:rPr>
          <w:sz w:val="28"/>
          <w:szCs w:val="28"/>
        </w:rPr>
        <w:t xml:space="preserve">116: </w:t>
      </w:r>
      <w:r w:rsidR="00D83998">
        <w:rPr>
          <w:sz w:val="28"/>
          <w:szCs w:val="28"/>
        </w:rPr>
        <w:t>pp</w:t>
      </w:r>
      <w:r w:rsidR="00F80692">
        <w:rPr>
          <w:sz w:val="28"/>
          <w:szCs w:val="28"/>
        </w:rPr>
        <w:t>579-616</w:t>
      </w:r>
      <w:r w:rsidR="00472A8F">
        <w:rPr>
          <w:sz w:val="28"/>
          <w:szCs w:val="28"/>
        </w:rPr>
        <w:t>.</w:t>
      </w:r>
    </w:p>
    <w:p w14:paraId="41B9AE9A" w14:textId="3AE9B805" w:rsidR="00F80692" w:rsidRDefault="00F80692" w:rsidP="00604BCC">
      <w:pPr>
        <w:rPr>
          <w:sz w:val="28"/>
          <w:szCs w:val="28"/>
        </w:rPr>
      </w:pPr>
      <w:r>
        <w:rPr>
          <w:sz w:val="28"/>
          <w:szCs w:val="28"/>
        </w:rPr>
        <w:t xml:space="preserve">Gardner, Hunter H. 2007. </w:t>
      </w:r>
      <w:r w:rsidRPr="00472A8F">
        <w:rPr>
          <w:i/>
          <w:iCs/>
          <w:sz w:val="28"/>
          <w:szCs w:val="28"/>
        </w:rPr>
        <w:t>‘</w:t>
      </w:r>
      <w:r w:rsidRPr="00472A8F">
        <w:rPr>
          <w:sz w:val="28"/>
          <w:szCs w:val="28"/>
        </w:rPr>
        <w:t>Ariadne’s Lament. The semiotic impulse of Catullus’</w:t>
      </w:r>
      <w:r w:rsidRPr="00472A8F">
        <w:rPr>
          <w:i/>
          <w:iCs/>
          <w:sz w:val="28"/>
          <w:szCs w:val="28"/>
        </w:rPr>
        <w:t xml:space="preserve"> </w:t>
      </w:r>
      <w:r>
        <w:rPr>
          <w:i/>
          <w:iCs/>
          <w:sz w:val="28"/>
          <w:szCs w:val="28"/>
        </w:rPr>
        <w:t xml:space="preserve">TAPhA </w:t>
      </w:r>
      <w:r>
        <w:rPr>
          <w:sz w:val="28"/>
          <w:szCs w:val="28"/>
        </w:rPr>
        <w:t xml:space="preserve">137: </w:t>
      </w:r>
      <w:r w:rsidR="00D83998">
        <w:rPr>
          <w:sz w:val="28"/>
          <w:szCs w:val="28"/>
        </w:rPr>
        <w:t>pp</w:t>
      </w:r>
      <w:r>
        <w:rPr>
          <w:sz w:val="28"/>
          <w:szCs w:val="28"/>
        </w:rPr>
        <w:t>147-80</w:t>
      </w:r>
    </w:p>
    <w:p w14:paraId="0F7A9BA9" w14:textId="0A1D6C18" w:rsidR="00F80692" w:rsidRDefault="00F80692" w:rsidP="00604BCC">
      <w:pPr>
        <w:rPr>
          <w:sz w:val="28"/>
          <w:szCs w:val="28"/>
        </w:rPr>
      </w:pPr>
      <w:r>
        <w:rPr>
          <w:sz w:val="28"/>
          <w:szCs w:val="28"/>
        </w:rPr>
        <w:t xml:space="preserve">Glenn, J. 1980-1 ‘Ariadne’s daydream (Catullus 64. 158-63)’, </w:t>
      </w:r>
      <w:r>
        <w:rPr>
          <w:i/>
          <w:iCs/>
          <w:sz w:val="28"/>
          <w:szCs w:val="28"/>
        </w:rPr>
        <w:t xml:space="preserve">CJ </w:t>
      </w:r>
      <w:r>
        <w:rPr>
          <w:sz w:val="28"/>
          <w:szCs w:val="28"/>
        </w:rPr>
        <w:t xml:space="preserve">76: </w:t>
      </w:r>
      <w:r w:rsidR="00D83998">
        <w:rPr>
          <w:sz w:val="28"/>
          <w:szCs w:val="28"/>
        </w:rPr>
        <w:t>pp</w:t>
      </w:r>
      <w:r>
        <w:rPr>
          <w:sz w:val="28"/>
          <w:szCs w:val="28"/>
        </w:rPr>
        <w:t>110-16</w:t>
      </w:r>
    </w:p>
    <w:p w14:paraId="5DA00DEF" w14:textId="52F0DF4E" w:rsidR="00EF7A73" w:rsidRDefault="00F80692" w:rsidP="00604BCC">
      <w:pPr>
        <w:rPr>
          <w:sz w:val="28"/>
          <w:szCs w:val="28"/>
        </w:rPr>
      </w:pPr>
      <w:r>
        <w:rPr>
          <w:sz w:val="28"/>
          <w:szCs w:val="28"/>
        </w:rPr>
        <w:t xml:space="preserve">Godwin, John, 1995. (ed.), </w:t>
      </w:r>
      <w:r>
        <w:rPr>
          <w:i/>
          <w:iCs/>
          <w:sz w:val="28"/>
          <w:szCs w:val="28"/>
        </w:rPr>
        <w:t xml:space="preserve">Catullus: Poems 61-68 </w:t>
      </w:r>
      <w:r w:rsidR="00EF7A73">
        <w:rPr>
          <w:i/>
          <w:iCs/>
          <w:sz w:val="28"/>
          <w:szCs w:val="28"/>
        </w:rPr>
        <w:t xml:space="preserve">  </w:t>
      </w:r>
      <w:r>
        <w:rPr>
          <w:sz w:val="28"/>
          <w:szCs w:val="28"/>
        </w:rPr>
        <w:t>Aris and Phillips Ltd</w:t>
      </w:r>
      <w:r w:rsidR="00EF7A73">
        <w:rPr>
          <w:sz w:val="28"/>
          <w:szCs w:val="28"/>
        </w:rPr>
        <w:t>.</w:t>
      </w:r>
    </w:p>
    <w:p w14:paraId="7DB38288" w14:textId="3334E707" w:rsidR="00DD3AA4" w:rsidRDefault="00DD3AA4" w:rsidP="00604BCC">
      <w:pPr>
        <w:rPr>
          <w:sz w:val="28"/>
          <w:szCs w:val="28"/>
        </w:rPr>
      </w:pPr>
      <w:r>
        <w:rPr>
          <w:sz w:val="28"/>
          <w:szCs w:val="28"/>
        </w:rPr>
        <w:t xml:space="preserve">Goold, G.P, (1914). (ed.), </w:t>
      </w:r>
      <w:r>
        <w:rPr>
          <w:i/>
          <w:iCs/>
          <w:sz w:val="28"/>
          <w:szCs w:val="28"/>
        </w:rPr>
        <w:t xml:space="preserve">Ovid Heroides. Amores </w:t>
      </w:r>
      <w:r>
        <w:rPr>
          <w:sz w:val="28"/>
          <w:szCs w:val="28"/>
        </w:rPr>
        <w:t>Harvard University Press</w:t>
      </w:r>
    </w:p>
    <w:p w14:paraId="0F8FD355" w14:textId="3C536CC7" w:rsidR="00FB0B03" w:rsidRPr="00FB0B03" w:rsidRDefault="00FB0B03" w:rsidP="00604BCC">
      <w:pPr>
        <w:rPr>
          <w:sz w:val="28"/>
          <w:szCs w:val="28"/>
        </w:rPr>
      </w:pPr>
      <w:r>
        <w:rPr>
          <w:sz w:val="28"/>
          <w:szCs w:val="28"/>
        </w:rPr>
        <w:t xml:space="preserve">Henderson, Jeffrey. (1924) (ed.), </w:t>
      </w:r>
      <w:r>
        <w:rPr>
          <w:i/>
          <w:iCs/>
          <w:sz w:val="28"/>
          <w:szCs w:val="28"/>
        </w:rPr>
        <w:t xml:space="preserve">Homer Iliad  </w:t>
      </w:r>
      <w:r>
        <w:rPr>
          <w:sz w:val="28"/>
          <w:szCs w:val="28"/>
        </w:rPr>
        <w:t>Harvard University Press</w:t>
      </w:r>
    </w:p>
    <w:p w14:paraId="12B6B634" w14:textId="32208A88" w:rsidR="00DD3AA4" w:rsidRDefault="00DD3AA4" w:rsidP="00604BCC">
      <w:pPr>
        <w:rPr>
          <w:sz w:val="28"/>
          <w:szCs w:val="28"/>
        </w:rPr>
      </w:pPr>
      <w:r>
        <w:rPr>
          <w:sz w:val="28"/>
          <w:szCs w:val="28"/>
        </w:rPr>
        <w:t xml:space="preserve">Hunter, Richard, (2015). (ed.), </w:t>
      </w:r>
      <w:r>
        <w:rPr>
          <w:i/>
          <w:iCs/>
          <w:sz w:val="28"/>
          <w:szCs w:val="28"/>
        </w:rPr>
        <w:t xml:space="preserve">Apollonius of Rhodes: Argonautica Book IV </w:t>
      </w:r>
      <w:r>
        <w:rPr>
          <w:sz w:val="28"/>
          <w:szCs w:val="28"/>
        </w:rPr>
        <w:t>Cambridge University Press</w:t>
      </w:r>
    </w:p>
    <w:p w14:paraId="256F5FF2" w14:textId="7127B7AB" w:rsidR="00DD3AA4" w:rsidRPr="00DD3AA4" w:rsidRDefault="00DD3AA4" w:rsidP="00604BCC">
      <w:pPr>
        <w:rPr>
          <w:sz w:val="28"/>
          <w:szCs w:val="28"/>
        </w:rPr>
      </w:pPr>
      <w:r>
        <w:rPr>
          <w:sz w:val="28"/>
          <w:szCs w:val="28"/>
        </w:rPr>
        <w:t xml:space="preserve">Mastronarde, Donald. J. (ed.), </w:t>
      </w:r>
      <w:r>
        <w:rPr>
          <w:i/>
          <w:iCs/>
          <w:sz w:val="28"/>
          <w:szCs w:val="28"/>
        </w:rPr>
        <w:t xml:space="preserve">Euripides Medea  </w:t>
      </w:r>
      <w:r>
        <w:rPr>
          <w:sz w:val="28"/>
          <w:szCs w:val="28"/>
        </w:rPr>
        <w:t>Cambridge University Press</w:t>
      </w:r>
    </w:p>
    <w:p w14:paraId="7E8DAAB5" w14:textId="1AE6C347" w:rsidR="00EF7A73" w:rsidRPr="0004549C" w:rsidRDefault="00EF7A73" w:rsidP="00604BCC">
      <w:pPr>
        <w:rPr>
          <w:sz w:val="28"/>
          <w:szCs w:val="28"/>
        </w:rPr>
      </w:pPr>
      <w:r>
        <w:rPr>
          <w:sz w:val="28"/>
          <w:szCs w:val="28"/>
        </w:rPr>
        <w:lastRenderedPageBreak/>
        <w:t>Nappa, Christopher</w:t>
      </w:r>
      <w:r w:rsidR="0004549C">
        <w:rPr>
          <w:sz w:val="28"/>
          <w:szCs w:val="28"/>
        </w:rPr>
        <w:t xml:space="preserve">. 2007. ‘Catullus and Virgil’, In Marilyn B. Skinner (ed.) </w:t>
      </w:r>
      <w:r w:rsidR="0004549C">
        <w:rPr>
          <w:i/>
          <w:iCs/>
          <w:sz w:val="28"/>
          <w:szCs w:val="28"/>
        </w:rPr>
        <w:t xml:space="preserve">A Companion to Catullus. </w:t>
      </w:r>
      <w:r w:rsidR="0004549C">
        <w:rPr>
          <w:sz w:val="28"/>
          <w:szCs w:val="28"/>
        </w:rPr>
        <w:t xml:space="preserve">Malden. Blackwell, 2007, </w:t>
      </w:r>
      <w:r w:rsidR="00D83998">
        <w:rPr>
          <w:sz w:val="28"/>
          <w:szCs w:val="28"/>
        </w:rPr>
        <w:t>pp</w:t>
      </w:r>
      <w:r w:rsidR="0004549C">
        <w:rPr>
          <w:sz w:val="28"/>
          <w:szCs w:val="28"/>
        </w:rPr>
        <w:t>377-398 [ebook 2008]</w:t>
      </w:r>
    </w:p>
    <w:p w14:paraId="4B10DD49" w14:textId="3F1BFAE5" w:rsidR="0004549C" w:rsidRDefault="00EF7A73" w:rsidP="00604BCC">
      <w:pPr>
        <w:rPr>
          <w:sz w:val="28"/>
          <w:szCs w:val="28"/>
        </w:rPr>
      </w:pPr>
      <w:r>
        <w:rPr>
          <w:sz w:val="28"/>
          <w:szCs w:val="28"/>
        </w:rPr>
        <w:t>P</w:t>
      </w:r>
      <w:r w:rsidR="004E0D92">
        <w:rPr>
          <w:sz w:val="28"/>
          <w:szCs w:val="28"/>
        </w:rPr>
        <w:t>u</w:t>
      </w:r>
      <w:r>
        <w:rPr>
          <w:sz w:val="28"/>
          <w:szCs w:val="28"/>
        </w:rPr>
        <w:t xml:space="preserve">tnam, Michael. C.J, ‘The Art of Catullus 64’. </w:t>
      </w:r>
      <w:r w:rsidR="004E0D92">
        <w:rPr>
          <w:sz w:val="28"/>
          <w:szCs w:val="28"/>
        </w:rPr>
        <w:t>Cambridge. Harvard Studies in Classical Phililogy, 1961 Vol. 65, pp 165-205</w:t>
      </w:r>
    </w:p>
    <w:p w14:paraId="6673192D" w14:textId="6C240C25" w:rsidR="00DD3AA4" w:rsidRPr="00DD3AA4" w:rsidRDefault="00DD3AA4" w:rsidP="00604BCC">
      <w:pPr>
        <w:rPr>
          <w:sz w:val="28"/>
          <w:szCs w:val="28"/>
        </w:rPr>
      </w:pPr>
      <w:r>
        <w:rPr>
          <w:sz w:val="28"/>
          <w:szCs w:val="28"/>
        </w:rPr>
        <w:t xml:space="preserve">Rushton Fairclough, H (ed.), (1916) </w:t>
      </w:r>
      <w:r>
        <w:rPr>
          <w:i/>
          <w:iCs/>
          <w:sz w:val="28"/>
          <w:szCs w:val="28"/>
        </w:rPr>
        <w:t xml:space="preserve">Virgil: Eclogues.Georgics Aeneid I-VI </w:t>
      </w:r>
      <w:r>
        <w:rPr>
          <w:sz w:val="28"/>
          <w:szCs w:val="28"/>
        </w:rPr>
        <w:t>Harvard University Press</w:t>
      </w:r>
    </w:p>
    <w:p w14:paraId="737EE5AC" w14:textId="24AB67EE" w:rsidR="00F80692" w:rsidRDefault="00F80692" w:rsidP="00604BCC">
      <w:pPr>
        <w:rPr>
          <w:sz w:val="28"/>
          <w:szCs w:val="28"/>
        </w:rPr>
      </w:pPr>
      <w:r>
        <w:rPr>
          <w:sz w:val="28"/>
          <w:szCs w:val="28"/>
        </w:rPr>
        <w:t xml:space="preserve">Thomson, D.F.S. (1961) Aspects of Unity in Catullus 64’, CJ 57: </w:t>
      </w:r>
      <w:r w:rsidR="00D83998">
        <w:rPr>
          <w:sz w:val="28"/>
          <w:szCs w:val="28"/>
        </w:rPr>
        <w:t>pp</w:t>
      </w:r>
      <w:r>
        <w:rPr>
          <w:sz w:val="28"/>
          <w:szCs w:val="28"/>
        </w:rPr>
        <w:t>49-57</w:t>
      </w:r>
    </w:p>
    <w:p w14:paraId="5EBEE149" w14:textId="662E15AD" w:rsidR="00A50F3A" w:rsidRDefault="00A50F3A" w:rsidP="00604BCC">
      <w:pPr>
        <w:rPr>
          <w:sz w:val="28"/>
          <w:szCs w:val="28"/>
        </w:rPr>
      </w:pPr>
      <w:r>
        <w:rPr>
          <w:sz w:val="28"/>
          <w:szCs w:val="28"/>
        </w:rPr>
        <w:t>Trimble, G (2010) ‘A Commentary on Catullus 64, 1-201’. Oxford DPhil</w:t>
      </w:r>
    </w:p>
    <w:p w14:paraId="2363141E" w14:textId="301FE715" w:rsidR="00EF7A73" w:rsidRDefault="00EF7A73" w:rsidP="00604BCC">
      <w:pPr>
        <w:rPr>
          <w:sz w:val="28"/>
          <w:szCs w:val="28"/>
        </w:rPr>
      </w:pPr>
      <w:r>
        <w:rPr>
          <w:sz w:val="28"/>
          <w:szCs w:val="28"/>
        </w:rPr>
        <w:t xml:space="preserve">Warmington, E.H. (1968), </w:t>
      </w:r>
      <w:r>
        <w:rPr>
          <w:i/>
          <w:iCs/>
          <w:sz w:val="28"/>
          <w:szCs w:val="28"/>
        </w:rPr>
        <w:t xml:space="preserve">Catullus Tibullus And Pervigilium Veneris </w:t>
      </w:r>
      <w:r>
        <w:rPr>
          <w:sz w:val="28"/>
          <w:szCs w:val="28"/>
        </w:rPr>
        <w:t>William Heinemann Ltd Harvard University Press</w:t>
      </w:r>
    </w:p>
    <w:p w14:paraId="7C98781B" w14:textId="764C6769" w:rsidR="0004549C" w:rsidRDefault="0004549C" w:rsidP="00604BCC">
      <w:pPr>
        <w:rPr>
          <w:sz w:val="28"/>
          <w:szCs w:val="28"/>
        </w:rPr>
      </w:pPr>
      <w:r>
        <w:rPr>
          <w:sz w:val="28"/>
          <w:szCs w:val="28"/>
        </w:rPr>
        <w:t xml:space="preserve">Webster, T.B.L. (1966) </w:t>
      </w:r>
      <w:r>
        <w:rPr>
          <w:i/>
          <w:iCs/>
          <w:sz w:val="28"/>
          <w:szCs w:val="28"/>
        </w:rPr>
        <w:t xml:space="preserve">The Myth of Ariadne from Homer to Catullus  </w:t>
      </w:r>
      <w:r>
        <w:rPr>
          <w:sz w:val="28"/>
          <w:szCs w:val="28"/>
        </w:rPr>
        <w:t>Volume 13 (1) 22-31 Cambridge University Press</w:t>
      </w:r>
    </w:p>
    <w:p w14:paraId="6C280F25" w14:textId="46B06E41" w:rsidR="00BE1D29" w:rsidRPr="00BE1D29" w:rsidRDefault="00BE1D29" w:rsidP="00604BCC">
      <w:pPr>
        <w:rPr>
          <w:sz w:val="28"/>
          <w:szCs w:val="28"/>
        </w:rPr>
      </w:pPr>
      <w:r>
        <w:rPr>
          <w:sz w:val="28"/>
          <w:szCs w:val="28"/>
        </w:rPr>
        <w:t xml:space="preserve">Wheeler, Arthur, Leslie. (1934), </w:t>
      </w:r>
      <w:r>
        <w:rPr>
          <w:i/>
          <w:iCs/>
          <w:sz w:val="28"/>
          <w:szCs w:val="28"/>
        </w:rPr>
        <w:t xml:space="preserve">Catullus and The Traditions of Ancient Poetry </w:t>
      </w:r>
      <w:r>
        <w:rPr>
          <w:sz w:val="28"/>
          <w:szCs w:val="28"/>
        </w:rPr>
        <w:t>Sather Classical Lectures Volume Nine  University of California Press</w:t>
      </w:r>
    </w:p>
    <w:p w14:paraId="2D8989C2" w14:textId="1203F1CB" w:rsidR="00F80692" w:rsidRPr="00F80692" w:rsidRDefault="00F80692" w:rsidP="00604BCC">
      <w:pPr>
        <w:rPr>
          <w:sz w:val="28"/>
          <w:szCs w:val="28"/>
        </w:rPr>
      </w:pPr>
      <w:r>
        <w:rPr>
          <w:sz w:val="28"/>
          <w:szCs w:val="28"/>
        </w:rPr>
        <w:t xml:space="preserve">Quinn, Kenneth. 1970. (ed.), </w:t>
      </w:r>
      <w:r>
        <w:rPr>
          <w:i/>
          <w:iCs/>
          <w:sz w:val="28"/>
          <w:szCs w:val="28"/>
        </w:rPr>
        <w:t xml:space="preserve">Catullus: The Poems </w:t>
      </w:r>
      <w:r>
        <w:rPr>
          <w:sz w:val="28"/>
          <w:szCs w:val="28"/>
        </w:rPr>
        <w:t>(London and Basingstoke)</w:t>
      </w:r>
    </w:p>
    <w:p w14:paraId="3462DFB5" w14:textId="77777777" w:rsidR="00604BCC" w:rsidRPr="00604BCC" w:rsidRDefault="00604BCC" w:rsidP="00604BCC">
      <w:pPr>
        <w:jc w:val="center"/>
        <w:rPr>
          <w:sz w:val="28"/>
          <w:szCs w:val="28"/>
        </w:rPr>
      </w:pPr>
    </w:p>
    <w:p w14:paraId="5744FCD9" w14:textId="0CA4F038" w:rsidR="006C2065" w:rsidRPr="006C2065" w:rsidRDefault="006C2065" w:rsidP="00C92EC6">
      <w:pPr>
        <w:rPr>
          <w:sz w:val="24"/>
          <w:szCs w:val="24"/>
        </w:rPr>
      </w:pPr>
      <w:r>
        <w:rPr>
          <w:sz w:val="24"/>
          <w:szCs w:val="24"/>
        </w:rPr>
        <w:t xml:space="preserve"> </w:t>
      </w:r>
    </w:p>
    <w:p w14:paraId="2AF8EABD" w14:textId="6037BFD9" w:rsidR="00971E0D" w:rsidRPr="00C11213" w:rsidRDefault="000F6509" w:rsidP="00C92EC6">
      <w:pPr>
        <w:rPr>
          <w:sz w:val="24"/>
          <w:szCs w:val="24"/>
        </w:rPr>
      </w:pPr>
      <w:r>
        <w:rPr>
          <w:sz w:val="24"/>
          <w:szCs w:val="24"/>
        </w:rPr>
        <w:t xml:space="preserve">  </w:t>
      </w:r>
      <w:r w:rsidR="00971E0D">
        <w:rPr>
          <w:sz w:val="24"/>
          <w:szCs w:val="24"/>
        </w:rPr>
        <w:t xml:space="preserve"> </w:t>
      </w:r>
    </w:p>
    <w:p w14:paraId="4F18FB74" w14:textId="44E43973" w:rsidR="004211C0" w:rsidRPr="004211C0" w:rsidRDefault="004211C0" w:rsidP="00C92EC6">
      <w:pPr>
        <w:rPr>
          <w:sz w:val="24"/>
          <w:szCs w:val="24"/>
        </w:rPr>
      </w:pPr>
      <w:r>
        <w:rPr>
          <w:sz w:val="24"/>
          <w:szCs w:val="24"/>
        </w:rPr>
        <w:t xml:space="preserve">  </w:t>
      </w:r>
    </w:p>
    <w:p w14:paraId="5F156A62" w14:textId="1947428E" w:rsidR="00B05AFC" w:rsidRPr="008B4996" w:rsidRDefault="00B05AFC" w:rsidP="00C92EC6">
      <w:pPr>
        <w:rPr>
          <w:sz w:val="24"/>
          <w:szCs w:val="24"/>
        </w:rPr>
      </w:pPr>
      <w:r w:rsidRPr="008B4996">
        <w:rPr>
          <w:sz w:val="24"/>
          <w:szCs w:val="24"/>
        </w:rPr>
        <w:t xml:space="preserve">  </w:t>
      </w:r>
    </w:p>
    <w:p w14:paraId="7541B0A8" w14:textId="000BD0A8" w:rsidR="00334EA3" w:rsidRPr="008B4996" w:rsidRDefault="00334EA3" w:rsidP="00C92EC6">
      <w:pPr>
        <w:rPr>
          <w:sz w:val="24"/>
          <w:szCs w:val="24"/>
        </w:rPr>
      </w:pPr>
      <w:r w:rsidRPr="008B4996">
        <w:rPr>
          <w:sz w:val="24"/>
          <w:szCs w:val="24"/>
        </w:rPr>
        <w:t xml:space="preserve">  </w:t>
      </w:r>
    </w:p>
    <w:sectPr w:rsidR="00334EA3" w:rsidRPr="008B499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142D6B" w14:textId="77777777" w:rsidR="008773EC" w:rsidRDefault="008773EC" w:rsidP="0076221D">
      <w:pPr>
        <w:spacing w:after="0" w:line="240" w:lineRule="auto"/>
      </w:pPr>
      <w:r>
        <w:separator/>
      </w:r>
    </w:p>
  </w:endnote>
  <w:endnote w:type="continuationSeparator" w:id="0">
    <w:p w14:paraId="5F9B7745" w14:textId="77777777" w:rsidR="008773EC" w:rsidRDefault="008773EC" w:rsidP="007622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C9E07D" w14:textId="77777777" w:rsidR="008773EC" w:rsidRDefault="008773EC" w:rsidP="0076221D">
      <w:pPr>
        <w:spacing w:after="0" w:line="240" w:lineRule="auto"/>
      </w:pPr>
      <w:r>
        <w:separator/>
      </w:r>
    </w:p>
  </w:footnote>
  <w:footnote w:type="continuationSeparator" w:id="0">
    <w:p w14:paraId="2DBE6E40" w14:textId="77777777" w:rsidR="008773EC" w:rsidRDefault="008773EC" w:rsidP="0076221D">
      <w:pPr>
        <w:spacing w:after="0" w:line="240" w:lineRule="auto"/>
      </w:pPr>
      <w:r>
        <w:continuationSeparator/>
      </w:r>
    </w:p>
  </w:footnote>
  <w:footnote w:id="1">
    <w:p w14:paraId="4552D69E" w14:textId="17A894F3" w:rsidR="00CA6EB1" w:rsidRDefault="00CA6EB1">
      <w:pPr>
        <w:pStyle w:val="FootnoteText"/>
      </w:pPr>
      <w:r>
        <w:rPr>
          <w:rStyle w:val="FootnoteReference"/>
        </w:rPr>
        <w:footnoteRef/>
      </w:r>
      <w:r>
        <w:t xml:space="preserve"> Gaisser 2007  </w:t>
      </w:r>
      <w:r w:rsidR="00B56CEA">
        <w:t>p</w:t>
      </w:r>
      <w:r>
        <w:t>244</w:t>
      </w:r>
    </w:p>
  </w:footnote>
  <w:footnote w:id="2">
    <w:p w14:paraId="6890D22A" w14:textId="60FDBC07" w:rsidR="008319BB" w:rsidRPr="008319BB" w:rsidRDefault="008319BB">
      <w:pPr>
        <w:pStyle w:val="FootnoteText"/>
      </w:pPr>
      <w:r>
        <w:rPr>
          <w:rStyle w:val="FootnoteReference"/>
        </w:rPr>
        <w:footnoteRef/>
      </w:r>
      <w:r>
        <w:t xml:space="preserve"> Medea 1342-3</w:t>
      </w:r>
    </w:p>
  </w:footnote>
  <w:footnote w:id="3">
    <w:p w14:paraId="0EF3D5B8" w14:textId="1E7F2312" w:rsidR="003651D4" w:rsidRDefault="003651D4">
      <w:pPr>
        <w:pStyle w:val="FootnoteText"/>
      </w:pPr>
      <w:r>
        <w:rPr>
          <w:rStyle w:val="FootnoteReference"/>
        </w:rPr>
        <w:footnoteRef/>
      </w:r>
      <w:r>
        <w:t xml:space="preserve"> Medea 1358-60</w:t>
      </w:r>
    </w:p>
  </w:footnote>
  <w:footnote w:id="4">
    <w:p w14:paraId="1F314FBD" w14:textId="3CB5A65A" w:rsidR="003651D4" w:rsidRDefault="003651D4">
      <w:pPr>
        <w:pStyle w:val="FootnoteText"/>
      </w:pPr>
      <w:r>
        <w:rPr>
          <w:rStyle w:val="FootnoteReference"/>
        </w:rPr>
        <w:footnoteRef/>
      </w:r>
      <w:r>
        <w:t xml:space="preserve"> </w:t>
      </w:r>
      <w:r w:rsidR="009330E8">
        <w:t xml:space="preserve">DeBrohun 1999 </w:t>
      </w:r>
      <w:r w:rsidR="00B56CEA">
        <w:t>pp</w:t>
      </w:r>
      <w:r w:rsidR="009330E8">
        <w:t>427-9</w:t>
      </w:r>
    </w:p>
  </w:footnote>
  <w:footnote w:id="5">
    <w:p w14:paraId="0280DED1" w14:textId="138A0785" w:rsidR="00164DA4" w:rsidRDefault="00164DA4">
      <w:pPr>
        <w:pStyle w:val="FootnoteText"/>
      </w:pPr>
      <w:r>
        <w:rPr>
          <w:rStyle w:val="FootnoteReference"/>
        </w:rPr>
        <w:footnoteRef/>
      </w:r>
      <w:r>
        <w:t xml:space="preserve"> Catullus 60 1-2</w:t>
      </w:r>
    </w:p>
  </w:footnote>
  <w:footnote w:id="6">
    <w:p w14:paraId="683837E9" w14:textId="650F2A6E" w:rsidR="00210210" w:rsidRDefault="00210210">
      <w:pPr>
        <w:pStyle w:val="FootnoteText"/>
      </w:pPr>
      <w:r>
        <w:rPr>
          <w:rStyle w:val="FootnoteReference"/>
        </w:rPr>
        <w:footnoteRef/>
      </w:r>
      <w:r>
        <w:t xml:space="preserve"> P</w:t>
      </w:r>
      <w:r w:rsidR="004E0D92">
        <w:t>u</w:t>
      </w:r>
      <w:r>
        <w:t>tnam</w:t>
      </w:r>
      <w:r w:rsidR="004E0D92">
        <w:t xml:space="preserve"> 1961</w:t>
      </w:r>
      <w:r w:rsidR="00A26217">
        <w:t xml:space="preserve"> </w:t>
      </w:r>
      <w:r>
        <w:t xml:space="preserve"> </w:t>
      </w:r>
      <w:r w:rsidR="00B56CEA">
        <w:t>p</w:t>
      </w:r>
      <w:r>
        <w:t>176</w:t>
      </w:r>
    </w:p>
  </w:footnote>
  <w:footnote w:id="7">
    <w:p w14:paraId="69C76EA4" w14:textId="148AF741" w:rsidR="00507DCB" w:rsidRDefault="00507DCB">
      <w:pPr>
        <w:pStyle w:val="FootnoteText"/>
      </w:pPr>
      <w:r>
        <w:rPr>
          <w:rStyle w:val="FootnoteReference"/>
        </w:rPr>
        <w:footnoteRef/>
      </w:r>
      <w:r>
        <w:t xml:space="preserve"> Aeneid 4.365-7</w:t>
      </w:r>
    </w:p>
  </w:footnote>
  <w:footnote w:id="8">
    <w:p w14:paraId="5E64F2F2" w14:textId="36AD7210" w:rsidR="00804532" w:rsidRDefault="00804532">
      <w:pPr>
        <w:pStyle w:val="FootnoteText"/>
      </w:pPr>
      <w:r>
        <w:rPr>
          <w:rStyle w:val="FootnoteReference"/>
        </w:rPr>
        <w:footnoteRef/>
      </w:r>
      <w:r>
        <w:t xml:space="preserve"> P</w:t>
      </w:r>
      <w:r w:rsidR="004E0D92">
        <w:t>u</w:t>
      </w:r>
      <w:r>
        <w:t>tnam</w:t>
      </w:r>
      <w:r w:rsidR="004E0D92">
        <w:t xml:space="preserve"> 1961</w:t>
      </w:r>
      <w:r w:rsidR="00A26217">
        <w:t xml:space="preserve"> </w:t>
      </w:r>
      <w:r>
        <w:t xml:space="preserve"> </w:t>
      </w:r>
      <w:r w:rsidR="00B56CEA">
        <w:t>p</w:t>
      </w:r>
      <w:r>
        <w:t>176</w:t>
      </w:r>
    </w:p>
  </w:footnote>
  <w:footnote w:id="9">
    <w:p w14:paraId="075D01A0" w14:textId="2A0C3091" w:rsidR="007C7EAF" w:rsidRDefault="007C7EAF">
      <w:pPr>
        <w:pStyle w:val="FootnoteText"/>
      </w:pPr>
      <w:r>
        <w:rPr>
          <w:rStyle w:val="FootnoteReference"/>
        </w:rPr>
        <w:footnoteRef/>
      </w:r>
      <w:r>
        <w:t xml:space="preserve"> Quinn</w:t>
      </w:r>
      <w:r w:rsidR="00B56CEA">
        <w:t xml:space="preserve"> 1970 </w:t>
      </w:r>
      <w:r>
        <w:t xml:space="preserve"> </w:t>
      </w:r>
      <w:r w:rsidR="00B56CEA">
        <w:t>p</w:t>
      </w:r>
      <w:r>
        <w:t>322</w:t>
      </w:r>
    </w:p>
  </w:footnote>
  <w:footnote w:id="10">
    <w:p w14:paraId="1ED4C2A5" w14:textId="30AFFBF9" w:rsidR="007C7EAF" w:rsidRDefault="007C7EAF">
      <w:pPr>
        <w:pStyle w:val="FootnoteText"/>
      </w:pPr>
      <w:r>
        <w:rPr>
          <w:rStyle w:val="FootnoteReference"/>
        </w:rPr>
        <w:footnoteRef/>
      </w:r>
      <w:r>
        <w:t xml:space="preserve"> Ellis</w:t>
      </w:r>
      <w:r w:rsidR="00B56CEA">
        <w:t xml:space="preserve"> 1876 </w:t>
      </w:r>
      <w:r>
        <w:t xml:space="preserve"> </w:t>
      </w:r>
      <w:r w:rsidR="00B56CEA">
        <w:t>p</w:t>
      </w:r>
      <w:r>
        <w:t>255</w:t>
      </w:r>
    </w:p>
  </w:footnote>
  <w:footnote w:id="11">
    <w:p w14:paraId="13E5FBEE" w14:textId="61D9793A" w:rsidR="007C7EAF" w:rsidRDefault="007C7EAF">
      <w:pPr>
        <w:pStyle w:val="FootnoteText"/>
      </w:pPr>
      <w:r>
        <w:rPr>
          <w:rStyle w:val="FootnoteReference"/>
        </w:rPr>
        <w:footnoteRef/>
      </w:r>
      <w:r>
        <w:t xml:space="preserve"> Odyssey 12. 237, 437</w:t>
      </w:r>
    </w:p>
  </w:footnote>
  <w:footnote w:id="12">
    <w:p w14:paraId="2B2EFB17" w14:textId="2A052788" w:rsidR="005C6D88" w:rsidRDefault="005C6D88">
      <w:pPr>
        <w:pStyle w:val="FootnoteText"/>
      </w:pPr>
      <w:r>
        <w:rPr>
          <w:rStyle w:val="FootnoteReference"/>
        </w:rPr>
        <w:footnoteRef/>
      </w:r>
      <w:r>
        <w:t xml:space="preserve"> Godwin </w:t>
      </w:r>
      <w:r w:rsidR="00B56CEA">
        <w:t>1995 p</w:t>
      </w:r>
      <w:r>
        <w:t>153</w:t>
      </w:r>
    </w:p>
  </w:footnote>
  <w:footnote w:id="13">
    <w:p w14:paraId="2C6729D6" w14:textId="2725D7CE" w:rsidR="00435D85" w:rsidRDefault="00435D85">
      <w:pPr>
        <w:pStyle w:val="FootnoteText"/>
      </w:pPr>
      <w:r>
        <w:rPr>
          <w:rStyle w:val="FootnoteReference"/>
        </w:rPr>
        <w:footnoteRef/>
      </w:r>
      <w:r>
        <w:t xml:space="preserve"> Hunter Argonautica IV 249</w:t>
      </w:r>
    </w:p>
  </w:footnote>
  <w:footnote w:id="14">
    <w:p w14:paraId="215C24B9" w14:textId="4514C54A" w:rsidR="00DC7927" w:rsidRDefault="00DC7927">
      <w:pPr>
        <w:pStyle w:val="FootnoteText"/>
      </w:pPr>
      <w:r>
        <w:rPr>
          <w:rStyle w:val="FootnoteReference"/>
        </w:rPr>
        <w:footnoteRef/>
      </w:r>
      <w:r>
        <w:t xml:space="preserve"> Ellis</w:t>
      </w:r>
      <w:r w:rsidR="00B56CEA">
        <w:t xml:space="preserve"> 1876</w:t>
      </w:r>
      <w:r>
        <w:t xml:space="preserve"> </w:t>
      </w:r>
      <w:r w:rsidR="00B56CEA">
        <w:t>p</w:t>
      </w:r>
      <w:r>
        <w:t>165</w:t>
      </w:r>
    </w:p>
  </w:footnote>
  <w:footnote w:id="15">
    <w:p w14:paraId="39AA108D" w14:textId="33419C1D" w:rsidR="00DC7927" w:rsidRDefault="00DC7927">
      <w:pPr>
        <w:pStyle w:val="FootnoteText"/>
      </w:pPr>
      <w:r>
        <w:rPr>
          <w:rStyle w:val="FootnoteReference"/>
        </w:rPr>
        <w:footnoteRef/>
      </w:r>
      <w:r>
        <w:t xml:space="preserve"> Ovid Metamorphoses xiii 732</w:t>
      </w:r>
    </w:p>
  </w:footnote>
  <w:footnote w:id="16">
    <w:p w14:paraId="0842AA1F" w14:textId="615D5223" w:rsidR="008F1E7C" w:rsidRDefault="008F1E7C">
      <w:pPr>
        <w:pStyle w:val="FootnoteText"/>
      </w:pPr>
      <w:r>
        <w:rPr>
          <w:rStyle w:val="FootnoteReference"/>
        </w:rPr>
        <w:footnoteRef/>
      </w:r>
      <w:r>
        <w:t xml:space="preserve"> Godwin</w:t>
      </w:r>
      <w:r w:rsidR="00B56CEA">
        <w:t xml:space="preserve"> 1995</w:t>
      </w:r>
      <w:r>
        <w:t xml:space="preserve"> </w:t>
      </w:r>
      <w:r w:rsidR="00B56CEA">
        <w:t>p</w:t>
      </w:r>
      <w:r>
        <w:t>153</w:t>
      </w:r>
    </w:p>
  </w:footnote>
  <w:footnote w:id="17">
    <w:p w14:paraId="42329A95" w14:textId="4904BF7B" w:rsidR="00CC30EE" w:rsidRDefault="00CC30EE">
      <w:pPr>
        <w:pStyle w:val="FootnoteText"/>
      </w:pPr>
      <w:r>
        <w:rPr>
          <w:rStyle w:val="FootnoteReference"/>
        </w:rPr>
        <w:footnoteRef/>
      </w:r>
      <w:r>
        <w:t xml:space="preserve"> Clare </w:t>
      </w:r>
      <w:r w:rsidR="00B56CEA">
        <w:t>1996 p</w:t>
      </w:r>
      <w:r>
        <w:t>75</w:t>
      </w:r>
    </w:p>
  </w:footnote>
  <w:footnote w:id="18">
    <w:p w14:paraId="36FB96FC" w14:textId="0449D8DF" w:rsidR="003F2E15" w:rsidRDefault="003F2E15">
      <w:pPr>
        <w:pStyle w:val="FootnoteText"/>
      </w:pPr>
      <w:r>
        <w:rPr>
          <w:rStyle w:val="FootnoteReference"/>
        </w:rPr>
        <w:footnoteRef/>
      </w:r>
      <w:r>
        <w:t xml:space="preserve"> Glenn</w:t>
      </w:r>
      <w:r w:rsidR="00B56CEA">
        <w:t xml:space="preserve"> 1980/1</w:t>
      </w:r>
      <w:r>
        <w:t xml:space="preserve"> </w:t>
      </w:r>
      <w:r w:rsidR="00B56CEA">
        <w:t>p</w:t>
      </w:r>
      <w:r>
        <w:t>111</w:t>
      </w:r>
    </w:p>
  </w:footnote>
  <w:footnote w:id="19">
    <w:p w14:paraId="1B200748" w14:textId="35184A81" w:rsidR="00CB2507" w:rsidRDefault="00CB2507">
      <w:pPr>
        <w:pStyle w:val="FootnoteText"/>
      </w:pPr>
      <w:r>
        <w:rPr>
          <w:rStyle w:val="FootnoteReference"/>
        </w:rPr>
        <w:footnoteRef/>
      </w:r>
      <w:r>
        <w:t xml:space="preserve"> Glenn</w:t>
      </w:r>
      <w:r w:rsidR="00B56CEA">
        <w:t xml:space="preserve"> 1980/1</w:t>
      </w:r>
      <w:r>
        <w:t xml:space="preserve"> </w:t>
      </w:r>
      <w:r w:rsidR="00B56CEA">
        <w:t>p</w:t>
      </w:r>
      <w:r>
        <w:t>111</w:t>
      </w:r>
    </w:p>
  </w:footnote>
  <w:footnote w:id="20">
    <w:p w14:paraId="4BB80295" w14:textId="38298CB2" w:rsidR="00BE1D29" w:rsidRDefault="00BE1D29">
      <w:pPr>
        <w:pStyle w:val="FootnoteText"/>
      </w:pPr>
      <w:r>
        <w:rPr>
          <w:rStyle w:val="FootnoteReference"/>
        </w:rPr>
        <w:footnoteRef/>
      </w:r>
      <w:r>
        <w:t xml:space="preserve"> Wheeler</w:t>
      </w:r>
      <w:r w:rsidR="00B56CEA">
        <w:t xml:space="preserve"> 1934</w:t>
      </w:r>
      <w:r>
        <w:t xml:space="preserve">  </w:t>
      </w:r>
      <w:r w:rsidR="00B56CEA">
        <w:t>p</w:t>
      </w:r>
      <w:r>
        <w:t>128</w:t>
      </w:r>
    </w:p>
  </w:footnote>
  <w:footnote w:id="21">
    <w:p w14:paraId="5267EA32" w14:textId="4E7F508A" w:rsidR="008461DB" w:rsidRDefault="008461DB">
      <w:pPr>
        <w:pStyle w:val="FootnoteText"/>
      </w:pPr>
      <w:r>
        <w:rPr>
          <w:rStyle w:val="FootnoteReference"/>
        </w:rPr>
        <w:footnoteRef/>
      </w:r>
      <w:r>
        <w:t xml:space="preserve"> Quinn </w:t>
      </w:r>
      <w:r w:rsidR="00B56CEA">
        <w:t>1970  p</w:t>
      </w:r>
      <w:r>
        <w:t>323</w:t>
      </w:r>
    </w:p>
  </w:footnote>
  <w:footnote w:id="22">
    <w:p w14:paraId="0DFF9B32" w14:textId="127E36FB" w:rsidR="00B4416F" w:rsidRDefault="00B4416F">
      <w:pPr>
        <w:pStyle w:val="FootnoteText"/>
      </w:pPr>
      <w:r>
        <w:rPr>
          <w:rStyle w:val="FootnoteReference"/>
        </w:rPr>
        <w:footnoteRef/>
      </w:r>
      <w:r>
        <w:t xml:space="preserve"> Quinn</w:t>
      </w:r>
      <w:r w:rsidR="00290D4D">
        <w:t xml:space="preserve"> 1970</w:t>
      </w:r>
      <w:r>
        <w:t xml:space="preserve"> </w:t>
      </w:r>
      <w:r w:rsidR="00290D4D">
        <w:t>p</w:t>
      </w:r>
      <w:r>
        <w:t>323</w:t>
      </w:r>
    </w:p>
  </w:footnote>
  <w:footnote w:id="23">
    <w:p w14:paraId="53968287" w14:textId="6C476A5A" w:rsidR="00F251CF" w:rsidRDefault="00F251CF">
      <w:pPr>
        <w:pStyle w:val="FootnoteText"/>
      </w:pPr>
      <w:r>
        <w:rPr>
          <w:rStyle w:val="FootnoteReference"/>
        </w:rPr>
        <w:footnoteRef/>
      </w:r>
      <w:r>
        <w:t xml:space="preserve"> Webster </w:t>
      </w:r>
      <w:r w:rsidR="00290D4D">
        <w:t>1966</w:t>
      </w:r>
      <w:r>
        <w:t xml:space="preserve"> </w:t>
      </w:r>
      <w:r w:rsidR="00290D4D">
        <w:t>p</w:t>
      </w:r>
      <w:r>
        <w:t>30</w:t>
      </w:r>
    </w:p>
  </w:footnote>
  <w:footnote w:id="24">
    <w:p w14:paraId="36C15348" w14:textId="7D51B32D" w:rsidR="008B4996" w:rsidRDefault="008B4996">
      <w:pPr>
        <w:pStyle w:val="FootnoteText"/>
      </w:pPr>
      <w:r>
        <w:rPr>
          <w:rStyle w:val="FootnoteReference"/>
        </w:rPr>
        <w:footnoteRef/>
      </w:r>
      <w:r>
        <w:t xml:space="preserve"> Iliad 3.409</w:t>
      </w:r>
    </w:p>
  </w:footnote>
  <w:footnote w:id="25">
    <w:p w14:paraId="617B177C" w14:textId="1421D075" w:rsidR="009651C1" w:rsidRDefault="009651C1">
      <w:pPr>
        <w:pStyle w:val="FootnoteText"/>
      </w:pPr>
      <w:r>
        <w:rPr>
          <w:rStyle w:val="FootnoteReference"/>
        </w:rPr>
        <w:footnoteRef/>
      </w:r>
      <w:r>
        <w:t xml:space="preserve"> Glenn</w:t>
      </w:r>
      <w:r w:rsidR="00A26217">
        <w:t xml:space="preserve"> 1980/1</w:t>
      </w:r>
      <w:r>
        <w:t xml:space="preserve"> </w:t>
      </w:r>
      <w:r w:rsidR="00290D4D">
        <w:t>p</w:t>
      </w:r>
      <w:r>
        <w:t>112</w:t>
      </w:r>
    </w:p>
  </w:footnote>
  <w:footnote w:id="26">
    <w:p w14:paraId="67614594" w14:textId="78BFAC71" w:rsidR="00A62564" w:rsidRDefault="00A62564">
      <w:pPr>
        <w:pStyle w:val="FootnoteText"/>
      </w:pPr>
      <w:r>
        <w:rPr>
          <w:rStyle w:val="FootnoteReference"/>
        </w:rPr>
        <w:footnoteRef/>
      </w:r>
      <w:r>
        <w:t xml:space="preserve"> Glenn</w:t>
      </w:r>
      <w:r w:rsidR="00A26217">
        <w:t xml:space="preserve"> 1980/1</w:t>
      </w:r>
      <w:r>
        <w:t xml:space="preserve"> </w:t>
      </w:r>
      <w:r w:rsidR="00290D4D">
        <w:t>p</w:t>
      </w:r>
      <w:r>
        <w:t>111</w:t>
      </w:r>
    </w:p>
  </w:footnote>
  <w:footnote w:id="27">
    <w:p w14:paraId="13240B21" w14:textId="5A1C60E1" w:rsidR="00A52911" w:rsidRDefault="00A52911">
      <w:pPr>
        <w:pStyle w:val="FootnoteText"/>
      </w:pPr>
      <w:r>
        <w:rPr>
          <w:rStyle w:val="FootnoteReference"/>
        </w:rPr>
        <w:footnoteRef/>
      </w:r>
      <w:r>
        <w:t xml:space="preserve"> Trimble 2010</w:t>
      </w:r>
    </w:p>
  </w:footnote>
  <w:footnote w:id="28">
    <w:p w14:paraId="4724B6EB" w14:textId="4AB8BBCF" w:rsidR="008771C0" w:rsidRDefault="008771C0">
      <w:pPr>
        <w:pStyle w:val="FootnoteText"/>
      </w:pPr>
      <w:r>
        <w:rPr>
          <w:rStyle w:val="FootnoteReference"/>
        </w:rPr>
        <w:footnoteRef/>
      </w:r>
      <w:r>
        <w:t xml:space="preserve"> Godwin</w:t>
      </w:r>
      <w:r w:rsidR="00290D4D">
        <w:t xml:space="preserve"> 1995</w:t>
      </w:r>
      <w:r>
        <w:t xml:space="preserve"> </w:t>
      </w:r>
      <w:r w:rsidR="00290D4D">
        <w:t>p</w:t>
      </w:r>
      <w:r>
        <w:t>154</w:t>
      </w:r>
    </w:p>
  </w:footnote>
  <w:footnote w:id="29">
    <w:p w14:paraId="1041CB5F" w14:textId="0463889A" w:rsidR="00A62564" w:rsidRDefault="00A62564">
      <w:pPr>
        <w:pStyle w:val="FootnoteText"/>
      </w:pPr>
      <w:r>
        <w:rPr>
          <w:rStyle w:val="FootnoteReference"/>
        </w:rPr>
        <w:footnoteRef/>
      </w:r>
      <w:r>
        <w:t xml:space="preserve"> Thomson</w:t>
      </w:r>
      <w:r w:rsidR="00290D4D">
        <w:t xml:space="preserve"> 1961</w:t>
      </w:r>
      <w:r>
        <w:t xml:space="preserve"> </w:t>
      </w:r>
      <w:r w:rsidR="00290D4D">
        <w:t>p</w:t>
      </w:r>
      <w:r>
        <w:t>53</w:t>
      </w:r>
    </w:p>
  </w:footnote>
  <w:footnote w:id="30">
    <w:p w14:paraId="5A1C79C8" w14:textId="649B4833" w:rsidR="00513D78" w:rsidRDefault="00513D78">
      <w:pPr>
        <w:pStyle w:val="FootnoteText"/>
      </w:pPr>
      <w:r>
        <w:rPr>
          <w:rStyle w:val="FootnoteReference"/>
        </w:rPr>
        <w:footnoteRef/>
      </w:r>
      <w:r>
        <w:t xml:space="preserve"> Catullus 5.2</w:t>
      </w:r>
    </w:p>
  </w:footnote>
  <w:footnote w:id="31">
    <w:p w14:paraId="1E9FE1D0" w14:textId="5BAE801E" w:rsidR="00F304C8" w:rsidRDefault="00F304C8">
      <w:pPr>
        <w:pStyle w:val="FootnoteText"/>
      </w:pPr>
      <w:r>
        <w:rPr>
          <w:rStyle w:val="FootnoteReference"/>
        </w:rPr>
        <w:footnoteRef/>
      </w:r>
      <w:r>
        <w:t xml:space="preserve"> Aeneid 4.595</w:t>
      </w:r>
    </w:p>
  </w:footnote>
  <w:footnote w:id="32">
    <w:p w14:paraId="71261BB4" w14:textId="79344C6F" w:rsidR="00B25A00" w:rsidRDefault="00B25A00">
      <w:pPr>
        <w:pStyle w:val="FootnoteText"/>
      </w:pPr>
      <w:r>
        <w:rPr>
          <w:rStyle w:val="FootnoteReference"/>
        </w:rPr>
        <w:footnoteRef/>
      </w:r>
      <w:r>
        <w:t xml:space="preserve"> Clare </w:t>
      </w:r>
      <w:r w:rsidR="0089625D">
        <w:t>1996</w:t>
      </w:r>
      <w:r>
        <w:t xml:space="preserve"> </w:t>
      </w:r>
      <w:r w:rsidR="0089625D">
        <w:t>p</w:t>
      </w:r>
      <w:r>
        <w:t>68</w:t>
      </w:r>
    </w:p>
  </w:footnote>
  <w:footnote w:id="33">
    <w:p w14:paraId="401F67FC" w14:textId="6888E1A6" w:rsidR="00DA5423" w:rsidRDefault="00DA5423">
      <w:pPr>
        <w:pStyle w:val="FootnoteText"/>
      </w:pPr>
      <w:r>
        <w:rPr>
          <w:rStyle w:val="FootnoteReference"/>
        </w:rPr>
        <w:footnoteRef/>
      </w:r>
      <w:r>
        <w:t xml:space="preserve"> Armstrong</w:t>
      </w:r>
      <w:r w:rsidR="0089625D">
        <w:t xml:space="preserve"> 2006</w:t>
      </w:r>
      <w:r>
        <w:t xml:space="preserve"> </w:t>
      </w:r>
      <w:r w:rsidR="0089625D">
        <w:t>p</w:t>
      </w:r>
      <w:r>
        <w:t>204</w:t>
      </w:r>
    </w:p>
  </w:footnote>
  <w:footnote w:id="34">
    <w:p w14:paraId="02C74240" w14:textId="291E08CE" w:rsidR="00550EE1" w:rsidRDefault="00550EE1">
      <w:pPr>
        <w:pStyle w:val="FootnoteText"/>
      </w:pPr>
      <w:r>
        <w:rPr>
          <w:rStyle w:val="FootnoteReference"/>
        </w:rPr>
        <w:footnoteRef/>
      </w:r>
      <w:r>
        <w:t xml:space="preserve"> Ellis </w:t>
      </w:r>
      <w:r w:rsidR="005439C1">
        <w:t>1876 p</w:t>
      </w:r>
      <w:r>
        <w:t>256; Godwin</w:t>
      </w:r>
      <w:r w:rsidR="005439C1">
        <w:t xml:space="preserve"> 1995 p</w:t>
      </w:r>
      <w:r>
        <w:t>154</w:t>
      </w:r>
    </w:p>
  </w:footnote>
  <w:footnote w:id="35">
    <w:p w14:paraId="3930BBA0" w14:textId="4D1BDB46" w:rsidR="00A52911" w:rsidRDefault="00A52911">
      <w:pPr>
        <w:pStyle w:val="FootnoteText"/>
      </w:pPr>
      <w:r>
        <w:rPr>
          <w:rStyle w:val="FootnoteReference"/>
        </w:rPr>
        <w:footnoteRef/>
      </w:r>
      <w:r>
        <w:t xml:space="preserve"> Trimble 2010</w:t>
      </w:r>
    </w:p>
  </w:footnote>
  <w:footnote w:id="36">
    <w:p w14:paraId="4B1B51F5" w14:textId="31841A96" w:rsidR="00BD2973" w:rsidRDefault="00BD2973">
      <w:pPr>
        <w:pStyle w:val="FootnoteText"/>
      </w:pPr>
      <w:r>
        <w:rPr>
          <w:rStyle w:val="FootnoteReference"/>
        </w:rPr>
        <w:footnoteRef/>
      </w:r>
      <w:r>
        <w:t xml:space="preserve"> Medea 56-58</w:t>
      </w:r>
    </w:p>
  </w:footnote>
  <w:footnote w:id="37">
    <w:p w14:paraId="09C60BC9" w14:textId="4660BE14" w:rsidR="00072126" w:rsidRDefault="00072126">
      <w:pPr>
        <w:pStyle w:val="FootnoteText"/>
      </w:pPr>
      <w:r>
        <w:rPr>
          <w:rStyle w:val="FootnoteReference"/>
        </w:rPr>
        <w:footnoteRef/>
      </w:r>
      <w:r>
        <w:t xml:space="preserve"> Armstrong</w:t>
      </w:r>
      <w:r w:rsidR="005439C1">
        <w:t xml:space="preserve"> 2006</w:t>
      </w:r>
      <w:r>
        <w:t xml:space="preserve"> </w:t>
      </w:r>
      <w:r w:rsidR="005439C1">
        <w:t>p</w:t>
      </w:r>
      <w:r>
        <w:t>204</w:t>
      </w:r>
    </w:p>
  </w:footnote>
  <w:footnote w:id="38">
    <w:p w14:paraId="436994E0" w14:textId="181BECAE" w:rsidR="00C11213" w:rsidRDefault="00C11213">
      <w:pPr>
        <w:pStyle w:val="FootnoteText"/>
      </w:pPr>
      <w:r>
        <w:rPr>
          <w:rStyle w:val="FootnoteReference"/>
        </w:rPr>
        <w:footnoteRef/>
      </w:r>
      <w:r>
        <w:t xml:space="preserve"> Godwin</w:t>
      </w:r>
      <w:r w:rsidR="005439C1">
        <w:t xml:space="preserve"> 1995</w:t>
      </w:r>
      <w:r>
        <w:t xml:space="preserve"> </w:t>
      </w:r>
      <w:r w:rsidR="005439C1">
        <w:t>p</w:t>
      </w:r>
      <w:r>
        <w:t>154</w:t>
      </w:r>
    </w:p>
  </w:footnote>
  <w:footnote w:id="39">
    <w:p w14:paraId="31E0B018" w14:textId="3C21B656" w:rsidR="00B25A00" w:rsidRDefault="00B25A00">
      <w:pPr>
        <w:pStyle w:val="FootnoteText"/>
      </w:pPr>
      <w:r>
        <w:rPr>
          <w:rStyle w:val="FootnoteReference"/>
        </w:rPr>
        <w:footnoteRef/>
      </w:r>
      <w:r>
        <w:t xml:space="preserve"> Clare</w:t>
      </w:r>
      <w:r w:rsidR="00AC3B86">
        <w:t xml:space="preserve"> 1996 </w:t>
      </w:r>
      <w:r w:rsidR="00113505">
        <w:t>)</w:t>
      </w:r>
      <w:r>
        <w:t xml:space="preserve"> </w:t>
      </w:r>
      <w:r w:rsidR="005439C1">
        <w:t>p</w:t>
      </w:r>
      <w:r>
        <w:t>68</w:t>
      </w:r>
    </w:p>
  </w:footnote>
  <w:footnote w:id="40">
    <w:p w14:paraId="0C5CFA1F" w14:textId="166D6F76" w:rsidR="00164DA4" w:rsidRDefault="00164DA4">
      <w:pPr>
        <w:pStyle w:val="FootnoteText"/>
      </w:pPr>
      <w:r>
        <w:rPr>
          <w:rStyle w:val="FootnoteReference"/>
        </w:rPr>
        <w:footnoteRef/>
      </w:r>
      <w:r>
        <w:t xml:space="preserve"> P</w:t>
      </w:r>
      <w:r w:rsidR="004E0D92">
        <w:t>u</w:t>
      </w:r>
      <w:r>
        <w:t>tnam</w:t>
      </w:r>
      <w:r w:rsidR="004E0D92">
        <w:t xml:space="preserve"> 1961 </w:t>
      </w:r>
      <w:r>
        <w:t xml:space="preserve"> </w:t>
      </w:r>
      <w:r w:rsidR="005439C1">
        <w:t>p</w:t>
      </w:r>
      <w:r>
        <w:t>176</w:t>
      </w:r>
    </w:p>
  </w:footnote>
  <w:footnote w:id="41">
    <w:p w14:paraId="66218C4C" w14:textId="2804CAD9" w:rsidR="00431C0F" w:rsidRDefault="00431C0F">
      <w:pPr>
        <w:pStyle w:val="FootnoteText"/>
      </w:pPr>
      <w:r>
        <w:rPr>
          <w:rStyle w:val="FootnoteReference"/>
        </w:rPr>
        <w:footnoteRef/>
      </w:r>
      <w:r>
        <w:t xml:space="preserve"> Armstrong  2006 p210</w:t>
      </w:r>
    </w:p>
  </w:footnote>
  <w:footnote w:id="42">
    <w:p w14:paraId="60832347" w14:textId="012F99CC" w:rsidR="00431C0F" w:rsidRDefault="00431C0F">
      <w:pPr>
        <w:pStyle w:val="FootnoteText"/>
      </w:pPr>
      <w:r>
        <w:rPr>
          <w:rStyle w:val="FootnoteReference"/>
        </w:rPr>
        <w:footnoteRef/>
      </w:r>
      <w:r>
        <w:t xml:space="preserve"> Trimble 2010</w:t>
      </w:r>
    </w:p>
  </w:footnote>
  <w:footnote w:id="43">
    <w:p w14:paraId="6D44B848" w14:textId="5930E071" w:rsidR="000B344C" w:rsidRDefault="000B344C">
      <w:pPr>
        <w:pStyle w:val="FootnoteText"/>
      </w:pPr>
      <w:r>
        <w:rPr>
          <w:rStyle w:val="FootnoteReference"/>
        </w:rPr>
        <w:footnoteRef/>
      </w:r>
      <w:r>
        <w:t xml:space="preserve"> Ap. Arg. 4.32-3</w:t>
      </w:r>
    </w:p>
  </w:footnote>
  <w:footnote w:id="44">
    <w:p w14:paraId="00A00DB7" w14:textId="6256FB1A" w:rsidR="005A2FE5" w:rsidRDefault="005A2FE5">
      <w:pPr>
        <w:pStyle w:val="FootnoteText"/>
      </w:pPr>
      <w:r>
        <w:rPr>
          <w:rStyle w:val="FootnoteReference"/>
        </w:rPr>
        <w:footnoteRef/>
      </w:r>
      <w:r>
        <w:t xml:space="preserve"> Godwin</w:t>
      </w:r>
      <w:r w:rsidR="005439C1">
        <w:t xml:space="preserve"> 1995</w:t>
      </w:r>
      <w:r>
        <w:t xml:space="preserve"> </w:t>
      </w:r>
      <w:r w:rsidR="005439C1">
        <w:t>p</w:t>
      </w:r>
      <w:r>
        <w:t>155</w:t>
      </w:r>
    </w:p>
  </w:footnote>
  <w:footnote w:id="45">
    <w:p w14:paraId="0FE3E706" w14:textId="66546CE1" w:rsidR="00033282" w:rsidRDefault="00033282">
      <w:pPr>
        <w:pStyle w:val="FootnoteText"/>
      </w:pPr>
      <w:r>
        <w:rPr>
          <w:rStyle w:val="FootnoteReference"/>
        </w:rPr>
        <w:footnoteRef/>
      </w:r>
      <w:r>
        <w:t xml:space="preserve"> Cat 64. 74-5</w:t>
      </w:r>
    </w:p>
  </w:footnote>
  <w:footnote w:id="46">
    <w:p w14:paraId="14067003" w14:textId="69B9B990" w:rsidR="006C2065" w:rsidRDefault="006C2065">
      <w:pPr>
        <w:pStyle w:val="FootnoteText"/>
      </w:pPr>
      <w:r>
        <w:rPr>
          <w:rStyle w:val="FootnoteReference"/>
        </w:rPr>
        <w:footnoteRef/>
      </w:r>
      <w:r>
        <w:t xml:space="preserve"> Cat 64. 81-2</w:t>
      </w:r>
    </w:p>
  </w:footnote>
  <w:footnote w:id="47">
    <w:p w14:paraId="4023BDB8" w14:textId="14B60376" w:rsidR="006C2065" w:rsidRDefault="006C2065">
      <w:pPr>
        <w:pStyle w:val="FootnoteText"/>
      </w:pPr>
      <w:r>
        <w:rPr>
          <w:rStyle w:val="FootnoteReference"/>
        </w:rPr>
        <w:footnoteRef/>
      </w:r>
      <w:r>
        <w:t xml:space="preserve"> Cat 64. 175-6</w:t>
      </w:r>
    </w:p>
  </w:footnote>
  <w:footnote w:id="48">
    <w:p w14:paraId="6D02C17F" w14:textId="722098F1" w:rsidR="005879E9" w:rsidRDefault="005879E9">
      <w:pPr>
        <w:pStyle w:val="FootnoteText"/>
      </w:pPr>
      <w:r>
        <w:rPr>
          <w:rStyle w:val="FootnoteReference"/>
        </w:rPr>
        <w:footnoteRef/>
      </w:r>
      <w:r>
        <w:t xml:space="preserve"> Gard</w:t>
      </w:r>
      <w:r w:rsidR="00FB0B03">
        <w:t>n</w:t>
      </w:r>
      <w:r>
        <w:t>er</w:t>
      </w:r>
      <w:r w:rsidR="005439C1">
        <w:t xml:space="preserve"> </w:t>
      </w:r>
      <w:r w:rsidR="005E21A5">
        <w:t>2007</w:t>
      </w:r>
      <w:r>
        <w:t xml:space="preserve"> </w:t>
      </w:r>
      <w:r w:rsidR="005E21A5">
        <w:t>p</w:t>
      </w:r>
      <w:r>
        <w:t>170</w:t>
      </w:r>
    </w:p>
  </w:footnote>
  <w:footnote w:id="49">
    <w:p w14:paraId="2E3C2A70" w14:textId="455DD7B4" w:rsidR="00F251CF" w:rsidRDefault="00F251CF">
      <w:pPr>
        <w:pStyle w:val="FootnoteText"/>
      </w:pPr>
      <w:r>
        <w:rPr>
          <w:rStyle w:val="FootnoteReference"/>
        </w:rPr>
        <w:footnoteRef/>
      </w:r>
      <w:r>
        <w:t xml:space="preserve"> Webster</w:t>
      </w:r>
      <w:r w:rsidR="005E21A5">
        <w:t xml:space="preserve"> 1966</w:t>
      </w:r>
      <w:r>
        <w:t xml:space="preserve"> </w:t>
      </w:r>
      <w:r w:rsidR="005E21A5">
        <w:t>p</w:t>
      </w:r>
      <w:r>
        <w:t>30</w:t>
      </w:r>
    </w:p>
  </w:footnote>
  <w:footnote w:id="50">
    <w:p w14:paraId="00B5B9E5" w14:textId="10C7C001" w:rsidR="008600F2" w:rsidRDefault="008600F2">
      <w:pPr>
        <w:pStyle w:val="FootnoteText"/>
      </w:pPr>
      <w:r>
        <w:rPr>
          <w:rStyle w:val="FootnoteReference"/>
        </w:rPr>
        <w:footnoteRef/>
      </w:r>
      <w:r>
        <w:t xml:space="preserve"> P</w:t>
      </w:r>
      <w:r w:rsidR="004E0D92">
        <w:t>u</w:t>
      </w:r>
      <w:r>
        <w:t>tnam</w:t>
      </w:r>
      <w:r w:rsidR="004E0D92">
        <w:t xml:space="preserve"> 1961</w:t>
      </w:r>
      <w:r>
        <w:t xml:space="preserve"> 171</w:t>
      </w:r>
      <w:r w:rsidR="00934B9C">
        <w:t>ff</w:t>
      </w:r>
    </w:p>
  </w:footnote>
  <w:footnote w:id="51">
    <w:p w14:paraId="0F4523D3" w14:textId="47445212" w:rsidR="00522330" w:rsidRDefault="00522330">
      <w:pPr>
        <w:pStyle w:val="FootnoteText"/>
      </w:pPr>
      <w:r>
        <w:rPr>
          <w:rStyle w:val="FootnoteReference"/>
        </w:rPr>
        <w:footnoteRef/>
      </w:r>
      <w:r>
        <w:t xml:space="preserve"> Godwin 1995 p135</w:t>
      </w:r>
    </w:p>
  </w:footnote>
  <w:footnote w:id="52">
    <w:p w14:paraId="0C0C6464" w14:textId="2E7B129B" w:rsidR="007E2B47" w:rsidRDefault="007E2B47">
      <w:pPr>
        <w:pStyle w:val="FootnoteText"/>
      </w:pPr>
      <w:r>
        <w:rPr>
          <w:rStyle w:val="FootnoteReference"/>
        </w:rPr>
        <w:footnoteRef/>
      </w:r>
      <w:r>
        <w:t xml:space="preserve"> Godwin</w:t>
      </w:r>
      <w:r w:rsidR="005E21A5">
        <w:t xml:space="preserve"> 1995</w:t>
      </w:r>
      <w:r>
        <w:t xml:space="preserve"> </w:t>
      </w:r>
      <w:r w:rsidR="005E21A5">
        <w:t>p</w:t>
      </w:r>
      <w:r>
        <w:t>155</w:t>
      </w:r>
    </w:p>
  </w:footnote>
  <w:footnote w:id="53">
    <w:p w14:paraId="5ADF2E1F" w14:textId="33AF7C25" w:rsidR="0089224B" w:rsidRDefault="0089224B">
      <w:pPr>
        <w:pStyle w:val="FootnoteText"/>
      </w:pPr>
      <w:r>
        <w:rPr>
          <w:rStyle w:val="FootnoteReference"/>
        </w:rPr>
        <w:footnoteRef/>
      </w:r>
      <w:r>
        <w:t xml:space="preserve"> Gardner </w:t>
      </w:r>
      <w:r w:rsidR="005E21A5">
        <w:t>2007 p</w:t>
      </w:r>
      <w:r>
        <w:t>172</w:t>
      </w:r>
    </w:p>
  </w:footnote>
  <w:footnote w:id="54">
    <w:p w14:paraId="6137D1F4" w14:textId="59C60840" w:rsidR="001251EA" w:rsidRDefault="001251EA">
      <w:pPr>
        <w:pStyle w:val="FootnoteText"/>
      </w:pPr>
      <w:r>
        <w:rPr>
          <w:rStyle w:val="FootnoteReference"/>
        </w:rPr>
        <w:footnoteRef/>
      </w:r>
      <w:r>
        <w:t xml:space="preserve"> Ellis</w:t>
      </w:r>
      <w:r w:rsidR="005E21A5">
        <w:t xml:space="preserve"> 1876</w:t>
      </w:r>
      <w:r>
        <w:t xml:space="preserve"> </w:t>
      </w:r>
      <w:r w:rsidR="005E21A5">
        <w:t>p</w:t>
      </w:r>
      <w:r>
        <w:t>257</w:t>
      </w:r>
    </w:p>
  </w:footnote>
  <w:footnote w:id="55">
    <w:p w14:paraId="2184261D" w14:textId="6BEA89E3" w:rsidR="00431C0F" w:rsidRDefault="00431C0F">
      <w:pPr>
        <w:pStyle w:val="FootnoteText"/>
      </w:pPr>
      <w:r>
        <w:rPr>
          <w:rStyle w:val="FootnoteReference"/>
        </w:rPr>
        <w:footnoteRef/>
      </w:r>
      <w:r>
        <w:t xml:space="preserve"> Trimble 2010</w:t>
      </w:r>
    </w:p>
  </w:footnote>
  <w:footnote w:id="56">
    <w:p w14:paraId="29A33B64" w14:textId="5144C6D1" w:rsidR="004665E5" w:rsidRDefault="004665E5">
      <w:pPr>
        <w:pStyle w:val="FootnoteText"/>
      </w:pPr>
      <w:r>
        <w:rPr>
          <w:rStyle w:val="FootnoteReference"/>
        </w:rPr>
        <w:footnoteRef/>
      </w:r>
      <w:r>
        <w:t xml:space="preserve"> Aeneid 4.10</w:t>
      </w:r>
    </w:p>
  </w:footnote>
  <w:footnote w:id="57">
    <w:p w14:paraId="70C398C0" w14:textId="7D09F88F" w:rsidR="00F875CC" w:rsidRDefault="00F875CC">
      <w:pPr>
        <w:pStyle w:val="FootnoteText"/>
      </w:pPr>
      <w:r>
        <w:rPr>
          <w:rStyle w:val="FootnoteReference"/>
        </w:rPr>
        <w:footnoteRef/>
      </w:r>
      <w:r>
        <w:t xml:space="preserve"> Clare</w:t>
      </w:r>
      <w:r w:rsidR="005E21A5">
        <w:t xml:space="preserve"> 1996</w:t>
      </w:r>
      <w:r>
        <w:t xml:space="preserve"> </w:t>
      </w:r>
      <w:r w:rsidR="005E21A5">
        <w:t>p</w:t>
      </w:r>
      <w:r>
        <w:t>74</w:t>
      </w:r>
    </w:p>
  </w:footnote>
  <w:footnote w:id="58">
    <w:p w14:paraId="5CED7DB4" w14:textId="532FCFDD" w:rsidR="001062A3" w:rsidRDefault="001062A3">
      <w:pPr>
        <w:pStyle w:val="FootnoteText"/>
      </w:pPr>
      <w:r>
        <w:rPr>
          <w:rStyle w:val="FootnoteReference"/>
        </w:rPr>
        <w:footnoteRef/>
      </w:r>
      <w:r>
        <w:t xml:space="preserve"> Fowler </w:t>
      </w:r>
      <w:r w:rsidR="00A26217">
        <w:t xml:space="preserve">1987 </w:t>
      </w:r>
      <w:r>
        <w:t>HSPh 91. 5-38</w:t>
      </w:r>
    </w:p>
  </w:footnote>
  <w:footnote w:id="59">
    <w:p w14:paraId="48644480" w14:textId="15734DC9" w:rsidR="00F1270A" w:rsidRDefault="00F1270A">
      <w:pPr>
        <w:pStyle w:val="FootnoteText"/>
      </w:pPr>
      <w:r>
        <w:rPr>
          <w:rStyle w:val="FootnoteReference"/>
        </w:rPr>
        <w:footnoteRef/>
      </w:r>
      <w:r>
        <w:t xml:space="preserve"> Euripides Medea 502-3</w:t>
      </w:r>
    </w:p>
  </w:footnote>
  <w:footnote w:id="60">
    <w:p w14:paraId="351348E4" w14:textId="4D2D045F" w:rsidR="009916E4" w:rsidRDefault="009916E4">
      <w:pPr>
        <w:pStyle w:val="FootnoteText"/>
      </w:pPr>
      <w:r>
        <w:rPr>
          <w:rStyle w:val="FootnoteReference"/>
        </w:rPr>
        <w:footnoteRef/>
      </w:r>
      <w:r>
        <w:t xml:space="preserve"> Argonautica IV 378-81</w:t>
      </w:r>
    </w:p>
  </w:footnote>
  <w:footnote w:id="61">
    <w:p w14:paraId="100D4A49" w14:textId="4A38E212" w:rsidR="00DA5423" w:rsidRDefault="00DA5423">
      <w:pPr>
        <w:pStyle w:val="FootnoteText"/>
      </w:pPr>
      <w:r>
        <w:rPr>
          <w:rStyle w:val="FootnoteReference"/>
        </w:rPr>
        <w:footnoteRef/>
      </w:r>
      <w:r>
        <w:t xml:space="preserve"> Clare</w:t>
      </w:r>
      <w:r w:rsidR="005E21A5">
        <w:t xml:space="preserve"> 1996</w:t>
      </w:r>
      <w:r>
        <w:t xml:space="preserve">  </w:t>
      </w:r>
      <w:r w:rsidR="005E21A5">
        <w:t>p</w:t>
      </w:r>
      <w:r>
        <w:t>75</w:t>
      </w:r>
    </w:p>
  </w:footnote>
  <w:footnote w:id="62">
    <w:p w14:paraId="07091F28" w14:textId="1E6E3853" w:rsidR="00342167" w:rsidRDefault="00342167">
      <w:pPr>
        <w:pStyle w:val="FootnoteText"/>
      </w:pPr>
      <w:r>
        <w:rPr>
          <w:rStyle w:val="FootnoteReference"/>
        </w:rPr>
        <w:footnoteRef/>
      </w:r>
      <w:r>
        <w:t xml:space="preserve"> Gard</w:t>
      </w:r>
      <w:r w:rsidR="00FB0B03">
        <w:t>n</w:t>
      </w:r>
      <w:r>
        <w:t>er</w:t>
      </w:r>
      <w:r w:rsidR="005E21A5">
        <w:t xml:space="preserve"> 2007</w:t>
      </w:r>
      <w:r>
        <w:t xml:space="preserve"> </w:t>
      </w:r>
      <w:r w:rsidR="005E21A5">
        <w:t>p</w:t>
      </w:r>
      <w:r>
        <w:t>173</w:t>
      </w:r>
    </w:p>
  </w:footnote>
  <w:footnote w:id="63">
    <w:p w14:paraId="0F1A9713" w14:textId="4E116137" w:rsidR="00431C0F" w:rsidRDefault="00431C0F">
      <w:pPr>
        <w:pStyle w:val="FootnoteText"/>
      </w:pPr>
      <w:r>
        <w:rPr>
          <w:rStyle w:val="FootnoteReference"/>
        </w:rPr>
        <w:footnoteRef/>
      </w:r>
      <w:r>
        <w:t xml:space="preserve"> Trimble 2010</w:t>
      </w:r>
    </w:p>
  </w:footnote>
  <w:footnote w:id="64">
    <w:p w14:paraId="3DFB88AB" w14:textId="4E5D334A" w:rsidR="002D2BE7" w:rsidRDefault="002D2BE7">
      <w:pPr>
        <w:pStyle w:val="FootnoteText"/>
      </w:pPr>
      <w:r>
        <w:rPr>
          <w:rStyle w:val="FootnoteReference"/>
        </w:rPr>
        <w:footnoteRef/>
      </w:r>
      <w:r>
        <w:t xml:space="preserve"> Aeneid 4. 534-35</w:t>
      </w:r>
    </w:p>
  </w:footnote>
  <w:footnote w:id="65">
    <w:p w14:paraId="578CDB47" w14:textId="4216B0AE" w:rsidR="00F74CFE" w:rsidRDefault="00F74CFE">
      <w:pPr>
        <w:pStyle w:val="FootnoteText"/>
      </w:pPr>
      <w:r>
        <w:rPr>
          <w:rStyle w:val="FootnoteReference"/>
        </w:rPr>
        <w:footnoteRef/>
      </w:r>
      <w:r>
        <w:t xml:space="preserve"> Ellis</w:t>
      </w:r>
      <w:r w:rsidR="005E21A5">
        <w:t xml:space="preserve"> 1876</w:t>
      </w:r>
      <w:r>
        <w:t xml:space="preserve"> </w:t>
      </w:r>
      <w:r w:rsidR="005E21A5">
        <w:t>p</w:t>
      </w:r>
      <w:r>
        <w:t>258</w:t>
      </w:r>
    </w:p>
  </w:footnote>
  <w:footnote w:id="66">
    <w:p w14:paraId="684518F7" w14:textId="2BA8B996" w:rsidR="00D77DA6" w:rsidRDefault="00D77DA6">
      <w:pPr>
        <w:pStyle w:val="FootnoteText"/>
      </w:pPr>
      <w:r>
        <w:rPr>
          <w:rStyle w:val="FootnoteReference"/>
        </w:rPr>
        <w:footnoteRef/>
      </w:r>
      <w:r>
        <w:t xml:space="preserve"> Ovid Heroides 10.61-4</w:t>
      </w:r>
    </w:p>
  </w:footnote>
  <w:footnote w:id="67">
    <w:p w14:paraId="613F52FB" w14:textId="2C73E18D" w:rsidR="006426EA" w:rsidRDefault="006426EA">
      <w:pPr>
        <w:pStyle w:val="FootnoteText"/>
      </w:pPr>
      <w:r>
        <w:rPr>
          <w:rStyle w:val="FootnoteReference"/>
        </w:rPr>
        <w:footnoteRef/>
      </w:r>
      <w:r>
        <w:t xml:space="preserve"> Godwin</w:t>
      </w:r>
      <w:r w:rsidR="005E21A5">
        <w:t xml:space="preserve"> 1995</w:t>
      </w:r>
      <w:r>
        <w:t xml:space="preserve"> </w:t>
      </w:r>
      <w:r w:rsidR="005E21A5">
        <w:t>p</w:t>
      </w:r>
      <w:r>
        <w:t>155</w:t>
      </w:r>
    </w:p>
  </w:footnote>
  <w:footnote w:id="68">
    <w:p w14:paraId="1D830696" w14:textId="7746E365" w:rsidR="000C7219" w:rsidRDefault="000C7219">
      <w:pPr>
        <w:pStyle w:val="FootnoteText"/>
      </w:pPr>
      <w:r>
        <w:rPr>
          <w:rStyle w:val="FootnoteReference"/>
        </w:rPr>
        <w:footnoteRef/>
      </w:r>
      <w:r>
        <w:t xml:space="preserve"> Euripides Medea 503</w:t>
      </w:r>
    </w:p>
  </w:footnote>
  <w:footnote w:id="69">
    <w:p w14:paraId="7E7C9FB9" w14:textId="3AC9CAF0" w:rsidR="00AD0665" w:rsidRDefault="00AD0665">
      <w:pPr>
        <w:pStyle w:val="FootnoteText"/>
      </w:pPr>
      <w:r>
        <w:rPr>
          <w:rStyle w:val="FootnoteReference"/>
        </w:rPr>
        <w:footnoteRef/>
      </w:r>
      <w:r>
        <w:t xml:space="preserve"> Godwin</w:t>
      </w:r>
      <w:r w:rsidR="005E21A5">
        <w:t xml:space="preserve"> 1995</w:t>
      </w:r>
      <w:r>
        <w:t xml:space="preserve"> </w:t>
      </w:r>
      <w:r w:rsidR="005E21A5">
        <w:t>p</w:t>
      </w:r>
      <w:r>
        <w:t>155</w:t>
      </w:r>
    </w:p>
  </w:footnote>
  <w:footnote w:id="70">
    <w:p w14:paraId="48664D36" w14:textId="44860D01" w:rsidR="001D54B3" w:rsidRDefault="001D54B3">
      <w:pPr>
        <w:pStyle w:val="FootnoteText"/>
      </w:pPr>
      <w:r>
        <w:rPr>
          <w:rStyle w:val="FootnoteReference"/>
        </w:rPr>
        <w:footnoteRef/>
      </w:r>
      <w:r>
        <w:t xml:space="preserve"> Nappa </w:t>
      </w:r>
      <w:r w:rsidR="00A35A38">
        <w:t xml:space="preserve">2007 </w:t>
      </w:r>
      <w:r>
        <w:t xml:space="preserve">Catullus and Virgil </w:t>
      </w:r>
      <w:r w:rsidR="00A35A38">
        <w:t>p</w:t>
      </w:r>
      <w:r>
        <w:t>384</w:t>
      </w:r>
    </w:p>
  </w:footnote>
  <w:footnote w:id="71">
    <w:p w14:paraId="7D788EB5" w14:textId="4F30E69F" w:rsidR="00B70BA2" w:rsidRDefault="00B70BA2">
      <w:pPr>
        <w:pStyle w:val="FootnoteText"/>
      </w:pPr>
      <w:r>
        <w:rPr>
          <w:rStyle w:val="FootnoteReference"/>
        </w:rPr>
        <w:footnoteRef/>
      </w:r>
      <w:r>
        <w:t xml:space="preserve"> Euripides Medea 504-5</w:t>
      </w:r>
    </w:p>
  </w:footnote>
  <w:footnote w:id="72">
    <w:p w14:paraId="0F8EC059" w14:textId="2E20602D" w:rsidR="00615CE4" w:rsidRDefault="00615CE4">
      <w:pPr>
        <w:pStyle w:val="FootnoteText"/>
      </w:pPr>
      <w:r>
        <w:rPr>
          <w:rStyle w:val="FootnoteReference"/>
        </w:rPr>
        <w:footnoteRef/>
      </w:r>
      <w:r>
        <w:t xml:space="preserve"> Quinn</w:t>
      </w:r>
      <w:r w:rsidR="00A35A38">
        <w:t xml:space="preserve"> 1970 </w:t>
      </w:r>
      <w:r>
        <w:t xml:space="preserve"> </w:t>
      </w:r>
      <w:r w:rsidR="00A35A38">
        <w:t>p</w:t>
      </w:r>
      <w:r>
        <w:t>325</w:t>
      </w:r>
    </w:p>
  </w:footnote>
  <w:footnote w:id="73">
    <w:p w14:paraId="1416B06F" w14:textId="01AE4A14" w:rsidR="00BF62DE" w:rsidRDefault="00BF62DE">
      <w:pPr>
        <w:pStyle w:val="FootnoteText"/>
      </w:pPr>
      <w:r>
        <w:rPr>
          <w:rStyle w:val="FootnoteReference"/>
        </w:rPr>
        <w:footnoteRef/>
      </w:r>
      <w:r>
        <w:t xml:space="preserve"> Euripides Medea 510-11</w:t>
      </w:r>
    </w:p>
  </w:footnote>
  <w:footnote w:id="74">
    <w:p w14:paraId="0AF5761F" w14:textId="6482AE1B" w:rsidR="00BF62DE" w:rsidRDefault="00BF62DE">
      <w:pPr>
        <w:pStyle w:val="FootnoteText"/>
      </w:pPr>
      <w:r>
        <w:rPr>
          <w:rStyle w:val="FootnoteReference"/>
        </w:rPr>
        <w:footnoteRef/>
      </w:r>
      <w:r>
        <w:t xml:space="preserve"> Ellis</w:t>
      </w:r>
      <w:r w:rsidR="00A35A38">
        <w:t xml:space="preserve"> 1876</w:t>
      </w:r>
      <w:r>
        <w:t xml:space="preserve"> </w:t>
      </w:r>
      <w:r w:rsidR="00A35A38">
        <w:t>p</w:t>
      </w:r>
      <w:r>
        <w:t>258</w:t>
      </w:r>
    </w:p>
  </w:footnote>
  <w:footnote w:id="75">
    <w:p w14:paraId="7FAE5682" w14:textId="0DD93EC5" w:rsidR="00585D79" w:rsidRDefault="00585D79">
      <w:pPr>
        <w:pStyle w:val="FootnoteText"/>
      </w:pPr>
      <w:r>
        <w:rPr>
          <w:rStyle w:val="FootnoteReference"/>
        </w:rPr>
        <w:footnoteRef/>
      </w:r>
      <w:r>
        <w:t xml:space="preserve"> Ellis </w:t>
      </w:r>
      <w:r w:rsidR="00A35A38">
        <w:t>1876 p</w:t>
      </w:r>
      <w:r>
        <w:t>259</w:t>
      </w:r>
    </w:p>
  </w:footnote>
  <w:footnote w:id="76">
    <w:p w14:paraId="6F4D3DD8" w14:textId="500B0218" w:rsidR="00B27367" w:rsidRDefault="00B27367">
      <w:pPr>
        <w:pStyle w:val="FootnoteText"/>
      </w:pPr>
      <w:r>
        <w:rPr>
          <w:rStyle w:val="FootnoteReference"/>
        </w:rPr>
        <w:footnoteRef/>
      </w:r>
      <w:r>
        <w:t xml:space="preserve"> Gaisser 2007 p245</w:t>
      </w:r>
    </w:p>
  </w:footnote>
  <w:footnote w:id="77">
    <w:p w14:paraId="21CFBC1A" w14:textId="438B01FF" w:rsidR="0053220C" w:rsidRDefault="0053220C">
      <w:pPr>
        <w:pStyle w:val="FootnoteText"/>
      </w:pPr>
      <w:r>
        <w:rPr>
          <w:rStyle w:val="FootnoteReference"/>
        </w:rPr>
        <w:footnoteRef/>
      </w:r>
      <w:r>
        <w:t xml:space="preserve"> Nappa</w:t>
      </w:r>
      <w:r w:rsidR="00A35A38">
        <w:t xml:space="preserve"> 2007 p</w:t>
      </w:r>
      <w:r>
        <w:t>386</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2EC6"/>
    <w:rsid w:val="00033282"/>
    <w:rsid w:val="0004549C"/>
    <w:rsid w:val="00072126"/>
    <w:rsid w:val="00072B1A"/>
    <w:rsid w:val="000B344C"/>
    <w:rsid w:val="000C7219"/>
    <w:rsid w:val="000F6509"/>
    <w:rsid w:val="001062A3"/>
    <w:rsid w:val="00113505"/>
    <w:rsid w:val="00123BBC"/>
    <w:rsid w:val="001251EA"/>
    <w:rsid w:val="00126E7E"/>
    <w:rsid w:val="00163AE5"/>
    <w:rsid w:val="00164DA4"/>
    <w:rsid w:val="00174127"/>
    <w:rsid w:val="00191AE8"/>
    <w:rsid w:val="00195092"/>
    <w:rsid w:val="001A442D"/>
    <w:rsid w:val="001B78F3"/>
    <w:rsid w:val="001D54B3"/>
    <w:rsid w:val="001D7EE1"/>
    <w:rsid w:val="00210210"/>
    <w:rsid w:val="00225A6C"/>
    <w:rsid w:val="00235E32"/>
    <w:rsid w:val="0024767E"/>
    <w:rsid w:val="00261910"/>
    <w:rsid w:val="00290D4D"/>
    <w:rsid w:val="002D2BE7"/>
    <w:rsid w:val="002D5ABE"/>
    <w:rsid w:val="002F61A8"/>
    <w:rsid w:val="00301011"/>
    <w:rsid w:val="00313335"/>
    <w:rsid w:val="003176FD"/>
    <w:rsid w:val="00320107"/>
    <w:rsid w:val="00334EA3"/>
    <w:rsid w:val="00342167"/>
    <w:rsid w:val="003651D4"/>
    <w:rsid w:val="00387B9F"/>
    <w:rsid w:val="003C4E55"/>
    <w:rsid w:val="003D45CA"/>
    <w:rsid w:val="003E4D83"/>
    <w:rsid w:val="003F29F0"/>
    <w:rsid w:val="003F2E15"/>
    <w:rsid w:val="00411530"/>
    <w:rsid w:val="004205E5"/>
    <w:rsid w:val="004211C0"/>
    <w:rsid w:val="00431C0F"/>
    <w:rsid w:val="00435D85"/>
    <w:rsid w:val="004665E5"/>
    <w:rsid w:val="00472A8F"/>
    <w:rsid w:val="004D1682"/>
    <w:rsid w:val="004E0D92"/>
    <w:rsid w:val="00507DCB"/>
    <w:rsid w:val="00513D78"/>
    <w:rsid w:val="00522330"/>
    <w:rsid w:val="0053220C"/>
    <w:rsid w:val="005439C1"/>
    <w:rsid w:val="00550EE1"/>
    <w:rsid w:val="00562543"/>
    <w:rsid w:val="00585D79"/>
    <w:rsid w:val="005879E9"/>
    <w:rsid w:val="00596E5E"/>
    <w:rsid w:val="005A279D"/>
    <w:rsid w:val="005A2FE5"/>
    <w:rsid w:val="005A7AAF"/>
    <w:rsid w:val="005C6D88"/>
    <w:rsid w:val="005D39C2"/>
    <w:rsid w:val="005E21A5"/>
    <w:rsid w:val="00604BCC"/>
    <w:rsid w:val="006129C2"/>
    <w:rsid w:val="00615CE4"/>
    <w:rsid w:val="006426EA"/>
    <w:rsid w:val="006453C5"/>
    <w:rsid w:val="00665DC9"/>
    <w:rsid w:val="0066676E"/>
    <w:rsid w:val="00684EA5"/>
    <w:rsid w:val="00697081"/>
    <w:rsid w:val="006A5572"/>
    <w:rsid w:val="006C2065"/>
    <w:rsid w:val="006D0B80"/>
    <w:rsid w:val="00741068"/>
    <w:rsid w:val="00743300"/>
    <w:rsid w:val="0076221D"/>
    <w:rsid w:val="0077428F"/>
    <w:rsid w:val="007848BA"/>
    <w:rsid w:val="007C7EAF"/>
    <w:rsid w:val="007D65A8"/>
    <w:rsid w:val="007E2B47"/>
    <w:rsid w:val="0080123F"/>
    <w:rsid w:val="00804532"/>
    <w:rsid w:val="008319BB"/>
    <w:rsid w:val="00837F56"/>
    <w:rsid w:val="008461DB"/>
    <w:rsid w:val="008600F2"/>
    <w:rsid w:val="008771C0"/>
    <w:rsid w:val="008773EC"/>
    <w:rsid w:val="00887A66"/>
    <w:rsid w:val="0089224B"/>
    <w:rsid w:val="0089625D"/>
    <w:rsid w:val="008B3025"/>
    <w:rsid w:val="008B4996"/>
    <w:rsid w:val="008F1E7C"/>
    <w:rsid w:val="009330E8"/>
    <w:rsid w:val="00934B9C"/>
    <w:rsid w:val="009651C1"/>
    <w:rsid w:val="00966E35"/>
    <w:rsid w:val="00971E0D"/>
    <w:rsid w:val="009916E4"/>
    <w:rsid w:val="009A4468"/>
    <w:rsid w:val="009A7952"/>
    <w:rsid w:val="009C163B"/>
    <w:rsid w:val="009E2CD4"/>
    <w:rsid w:val="009F658F"/>
    <w:rsid w:val="00A26217"/>
    <w:rsid w:val="00A327BF"/>
    <w:rsid w:val="00A35A38"/>
    <w:rsid w:val="00A44E61"/>
    <w:rsid w:val="00A50F3A"/>
    <w:rsid w:val="00A52911"/>
    <w:rsid w:val="00A602FB"/>
    <w:rsid w:val="00A62564"/>
    <w:rsid w:val="00A81B5C"/>
    <w:rsid w:val="00AB2569"/>
    <w:rsid w:val="00AC3B86"/>
    <w:rsid w:val="00AD0665"/>
    <w:rsid w:val="00B05AFC"/>
    <w:rsid w:val="00B25A00"/>
    <w:rsid w:val="00B27367"/>
    <w:rsid w:val="00B4416F"/>
    <w:rsid w:val="00B44D08"/>
    <w:rsid w:val="00B56CEA"/>
    <w:rsid w:val="00B70BA2"/>
    <w:rsid w:val="00B7495A"/>
    <w:rsid w:val="00B91C9E"/>
    <w:rsid w:val="00BA4D10"/>
    <w:rsid w:val="00BD2973"/>
    <w:rsid w:val="00BE1D29"/>
    <w:rsid w:val="00BF62DE"/>
    <w:rsid w:val="00C11213"/>
    <w:rsid w:val="00C1637F"/>
    <w:rsid w:val="00C22C4C"/>
    <w:rsid w:val="00C36734"/>
    <w:rsid w:val="00C41098"/>
    <w:rsid w:val="00C5460D"/>
    <w:rsid w:val="00C9175F"/>
    <w:rsid w:val="00C92EC6"/>
    <w:rsid w:val="00CA6EB1"/>
    <w:rsid w:val="00CB099F"/>
    <w:rsid w:val="00CB2507"/>
    <w:rsid w:val="00CB7B8F"/>
    <w:rsid w:val="00CC30EE"/>
    <w:rsid w:val="00D0364B"/>
    <w:rsid w:val="00D675F4"/>
    <w:rsid w:val="00D77DA6"/>
    <w:rsid w:val="00D83998"/>
    <w:rsid w:val="00DA5423"/>
    <w:rsid w:val="00DC082F"/>
    <w:rsid w:val="00DC12C0"/>
    <w:rsid w:val="00DC7927"/>
    <w:rsid w:val="00DD3AA4"/>
    <w:rsid w:val="00E31666"/>
    <w:rsid w:val="00E46F09"/>
    <w:rsid w:val="00EA2195"/>
    <w:rsid w:val="00EB09F2"/>
    <w:rsid w:val="00EF54A0"/>
    <w:rsid w:val="00EF7A73"/>
    <w:rsid w:val="00F05489"/>
    <w:rsid w:val="00F1270A"/>
    <w:rsid w:val="00F251CF"/>
    <w:rsid w:val="00F304C8"/>
    <w:rsid w:val="00F45C8F"/>
    <w:rsid w:val="00F74CFE"/>
    <w:rsid w:val="00F80692"/>
    <w:rsid w:val="00F875CC"/>
    <w:rsid w:val="00FB0B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BD869F"/>
  <w15:chartTrackingRefBased/>
  <w15:docId w15:val="{0F2FA02B-D16B-420A-8D32-FB37E7E811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76221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6221D"/>
    <w:rPr>
      <w:sz w:val="20"/>
      <w:szCs w:val="20"/>
    </w:rPr>
  </w:style>
  <w:style w:type="character" w:styleId="FootnoteReference">
    <w:name w:val="footnote reference"/>
    <w:basedOn w:val="DefaultParagraphFont"/>
    <w:uiPriority w:val="99"/>
    <w:semiHidden/>
    <w:unhideWhenUsed/>
    <w:rsid w:val="0076221D"/>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434847-0BA9-4B81-B707-9C4D8DE91D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1479</TotalTime>
  <Pages>1</Pages>
  <Words>3758</Words>
  <Characters>21427</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Nicholas</dc:creator>
  <cp:keywords/>
  <dc:description/>
  <cp:lastModifiedBy>Nicholas</cp:lastModifiedBy>
  <cp:revision>39</cp:revision>
  <dcterms:created xsi:type="dcterms:W3CDTF">2022-10-14T07:17:00Z</dcterms:created>
  <dcterms:modified xsi:type="dcterms:W3CDTF">2022-10-25T18:16:00Z</dcterms:modified>
</cp:coreProperties>
</file>