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18A33" w14:textId="6B92410B" w:rsidR="00DB6E43" w:rsidRDefault="00DB6E43" w:rsidP="00FF4FCE">
      <w:pPr>
        <w:spacing w:before="100" w:beforeAutospacing="1" w:after="100" w:afterAutospacing="1" w:line="360" w:lineRule="auto"/>
        <w:jc w:val="center"/>
        <w:rPr>
          <w:rFonts w:ascii="Arial" w:eastAsia="Times New Roman" w:hAnsi="Arial" w:cs="Arial"/>
          <w:b/>
          <w:bCs/>
          <w:kern w:val="36"/>
          <w:lang w:eastAsia="en-IN"/>
        </w:rPr>
      </w:pPr>
      <w:r>
        <w:rPr>
          <w:noProof/>
        </w:rPr>
        <w:drawing>
          <wp:inline distT="0" distB="0" distL="0" distR="0" wp14:anchorId="64D62500" wp14:editId="117CB599">
            <wp:extent cx="3209925" cy="1517650"/>
            <wp:effectExtent l="0" t="0" r="9525" b="635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517650"/>
                    </a:xfrm>
                    <a:prstGeom prst="rect">
                      <a:avLst/>
                    </a:prstGeom>
                  </pic:spPr>
                </pic:pic>
              </a:graphicData>
            </a:graphic>
          </wp:inline>
        </w:drawing>
      </w:r>
    </w:p>
    <w:p w14:paraId="4E4AD10F" w14:textId="77777777" w:rsidR="00DB6E43" w:rsidRDefault="00DB6E43" w:rsidP="00FF4FCE">
      <w:pPr>
        <w:spacing w:before="100" w:beforeAutospacing="1" w:after="100" w:afterAutospacing="1" w:line="360" w:lineRule="auto"/>
        <w:jc w:val="center"/>
        <w:rPr>
          <w:rFonts w:ascii="Arial" w:eastAsia="Times New Roman" w:hAnsi="Arial" w:cs="Arial"/>
          <w:b/>
          <w:bCs/>
          <w:kern w:val="36"/>
          <w:lang w:eastAsia="en-IN"/>
        </w:rPr>
      </w:pPr>
    </w:p>
    <w:p w14:paraId="1ADBAF52" w14:textId="77777777" w:rsidR="001D1707" w:rsidRDefault="001D1707" w:rsidP="00FF4FCE">
      <w:pPr>
        <w:spacing w:before="100" w:beforeAutospacing="1" w:after="100" w:afterAutospacing="1" w:line="360" w:lineRule="auto"/>
        <w:jc w:val="center"/>
        <w:rPr>
          <w:rFonts w:ascii="Arial" w:eastAsia="Times New Roman" w:hAnsi="Arial" w:cs="Arial"/>
          <w:b/>
          <w:bCs/>
          <w:kern w:val="36"/>
          <w:sz w:val="56"/>
          <w:szCs w:val="56"/>
          <w:lang w:eastAsia="en-IN"/>
        </w:rPr>
      </w:pPr>
    </w:p>
    <w:p w14:paraId="62C69225" w14:textId="49A12F6E" w:rsidR="00FF4FCE" w:rsidRPr="00DB6E43" w:rsidRDefault="00FF4FCE" w:rsidP="00FF4FCE">
      <w:pPr>
        <w:spacing w:before="100" w:beforeAutospacing="1" w:after="100" w:afterAutospacing="1" w:line="360" w:lineRule="auto"/>
        <w:jc w:val="center"/>
        <w:rPr>
          <w:rFonts w:ascii="Arial" w:eastAsia="Times New Roman" w:hAnsi="Arial" w:cs="Arial"/>
          <w:b/>
          <w:bCs/>
          <w:kern w:val="36"/>
          <w:sz w:val="56"/>
          <w:szCs w:val="56"/>
          <w:lang w:eastAsia="en-IN"/>
        </w:rPr>
      </w:pPr>
      <w:r w:rsidRPr="00DB6E43">
        <w:rPr>
          <w:rFonts w:ascii="Arial" w:eastAsia="Times New Roman" w:hAnsi="Arial" w:cs="Arial"/>
          <w:b/>
          <w:bCs/>
          <w:kern w:val="36"/>
          <w:sz w:val="56"/>
          <w:szCs w:val="56"/>
          <w:lang w:eastAsia="en-IN"/>
        </w:rPr>
        <w:t>BSc Health and Social Care</w:t>
      </w:r>
    </w:p>
    <w:p w14:paraId="2B8E8517" w14:textId="77777777" w:rsidR="001D1707" w:rsidRDefault="00DB6E43" w:rsidP="00FF4FCE">
      <w:pPr>
        <w:spacing w:before="100" w:beforeAutospacing="1" w:after="100" w:afterAutospacing="1" w:line="360" w:lineRule="auto"/>
        <w:jc w:val="center"/>
        <w:rPr>
          <w:rFonts w:ascii="Arial" w:eastAsia="Times New Roman" w:hAnsi="Arial" w:cs="Arial"/>
          <w:b/>
          <w:bCs/>
          <w:kern w:val="36"/>
          <w:sz w:val="40"/>
          <w:szCs w:val="40"/>
          <w:lang w:eastAsia="en-IN"/>
        </w:rPr>
      </w:pPr>
      <w:r>
        <w:rPr>
          <w:rFonts w:ascii="Arial" w:eastAsia="Times New Roman" w:hAnsi="Arial" w:cs="Arial"/>
          <w:b/>
          <w:bCs/>
          <w:kern w:val="36"/>
          <w:sz w:val="40"/>
          <w:szCs w:val="40"/>
          <w:lang w:eastAsia="en-IN"/>
        </w:rPr>
        <w:t xml:space="preserve">Module: </w:t>
      </w:r>
      <w:r w:rsidR="008203DD" w:rsidRPr="00DB6E43">
        <w:rPr>
          <w:rFonts w:ascii="Arial" w:eastAsia="Times New Roman" w:hAnsi="Arial" w:cs="Arial"/>
          <w:b/>
          <w:bCs/>
          <w:kern w:val="36"/>
          <w:sz w:val="40"/>
          <w:szCs w:val="40"/>
          <w:lang w:eastAsia="en-IN"/>
        </w:rPr>
        <w:t>Change makers</w:t>
      </w:r>
      <w:r w:rsidR="00FF4FCE" w:rsidRPr="00DB6E43">
        <w:rPr>
          <w:rFonts w:ascii="Arial" w:eastAsia="Times New Roman" w:hAnsi="Arial" w:cs="Arial"/>
          <w:b/>
          <w:bCs/>
          <w:kern w:val="36"/>
          <w:sz w:val="40"/>
          <w:szCs w:val="40"/>
          <w:lang w:eastAsia="en-IN"/>
        </w:rPr>
        <w:t>: Creativity and Value Creation</w:t>
      </w:r>
      <w:r>
        <w:rPr>
          <w:rFonts w:ascii="Arial" w:eastAsia="Times New Roman" w:hAnsi="Arial" w:cs="Arial"/>
          <w:b/>
          <w:bCs/>
          <w:kern w:val="36"/>
          <w:sz w:val="40"/>
          <w:szCs w:val="40"/>
          <w:lang w:eastAsia="en-IN"/>
        </w:rPr>
        <w:t xml:space="preserve"> </w:t>
      </w:r>
    </w:p>
    <w:p w14:paraId="43277694" w14:textId="77777777" w:rsidR="001D1707" w:rsidRDefault="00DB6E43" w:rsidP="001D1707">
      <w:pPr>
        <w:spacing w:before="100" w:beforeAutospacing="1" w:after="100" w:afterAutospacing="1" w:line="360" w:lineRule="auto"/>
        <w:jc w:val="center"/>
        <w:rPr>
          <w:rFonts w:ascii="Arial" w:eastAsia="Times New Roman" w:hAnsi="Arial" w:cs="Arial"/>
          <w:b/>
          <w:bCs/>
          <w:kern w:val="36"/>
          <w:sz w:val="40"/>
          <w:szCs w:val="40"/>
          <w:lang w:eastAsia="en-IN"/>
        </w:rPr>
      </w:pPr>
      <w:r>
        <w:rPr>
          <w:rFonts w:ascii="Arial" w:eastAsia="Times New Roman" w:hAnsi="Arial" w:cs="Arial"/>
          <w:b/>
          <w:bCs/>
          <w:kern w:val="36"/>
          <w:sz w:val="40"/>
          <w:szCs w:val="40"/>
          <w:lang w:eastAsia="en-IN"/>
        </w:rPr>
        <w:t>Module Code:</w:t>
      </w:r>
      <w:r w:rsidR="001D1707">
        <w:rPr>
          <w:rFonts w:ascii="Arial" w:eastAsia="Times New Roman" w:hAnsi="Arial" w:cs="Arial"/>
          <w:b/>
          <w:bCs/>
          <w:kern w:val="36"/>
          <w:sz w:val="40"/>
          <w:szCs w:val="40"/>
          <w:lang w:eastAsia="en-IN"/>
        </w:rPr>
        <w:t xml:space="preserve"> </w:t>
      </w:r>
      <w:r>
        <w:rPr>
          <w:rFonts w:ascii="Arial" w:eastAsia="Times New Roman" w:hAnsi="Arial" w:cs="Arial"/>
          <w:b/>
          <w:bCs/>
          <w:kern w:val="36"/>
          <w:sz w:val="40"/>
          <w:szCs w:val="40"/>
          <w:lang w:eastAsia="en-IN"/>
        </w:rPr>
        <w:t>BMHP5014</w:t>
      </w:r>
    </w:p>
    <w:p w14:paraId="40050799" w14:textId="77777777" w:rsidR="001D1707" w:rsidRDefault="001D1707" w:rsidP="001D1707">
      <w:pPr>
        <w:spacing w:before="100" w:beforeAutospacing="1" w:after="100" w:afterAutospacing="1" w:line="360" w:lineRule="auto"/>
        <w:rPr>
          <w:rFonts w:ascii="Arial" w:eastAsia="Times New Roman" w:hAnsi="Arial" w:cs="Arial"/>
          <w:b/>
          <w:bCs/>
          <w:kern w:val="36"/>
          <w:sz w:val="32"/>
          <w:szCs w:val="32"/>
          <w:lang w:eastAsia="en-IN"/>
        </w:rPr>
      </w:pPr>
    </w:p>
    <w:p w14:paraId="79EEE8F7" w14:textId="77777777" w:rsidR="001D1707" w:rsidRDefault="001D1707" w:rsidP="001D1707">
      <w:pPr>
        <w:spacing w:before="100" w:beforeAutospacing="1" w:after="100" w:afterAutospacing="1" w:line="360" w:lineRule="auto"/>
        <w:rPr>
          <w:rFonts w:ascii="Arial" w:eastAsia="Times New Roman" w:hAnsi="Arial" w:cs="Arial"/>
          <w:b/>
          <w:bCs/>
          <w:kern w:val="36"/>
          <w:sz w:val="32"/>
          <w:szCs w:val="32"/>
          <w:lang w:eastAsia="en-IN"/>
        </w:rPr>
      </w:pPr>
    </w:p>
    <w:p w14:paraId="1B14EAC1" w14:textId="77777777" w:rsidR="001D1707" w:rsidRDefault="001D1707" w:rsidP="001D1707">
      <w:pPr>
        <w:spacing w:before="100" w:beforeAutospacing="1" w:after="100" w:afterAutospacing="1" w:line="360" w:lineRule="auto"/>
        <w:rPr>
          <w:rFonts w:ascii="Arial" w:eastAsia="Times New Roman" w:hAnsi="Arial" w:cs="Arial"/>
          <w:b/>
          <w:bCs/>
          <w:kern w:val="36"/>
          <w:sz w:val="32"/>
          <w:szCs w:val="32"/>
          <w:lang w:eastAsia="en-IN"/>
        </w:rPr>
      </w:pPr>
    </w:p>
    <w:p w14:paraId="343338A1" w14:textId="5D6C3407" w:rsidR="001D1707" w:rsidRDefault="001D1707" w:rsidP="001D1707">
      <w:pPr>
        <w:spacing w:before="100" w:beforeAutospacing="1" w:after="100" w:afterAutospacing="1" w:line="360" w:lineRule="auto"/>
        <w:rPr>
          <w:rFonts w:ascii="Arial" w:eastAsia="Times New Roman" w:hAnsi="Arial" w:cs="Arial"/>
          <w:kern w:val="36"/>
          <w:sz w:val="32"/>
          <w:szCs w:val="32"/>
          <w:lang w:eastAsia="en-IN"/>
        </w:rPr>
      </w:pPr>
      <w:r>
        <w:rPr>
          <w:rFonts w:ascii="Arial" w:eastAsia="Times New Roman" w:hAnsi="Arial" w:cs="Arial"/>
          <w:b/>
          <w:bCs/>
          <w:kern w:val="36"/>
          <w:sz w:val="32"/>
          <w:szCs w:val="32"/>
          <w:lang w:eastAsia="en-IN"/>
        </w:rPr>
        <w:t xml:space="preserve">Student Name: </w:t>
      </w:r>
      <w:r>
        <w:rPr>
          <w:rFonts w:ascii="Arial" w:eastAsia="Times New Roman" w:hAnsi="Arial" w:cs="Arial"/>
          <w:kern w:val="36"/>
          <w:sz w:val="32"/>
          <w:szCs w:val="32"/>
          <w:lang w:eastAsia="en-IN"/>
        </w:rPr>
        <w:t>Anfisa Hnatiuc</w:t>
      </w:r>
    </w:p>
    <w:p w14:paraId="4858BF09" w14:textId="77777777" w:rsidR="001D1707" w:rsidRDefault="001D1707" w:rsidP="001D1707">
      <w:pPr>
        <w:spacing w:before="100" w:beforeAutospacing="1" w:after="100" w:afterAutospacing="1" w:line="360" w:lineRule="auto"/>
        <w:rPr>
          <w:rFonts w:ascii="Arial" w:eastAsia="Times New Roman" w:hAnsi="Arial" w:cs="Arial"/>
          <w:kern w:val="36"/>
          <w:sz w:val="32"/>
          <w:szCs w:val="32"/>
          <w:lang w:eastAsia="en-IN"/>
        </w:rPr>
      </w:pPr>
      <w:r>
        <w:rPr>
          <w:rFonts w:ascii="Arial" w:eastAsia="Times New Roman" w:hAnsi="Arial" w:cs="Arial"/>
          <w:b/>
          <w:bCs/>
          <w:kern w:val="36"/>
          <w:sz w:val="32"/>
          <w:szCs w:val="32"/>
          <w:lang w:eastAsia="en-IN"/>
        </w:rPr>
        <w:t xml:space="preserve">Student Number: </w:t>
      </w:r>
      <w:r>
        <w:rPr>
          <w:rFonts w:ascii="Arial" w:eastAsia="Times New Roman" w:hAnsi="Arial" w:cs="Arial"/>
          <w:kern w:val="36"/>
          <w:sz w:val="32"/>
          <w:szCs w:val="32"/>
          <w:lang w:eastAsia="en-IN"/>
        </w:rPr>
        <w:t>2333322</w:t>
      </w:r>
    </w:p>
    <w:p w14:paraId="1FEA2F55" w14:textId="7F8A3F77" w:rsidR="001D1707" w:rsidRDefault="001D1707" w:rsidP="001D1707">
      <w:pPr>
        <w:spacing w:before="100" w:beforeAutospacing="1" w:after="100" w:afterAutospacing="1" w:line="360" w:lineRule="auto"/>
        <w:rPr>
          <w:rFonts w:ascii="Arial" w:eastAsia="Times New Roman" w:hAnsi="Arial" w:cs="Arial"/>
          <w:b/>
          <w:bCs/>
          <w:kern w:val="36"/>
          <w:sz w:val="40"/>
          <w:szCs w:val="40"/>
          <w:lang w:eastAsia="en-IN"/>
        </w:rPr>
      </w:pPr>
      <w:r>
        <w:rPr>
          <w:rFonts w:ascii="Arial" w:eastAsia="Times New Roman" w:hAnsi="Arial" w:cs="Arial"/>
          <w:b/>
          <w:bCs/>
          <w:kern w:val="36"/>
          <w:sz w:val="32"/>
          <w:szCs w:val="32"/>
          <w:lang w:eastAsia="en-IN"/>
        </w:rPr>
        <w:t>Lecturer</w:t>
      </w:r>
      <w:r w:rsidRPr="001D1707">
        <w:rPr>
          <w:rFonts w:ascii="Arial" w:eastAsia="Times New Roman" w:hAnsi="Arial" w:cs="Arial"/>
          <w:kern w:val="36"/>
          <w:sz w:val="32"/>
          <w:szCs w:val="32"/>
          <w:lang w:eastAsia="en-IN"/>
        </w:rPr>
        <w:t xml:space="preserve">: </w:t>
      </w:r>
      <w:r w:rsidR="00DB6E43" w:rsidRPr="001D1707">
        <w:rPr>
          <w:rFonts w:ascii="Arial" w:eastAsia="Times New Roman" w:hAnsi="Arial" w:cs="Arial"/>
          <w:kern w:val="36"/>
          <w:sz w:val="32"/>
          <w:szCs w:val="32"/>
          <w:lang w:eastAsia="en-IN"/>
        </w:rPr>
        <w:t xml:space="preserve"> </w:t>
      </w:r>
      <w:r w:rsidRPr="001D1707">
        <w:rPr>
          <w:rFonts w:ascii="Arial" w:eastAsia="Times New Roman" w:hAnsi="Arial" w:cs="Arial"/>
          <w:kern w:val="36"/>
          <w:sz w:val="32"/>
          <w:szCs w:val="32"/>
          <w:lang w:eastAsia="en-IN"/>
        </w:rPr>
        <w:t>Danni Dunne</w:t>
      </w:r>
    </w:p>
    <w:p w14:paraId="2B66CFC6" w14:textId="0C7EAB68" w:rsidR="001D1707" w:rsidRPr="001D1707" w:rsidRDefault="003C1402" w:rsidP="001D1707">
      <w:pPr>
        <w:spacing w:before="100" w:beforeAutospacing="1" w:after="100" w:afterAutospacing="1" w:line="360" w:lineRule="auto"/>
        <w:rPr>
          <w:rFonts w:ascii="Arial" w:eastAsia="Times New Roman" w:hAnsi="Arial" w:cs="Arial"/>
          <w:b/>
          <w:bCs/>
          <w:kern w:val="36"/>
          <w:sz w:val="40"/>
          <w:szCs w:val="40"/>
          <w:lang w:eastAsia="en-IN"/>
        </w:rPr>
      </w:pPr>
      <w:r>
        <w:rPr>
          <w:rFonts w:ascii="Arial" w:eastAsia="Times New Roman" w:hAnsi="Arial" w:cs="Arial"/>
          <w:b/>
          <w:bCs/>
          <w:kern w:val="36"/>
          <w:lang w:eastAsia="en-IN"/>
        </w:rPr>
        <w:lastRenderedPageBreak/>
        <w:br w:type="page"/>
      </w:r>
    </w:p>
    <w:p w14:paraId="513D420E" w14:textId="223DA5D0" w:rsidR="001D1707" w:rsidRDefault="001D1707">
      <w:pPr>
        <w:rPr>
          <w:rFonts w:ascii="Arial" w:eastAsia="Times New Roman" w:hAnsi="Arial" w:cs="Arial"/>
          <w:b/>
          <w:bCs/>
          <w:kern w:val="36"/>
          <w:lang w:eastAsia="en-IN"/>
        </w:rPr>
      </w:pPr>
    </w:p>
    <w:p w14:paraId="7FCD195B" w14:textId="77777777" w:rsidR="001D1707" w:rsidRDefault="001D1707">
      <w:pPr>
        <w:rPr>
          <w:rFonts w:ascii="Arial" w:eastAsia="Times New Roman" w:hAnsi="Arial" w:cs="Arial"/>
          <w:b/>
          <w:bCs/>
          <w:kern w:val="36"/>
          <w:lang w:eastAsia="en-IN"/>
        </w:rPr>
      </w:pPr>
    </w:p>
    <w:p w14:paraId="43CEBC1E" w14:textId="77777777" w:rsidR="002C6ACF" w:rsidRPr="001D1707" w:rsidRDefault="002C6ACF" w:rsidP="001D1707">
      <w:pPr>
        <w:rPr>
          <w:rFonts w:ascii="Arial" w:hAnsi="Arial" w:cs="Arial"/>
          <w:b/>
          <w:bCs/>
          <w:lang w:eastAsia="en-IN"/>
        </w:rPr>
      </w:pPr>
      <w:r w:rsidRPr="001D1707">
        <w:rPr>
          <w:rFonts w:ascii="Arial" w:hAnsi="Arial" w:cs="Arial"/>
          <w:b/>
          <w:bCs/>
          <w:lang w:eastAsia="en-IN"/>
        </w:rPr>
        <w:t>Task 1 – Concept Map</w:t>
      </w:r>
    </w:p>
    <w:tbl>
      <w:tblPr>
        <w:tblW w:w="0" w:type="auto"/>
        <w:jc w:val="center"/>
        <w:tblLook w:val="04A0" w:firstRow="1" w:lastRow="0" w:firstColumn="1" w:lastColumn="0" w:noHBand="0" w:noVBand="1"/>
      </w:tblPr>
      <w:tblGrid>
        <w:gridCol w:w="2880"/>
        <w:gridCol w:w="2880"/>
        <w:gridCol w:w="2880"/>
      </w:tblGrid>
      <w:tr w:rsidR="00220058" w:rsidRPr="003C1402" w14:paraId="1C40F581" w14:textId="77777777" w:rsidTr="00220058">
        <w:trPr>
          <w:jc w:val="center"/>
        </w:trPr>
        <w:tc>
          <w:tcPr>
            <w:tcW w:w="2880" w:type="dxa"/>
            <w:tcBorders>
              <w:bottom w:val="single" w:sz="12" w:space="0" w:color="17365D" w:themeColor="text2" w:themeShade="BF"/>
              <w:right w:val="single" w:sz="12" w:space="0" w:color="17365D" w:themeColor="text2" w:themeShade="BF"/>
            </w:tcBorders>
          </w:tcPr>
          <w:p w14:paraId="6D13A88E" w14:textId="77777777" w:rsidR="00220058" w:rsidRPr="003C1402" w:rsidRDefault="00220058" w:rsidP="003C1402">
            <w:pPr>
              <w:spacing w:line="360" w:lineRule="auto"/>
              <w:jc w:val="both"/>
              <w:rPr>
                <w:rFonts w:ascii="Arial" w:hAnsi="Arial" w:cs="Arial"/>
                <w:lang w:val="en-US"/>
              </w:rPr>
            </w:pPr>
          </w:p>
        </w:tc>
        <w:tc>
          <w:tcPr>
            <w:tcW w:w="2880" w:type="dxa"/>
            <w:tcBorders>
              <w:top w:val="single" w:sz="12" w:space="0" w:color="17365D" w:themeColor="text2" w:themeShade="BF"/>
              <w:left w:val="single" w:sz="12" w:space="0" w:color="17365D" w:themeColor="text2" w:themeShade="BF"/>
              <w:bottom w:val="single" w:sz="12" w:space="0" w:color="17365D" w:themeColor="text2" w:themeShade="BF"/>
              <w:right w:val="single" w:sz="12" w:space="0" w:color="17365D" w:themeColor="text2" w:themeShade="BF"/>
            </w:tcBorders>
            <w:hideMark/>
          </w:tcPr>
          <w:p w14:paraId="263651BD" w14:textId="77777777" w:rsidR="00220058" w:rsidRPr="003C1402" w:rsidRDefault="00220058" w:rsidP="003C1402">
            <w:pPr>
              <w:spacing w:line="360" w:lineRule="auto"/>
              <w:jc w:val="both"/>
              <w:rPr>
                <w:rFonts w:ascii="Arial" w:hAnsi="Arial" w:cs="Arial"/>
                <w:i/>
                <w:lang w:val="en-US"/>
              </w:rPr>
            </w:pPr>
            <w:r w:rsidRPr="003C1402">
              <w:rPr>
                <w:rFonts w:ascii="Arial" w:hAnsi="Arial" w:cs="Arial"/>
                <w:i/>
              </w:rPr>
              <w:t>Creativity generates innovation → Innovation creates value → Value improves care</w:t>
            </w:r>
          </w:p>
        </w:tc>
        <w:tc>
          <w:tcPr>
            <w:tcW w:w="2880" w:type="dxa"/>
            <w:tcBorders>
              <w:left w:val="single" w:sz="12" w:space="0" w:color="17365D" w:themeColor="text2" w:themeShade="BF"/>
              <w:bottom w:val="single" w:sz="12" w:space="0" w:color="17365D" w:themeColor="text2" w:themeShade="BF"/>
            </w:tcBorders>
          </w:tcPr>
          <w:p w14:paraId="0CEA86C5" w14:textId="77777777" w:rsidR="00220058" w:rsidRPr="003C1402" w:rsidRDefault="00220058" w:rsidP="003C1402">
            <w:pPr>
              <w:spacing w:line="360" w:lineRule="auto"/>
              <w:jc w:val="both"/>
              <w:rPr>
                <w:rFonts w:ascii="Arial" w:hAnsi="Arial" w:cs="Arial"/>
                <w:lang w:val="en-US"/>
              </w:rPr>
            </w:pPr>
          </w:p>
        </w:tc>
      </w:tr>
      <w:tr w:rsidR="00220058" w:rsidRPr="003C1402" w14:paraId="3C68D0E6" w14:textId="77777777" w:rsidTr="00220058">
        <w:trPr>
          <w:jc w:val="center"/>
        </w:trPr>
        <w:tc>
          <w:tcPr>
            <w:tcW w:w="2880" w:type="dxa"/>
            <w:tcBorders>
              <w:top w:val="single" w:sz="12" w:space="0" w:color="17365D" w:themeColor="text2" w:themeShade="BF"/>
              <w:left w:val="single" w:sz="12" w:space="0" w:color="17365D" w:themeColor="text2" w:themeShade="BF"/>
              <w:bottom w:val="single" w:sz="12" w:space="0" w:color="17365D" w:themeColor="text2" w:themeShade="BF"/>
              <w:right w:val="single" w:sz="12" w:space="0" w:color="17365D" w:themeColor="text2" w:themeShade="BF"/>
            </w:tcBorders>
            <w:hideMark/>
          </w:tcPr>
          <w:p w14:paraId="031729B6" w14:textId="77777777" w:rsidR="00220058" w:rsidRPr="003C1402" w:rsidRDefault="00220058" w:rsidP="003C1402">
            <w:pPr>
              <w:spacing w:line="360" w:lineRule="auto"/>
              <w:jc w:val="both"/>
              <w:rPr>
                <w:rFonts w:ascii="Arial" w:hAnsi="Arial" w:cs="Arial"/>
                <w:lang w:val="en-US"/>
              </w:rPr>
            </w:pPr>
            <w:r w:rsidRPr="003C1402">
              <w:rPr>
                <w:rFonts w:ascii="Arial" w:hAnsi="Arial" w:cs="Arial"/>
                <w:b/>
                <w:u w:val="single"/>
              </w:rPr>
              <w:t>CREATIVITY</w:t>
            </w:r>
            <w:r w:rsidRPr="003C1402">
              <w:rPr>
                <w:rFonts w:ascii="Arial" w:hAnsi="Arial" w:cs="Arial"/>
                <w:b/>
                <w:u w:val="single"/>
              </w:rPr>
              <w:br/>
            </w:r>
            <w:r w:rsidRPr="003C1402">
              <w:rPr>
                <w:rFonts w:ascii="Arial" w:hAnsi="Arial" w:cs="Arial"/>
              </w:rPr>
              <w:br/>
              <w:t>• Divergent thinking</w:t>
            </w:r>
            <w:r w:rsidRPr="003C1402">
              <w:rPr>
                <w:rFonts w:ascii="Arial" w:hAnsi="Arial" w:cs="Arial"/>
              </w:rPr>
              <w:br/>
              <w:t>• Convergent thinking</w:t>
            </w:r>
            <w:r w:rsidRPr="003C1402">
              <w:rPr>
                <w:rFonts w:ascii="Arial" w:hAnsi="Arial" w:cs="Arial"/>
              </w:rPr>
              <w:br/>
              <w:t>• Innovation</w:t>
            </w:r>
            <w:r w:rsidRPr="003C1402">
              <w:rPr>
                <w:rFonts w:ascii="Arial" w:hAnsi="Arial" w:cs="Arial"/>
              </w:rPr>
              <w:br/>
              <w:t>• Problem-solving</w:t>
            </w:r>
            <w:r w:rsidRPr="003C1402">
              <w:rPr>
                <w:rFonts w:ascii="Arial" w:hAnsi="Arial" w:cs="Arial"/>
              </w:rPr>
              <w:br/>
              <w:t>• Wellbeing</w:t>
            </w:r>
          </w:p>
        </w:tc>
        <w:tc>
          <w:tcPr>
            <w:tcW w:w="2880" w:type="dxa"/>
            <w:tcBorders>
              <w:top w:val="single" w:sz="12" w:space="0" w:color="17365D" w:themeColor="text2" w:themeShade="BF"/>
              <w:left w:val="single" w:sz="12" w:space="0" w:color="17365D" w:themeColor="text2" w:themeShade="BF"/>
              <w:bottom w:val="single" w:sz="12" w:space="0" w:color="17365D" w:themeColor="text2" w:themeShade="BF"/>
              <w:right w:val="single" w:sz="12" w:space="0" w:color="17365D" w:themeColor="text2" w:themeShade="BF"/>
            </w:tcBorders>
            <w:hideMark/>
          </w:tcPr>
          <w:p w14:paraId="2AA7E869" w14:textId="77777777" w:rsidR="00220058" w:rsidRPr="003C1402" w:rsidRDefault="00220058" w:rsidP="003C1402">
            <w:pPr>
              <w:spacing w:line="360" w:lineRule="auto"/>
              <w:jc w:val="both"/>
              <w:rPr>
                <w:rFonts w:ascii="Arial" w:hAnsi="Arial" w:cs="Arial"/>
                <w:lang w:val="en-US"/>
              </w:rPr>
            </w:pPr>
            <w:r w:rsidRPr="003C1402">
              <w:rPr>
                <w:rFonts w:ascii="Arial" w:hAnsi="Arial" w:cs="Arial"/>
                <w:b/>
                <w:u w:val="single"/>
              </w:rPr>
              <w:t>HEALTH &amp; SOCIAL CARE IMPROVEMENT</w:t>
            </w:r>
            <w:r w:rsidRPr="003C1402">
              <w:rPr>
                <w:rFonts w:ascii="Arial" w:hAnsi="Arial" w:cs="Arial"/>
              </w:rPr>
              <w:br/>
            </w:r>
            <w:r w:rsidRPr="003C1402">
              <w:rPr>
                <w:rFonts w:ascii="Arial" w:hAnsi="Arial" w:cs="Arial"/>
              </w:rPr>
              <w:br/>
              <w:t>• Quality of care</w:t>
            </w:r>
            <w:r w:rsidRPr="003C1402">
              <w:rPr>
                <w:rFonts w:ascii="Arial" w:hAnsi="Arial" w:cs="Arial"/>
              </w:rPr>
              <w:br/>
              <w:t>• Patient safety</w:t>
            </w:r>
            <w:r w:rsidRPr="003C1402">
              <w:rPr>
                <w:rFonts w:ascii="Arial" w:hAnsi="Arial" w:cs="Arial"/>
              </w:rPr>
              <w:br/>
              <w:t>• Person-centred services</w:t>
            </w:r>
          </w:p>
        </w:tc>
        <w:tc>
          <w:tcPr>
            <w:tcW w:w="2880" w:type="dxa"/>
            <w:tcBorders>
              <w:top w:val="single" w:sz="12" w:space="0" w:color="17365D" w:themeColor="text2" w:themeShade="BF"/>
              <w:left w:val="single" w:sz="12" w:space="0" w:color="17365D" w:themeColor="text2" w:themeShade="BF"/>
              <w:bottom w:val="single" w:sz="12" w:space="0" w:color="17365D" w:themeColor="text2" w:themeShade="BF"/>
              <w:right w:val="single" w:sz="12" w:space="0" w:color="17365D" w:themeColor="text2" w:themeShade="BF"/>
            </w:tcBorders>
            <w:hideMark/>
          </w:tcPr>
          <w:p w14:paraId="068BCDF4" w14:textId="61C82123" w:rsidR="00220058" w:rsidRPr="003C1402" w:rsidRDefault="00220058" w:rsidP="003C1402">
            <w:pPr>
              <w:spacing w:line="360" w:lineRule="auto"/>
              <w:jc w:val="both"/>
              <w:rPr>
                <w:rFonts w:ascii="Arial" w:hAnsi="Arial" w:cs="Arial"/>
                <w:lang w:val="en-US"/>
              </w:rPr>
            </w:pPr>
            <w:r w:rsidRPr="003C1402">
              <w:rPr>
                <w:rFonts w:ascii="Arial" w:hAnsi="Arial" w:cs="Arial"/>
                <w:b/>
                <w:u w:val="single"/>
              </w:rPr>
              <w:t>VALUE CREATION</w:t>
            </w:r>
            <w:r w:rsidRPr="003C1402">
              <w:rPr>
                <w:rFonts w:ascii="Arial" w:hAnsi="Arial" w:cs="Arial"/>
              </w:rPr>
              <w:br/>
            </w:r>
            <w:r w:rsidRPr="003C1402">
              <w:rPr>
                <w:rFonts w:ascii="Arial" w:hAnsi="Arial" w:cs="Arial"/>
              </w:rPr>
              <w:br/>
              <w:t>•Improved</w:t>
            </w:r>
            <w:r w:rsidR="00DB6E43">
              <w:rPr>
                <w:rFonts w:ascii="Arial" w:hAnsi="Arial" w:cs="Arial"/>
              </w:rPr>
              <w:t xml:space="preserve"> </w:t>
            </w:r>
            <w:r w:rsidRPr="003C1402">
              <w:rPr>
                <w:rFonts w:ascii="Arial" w:hAnsi="Arial" w:cs="Arial"/>
              </w:rPr>
              <w:t>outcomes</w:t>
            </w:r>
            <w:r w:rsidRPr="003C1402">
              <w:rPr>
                <w:rFonts w:ascii="Arial" w:hAnsi="Arial" w:cs="Arial"/>
              </w:rPr>
              <w:br/>
              <w:t>•Cost-effectiveness</w:t>
            </w:r>
            <w:r w:rsidRPr="003C1402">
              <w:rPr>
                <w:rFonts w:ascii="Arial" w:hAnsi="Arial" w:cs="Arial"/>
              </w:rPr>
              <w:br/>
              <w:t>• Patient experience</w:t>
            </w:r>
            <w:r w:rsidRPr="003C1402">
              <w:rPr>
                <w:rFonts w:ascii="Arial" w:hAnsi="Arial" w:cs="Arial"/>
              </w:rPr>
              <w:br/>
              <w:t>• Efficiency</w:t>
            </w:r>
            <w:r w:rsidRPr="003C1402">
              <w:rPr>
                <w:rFonts w:ascii="Arial" w:hAnsi="Arial" w:cs="Arial"/>
              </w:rPr>
              <w:br/>
              <w:t>• Equity</w:t>
            </w:r>
          </w:p>
        </w:tc>
      </w:tr>
      <w:tr w:rsidR="00220058" w:rsidRPr="003C1402" w14:paraId="6E8BDF9A" w14:textId="77777777" w:rsidTr="00220058">
        <w:trPr>
          <w:jc w:val="center"/>
        </w:trPr>
        <w:tc>
          <w:tcPr>
            <w:tcW w:w="2880" w:type="dxa"/>
            <w:tcBorders>
              <w:top w:val="single" w:sz="12" w:space="0" w:color="17365D" w:themeColor="text2" w:themeShade="BF"/>
              <w:right w:val="single" w:sz="12" w:space="0" w:color="17365D" w:themeColor="text2" w:themeShade="BF"/>
            </w:tcBorders>
          </w:tcPr>
          <w:p w14:paraId="1C22D76E" w14:textId="77777777" w:rsidR="00220058" w:rsidRPr="003C1402" w:rsidRDefault="00220058" w:rsidP="003C1402">
            <w:pPr>
              <w:spacing w:line="360" w:lineRule="auto"/>
              <w:jc w:val="both"/>
              <w:rPr>
                <w:rFonts w:ascii="Arial" w:hAnsi="Arial" w:cs="Arial"/>
                <w:lang w:val="en-US"/>
              </w:rPr>
            </w:pPr>
          </w:p>
        </w:tc>
        <w:tc>
          <w:tcPr>
            <w:tcW w:w="2880" w:type="dxa"/>
            <w:tcBorders>
              <w:top w:val="single" w:sz="12" w:space="0" w:color="17365D" w:themeColor="text2" w:themeShade="BF"/>
              <w:left w:val="single" w:sz="12" w:space="0" w:color="17365D" w:themeColor="text2" w:themeShade="BF"/>
              <w:bottom w:val="single" w:sz="12" w:space="0" w:color="17365D" w:themeColor="text2" w:themeShade="BF"/>
              <w:right w:val="single" w:sz="12" w:space="0" w:color="17365D" w:themeColor="text2" w:themeShade="BF"/>
            </w:tcBorders>
            <w:hideMark/>
          </w:tcPr>
          <w:p w14:paraId="7FAF628F" w14:textId="77777777" w:rsidR="00220058" w:rsidRPr="003C1402" w:rsidRDefault="00220058" w:rsidP="003C1402">
            <w:pPr>
              <w:spacing w:line="360" w:lineRule="auto"/>
              <w:jc w:val="both"/>
              <w:rPr>
                <w:rFonts w:ascii="Arial" w:hAnsi="Arial" w:cs="Arial"/>
                <w:b/>
                <w:lang w:val="en-US"/>
              </w:rPr>
            </w:pPr>
            <w:r w:rsidRPr="003C1402">
              <w:rPr>
                <w:rFonts w:ascii="Arial" w:hAnsi="Arial" w:cs="Arial"/>
                <w:b/>
              </w:rPr>
              <w:t>Continuous Improvement Cycle</w:t>
            </w:r>
          </w:p>
        </w:tc>
        <w:tc>
          <w:tcPr>
            <w:tcW w:w="2880" w:type="dxa"/>
            <w:tcBorders>
              <w:top w:val="single" w:sz="12" w:space="0" w:color="17365D" w:themeColor="text2" w:themeShade="BF"/>
              <w:left w:val="single" w:sz="12" w:space="0" w:color="17365D" w:themeColor="text2" w:themeShade="BF"/>
            </w:tcBorders>
          </w:tcPr>
          <w:p w14:paraId="066512B8" w14:textId="77777777" w:rsidR="00220058" w:rsidRPr="003C1402" w:rsidRDefault="00220058" w:rsidP="003C1402">
            <w:pPr>
              <w:spacing w:line="360" w:lineRule="auto"/>
              <w:jc w:val="both"/>
              <w:rPr>
                <w:rFonts w:ascii="Arial" w:hAnsi="Arial" w:cs="Arial"/>
                <w:lang w:val="en-US"/>
              </w:rPr>
            </w:pPr>
          </w:p>
        </w:tc>
      </w:tr>
    </w:tbl>
    <w:p w14:paraId="070E1115" w14:textId="77777777" w:rsidR="002C6ACF" w:rsidRPr="003C1402" w:rsidRDefault="002C6ACF"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br w:type="page"/>
      </w:r>
    </w:p>
    <w:p w14:paraId="41B2091A" w14:textId="77777777" w:rsidR="005A16A5" w:rsidRPr="003C1402" w:rsidRDefault="005A16A5" w:rsidP="003C1402">
      <w:pPr>
        <w:spacing w:after="0" w:line="360" w:lineRule="auto"/>
        <w:jc w:val="both"/>
        <w:rPr>
          <w:rFonts w:ascii="Arial" w:eastAsia="Times New Roman" w:hAnsi="Arial" w:cs="Arial"/>
          <w:lang w:eastAsia="en-IN"/>
        </w:rPr>
      </w:pPr>
    </w:p>
    <w:p w14:paraId="6614064E" w14:textId="77777777" w:rsidR="00893E7C"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t>Task 2 Se</w:t>
      </w:r>
      <w:r w:rsidR="003C1402">
        <w:rPr>
          <w:rFonts w:ascii="Arial" w:eastAsia="Times New Roman" w:hAnsi="Arial" w:cs="Arial"/>
          <w:b/>
          <w:bCs/>
          <w:kern w:val="36"/>
          <w:lang w:eastAsia="en-IN"/>
        </w:rPr>
        <w:t>lf-reflection on Group activity</w:t>
      </w:r>
    </w:p>
    <w:p w14:paraId="2942D2B4"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The given reflection uses the Reflective Cycle to apply Gibbs (1988) to one of the creative problem-solving in a classroom with divergent and convergent thinking. In the given activity, we were requested to come up with several alternative applications of a well-known object within a short period of time, and we were not to be judgemental as it was all in the name of divergent thinking. To begin with, I was afraid of making unusual suggestions on the basis that they could be viewed as unrealistic. Nevertheless, as the topic was discussed and the atmosphere was more conducive, I felt more confident and made more contributions. The divergent phase allowed the emergence of many ideas and </w:t>
      </w:r>
      <w:proofErr w:type="gramStart"/>
      <w:r w:rsidRPr="003C1402">
        <w:rPr>
          <w:rFonts w:ascii="Arial" w:eastAsia="Times New Roman" w:hAnsi="Arial" w:cs="Arial"/>
          <w:bCs/>
          <w:kern w:val="36"/>
          <w:lang w:eastAsia="en-IN"/>
        </w:rPr>
        <w:t>evidences</w:t>
      </w:r>
      <w:proofErr w:type="gramEnd"/>
      <w:r w:rsidRPr="003C1402">
        <w:rPr>
          <w:rFonts w:ascii="Arial" w:eastAsia="Times New Roman" w:hAnsi="Arial" w:cs="Arial"/>
          <w:bCs/>
          <w:kern w:val="36"/>
          <w:lang w:eastAsia="en-IN"/>
        </w:rPr>
        <w:t xml:space="preserve"> that the creativity of the ideas is better when the criticism is suspended (Blaikie, 2025). Conversely, the convergent stage involved critical analysis of the feasibility, safety and practicality that reduced the ideas to the most realistic ones. The given experience showed that divergent and convergent thinking are complementary to each other. The divergent thinking encourages creativity and flexibility whereas the convergent thinking encourages sound reasoning and reality of decision-making. In the context of health and social care, both processes are critical; to ensure their efficiency, professionals should not only come up with innovative solutions to complicated problems but also evaluate risks, considerations of ethical and resource-related aspects (Colomer </w:t>
      </w:r>
      <w:r w:rsidRPr="008203DD">
        <w:rPr>
          <w:rFonts w:ascii="Arial" w:eastAsia="Times New Roman" w:hAnsi="Arial" w:cs="Arial"/>
          <w:bCs/>
          <w:i/>
          <w:kern w:val="36"/>
          <w:lang w:eastAsia="en-IN"/>
        </w:rPr>
        <w:t>et al</w:t>
      </w:r>
      <w:r w:rsidRPr="003C1402">
        <w:rPr>
          <w:rFonts w:ascii="Arial" w:eastAsia="Times New Roman" w:hAnsi="Arial" w:cs="Arial"/>
          <w:bCs/>
          <w:kern w:val="36"/>
          <w:lang w:eastAsia="en-IN"/>
        </w:rPr>
        <w:t xml:space="preserve">., 2020). Generally, the exercise reinforced the idea in me that in professional engagements one needs to be creative </w:t>
      </w:r>
      <w:proofErr w:type="gramStart"/>
      <w:r w:rsidRPr="003C1402">
        <w:rPr>
          <w:rFonts w:ascii="Arial" w:eastAsia="Times New Roman" w:hAnsi="Arial" w:cs="Arial"/>
          <w:bCs/>
          <w:kern w:val="36"/>
          <w:lang w:eastAsia="en-IN"/>
        </w:rPr>
        <w:t>in order to</w:t>
      </w:r>
      <w:proofErr w:type="gramEnd"/>
      <w:r w:rsidRPr="003C1402">
        <w:rPr>
          <w:rFonts w:ascii="Arial" w:eastAsia="Times New Roman" w:hAnsi="Arial" w:cs="Arial"/>
          <w:bCs/>
          <w:kern w:val="36"/>
          <w:lang w:eastAsia="en-IN"/>
        </w:rPr>
        <w:t xml:space="preserve"> be organized, balanced and evaluated. Next time, I will make a deliberate combination of both types of thinking in approaching the initiative of service improvement </w:t>
      </w:r>
      <w:proofErr w:type="gramStart"/>
      <w:r w:rsidRPr="003C1402">
        <w:rPr>
          <w:rFonts w:ascii="Arial" w:eastAsia="Times New Roman" w:hAnsi="Arial" w:cs="Arial"/>
          <w:bCs/>
          <w:kern w:val="36"/>
          <w:lang w:eastAsia="en-IN"/>
        </w:rPr>
        <w:t>in order to</w:t>
      </w:r>
      <w:proofErr w:type="gramEnd"/>
      <w:r w:rsidRPr="003C1402">
        <w:rPr>
          <w:rFonts w:ascii="Arial" w:eastAsia="Times New Roman" w:hAnsi="Arial" w:cs="Arial"/>
          <w:bCs/>
          <w:kern w:val="36"/>
          <w:lang w:eastAsia="en-IN"/>
        </w:rPr>
        <w:t xml:space="preserve"> achieve innovative, though safe and sustainable results.</w:t>
      </w:r>
    </w:p>
    <w:p w14:paraId="0399FA3E" w14:textId="77777777" w:rsidR="00893E7C"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t>Ta</w:t>
      </w:r>
      <w:r w:rsidR="003C1402" w:rsidRPr="003C1402">
        <w:rPr>
          <w:rFonts w:ascii="Arial" w:eastAsia="Times New Roman" w:hAnsi="Arial" w:cs="Arial"/>
          <w:b/>
          <w:bCs/>
          <w:kern w:val="36"/>
          <w:lang w:eastAsia="en-IN"/>
        </w:rPr>
        <w:t xml:space="preserve">sk 3: UK Innovation Case Study </w:t>
      </w:r>
    </w:p>
    <w:p w14:paraId="4521CE80" w14:textId="77777777" w:rsidR="00893E7C"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t>The NHS at</w:t>
      </w:r>
      <w:r w:rsidR="008203DD">
        <w:rPr>
          <w:rFonts w:ascii="Arial" w:eastAsia="Times New Roman" w:hAnsi="Arial" w:cs="Arial"/>
          <w:b/>
          <w:bCs/>
          <w:kern w:val="36"/>
          <w:lang w:eastAsia="en-IN"/>
        </w:rPr>
        <w:t xml:space="preserve"> Home Remote Patient Monitoring</w:t>
      </w:r>
    </w:p>
    <w:p w14:paraId="3CFBE442"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NHS at Home is a new model of service delivery, which involves remote patient monitoring that involves provision of hospital-quality care in the homes of patients. Since this initiative was created as an answer to growing hospitalizations, staffing demands, and economic limits in the NHS. Health and social care innovation refers to the adoption of new processes or technologies that enhance the outcomes and efficiency (Serrano et al., 2023). NHS at Home is an example of how innovation can lead to system-wide change.</w:t>
      </w:r>
    </w:p>
    <w:p w14:paraId="26709710"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The </w:t>
      </w:r>
      <w:proofErr w:type="spellStart"/>
      <w:r w:rsidRPr="003C1402">
        <w:rPr>
          <w:rFonts w:ascii="Arial" w:eastAsia="Times New Roman" w:hAnsi="Arial" w:cs="Arial"/>
          <w:bCs/>
          <w:kern w:val="36"/>
          <w:lang w:eastAsia="en-IN"/>
        </w:rPr>
        <w:t>reconceptualisation</w:t>
      </w:r>
      <w:proofErr w:type="spellEnd"/>
      <w:r w:rsidRPr="003C1402">
        <w:rPr>
          <w:rFonts w:ascii="Arial" w:eastAsia="Times New Roman" w:hAnsi="Arial" w:cs="Arial"/>
          <w:bCs/>
          <w:kern w:val="36"/>
          <w:lang w:eastAsia="en-IN"/>
        </w:rPr>
        <w:t xml:space="preserve"> of safe care delivery points took place and this was creativity. Instead of treating the chronically ill in hospitals only, clinicians started using digital monitoring devices, wearable technologies and virtual consultations to manage the </w:t>
      </w:r>
      <w:r w:rsidRPr="003C1402">
        <w:rPr>
          <w:rFonts w:ascii="Arial" w:eastAsia="Times New Roman" w:hAnsi="Arial" w:cs="Arial"/>
          <w:bCs/>
          <w:kern w:val="36"/>
          <w:lang w:eastAsia="en-IN"/>
        </w:rPr>
        <w:lastRenderedPageBreak/>
        <w:t>chronically ill. This artistic re-design of the patient experience transformed the care delivery into a responsive hospital care into a proactive home-based care.</w:t>
      </w:r>
    </w:p>
    <w:p w14:paraId="4860078B"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The value generated by NHS at Home is multidimensional. To begin with, remote monitoring helps to decrease hospital readmissions because it facilitates early warning of </w:t>
      </w:r>
      <w:r w:rsidR="003C1402" w:rsidRPr="003C1402">
        <w:rPr>
          <w:rFonts w:ascii="Arial" w:eastAsia="Times New Roman" w:hAnsi="Arial" w:cs="Arial"/>
          <w:bCs/>
          <w:kern w:val="36"/>
          <w:lang w:eastAsia="en-IN"/>
        </w:rPr>
        <w:t>worsening (</w:t>
      </w:r>
      <w:r w:rsidRPr="003C1402">
        <w:rPr>
          <w:rFonts w:ascii="Arial" w:eastAsia="Times New Roman" w:hAnsi="Arial" w:cs="Arial"/>
          <w:bCs/>
          <w:kern w:val="36"/>
          <w:lang w:eastAsia="en-IN"/>
        </w:rPr>
        <w:t>Teisberg, 2020). Second, it enhances patient autonomy and comfort, and people are cared of in the environments that are familiar to them at home. Thirdly, it reduces congestion in hospitals and facilities to enhance efficiency in the system.</w:t>
      </w:r>
    </w:p>
    <w:p w14:paraId="270E4B52"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In terms of value-based healthcare, this initiative would be in line with the definition of value given by Porter (2010) that value is, the best at the cheapest. NHS at Home improves clinical outcomes and financial sustainability by avoiding unneeded admissions, as well as decrease in length of stay. Moreover, it enhances person-centred care, which means that patients are more engaged in self-education.</w:t>
      </w:r>
    </w:p>
    <w:p w14:paraId="6A6C4AE0" w14:textId="77777777" w:rsidR="00FF4FCE" w:rsidRDefault="00893E7C" w:rsidP="00FF4FCE">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Nevertheless, despite the challenges, including digital and access </w:t>
      </w:r>
      <w:r w:rsidR="003C1402" w:rsidRPr="003C1402">
        <w:rPr>
          <w:rFonts w:ascii="Arial" w:eastAsia="Times New Roman" w:hAnsi="Arial" w:cs="Arial"/>
          <w:bCs/>
          <w:kern w:val="36"/>
          <w:lang w:eastAsia="en-IN"/>
        </w:rPr>
        <w:t>disparities, NHS at Home demonstrate</w:t>
      </w:r>
      <w:r w:rsidRPr="003C1402">
        <w:rPr>
          <w:rFonts w:ascii="Arial" w:eastAsia="Times New Roman" w:hAnsi="Arial" w:cs="Arial"/>
          <w:bCs/>
          <w:kern w:val="36"/>
          <w:lang w:eastAsia="en-IN"/>
        </w:rPr>
        <w:t xml:space="preserve"> that innovative thought coupled with technological advancement can change the service provision. Finally, it is the change towards preventive, patient-centred, and value-based healthcare.</w:t>
      </w:r>
    </w:p>
    <w:p w14:paraId="57815528" w14:textId="77777777" w:rsidR="00893E7C" w:rsidRPr="00FF4FCE" w:rsidRDefault="00893E7C" w:rsidP="00FF4FCE">
      <w:pPr>
        <w:spacing w:line="360" w:lineRule="auto"/>
        <w:jc w:val="both"/>
        <w:rPr>
          <w:rFonts w:ascii="Arial" w:eastAsia="Times New Roman" w:hAnsi="Arial" w:cs="Arial"/>
          <w:bCs/>
          <w:kern w:val="36"/>
          <w:lang w:eastAsia="en-IN"/>
        </w:rPr>
      </w:pPr>
      <w:r w:rsidRPr="003C1402">
        <w:rPr>
          <w:rFonts w:ascii="Arial" w:eastAsia="Times New Roman" w:hAnsi="Arial" w:cs="Arial"/>
          <w:b/>
          <w:lang w:eastAsia="en-IN"/>
        </w:rPr>
        <w:t>Task 4: Research</w:t>
      </w:r>
    </w:p>
    <w:p w14:paraId="17ACBAF2" w14:textId="77777777" w:rsidR="00893E7C" w:rsidRPr="003C1402" w:rsidRDefault="00893E7C" w:rsidP="003C1402">
      <w:pPr>
        <w:spacing w:after="0" w:line="360" w:lineRule="auto"/>
        <w:jc w:val="both"/>
        <w:rPr>
          <w:rFonts w:ascii="Arial" w:eastAsia="Times New Roman" w:hAnsi="Arial" w:cs="Arial"/>
          <w:b/>
          <w:lang w:eastAsia="en-IN"/>
        </w:rPr>
      </w:pPr>
      <w:r w:rsidRPr="003C1402">
        <w:rPr>
          <w:rFonts w:ascii="Arial" w:eastAsia="Times New Roman" w:hAnsi="Arial" w:cs="Arial"/>
          <w:b/>
          <w:lang w:eastAsia="en-IN"/>
        </w:rPr>
        <w:t>Problem: UK Access to Mental Health Services Delays.</w:t>
      </w:r>
    </w:p>
    <w:p w14:paraId="588CA077" w14:textId="77777777" w:rsidR="00893E7C" w:rsidRPr="003C1402" w:rsidRDefault="00893E7C" w:rsidP="003C1402">
      <w:pPr>
        <w:spacing w:after="0" w:line="360" w:lineRule="auto"/>
        <w:jc w:val="both"/>
        <w:rPr>
          <w:rFonts w:ascii="Arial" w:eastAsia="Times New Roman" w:hAnsi="Arial" w:cs="Arial"/>
          <w:lang w:eastAsia="en-IN"/>
        </w:rPr>
      </w:pPr>
      <w:r w:rsidRPr="003C1402">
        <w:rPr>
          <w:rFonts w:ascii="Arial" w:eastAsia="Times New Roman" w:hAnsi="Arial" w:cs="Arial"/>
          <w:lang w:eastAsia="en-IN"/>
        </w:rPr>
        <w:t>Revisions in mental health care access are a pressing issue in the UK health and social care domain and continue to result in challenges in patient outcomes and an overworked health infrastructure in general. According to academic reports, this increasing crisis is mainly fuelled by systemic shortages of resources which produce long waiting lists and deep-seated structural inequalities which make equitable access to the intervention difficult.</w:t>
      </w:r>
    </w:p>
    <w:p w14:paraId="25F4EB2B" w14:textId="77777777" w:rsidR="00893E7C" w:rsidRPr="003C1402" w:rsidRDefault="008203DD" w:rsidP="003C1402">
      <w:pPr>
        <w:spacing w:after="0" w:line="360" w:lineRule="auto"/>
        <w:jc w:val="both"/>
        <w:rPr>
          <w:rFonts w:ascii="Arial" w:eastAsia="Times New Roman" w:hAnsi="Arial" w:cs="Arial"/>
          <w:lang w:eastAsia="en-IN"/>
        </w:rPr>
      </w:pPr>
      <w:proofErr w:type="spellStart"/>
      <w:r>
        <w:rPr>
          <w:rFonts w:ascii="Arial" w:eastAsia="Times New Roman" w:hAnsi="Arial" w:cs="Arial"/>
          <w:lang w:eastAsia="en-IN"/>
        </w:rPr>
        <w:t>Punton</w:t>
      </w:r>
      <w:proofErr w:type="spellEnd"/>
      <w:r>
        <w:rPr>
          <w:rFonts w:ascii="Arial" w:eastAsia="Times New Roman" w:hAnsi="Arial" w:cs="Arial"/>
          <w:lang w:eastAsia="en-IN"/>
        </w:rPr>
        <w:t xml:space="preserve"> et al </w:t>
      </w:r>
      <w:r w:rsidR="00893E7C" w:rsidRPr="003C1402">
        <w:rPr>
          <w:rFonts w:ascii="Arial" w:eastAsia="Times New Roman" w:hAnsi="Arial" w:cs="Arial"/>
          <w:lang w:eastAsia="en-IN"/>
        </w:rPr>
        <w:t>(2022) have recently conducted research on the effects of the harsh funding and resource constraints in the National Health Service (NHS) that has led to patient demand overshadowing clinical capacity significantly. The authors in their qualitative research that examines the experiences of young adults discovered that such systemic ineffectiveness leads to long waiting lists which can run up to 18 weeks or even longer. The researchers illustrate that the reason such long waits become a structural barrier to intervention is because they are themselves a direct obstacle to intervention. The subjects also often stated that they felt abandoned and increasingly anxious, thus becoming poorly functioning in their lives and with a critical situation of their overall health.</w:t>
      </w:r>
    </w:p>
    <w:p w14:paraId="3FEEA6B7" w14:textId="77777777" w:rsidR="00893E7C" w:rsidRPr="003C1402" w:rsidRDefault="00893E7C" w:rsidP="003C1402">
      <w:pPr>
        <w:spacing w:after="0" w:line="360" w:lineRule="auto"/>
        <w:jc w:val="both"/>
        <w:rPr>
          <w:rFonts w:ascii="Arial" w:eastAsia="Times New Roman" w:hAnsi="Arial" w:cs="Arial"/>
          <w:lang w:eastAsia="en-IN"/>
        </w:rPr>
      </w:pPr>
      <w:r w:rsidRPr="003C1402">
        <w:rPr>
          <w:rFonts w:ascii="Arial" w:eastAsia="Times New Roman" w:hAnsi="Arial" w:cs="Arial"/>
          <w:lang w:eastAsia="en-IN"/>
        </w:rPr>
        <w:t xml:space="preserve">Moreover, studies by Edbrooke-Childs et al. (2022) depict that the negative impact of delays in accessing mental health care is significant and quantifiable in terms of clinical recovery, </w:t>
      </w:r>
      <w:r w:rsidRPr="003C1402">
        <w:rPr>
          <w:rFonts w:ascii="Arial" w:eastAsia="Times New Roman" w:hAnsi="Arial" w:cs="Arial"/>
          <w:lang w:eastAsia="en-IN"/>
        </w:rPr>
        <w:lastRenderedPageBreak/>
        <w:t>especially among the young population. The authors in their overall investigation on predictors of child and adolescent mental health treatment outcomes discovered that systemic pressures and long waiting periods have a significant negative effect on treatment outcomes of interventions. The researchers elaborate that in cases where vulnerable young people have delayed access to services, their mental states tend to take a turn to a higher level, occasionally locking the maladaptive coping strategies in by instilling in them, and rendering subsequent treatment considerably less efficient. The paper underlines that a timely access is a significant predictor of good clinical outcomes, which proves that systemic delays actively contribute to the hampering of patient recovery and, eventually, to worsening the long-term clinical burden of mental health services.</w:t>
      </w:r>
    </w:p>
    <w:p w14:paraId="417E8901" w14:textId="77777777" w:rsidR="00893E7C" w:rsidRPr="003C1402" w:rsidRDefault="00893E7C" w:rsidP="003C1402">
      <w:pPr>
        <w:spacing w:after="0" w:line="360" w:lineRule="auto"/>
        <w:jc w:val="both"/>
        <w:rPr>
          <w:rFonts w:ascii="Arial" w:eastAsia="Times New Roman" w:hAnsi="Arial" w:cs="Arial"/>
          <w:lang w:eastAsia="en-IN"/>
        </w:rPr>
      </w:pPr>
      <w:r w:rsidRPr="003C1402">
        <w:rPr>
          <w:rFonts w:ascii="Arial" w:eastAsia="Times New Roman" w:hAnsi="Arial" w:cs="Arial"/>
          <w:lang w:eastAsia="en-IN"/>
        </w:rPr>
        <w:t xml:space="preserve">These studies combined show that the delays in mental health services in the UK lie in a long-term history of underfunding and under-resource of the NHS and of the leading services by systemic inequalities that would disadvantage a disproportionately large range of people in accessing services. Combat of these root causes should focus on urgent structural investment </w:t>
      </w:r>
      <w:proofErr w:type="gramStart"/>
      <w:r w:rsidRPr="003C1402">
        <w:rPr>
          <w:rFonts w:ascii="Arial" w:eastAsia="Times New Roman" w:hAnsi="Arial" w:cs="Arial"/>
          <w:lang w:eastAsia="en-IN"/>
        </w:rPr>
        <w:t>so as to</w:t>
      </w:r>
      <w:proofErr w:type="gramEnd"/>
      <w:r w:rsidRPr="003C1402">
        <w:rPr>
          <w:rFonts w:ascii="Arial" w:eastAsia="Times New Roman" w:hAnsi="Arial" w:cs="Arial"/>
          <w:lang w:eastAsia="en-IN"/>
        </w:rPr>
        <w:t xml:space="preserve"> emphasize on timely preventative care.</w:t>
      </w:r>
    </w:p>
    <w:p w14:paraId="2E5AD2FE" w14:textId="77777777" w:rsidR="00893E7C" w:rsidRPr="003C1402" w:rsidRDefault="00893E7C" w:rsidP="003C1402">
      <w:pPr>
        <w:spacing w:after="0" w:line="360" w:lineRule="auto"/>
        <w:jc w:val="both"/>
        <w:rPr>
          <w:rFonts w:ascii="Arial" w:eastAsia="Times New Roman" w:hAnsi="Arial" w:cs="Arial"/>
          <w:b/>
          <w:lang w:eastAsia="en-IN"/>
        </w:rPr>
      </w:pPr>
    </w:p>
    <w:p w14:paraId="6D5D15C4" w14:textId="77777777" w:rsidR="00893E7C" w:rsidRDefault="00893E7C" w:rsidP="003C1402">
      <w:pPr>
        <w:spacing w:after="0" w:line="360" w:lineRule="auto"/>
        <w:jc w:val="both"/>
        <w:rPr>
          <w:rFonts w:ascii="Arial" w:eastAsia="Times New Roman" w:hAnsi="Arial" w:cs="Arial"/>
          <w:b/>
          <w:lang w:eastAsia="en-IN"/>
        </w:rPr>
      </w:pPr>
      <w:r w:rsidRPr="003C1402">
        <w:rPr>
          <w:rFonts w:ascii="Arial" w:eastAsia="Times New Roman" w:hAnsi="Arial" w:cs="Arial"/>
          <w:b/>
          <w:lang w:eastAsia="en-IN"/>
        </w:rPr>
        <w:t xml:space="preserve">Task 5: </w:t>
      </w:r>
      <w:r w:rsidR="003C1402" w:rsidRPr="003C1402">
        <w:rPr>
          <w:rFonts w:ascii="Arial" w:eastAsia="Times New Roman" w:hAnsi="Arial" w:cs="Arial"/>
          <w:b/>
          <w:lang w:eastAsia="en-IN"/>
        </w:rPr>
        <w:t>Signal safe podcast (Script)</w:t>
      </w:r>
    </w:p>
    <w:p w14:paraId="5D041955" w14:textId="77777777" w:rsidR="00D95EBC" w:rsidRDefault="00D95EBC" w:rsidP="003C1402">
      <w:pPr>
        <w:spacing w:after="0" w:line="360" w:lineRule="auto"/>
        <w:jc w:val="both"/>
        <w:rPr>
          <w:rFonts w:ascii="Arial" w:eastAsia="Times New Roman" w:hAnsi="Arial" w:cs="Arial"/>
          <w:b/>
          <w:lang w:eastAsia="en-IN"/>
        </w:rPr>
      </w:pPr>
    </w:p>
    <w:p w14:paraId="78588180" w14:textId="77777777" w:rsidR="00D95EBC" w:rsidRPr="003C1402" w:rsidRDefault="00D95EBC" w:rsidP="003C1402">
      <w:pPr>
        <w:spacing w:after="0" w:line="360" w:lineRule="auto"/>
        <w:jc w:val="both"/>
        <w:rPr>
          <w:rFonts w:ascii="Arial" w:eastAsia="Times New Roman" w:hAnsi="Arial" w:cs="Arial"/>
          <w:b/>
          <w:lang w:eastAsia="en-IN"/>
        </w:rPr>
      </w:pPr>
    </w:p>
    <w:p w14:paraId="39D9611B" w14:textId="23AFB048" w:rsidR="005A16A5" w:rsidRPr="003C1402" w:rsidRDefault="00D95EBC" w:rsidP="003C1402">
      <w:pPr>
        <w:spacing w:after="0" w:line="360" w:lineRule="auto"/>
        <w:jc w:val="both"/>
        <w:rPr>
          <w:rFonts w:ascii="Arial" w:eastAsia="Times New Roman" w:hAnsi="Arial" w:cs="Arial"/>
          <w:lang w:eastAsia="en-IN"/>
        </w:rPr>
      </w:pPr>
      <w:r>
        <w:object w:dxaOrig="1508" w:dyaOrig="983" w14:anchorId="54FCB3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5pt;height:49pt" o:ole="">
            <v:imagedata r:id="rId9" o:title=""/>
          </v:shape>
          <o:OLEObject Type="Embed" ProgID="Package" ShapeID="_x0000_i1031" DrawAspect="Icon" ObjectID="_1835879761" r:id="rId10"/>
        </w:object>
      </w:r>
    </w:p>
    <w:p w14:paraId="636F25B8" w14:textId="77777777" w:rsidR="00FF4FCE" w:rsidRDefault="00FF4FCE" w:rsidP="00FF4FCE">
      <w:pPr>
        <w:rPr>
          <w:rFonts w:ascii="Arial" w:eastAsia="Times New Roman" w:hAnsi="Arial" w:cs="Arial"/>
          <w:bCs/>
          <w:kern w:val="36"/>
          <w:lang w:eastAsia="en-IN"/>
        </w:rPr>
      </w:pPr>
    </w:p>
    <w:p w14:paraId="7E10587D" w14:textId="77777777" w:rsidR="00D95EBC" w:rsidRDefault="00D95EBC" w:rsidP="00FF4FCE">
      <w:pPr>
        <w:rPr>
          <w:rFonts w:ascii="Arial" w:eastAsia="Times New Roman" w:hAnsi="Arial" w:cs="Arial"/>
          <w:b/>
          <w:bCs/>
          <w:kern w:val="36"/>
          <w:lang w:eastAsia="en-IN"/>
        </w:rPr>
      </w:pPr>
    </w:p>
    <w:p w14:paraId="3A06E6AD" w14:textId="260A8EAD" w:rsidR="00893E7C" w:rsidRPr="00FF4FCE" w:rsidRDefault="00893E7C" w:rsidP="00FF4FCE">
      <w:pPr>
        <w:rPr>
          <w:rFonts w:ascii="Arial" w:eastAsia="Times New Roman" w:hAnsi="Arial" w:cs="Arial"/>
          <w:bCs/>
          <w:kern w:val="36"/>
          <w:lang w:eastAsia="en-IN"/>
        </w:rPr>
      </w:pPr>
      <w:r w:rsidRPr="003C1402">
        <w:rPr>
          <w:rFonts w:ascii="Arial" w:eastAsia="Times New Roman" w:hAnsi="Arial" w:cs="Arial"/>
          <w:b/>
          <w:bCs/>
          <w:kern w:val="36"/>
          <w:lang w:eastAsia="en-IN"/>
        </w:rPr>
        <w:t>Task 6: NHS Leader</w:t>
      </w:r>
      <w:r w:rsidR="003C1402">
        <w:rPr>
          <w:rFonts w:ascii="Arial" w:eastAsia="Times New Roman" w:hAnsi="Arial" w:cs="Arial"/>
          <w:b/>
          <w:bCs/>
          <w:kern w:val="36"/>
          <w:lang w:eastAsia="en-IN"/>
        </w:rPr>
        <w:t xml:space="preserve">ship Framework Analysis </w:t>
      </w:r>
      <w:r w:rsidRPr="003C1402">
        <w:rPr>
          <w:rFonts w:ascii="Arial" w:eastAsia="Times New Roman" w:hAnsi="Arial" w:cs="Arial"/>
          <w:b/>
          <w:bCs/>
          <w:kern w:val="36"/>
          <w:lang w:eastAsia="en-IN"/>
        </w:rPr>
        <w:t xml:space="preserve"> </w:t>
      </w:r>
    </w:p>
    <w:p w14:paraId="35CC44BA" w14:textId="77777777" w:rsidR="00893E7C"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t>Part 1: Overvi</w:t>
      </w:r>
      <w:r w:rsidR="003C1402" w:rsidRPr="003C1402">
        <w:rPr>
          <w:rFonts w:ascii="Arial" w:eastAsia="Times New Roman" w:hAnsi="Arial" w:cs="Arial"/>
          <w:b/>
          <w:bCs/>
          <w:kern w:val="36"/>
          <w:lang w:eastAsia="en-IN"/>
        </w:rPr>
        <w:t>ew of NHS Leadership Framework</w:t>
      </w:r>
    </w:p>
    <w:p w14:paraId="78757127"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The NHS Leadership Framework provides behaviours and competencies needed to provide high-quality, patient-centred care throughout the health and social care system. It lists seven core areas, namely Demonstrating Personal Qualities, Working with Others, Managing Services, Improving Services, Setting Direction, Creating the Vision, and Delivering the Strategy (Underwood, 2024).  These areas focus on ethical behaviour, teamwork, responsibility and constant development.</w:t>
      </w:r>
    </w:p>
    <w:p w14:paraId="4C82E05A" w14:textId="77777777" w:rsidR="00F40744"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Personal Qualities are demonstrated focusing on integrity, self-awareness and resilience. Working with others emphasizes on teamwork, communication and relationship building. The management of Services entails planning, resources and accountability. Improving Services </w:t>
      </w:r>
      <w:r w:rsidRPr="003C1402">
        <w:rPr>
          <w:rFonts w:ascii="Arial" w:eastAsia="Times New Roman" w:hAnsi="Arial" w:cs="Arial"/>
          <w:bCs/>
          <w:kern w:val="36"/>
          <w:lang w:eastAsia="en-IN"/>
        </w:rPr>
        <w:lastRenderedPageBreak/>
        <w:t xml:space="preserve">fosters the evaluation, innovation, and patient safety. Setting Direction entails leaders guiding change </w:t>
      </w:r>
      <w:proofErr w:type="gramStart"/>
      <w:r w:rsidRPr="003C1402">
        <w:rPr>
          <w:rFonts w:ascii="Arial" w:eastAsia="Times New Roman" w:hAnsi="Arial" w:cs="Arial"/>
          <w:bCs/>
          <w:kern w:val="36"/>
          <w:lang w:eastAsia="en-IN"/>
        </w:rPr>
        <w:t>through the use of</w:t>
      </w:r>
      <w:proofErr w:type="gramEnd"/>
      <w:r w:rsidRPr="003C1402">
        <w:rPr>
          <w:rFonts w:ascii="Arial" w:eastAsia="Times New Roman" w:hAnsi="Arial" w:cs="Arial"/>
          <w:bCs/>
          <w:kern w:val="36"/>
          <w:lang w:eastAsia="en-IN"/>
        </w:rPr>
        <w:t xml:space="preserve"> evidence. The development of the Vision will guarantee that the leaders paint a desirable picture of the future of the services, and the provision of the Strategy will turn this vision into the real things that</w:t>
      </w:r>
      <w:r w:rsidR="00F40744">
        <w:rPr>
          <w:rFonts w:ascii="Arial" w:eastAsia="Times New Roman" w:hAnsi="Arial" w:cs="Arial"/>
          <w:bCs/>
          <w:kern w:val="36"/>
          <w:lang w:eastAsia="en-IN"/>
        </w:rPr>
        <w:t xml:space="preserve"> can be achieved and sustained. </w:t>
      </w:r>
      <w:r w:rsidRPr="003C1402">
        <w:rPr>
          <w:rFonts w:ascii="Arial" w:eastAsia="Times New Roman" w:hAnsi="Arial" w:cs="Arial"/>
          <w:bCs/>
          <w:kern w:val="36"/>
          <w:lang w:eastAsia="en-IN"/>
        </w:rPr>
        <w:t xml:space="preserve">The framework acknowledges that leadership in healthcare is not bound to the formal power but is concerned with being able to influence other people to attain better patient outcomes. </w:t>
      </w:r>
    </w:p>
    <w:p w14:paraId="53E5A7D9" w14:textId="77777777" w:rsidR="00893E7C"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t xml:space="preserve">Part 2: “Ensuring Services are Better and Promoting Innovation. </w:t>
      </w:r>
    </w:p>
    <w:p w14:paraId="2C6510CA"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The domain Improving Services promotes the critically evaluative approach to practice by leaders, focusing on patient safety and enhancing innovation. The implementation of such a domain by a leader can lead to the promotion of creativity by building a psychologically safe workplace where employees feel free to confront the existing procedures and introduce new ideas (Jones et al., 2022).  Transformational leadership can be used in addition to this practice to ensure inspirational motivation and intellectual stimulation.</w:t>
      </w:r>
    </w:p>
    <w:p w14:paraId="3C41F0DF"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Leaders </w:t>
      </w:r>
      <w:proofErr w:type="gramStart"/>
      <w:r w:rsidRPr="003C1402">
        <w:rPr>
          <w:rFonts w:ascii="Arial" w:eastAsia="Times New Roman" w:hAnsi="Arial" w:cs="Arial"/>
          <w:bCs/>
          <w:kern w:val="36"/>
          <w:lang w:eastAsia="en-IN"/>
        </w:rPr>
        <w:t>are able to</w:t>
      </w:r>
      <w:proofErr w:type="gramEnd"/>
      <w:r w:rsidRPr="003C1402">
        <w:rPr>
          <w:rFonts w:ascii="Arial" w:eastAsia="Times New Roman" w:hAnsi="Arial" w:cs="Arial"/>
          <w:bCs/>
          <w:kern w:val="36"/>
          <w:lang w:eastAsia="en-IN"/>
        </w:rPr>
        <w:t xml:space="preserve"> integrate divergent (generating ideas) and convergent (assessing the viability of that idea) thinking by promoting reflective practice, pilot testing new ideas and employing data-driven evaluation. As an illustration, the inefficiencies can be </w:t>
      </w:r>
      <w:proofErr w:type="gramStart"/>
      <w:r w:rsidRPr="003C1402">
        <w:rPr>
          <w:rFonts w:ascii="Arial" w:eastAsia="Times New Roman" w:hAnsi="Arial" w:cs="Arial"/>
          <w:bCs/>
          <w:kern w:val="36"/>
          <w:lang w:eastAsia="en-IN"/>
        </w:rPr>
        <w:t>minimized</w:t>
      </w:r>
      <w:proofErr w:type="gramEnd"/>
      <w:r w:rsidRPr="003C1402">
        <w:rPr>
          <w:rFonts w:ascii="Arial" w:eastAsia="Times New Roman" w:hAnsi="Arial" w:cs="Arial"/>
          <w:bCs/>
          <w:kern w:val="36"/>
          <w:lang w:eastAsia="en-IN"/>
        </w:rPr>
        <w:t xml:space="preserve"> and the patient experience can be improved by supporting the implementation of digital health solutions or new care pathways. Increasing focus on service improvement by leaders introduces a culture of lifelong learning to the NHS so that the organisation can adjust to the emerging challenges without compromising the high standards of care provided. This congruence between innovation and systematic appraisal enhances innovation and value creation.</w:t>
      </w:r>
    </w:p>
    <w:p w14:paraId="48C26C89" w14:textId="77777777" w:rsidR="00893E7C"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
          <w:bCs/>
          <w:kern w:val="36"/>
          <w:lang w:eastAsia="en-IN"/>
        </w:rPr>
        <w:t xml:space="preserve">Task </w:t>
      </w:r>
      <w:r w:rsidR="00FF4FCE" w:rsidRPr="003C1402">
        <w:rPr>
          <w:rFonts w:ascii="Arial" w:eastAsia="Times New Roman" w:hAnsi="Arial" w:cs="Arial"/>
          <w:b/>
          <w:bCs/>
          <w:kern w:val="36"/>
          <w:lang w:eastAsia="en-IN"/>
        </w:rPr>
        <w:t>7:</w:t>
      </w:r>
      <w:r w:rsidR="003C1402">
        <w:rPr>
          <w:rFonts w:ascii="Arial" w:eastAsia="Times New Roman" w:hAnsi="Arial" w:cs="Arial"/>
          <w:b/>
          <w:bCs/>
          <w:kern w:val="36"/>
          <w:lang w:eastAsia="en-IN"/>
        </w:rPr>
        <w:t xml:space="preserve"> </w:t>
      </w:r>
      <w:r w:rsidRPr="003C1402">
        <w:rPr>
          <w:rFonts w:ascii="Arial" w:eastAsia="Times New Roman" w:hAnsi="Arial" w:cs="Arial"/>
          <w:b/>
          <w:bCs/>
          <w:kern w:val="36"/>
          <w:lang w:eastAsia="en-IN"/>
        </w:rPr>
        <w:t>Self-</w:t>
      </w:r>
      <w:r w:rsidR="003C1402" w:rsidRPr="003C1402">
        <w:rPr>
          <w:rFonts w:ascii="Arial" w:eastAsia="Times New Roman" w:hAnsi="Arial" w:cs="Arial"/>
          <w:b/>
          <w:bCs/>
          <w:kern w:val="36"/>
          <w:lang w:eastAsia="en-IN"/>
        </w:rPr>
        <w:t>reflection journal entry</w:t>
      </w:r>
    </w:p>
    <w:p w14:paraId="65CA8F38"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My perception of creativity and value creation in health and social care has seriously changed throughout this module. To begin with, I had understood creativity in a more artistic or informal way. Nonetheless, I have also understood creativity to be a systematic thought and strategy that </w:t>
      </w:r>
      <w:proofErr w:type="spellStart"/>
      <w:r w:rsidRPr="003C1402">
        <w:rPr>
          <w:rFonts w:ascii="Arial" w:eastAsia="Times New Roman" w:hAnsi="Arial" w:cs="Arial"/>
          <w:bCs/>
          <w:kern w:val="36"/>
          <w:lang w:eastAsia="en-IN"/>
        </w:rPr>
        <w:t>foundates</w:t>
      </w:r>
      <w:proofErr w:type="spellEnd"/>
      <w:r w:rsidRPr="003C1402">
        <w:rPr>
          <w:rFonts w:ascii="Arial" w:eastAsia="Times New Roman" w:hAnsi="Arial" w:cs="Arial"/>
          <w:bCs/>
          <w:kern w:val="36"/>
          <w:lang w:eastAsia="en-IN"/>
        </w:rPr>
        <w:t xml:space="preserve"> innovation, leadership and transformation of services (Van et al., 2022).  The discussion of divergent and convergent thinking has shown that to be creative, one needs not only to generate ideas but also be able to evaluate them critically, especially in high-risk situations like in healthcare.</w:t>
      </w:r>
    </w:p>
    <w:p w14:paraId="26E5542D" w14:textId="77777777" w:rsidR="00893E7C" w:rsidRPr="003C1402" w:rsidRDefault="00893E7C" w:rsidP="003C1402">
      <w:pPr>
        <w:spacing w:line="360" w:lineRule="auto"/>
        <w:jc w:val="both"/>
        <w:rPr>
          <w:rFonts w:ascii="Arial" w:eastAsia="Times New Roman" w:hAnsi="Arial" w:cs="Arial"/>
          <w:bCs/>
          <w:kern w:val="36"/>
          <w:lang w:eastAsia="en-IN"/>
        </w:rPr>
      </w:pPr>
      <w:r w:rsidRPr="003C1402">
        <w:rPr>
          <w:rFonts w:ascii="Arial" w:eastAsia="Times New Roman" w:hAnsi="Arial" w:cs="Arial"/>
          <w:bCs/>
          <w:kern w:val="36"/>
          <w:lang w:eastAsia="en-IN"/>
        </w:rPr>
        <w:t xml:space="preserve">There is also a greater insight that I have gained in health and social care. The notion of value does not only refer to financial efficiency but inclusiveness of better patient outcomes, wellbeing, access equity, and sustainable delivery of services. Such innovations as remote </w:t>
      </w:r>
      <w:r w:rsidRPr="003C1402">
        <w:rPr>
          <w:rFonts w:ascii="Arial" w:eastAsia="Times New Roman" w:hAnsi="Arial" w:cs="Arial"/>
          <w:bCs/>
          <w:kern w:val="36"/>
          <w:lang w:eastAsia="en-IN"/>
        </w:rPr>
        <w:lastRenderedPageBreak/>
        <w:t>patient monitoring and its analysis showed how creative redesigning of services could be both patient-friendly and less attention-consuming.</w:t>
      </w:r>
    </w:p>
    <w:p w14:paraId="46DB0D5A" w14:textId="77777777" w:rsidR="00807663" w:rsidRPr="003C1402" w:rsidRDefault="00893E7C" w:rsidP="003C1402">
      <w:pPr>
        <w:spacing w:line="360" w:lineRule="auto"/>
        <w:jc w:val="both"/>
        <w:rPr>
          <w:rFonts w:ascii="Arial" w:eastAsia="Times New Roman" w:hAnsi="Arial" w:cs="Arial"/>
          <w:b/>
          <w:bCs/>
          <w:kern w:val="36"/>
          <w:lang w:eastAsia="en-IN"/>
        </w:rPr>
      </w:pPr>
      <w:r w:rsidRPr="003C1402">
        <w:rPr>
          <w:rFonts w:ascii="Arial" w:eastAsia="Times New Roman" w:hAnsi="Arial" w:cs="Arial"/>
          <w:bCs/>
          <w:kern w:val="36"/>
          <w:lang w:eastAsia="en-IN"/>
        </w:rPr>
        <w:t xml:space="preserve">More so, the experience of studying transformational and ethical leadership changed my understanding </w:t>
      </w:r>
      <w:r w:rsidR="00F40744">
        <w:rPr>
          <w:rFonts w:ascii="Arial" w:eastAsia="Times New Roman" w:hAnsi="Arial" w:cs="Arial"/>
          <w:bCs/>
          <w:kern w:val="36"/>
          <w:lang w:eastAsia="en-IN"/>
        </w:rPr>
        <w:t xml:space="preserve">of professional responsibility </w:t>
      </w:r>
      <w:r w:rsidRPr="003C1402">
        <w:rPr>
          <w:rFonts w:ascii="Arial" w:eastAsia="Times New Roman" w:hAnsi="Arial" w:cs="Arial"/>
          <w:bCs/>
          <w:kern w:val="36"/>
          <w:lang w:eastAsia="en-IN"/>
        </w:rPr>
        <w:t>(Khalil et al., 2025).  In the future, I will use the systematic approach to creative thinking and value-oriented decision-making in my practice, making sure that innovation is patient-centred and ethically sound.</w:t>
      </w:r>
      <w:r w:rsidR="00807663" w:rsidRPr="003C1402">
        <w:rPr>
          <w:rFonts w:ascii="Arial" w:eastAsia="Times New Roman" w:hAnsi="Arial" w:cs="Arial"/>
          <w:b/>
          <w:bCs/>
          <w:kern w:val="36"/>
          <w:lang w:eastAsia="en-IN"/>
        </w:rPr>
        <w:br w:type="page"/>
      </w:r>
    </w:p>
    <w:p w14:paraId="5C9C08B7" w14:textId="77777777" w:rsidR="000D66FA" w:rsidRPr="003C1402" w:rsidRDefault="003C1402" w:rsidP="001D1707">
      <w:r w:rsidRPr="003C1402">
        <w:lastRenderedPageBreak/>
        <w:t xml:space="preserve">References </w:t>
      </w:r>
    </w:p>
    <w:p w14:paraId="69073835"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Blaikie, N. (2025) ‘Being a reflective practitioner within health and social care settings’ In: </w:t>
      </w:r>
      <w:r w:rsidRPr="003C1402">
        <w:rPr>
          <w:rFonts w:ascii="Arial" w:hAnsi="Arial" w:cs="Arial"/>
          <w:i/>
          <w:iCs/>
          <w:sz w:val="22"/>
          <w:szCs w:val="22"/>
        </w:rPr>
        <w:t>The Students’ Handbook for Studying Health and Social Care</w:t>
      </w:r>
      <w:r w:rsidRPr="003C1402">
        <w:rPr>
          <w:rFonts w:ascii="Arial" w:hAnsi="Arial" w:cs="Arial"/>
          <w:sz w:val="22"/>
          <w:szCs w:val="22"/>
        </w:rPr>
        <w:t xml:space="preserve">. London: Routledge. Online. Available at: </w:t>
      </w:r>
      <w:hyperlink r:id="rId11" w:tgtFrame="_blank" w:history="1">
        <w:r w:rsidRPr="003C1402">
          <w:rPr>
            <w:rStyle w:val="Hyperlink"/>
            <w:rFonts w:ascii="Arial" w:eastAsiaTheme="majorEastAsia" w:hAnsi="Arial" w:cs="Arial"/>
            <w:sz w:val="22"/>
            <w:szCs w:val="22"/>
          </w:rPr>
          <w:t>https://doi.org/10.4324/9781032619309-20</w:t>
        </w:r>
      </w:hyperlink>
      <w:r w:rsidRPr="003C1402">
        <w:rPr>
          <w:rFonts w:ascii="Arial" w:hAnsi="Arial" w:cs="Arial"/>
          <w:sz w:val="22"/>
          <w:szCs w:val="22"/>
        </w:rPr>
        <w:t xml:space="preserve"> [Accessed 28 February 2026].</w:t>
      </w:r>
    </w:p>
    <w:p w14:paraId="55044064"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Colomer, J., Serra, T., </w:t>
      </w:r>
      <w:proofErr w:type="spellStart"/>
      <w:r w:rsidRPr="003C1402">
        <w:rPr>
          <w:rFonts w:ascii="Arial" w:hAnsi="Arial" w:cs="Arial"/>
          <w:sz w:val="22"/>
          <w:szCs w:val="22"/>
        </w:rPr>
        <w:t>Cañabate</w:t>
      </w:r>
      <w:proofErr w:type="spellEnd"/>
      <w:r w:rsidRPr="003C1402">
        <w:rPr>
          <w:rFonts w:ascii="Arial" w:hAnsi="Arial" w:cs="Arial"/>
          <w:sz w:val="22"/>
          <w:szCs w:val="22"/>
        </w:rPr>
        <w:t xml:space="preserve">, D. and </w:t>
      </w:r>
      <w:proofErr w:type="spellStart"/>
      <w:r w:rsidRPr="003C1402">
        <w:rPr>
          <w:rFonts w:ascii="Arial" w:hAnsi="Arial" w:cs="Arial"/>
          <w:sz w:val="22"/>
          <w:szCs w:val="22"/>
        </w:rPr>
        <w:t>Bubnys</w:t>
      </w:r>
      <w:proofErr w:type="spellEnd"/>
      <w:r w:rsidRPr="003C1402">
        <w:rPr>
          <w:rFonts w:ascii="Arial" w:hAnsi="Arial" w:cs="Arial"/>
          <w:sz w:val="22"/>
          <w:szCs w:val="22"/>
        </w:rPr>
        <w:t xml:space="preserve">, R. (2020) ‘Reflective learning in higher education: Active methodologies for transformative practices’ </w:t>
      </w:r>
      <w:r w:rsidRPr="003C1402">
        <w:rPr>
          <w:rFonts w:ascii="Arial" w:hAnsi="Arial" w:cs="Arial"/>
          <w:i/>
          <w:iCs/>
          <w:sz w:val="22"/>
          <w:szCs w:val="22"/>
        </w:rPr>
        <w:t>Sustainability</w:t>
      </w:r>
      <w:r w:rsidRPr="003C1402">
        <w:rPr>
          <w:rFonts w:ascii="Arial" w:hAnsi="Arial" w:cs="Arial"/>
          <w:sz w:val="22"/>
          <w:szCs w:val="22"/>
        </w:rPr>
        <w:t xml:space="preserve">, 12(9), p. 3827. Online. Available at: </w:t>
      </w:r>
      <w:hyperlink r:id="rId12" w:tgtFrame="_blank" w:history="1">
        <w:r w:rsidRPr="003C1402">
          <w:rPr>
            <w:rStyle w:val="Hyperlink"/>
            <w:rFonts w:ascii="Arial" w:eastAsiaTheme="majorEastAsia" w:hAnsi="Arial" w:cs="Arial"/>
            <w:sz w:val="22"/>
            <w:szCs w:val="22"/>
          </w:rPr>
          <w:t>https://doi.org/10.3390/su12093827</w:t>
        </w:r>
      </w:hyperlink>
      <w:r w:rsidRPr="003C1402">
        <w:rPr>
          <w:rFonts w:ascii="Arial" w:hAnsi="Arial" w:cs="Arial"/>
          <w:sz w:val="22"/>
          <w:szCs w:val="22"/>
        </w:rPr>
        <w:t xml:space="preserve"> [Accessed 28 February 2026].</w:t>
      </w:r>
    </w:p>
    <w:p w14:paraId="1F270ED4" w14:textId="77777777" w:rsidR="003C1402" w:rsidRPr="003C1402" w:rsidRDefault="003C1402" w:rsidP="00FF4FCE">
      <w:pPr>
        <w:pStyle w:val="NormalWeb"/>
        <w:spacing w:line="360" w:lineRule="auto"/>
        <w:jc w:val="both"/>
        <w:rPr>
          <w:rFonts w:ascii="Arial" w:hAnsi="Arial" w:cs="Arial"/>
          <w:sz w:val="22"/>
          <w:szCs w:val="22"/>
        </w:rPr>
      </w:pPr>
      <w:proofErr w:type="spellStart"/>
      <w:r w:rsidRPr="003C1402">
        <w:rPr>
          <w:rFonts w:ascii="Arial" w:hAnsi="Arial" w:cs="Arial"/>
          <w:sz w:val="22"/>
          <w:szCs w:val="22"/>
        </w:rPr>
        <w:t>Edbrooke</w:t>
      </w:r>
      <w:proofErr w:type="spellEnd"/>
      <w:r w:rsidRPr="003C1402">
        <w:rPr>
          <w:rFonts w:ascii="Arial" w:hAnsi="Arial" w:cs="Arial"/>
          <w:sz w:val="22"/>
          <w:szCs w:val="22"/>
        </w:rPr>
        <w:t xml:space="preserve">-Childs, J., Rashid, A., Ritchie, B. and Deighton, J. (2022) ‘Predictors of child and adolescent mental health treatment outcome’ </w:t>
      </w:r>
      <w:r w:rsidRPr="003C1402">
        <w:rPr>
          <w:rFonts w:ascii="Arial" w:hAnsi="Arial" w:cs="Arial"/>
          <w:i/>
          <w:iCs/>
          <w:sz w:val="22"/>
          <w:szCs w:val="22"/>
        </w:rPr>
        <w:t>BMC Psychiatry</w:t>
      </w:r>
      <w:r w:rsidRPr="003C1402">
        <w:rPr>
          <w:rFonts w:ascii="Arial" w:hAnsi="Arial" w:cs="Arial"/>
          <w:sz w:val="22"/>
          <w:szCs w:val="22"/>
        </w:rPr>
        <w:t xml:space="preserve">, 22(1), p. 229. Online. Available at: </w:t>
      </w:r>
      <w:hyperlink r:id="rId13" w:tgtFrame="_blank" w:history="1">
        <w:r w:rsidRPr="003C1402">
          <w:rPr>
            <w:rStyle w:val="Hyperlink"/>
            <w:rFonts w:ascii="Arial" w:eastAsiaTheme="majorEastAsia" w:hAnsi="Arial" w:cs="Arial"/>
            <w:sz w:val="22"/>
            <w:szCs w:val="22"/>
          </w:rPr>
          <w:t>https://doi.org/10.1186/s12888-022-03837-y</w:t>
        </w:r>
      </w:hyperlink>
      <w:r w:rsidRPr="003C1402">
        <w:rPr>
          <w:rFonts w:ascii="Arial" w:hAnsi="Arial" w:cs="Arial"/>
          <w:sz w:val="22"/>
          <w:szCs w:val="22"/>
        </w:rPr>
        <w:t xml:space="preserve"> [Accessed 28 February 2026].</w:t>
      </w:r>
    </w:p>
    <w:p w14:paraId="38708DF8"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Jones, B., Horton, T. and Home, J. (2022) ‘Strengthening NHS management and leadership’ </w:t>
      </w:r>
      <w:r w:rsidRPr="003C1402">
        <w:rPr>
          <w:rFonts w:ascii="Arial" w:hAnsi="Arial" w:cs="Arial"/>
          <w:i/>
          <w:iCs/>
          <w:sz w:val="22"/>
          <w:szCs w:val="22"/>
        </w:rPr>
        <w:t>The Health Foundation</w:t>
      </w:r>
      <w:r w:rsidRPr="003C1402">
        <w:rPr>
          <w:rFonts w:ascii="Arial" w:hAnsi="Arial" w:cs="Arial"/>
          <w:sz w:val="22"/>
          <w:szCs w:val="22"/>
        </w:rPr>
        <w:t xml:space="preserve">. Online. Available at: </w:t>
      </w:r>
      <w:hyperlink r:id="rId14" w:tgtFrame="_blank" w:history="1">
        <w:r w:rsidRPr="003C1402">
          <w:rPr>
            <w:rStyle w:val="Hyperlink"/>
            <w:rFonts w:ascii="Arial" w:eastAsiaTheme="majorEastAsia" w:hAnsi="Arial" w:cs="Arial"/>
            <w:sz w:val="22"/>
            <w:szCs w:val="22"/>
          </w:rPr>
          <w:t>https://www.health.org.uk/sites/default/files/pdf/2022-02/Strengthening%20NHS%20management%20and%20leadership.pdf</w:t>
        </w:r>
      </w:hyperlink>
      <w:r w:rsidRPr="003C1402">
        <w:rPr>
          <w:rFonts w:ascii="Arial" w:hAnsi="Arial" w:cs="Arial"/>
          <w:sz w:val="22"/>
          <w:szCs w:val="22"/>
        </w:rPr>
        <w:t xml:space="preserve"> [Accessed 28 February 2026].</w:t>
      </w:r>
    </w:p>
    <w:p w14:paraId="51032A5A"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Khalil, H., Ameen, M., Davies, C., Arunkumar, R. and Liu, C. (2025) ‘Value-based health care definition and characteristics: an evidence-based approach’ </w:t>
      </w:r>
      <w:r w:rsidRPr="003C1402">
        <w:rPr>
          <w:rFonts w:ascii="Arial" w:hAnsi="Arial" w:cs="Arial"/>
          <w:i/>
          <w:iCs/>
          <w:sz w:val="22"/>
          <w:szCs w:val="22"/>
        </w:rPr>
        <w:t>Australian Health Review</w:t>
      </w:r>
      <w:r w:rsidRPr="003C1402">
        <w:rPr>
          <w:rFonts w:ascii="Arial" w:hAnsi="Arial" w:cs="Arial"/>
          <w:sz w:val="22"/>
          <w:szCs w:val="22"/>
        </w:rPr>
        <w:t xml:space="preserve">, 49(2), p. AH24279. Online. Available at: </w:t>
      </w:r>
      <w:hyperlink r:id="rId15" w:tgtFrame="_blank" w:history="1">
        <w:r w:rsidRPr="003C1402">
          <w:rPr>
            <w:rStyle w:val="Hyperlink"/>
            <w:rFonts w:ascii="Arial" w:eastAsiaTheme="majorEastAsia" w:hAnsi="Arial" w:cs="Arial"/>
            <w:sz w:val="22"/>
            <w:szCs w:val="22"/>
          </w:rPr>
          <w:t>https://connectsci.au/ah/article-abstract/49/2/AH24279/199694</w:t>
        </w:r>
      </w:hyperlink>
      <w:r w:rsidRPr="003C1402">
        <w:rPr>
          <w:rFonts w:ascii="Arial" w:hAnsi="Arial" w:cs="Arial"/>
          <w:sz w:val="22"/>
          <w:szCs w:val="22"/>
        </w:rPr>
        <w:t xml:space="preserve"> [Accessed 28 February 2026].</w:t>
      </w:r>
    </w:p>
    <w:p w14:paraId="017C8E93" w14:textId="77777777" w:rsidR="003C1402" w:rsidRPr="003C1402" w:rsidRDefault="003C1402" w:rsidP="00FF4FCE">
      <w:pPr>
        <w:pStyle w:val="NormalWeb"/>
        <w:spacing w:line="360" w:lineRule="auto"/>
        <w:jc w:val="both"/>
        <w:rPr>
          <w:rFonts w:ascii="Arial" w:hAnsi="Arial" w:cs="Arial"/>
          <w:sz w:val="22"/>
          <w:szCs w:val="22"/>
        </w:rPr>
      </w:pPr>
      <w:proofErr w:type="spellStart"/>
      <w:r w:rsidRPr="003C1402">
        <w:rPr>
          <w:rFonts w:ascii="Arial" w:hAnsi="Arial" w:cs="Arial"/>
          <w:sz w:val="22"/>
          <w:szCs w:val="22"/>
        </w:rPr>
        <w:t>Punton</w:t>
      </w:r>
      <w:proofErr w:type="spellEnd"/>
      <w:r w:rsidRPr="003C1402">
        <w:rPr>
          <w:rFonts w:ascii="Arial" w:hAnsi="Arial" w:cs="Arial"/>
          <w:sz w:val="22"/>
          <w:szCs w:val="22"/>
        </w:rPr>
        <w:t xml:space="preserve">, G., Dodd, A.L. and McNeill, A. (2022) ‘‘You’re on the waiting list’: An interpretive phenomenological analysis of young adults' experiences of waiting lists within mental health services in the UK’ </w:t>
      </w:r>
      <w:r w:rsidRPr="003C1402">
        <w:rPr>
          <w:rFonts w:ascii="Arial" w:hAnsi="Arial" w:cs="Arial"/>
          <w:i/>
          <w:iCs/>
          <w:sz w:val="22"/>
          <w:szCs w:val="22"/>
        </w:rPr>
        <w:t>PLOS ONE</w:t>
      </w:r>
      <w:r w:rsidRPr="003C1402">
        <w:rPr>
          <w:rFonts w:ascii="Arial" w:hAnsi="Arial" w:cs="Arial"/>
          <w:sz w:val="22"/>
          <w:szCs w:val="22"/>
        </w:rPr>
        <w:t xml:space="preserve">, 17(3), e0265542. Online. Available at: </w:t>
      </w:r>
      <w:hyperlink r:id="rId16" w:tgtFrame="_blank" w:history="1">
        <w:r w:rsidRPr="003C1402">
          <w:rPr>
            <w:rStyle w:val="Hyperlink"/>
            <w:rFonts w:ascii="Arial" w:eastAsiaTheme="majorEastAsia" w:hAnsi="Arial" w:cs="Arial"/>
            <w:sz w:val="22"/>
            <w:szCs w:val="22"/>
          </w:rPr>
          <w:t>https://journals.plos.org/plosone/article/file?id=10.1371/journal.pone.0265542&amp;type=printable</w:t>
        </w:r>
      </w:hyperlink>
      <w:r w:rsidRPr="003C1402">
        <w:rPr>
          <w:rFonts w:ascii="Arial" w:hAnsi="Arial" w:cs="Arial"/>
          <w:sz w:val="22"/>
          <w:szCs w:val="22"/>
        </w:rPr>
        <w:t xml:space="preserve"> [Accessed 28 February 2026].</w:t>
      </w:r>
    </w:p>
    <w:p w14:paraId="227642A5"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Serrano, L.P., Maita, K.C., Avila, F.R., Torres-Guzman, R.A., Garcia, J.P., </w:t>
      </w:r>
      <w:proofErr w:type="spellStart"/>
      <w:r w:rsidRPr="003C1402">
        <w:rPr>
          <w:rFonts w:ascii="Arial" w:hAnsi="Arial" w:cs="Arial"/>
          <w:sz w:val="22"/>
          <w:szCs w:val="22"/>
        </w:rPr>
        <w:t>Eldaly</w:t>
      </w:r>
      <w:proofErr w:type="spellEnd"/>
      <w:r w:rsidRPr="003C1402">
        <w:rPr>
          <w:rFonts w:ascii="Arial" w:hAnsi="Arial" w:cs="Arial"/>
          <w:sz w:val="22"/>
          <w:szCs w:val="22"/>
        </w:rPr>
        <w:t xml:space="preserve">, A.S., Haider, C.R., Felton, C.L., Paulson, M.R., Maniaci, M.J. and Forte, A.J. (2023) ‘Benefits and challenges of remote patient monitoring as perceived by health care practitioners: a systematic review’ </w:t>
      </w:r>
      <w:r w:rsidRPr="003C1402">
        <w:rPr>
          <w:rFonts w:ascii="Arial" w:hAnsi="Arial" w:cs="Arial"/>
          <w:i/>
          <w:iCs/>
          <w:sz w:val="22"/>
          <w:szCs w:val="22"/>
        </w:rPr>
        <w:t>The Permanente Journal</w:t>
      </w:r>
      <w:r w:rsidRPr="003C1402">
        <w:rPr>
          <w:rFonts w:ascii="Arial" w:hAnsi="Arial" w:cs="Arial"/>
          <w:sz w:val="22"/>
          <w:szCs w:val="22"/>
        </w:rPr>
        <w:t xml:space="preserve">, 27(4), p. 100. Online. Available at: </w:t>
      </w:r>
      <w:hyperlink r:id="rId17" w:tgtFrame="_blank" w:history="1">
        <w:r w:rsidRPr="003C1402">
          <w:rPr>
            <w:rStyle w:val="Hyperlink"/>
            <w:rFonts w:ascii="Arial" w:eastAsiaTheme="majorEastAsia" w:hAnsi="Arial" w:cs="Arial"/>
            <w:sz w:val="22"/>
            <w:szCs w:val="22"/>
          </w:rPr>
          <w:t>https://www.thepermanentejournal.org/doi/pdf/10.7812/TPP/23.022</w:t>
        </w:r>
      </w:hyperlink>
      <w:r w:rsidRPr="003C1402">
        <w:rPr>
          <w:rFonts w:ascii="Arial" w:hAnsi="Arial" w:cs="Arial"/>
          <w:sz w:val="22"/>
          <w:szCs w:val="22"/>
        </w:rPr>
        <w:t xml:space="preserve"> [Accessed 28 February 2026].</w:t>
      </w:r>
    </w:p>
    <w:p w14:paraId="2DE771FC"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lastRenderedPageBreak/>
        <w:t>Teisberg, E., Wallace, S. and O’Hara, S. (2020) ‘Def</w:t>
      </w:r>
      <w:r w:rsidRPr="003C1402">
        <w:rPr>
          <w:rStyle w:val="citation-33"/>
          <w:rFonts w:ascii="Arial" w:hAnsi="Arial" w:cs="Arial"/>
          <w:sz w:val="22"/>
          <w:szCs w:val="22"/>
        </w:rPr>
        <w:t xml:space="preserve">ining and implementing value-based health care: a strategic framework’ </w:t>
      </w:r>
      <w:r w:rsidRPr="003C1402">
        <w:rPr>
          <w:rStyle w:val="citation-33"/>
          <w:rFonts w:ascii="Arial" w:hAnsi="Arial" w:cs="Arial"/>
          <w:i/>
          <w:iCs/>
          <w:sz w:val="22"/>
          <w:szCs w:val="22"/>
        </w:rPr>
        <w:t>Academic Medicine</w:t>
      </w:r>
      <w:r w:rsidRPr="003C1402">
        <w:rPr>
          <w:rStyle w:val="citation-33"/>
          <w:rFonts w:ascii="Arial" w:hAnsi="Arial" w:cs="Arial"/>
          <w:sz w:val="22"/>
          <w:szCs w:val="22"/>
        </w:rPr>
        <w:t xml:space="preserve">, 95(5), pp. 682–685. Online. Available at: </w:t>
      </w:r>
      <w:hyperlink r:id="rId18" w:tgtFrame="_blank" w:history="1">
        <w:r w:rsidRPr="003C1402">
          <w:rPr>
            <w:rStyle w:val="citation-33"/>
            <w:rFonts w:ascii="Arial" w:hAnsi="Arial" w:cs="Arial"/>
            <w:color w:val="0000FF"/>
            <w:sz w:val="22"/>
            <w:szCs w:val="22"/>
            <w:u w:val="single"/>
          </w:rPr>
          <w:t>https://academic.oup.com/academicmedicine/article-pdf/95/5/682/65952660/20200500.0-00014.pdf</w:t>
        </w:r>
      </w:hyperlink>
      <w:r w:rsidRPr="003C1402">
        <w:rPr>
          <w:rFonts w:ascii="Arial" w:hAnsi="Arial" w:cs="Arial"/>
          <w:sz w:val="22"/>
          <w:szCs w:val="22"/>
        </w:rPr>
        <w:t xml:space="preserve"> [Accessed 28 February 2026].</w:t>
      </w:r>
    </w:p>
    <w:p w14:paraId="230C9ED0"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Underwood, S. (2024) ‘Redefining leadership within the NHS’ complex adaptive system’ </w:t>
      </w:r>
      <w:r w:rsidRPr="003C1402">
        <w:rPr>
          <w:rFonts w:ascii="Arial" w:hAnsi="Arial" w:cs="Arial"/>
          <w:i/>
          <w:iCs/>
          <w:sz w:val="22"/>
          <w:szCs w:val="22"/>
        </w:rPr>
        <w:t>Future Healthcare Journal</w:t>
      </w:r>
      <w:r w:rsidRPr="003C1402">
        <w:rPr>
          <w:rFonts w:ascii="Arial" w:hAnsi="Arial" w:cs="Arial"/>
          <w:sz w:val="22"/>
          <w:szCs w:val="22"/>
        </w:rPr>
        <w:t xml:space="preserve">, 11(1), p. 100015. Online. Available at: </w:t>
      </w:r>
      <w:hyperlink r:id="rId19" w:tgtFrame="_blank" w:history="1">
        <w:r w:rsidRPr="003C1402">
          <w:rPr>
            <w:rStyle w:val="Hyperlink"/>
            <w:rFonts w:ascii="Arial" w:eastAsiaTheme="majorEastAsia" w:hAnsi="Arial" w:cs="Arial"/>
            <w:sz w:val="22"/>
            <w:szCs w:val="22"/>
          </w:rPr>
          <w:t>https://www.sciencedirect.com/science/article/pii/S2514664524000146</w:t>
        </w:r>
      </w:hyperlink>
      <w:r w:rsidRPr="003C1402">
        <w:rPr>
          <w:rFonts w:ascii="Arial" w:hAnsi="Arial" w:cs="Arial"/>
          <w:sz w:val="22"/>
          <w:szCs w:val="22"/>
        </w:rPr>
        <w:t xml:space="preserve"> [Accessed 28 February 2026].</w:t>
      </w:r>
    </w:p>
    <w:p w14:paraId="36354D9E" w14:textId="77777777" w:rsidR="003C1402" w:rsidRPr="003C1402" w:rsidRDefault="003C1402" w:rsidP="00FF4FCE">
      <w:pPr>
        <w:pStyle w:val="NormalWeb"/>
        <w:spacing w:line="360" w:lineRule="auto"/>
        <w:jc w:val="both"/>
        <w:rPr>
          <w:rFonts w:ascii="Arial" w:hAnsi="Arial" w:cs="Arial"/>
          <w:sz w:val="22"/>
          <w:szCs w:val="22"/>
        </w:rPr>
      </w:pPr>
      <w:r w:rsidRPr="003C1402">
        <w:rPr>
          <w:rFonts w:ascii="Arial" w:hAnsi="Arial" w:cs="Arial"/>
          <w:sz w:val="22"/>
          <w:szCs w:val="22"/>
        </w:rPr>
        <w:t xml:space="preserve">Van Staalduinen, D.J., van den </w:t>
      </w:r>
      <w:proofErr w:type="spellStart"/>
      <w:r w:rsidRPr="003C1402">
        <w:rPr>
          <w:rFonts w:ascii="Arial" w:hAnsi="Arial" w:cs="Arial"/>
          <w:sz w:val="22"/>
          <w:szCs w:val="22"/>
        </w:rPr>
        <w:t>Bekerom</w:t>
      </w:r>
      <w:proofErr w:type="spellEnd"/>
      <w:r w:rsidRPr="003C1402">
        <w:rPr>
          <w:rFonts w:ascii="Arial" w:hAnsi="Arial" w:cs="Arial"/>
          <w:sz w:val="22"/>
          <w:szCs w:val="22"/>
        </w:rPr>
        <w:t xml:space="preserve">, P., Groeneveld, S., Kidanemariam, M., </w:t>
      </w:r>
      <w:proofErr w:type="spellStart"/>
      <w:r w:rsidRPr="003C1402">
        <w:rPr>
          <w:rFonts w:ascii="Arial" w:hAnsi="Arial" w:cs="Arial"/>
          <w:sz w:val="22"/>
          <w:szCs w:val="22"/>
        </w:rPr>
        <w:t>Stiggelbout</w:t>
      </w:r>
      <w:proofErr w:type="spellEnd"/>
      <w:r w:rsidRPr="003C1402">
        <w:rPr>
          <w:rFonts w:ascii="Arial" w:hAnsi="Arial" w:cs="Arial"/>
          <w:sz w:val="22"/>
          <w:szCs w:val="22"/>
        </w:rPr>
        <w:t xml:space="preserve">, A.M. and van den Akker-van Marle, M.E. (2022) ‘The implementation of value-based healthcare: a scoping review’ </w:t>
      </w:r>
      <w:r w:rsidRPr="003C1402">
        <w:rPr>
          <w:rFonts w:ascii="Arial" w:hAnsi="Arial" w:cs="Arial"/>
          <w:i/>
          <w:iCs/>
          <w:sz w:val="22"/>
          <w:szCs w:val="22"/>
        </w:rPr>
        <w:t>BMC Health Services Research</w:t>
      </w:r>
      <w:r w:rsidRPr="003C1402">
        <w:rPr>
          <w:rFonts w:ascii="Arial" w:hAnsi="Arial" w:cs="Arial"/>
          <w:sz w:val="22"/>
          <w:szCs w:val="22"/>
        </w:rPr>
        <w:t xml:space="preserve">, 22(1), p. 270. Online. Available at: </w:t>
      </w:r>
      <w:hyperlink r:id="rId20" w:tgtFrame="_blank" w:history="1">
        <w:r w:rsidRPr="003C1402">
          <w:rPr>
            <w:rStyle w:val="Hyperlink"/>
            <w:rFonts w:ascii="Arial" w:eastAsiaTheme="majorEastAsia" w:hAnsi="Arial" w:cs="Arial"/>
            <w:sz w:val="22"/>
            <w:szCs w:val="22"/>
          </w:rPr>
          <w:t>https://link.springer.com/content/pdf/10.1186/s12913-022-07489-2.pdf</w:t>
        </w:r>
      </w:hyperlink>
      <w:r w:rsidRPr="003C1402">
        <w:rPr>
          <w:rFonts w:ascii="Arial" w:hAnsi="Arial" w:cs="Arial"/>
          <w:sz w:val="22"/>
          <w:szCs w:val="22"/>
        </w:rPr>
        <w:t xml:space="preserve"> [Accessed 28 February 2026].</w:t>
      </w:r>
    </w:p>
    <w:sectPr w:rsidR="003C1402" w:rsidRPr="003C140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558DB" w14:textId="77777777" w:rsidR="00BC38A1" w:rsidRDefault="00BC38A1" w:rsidP="00FF4FCE">
      <w:pPr>
        <w:spacing w:after="0" w:line="240" w:lineRule="auto"/>
      </w:pPr>
      <w:r>
        <w:separator/>
      </w:r>
    </w:p>
  </w:endnote>
  <w:endnote w:type="continuationSeparator" w:id="0">
    <w:p w14:paraId="6CFAEC2A" w14:textId="77777777" w:rsidR="00BC38A1" w:rsidRDefault="00BC38A1" w:rsidP="00FF4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79199"/>
      <w:docPartObj>
        <w:docPartGallery w:val="Page Numbers (Bottom of Page)"/>
        <w:docPartUnique/>
      </w:docPartObj>
    </w:sdtPr>
    <w:sdtEndPr>
      <w:rPr>
        <w:noProof/>
      </w:rPr>
    </w:sdtEndPr>
    <w:sdtContent>
      <w:p w14:paraId="202EDBE1" w14:textId="77777777" w:rsidR="008203DD" w:rsidRDefault="008203DD">
        <w:pPr>
          <w:pStyle w:val="Footer"/>
          <w:jc w:val="right"/>
        </w:pPr>
        <w:r>
          <w:fldChar w:fldCharType="begin"/>
        </w:r>
        <w:r>
          <w:instrText xml:space="preserve"> PAGE   \* MERGEFORMAT </w:instrText>
        </w:r>
        <w:r>
          <w:fldChar w:fldCharType="separate"/>
        </w:r>
        <w:r w:rsidR="002A65AE">
          <w:rPr>
            <w:noProof/>
          </w:rPr>
          <w:t>1</w:t>
        </w:r>
        <w:r>
          <w:rPr>
            <w:noProof/>
          </w:rPr>
          <w:fldChar w:fldCharType="end"/>
        </w:r>
      </w:p>
    </w:sdtContent>
  </w:sdt>
  <w:p w14:paraId="40B61869" w14:textId="77777777" w:rsidR="008203DD" w:rsidRDefault="00820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513D0" w14:textId="77777777" w:rsidR="00BC38A1" w:rsidRDefault="00BC38A1" w:rsidP="00FF4FCE">
      <w:pPr>
        <w:spacing w:after="0" w:line="240" w:lineRule="auto"/>
      </w:pPr>
      <w:r>
        <w:separator/>
      </w:r>
    </w:p>
  </w:footnote>
  <w:footnote w:type="continuationSeparator" w:id="0">
    <w:p w14:paraId="36D93716" w14:textId="77777777" w:rsidR="00BC38A1" w:rsidRDefault="00BC38A1" w:rsidP="00FF4F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2D1EB0"/>
    <w:multiLevelType w:val="multilevel"/>
    <w:tmpl w:val="E810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1337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C6ACF"/>
    <w:rsid w:val="000D115D"/>
    <w:rsid w:val="000D2AE2"/>
    <w:rsid w:val="000D66FA"/>
    <w:rsid w:val="001967D1"/>
    <w:rsid w:val="001D1707"/>
    <w:rsid w:val="00220058"/>
    <w:rsid w:val="002A65AE"/>
    <w:rsid w:val="002C6ACF"/>
    <w:rsid w:val="003C1402"/>
    <w:rsid w:val="00415921"/>
    <w:rsid w:val="004476CF"/>
    <w:rsid w:val="005825B8"/>
    <w:rsid w:val="005A16A5"/>
    <w:rsid w:val="005A7126"/>
    <w:rsid w:val="006104D9"/>
    <w:rsid w:val="006156E2"/>
    <w:rsid w:val="007449D5"/>
    <w:rsid w:val="00787AAC"/>
    <w:rsid w:val="007C4148"/>
    <w:rsid w:val="00807663"/>
    <w:rsid w:val="0081735F"/>
    <w:rsid w:val="008203DD"/>
    <w:rsid w:val="00836F36"/>
    <w:rsid w:val="00886D1D"/>
    <w:rsid w:val="00893E7C"/>
    <w:rsid w:val="008A1584"/>
    <w:rsid w:val="00914941"/>
    <w:rsid w:val="00A76D0F"/>
    <w:rsid w:val="00B5403E"/>
    <w:rsid w:val="00BC38A1"/>
    <w:rsid w:val="00D8197A"/>
    <w:rsid w:val="00D95EBC"/>
    <w:rsid w:val="00DB6E43"/>
    <w:rsid w:val="00EB42EA"/>
    <w:rsid w:val="00F318E7"/>
    <w:rsid w:val="00F40744"/>
    <w:rsid w:val="00FD1E87"/>
    <w:rsid w:val="00FF4F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84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D115D"/>
    <w:pPr>
      <w:keepNext/>
      <w:keepLines/>
      <w:spacing w:before="360" w:after="80" w:line="278" w:lineRule="auto"/>
      <w:outlineLvl w:val="0"/>
    </w:pPr>
    <w:rPr>
      <w:rFonts w:asciiTheme="majorHAnsi" w:eastAsiaTheme="majorEastAsia" w:hAnsiTheme="majorHAnsi" w:cstheme="majorBidi"/>
      <w:b/>
      <w:color w:val="365F91" w:themeColor="accent1" w:themeShade="BF"/>
      <w:sz w:val="28"/>
      <w:szCs w:val="40"/>
    </w:rPr>
  </w:style>
  <w:style w:type="paragraph" w:styleId="Heading2">
    <w:name w:val="heading 2"/>
    <w:basedOn w:val="Normal"/>
    <w:next w:val="Normal"/>
    <w:link w:val="Heading2Char"/>
    <w:autoRedefine/>
    <w:uiPriority w:val="9"/>
    <w:unhideWhenUsed/>
    <w:qFormat/>
    <w:rsid w:val="006104D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autoRedefine/>
    <w:uiPriority w:val="9"/>
    <w:unhideWhenUsed/>
    <w:qFormat/>
    <w:rsid w:val="006104D9"/>
    <w:pPr>
      <w:keepNext/>
      <w:keepLines/>
      <w:spacing w:before="200" w:after="0"/>
      <w:outlineLvl w:val="2"/>
    </w:pPr>
    <w:rPr>
      <w:rFonts w:asciiTheme="majorHAnsi" w:eastAsiaTheme="majorEastAsia" w:hAnsiTheme="majorHAnsi" w:cstheme="majorBidi"/>
      <w:b/>
      <w:bCs/>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15D"/>
    <w:rPr>
      <w:rFonts w:asciiTheme="majorHAnsi" w:eastAsiaTheme="majorEastAsia" w:hAnsiTheme="majorHAnsi" w:cstheme="majorBidi"/>
      <w:b/>
      <w:color w:val="365F91" w:themeColor="accent1" w:themeShade="BF"/>
      <w:sz w:val="28"/>
      <w:szCs w:val="40"/>
    </w:rPr>
  </w:style>
  <w:style w:type="character" w:customStyle="1" w:styleId="Heading2Char">
    <w:name w:val="Heading 2 Char"/>
    <w:basedOn w:val="DefaultParagraphFont"/>
    <w:link w:val="Heading2"/>
    <w:uiPriority w:val="9"/>
    <w:rsid w:val="006104D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104D9"/>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2C6AC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2C6ACF"/>
    <w:rPr>
      <w:b/>
      <w:bCs/>
    </w:rPr>
  </w:style>
  <w:style w:type="paragraph" w:styleId="BalloonText">
    <w:name w:val="Balloon Text"/>
    <w:basedOn w:val="Normal"/>
    <w:link w:val="BalloonTextChar"/>
    <w:uiPriority w:val="99"/>
    <w:semiHidden/>
    <w:unhideWhenUsed/>
    <w:rsid w:val="008A1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1584"/>
    <w:rPr>
      <w:rFonts w:ascii="Tahoma" w:hAnsi="Tahoma" w:cs="Tahoma"/>
      <w:sz w:val="16"/>
      <w:szCs w:val="16"/>
    </w:rPr>
  </w:style>
  <w:style w:type="character" w:styleId="Hyperlink">
    <w:name w:val="Hyperlink"/>
    <w:basedOn w:val="DefaultParagraphFont"/>
    <w:uiPriority w:val="99"/>
    <w:unhideWhenUsed/>
    <w:rsid w:val="000D66FA"/>
    <w:rPr>
      <w:color w:val="0000FF" w:themeColor="hyperlink"/>
      <w:u w:val="single"/>
    </w:rPr>
  </w:style>
  <w:style w:type="character" w:styleId="Emphasis">
    <w:name w:val="Emphasis"/>
    <w:basedOn w:val="DefaultParagraphFont"/>
    <w:uiPriority w:val="20"/>
    <w:qFormat/>
    <w:rsid w:val="00807663"/>
    <w:rPr>
      <w:i/>
      <w:iCs/>
    </w:rPr>
  </w:style>
  <w:style w:type="character" w:customStyle="1" w:styleId="citation-33">
    <w:name w:val="citation-33"/>
    <w:basedOn w:val="DefaultParagraphFont"/>
    <w:rsid w:val="003C1402"/>
  </w:style>
  <w:style w:type="paragraph" w:styleId="Header">
    <w:name w:val="header"/>
    <w:basedOn w:val="Normal"/>
    <w:link w:val="HeaderChar"/>
    <w:uiPriority w:val="99"/>
    <w:unhideWhenUsed/>
    <w:rsid w:val="00FF4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FCE"/>
  </w:style>
  <w:style w:type="paragraph" w:styleId="Footer">
    <w:name w:val="footer"/>
    <w:basedOn w:val="Normal"/>
    <w:link w:val="FooterChar"/>
    <w:uiPriority w:val="99"/>
    <w:unhideWhenUsed/>
    <w:rsid w:val="00FF4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FCE"/>
  </w:style>
  <w:style w:type="paragraph" w:styleId="TOCHeading">
    <w:name w:val="TOC Heading"/>
    <w:basedOn w:val="Heading1"/>
    <w:next w:val="Normal"/>
    <w:uiPriority w:val="39"/>
    <w:unhideWhenUsed/>
    <w:qFormat/>
    <w:rsid w:val="007449D5"/>
    <w:pPr>
      <w:spacing w:before="240" w:after="0" w:line="259" w:lineRule="auto"/>
      <w:outlineLvl w:val="9"/>
    </w:pPr>
    <w:rPr>
      <w:b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676053">
      <w:bodyDiv w:val="1"/>
      <w:marLeft w:val="0"/>
      <w:marRight w:val="0"/>
      <w:marTop w:val="0"/>
      <w:marBottom w:val="0"/>
      <w:divBdr>
        <w:top w:val="none" w:sz="0" w:space="0" w:color="auto"/>
        <w:left w:val="none" w:sz="0" w:space="0" w:color="auto"/>
        <w:bottom w:val="none" w:sz="0" w:space="0" w:color="auto"/>
        <w:right w:val="none" w:sz="0" w:space="0" w:color="auto"/>
      </w:divBdr>
    </w:div>
    <w:div w:id="194079144">
      <w:bodyDiv w:val="1"/>
      <w:marLeft w:val="0"/>
      <w:marRight w:val="0"/>
      <w:marTop w:val="0"/>
      <w:marBottom w:val="0"/>
      <w:divBdr>
        <w:top w:val="none" w:sz="0" w:space="0" w:color="auto"/>
        <w:left w:val="none" w:sz="0" w:space="0" w:color="auto"/>
        <w:bottom w:val="none" w:sz="0" w:space="0" w:color="auto"/>
        <w:right w:val="none" w:sz="0" w:space="0" w:color="auto"/>
      </w:divBdr>
    </w:div>
    <w:div w:id="699211624">
      <w:bodyDiv w:val="1"/>
      <w:marLeft w:val="0"/>
      <w:marRight w:val="0"/>
      <w:marTop w:val="0"/>
      <w:marBottom w:val="0"/>
      <w:divBdr>
        <w:top w:val="none" w:sz="0" w:space="0" w:color="auto"/>
        <w:left w:val="none" w:sz="0" w:space="0" w:color="auto"/>
        <w:bottom w:val="none" w:sz="0" w:space="0" w:color="auto"/>
        <w:right w:val="none" w:sz="0" w:space="0" w:color="auto"/>
      </w:divBdr>
    </w:div>
    <w:div w:id="740559891">
      <w:bodyDiv w:val="1"/>
      <w:marLeft w:val="0"/>
      <w:marRight w:val="0"/>
      <w:marTop w:val="0"/>
      <w:marBottom w:val="0"/>
      <w:divBdr>
        <w:top w:val="none" w:sz="0" w:space="0" w:color="auto"/>
        <w:left w:val="none" w:sz="0" w:space="0" w:color="auto"/>
        <w:bottom w:val="none" w:sz="0" w:space="0" w:color="auto"/>
        <w:right w:val="none" w:sz="0" w:space="0" w:color="auto"/>
      </w:divBdr>
    </w:div>
    <w:div w:id="978152804">
      <w:bodyDiv w:val="1"/>
      <w:marLeft w:val="0"/>
      <w:marRight w:val="0"/>
      <w:marTop w:val="0"/>
      <w:marBottom w:val="0"/>
      <w:divBdr>
        <w:top w:val="none" w:sz="0" w:space="0" w:color="auto"/>
        <w:left w:val="none" w:sz="0" w:space="0" w:color="auto"/>
        <w:bottom w:val="none" w:sz="0" w:space="0" w:color="auto"/>
        <w:right w:val="none" w:sz="0" w:space="0" w:color="auto"/>
      </w:divBdr>
    </w:div>
    <w:div w:id="1022049212">
      <w:bodyDiv w:val="1"/>
      <w:marLeft w:val="0"/>
      <w:marRight w:val="0"/>
      <w:marTop w:val="0"/>
      <w:marBottom w:val="0"/>
      <w:divBdr>
        <w:top w:val="none" w:sz="0" w:space="0" w:color="auto"/>
        <w:left w:val="none" w:sz="0" w:space="0" w:color="auto"/>
        <w:bottom w:val="none" w:sz="0" w:space="0" w:color="auto"/>
        <w:right w:val="none" w:sz="0" w:space="0" w:color="auto"/>
      </w:divBdr>
    </w:div>
    <w:div w:id="1563442642">
      <w:bodyDiv w:val="1"/>
      <w:marLeft w:val="0"/>
      <w:marRight w:val="0"/>
      <w:marTop w:val="0"/>
      <w:marBottom w:val="0"/>
      <w:divBdr>
        <w:top w:val="none" w:sz="0" w:space="0" w:color="auto"/>
        <w:left w:val="none" w:sz="0" w:space="0" w:color="auto"/>
        <w:bottom w:val="none" w:sz="0" w:space="0" w:color="auto"/>
        <w:right w:val="none" w:sz="0" w:space="0" w:color="auto"/>
      </w:divBdr>
    </w:div>
    <w:div w:id="1575314084">
      <w:bodyDiv w:val="1"/>
      <w:marLeft w:val="0"/>
      <w:marRight w:val="0"/>
      <w:marTop w:val="0"/>
      <w:marBottom w:val="0"/>
      <w:divBdr>
        <w:top w:val="none" w:sz="0" w:space="0" w:color="auto"/>
        <w:left w:val="none" w:sz="0" w:space="0" w:color="auto"/>
        <w:bottom w:val="none" w:sz="0" w:space="0" w:color="auto"/>
        <w:right w:val="none" w:sz="0" w:space="0" w:color="auto"/>
      </w:divBdr>
    </w:div>
    <w:div w:id="1579704181">
      <w:bodyDiv w:val="1"/>
      <w:marLeft w:val="0"/>
      <w:marRight w:val="0"/>
      <w:marTop w:val="0"/>
      <w:marBottom w:val="0"/>
      <w:divBdr>
        <w:top w:val="none" w:sz="0" w:space="0" w:color="auto"/>
        <w:left w:val="none" w:sz="0" w:space="0" w:color="auto"/>
        <w:bottom w:val="none" w:sz="0" w:space="0" w:color="auto"/>
        <w:right w:val="none" w:sz="0" w:space="0" w:color="auto"/>
      </w:divBdr>
    </w:div>
    <w:div w:id="1669015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12888-022-03837-y" TargetMode="External"/><Relationship Id="rId18" Type="http://schemas.openxmlformats.org/officeDocument/2006/relationships/hyperlink" Target="https://academic.oup.com/academicmedicine/article-pdf/95/5/682/65952660/20200500.0-00014.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su12093827" TargetMode="External"/><Relationship Id="rId17" Type="http://schemas.openxmlformats.org/officeDocument/2006/relationships/hyperlink" Target="https://www.thepermanentejournal.org/doi/pdf/10.7812/TPP/23.022" TargetMode="External"/><Relationship Id="rId2" Type="http://schemas.openxmlformats.org/officeDocument/2006/relationships/numbering" Target="numbering.xml"/><Relationship Id="rId16" Type="http://schemas.openxmlformats.org/officeDocument/2006/relationships/hyperlink" Target="https://journals.plos.org/plosone/article/file?id=10.1371/journal.pone.0265542&amp;type=printable" TargetMode="External"/><Relationship Id="rId20" Type="http://schemas.openxmlformats.org/officeDocument/2006/relationships/hyperlink" Target="https://link.springer.com/content/pdf/10.1186/s12913-022-07489-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https://doi.org/10.4324/9781032619309-20" TargetMode="External"/><Relationship Id="rId5" Type="http://schemas.openxmlformats.org/officeDocument/2006/relationships/webSettings" Target="webSettings.xml"/><Relationship Id="rId15" Type="http://schemas.openxmlformats.org/officeDocument/2006/relationships/hyperlink" Target="https://connectsci.au/ah/article-abstract/49/2/AH24279/199694" TargetMode="External"/><Relationship Id="rId23" Type="http://schemas.openxmlformats.org/officeDocument/2006/relationships/theme" Target="theme/theme1.xml"/><Relationship Id="rId10" Type="http://schemas.openxmlformats.org/officeDocument/2006/relationships/oleObject" Target="embeddings/oleObject1.bin"/><Relationship Id="rId19" Type="http://schemas.openxmlformats.org/officeDocument/2006/relationships/hyperlink" Target="https://www.sciencedirect.com/science/article/pii/S2514664524000146"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health.org.uk/sites/default/files/pdf/2022-02/Strengthening%20NHS%20management%20and%20leadership.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64BAD4-83FD-419C-B04D-71BDD3A4D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2347</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2026-03-02T12:08:00Z</dcterms:created>
  <dcterms:modified xsi:type="dcterms:W3CDTF">2026-03-24T17:50:00Z</dcterms:modified>
</cp:coreProperties>
</file>