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176A5" w14:textId="21DCE1AA" w:rsidR="00A97A05" w:rsidRDefault="00C15955" w:rsidP="00C1595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noProof/>
          <w:lang w:eastAsia="en-GB"/>
        </w:rPr>
        <w:drawing>
          <wp:inline distT="0" distB="0" distL="0" distR="0" wp14:anchorId="65BC57A9" wp14:editId="057BCEC2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0C5F67" w14:textId="70B4BADF" w:rsidR="00965518" w:rsidRDefault="00965518" w:rsidP="00C1595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071EFA6" w14:textId="77777777" w:rsidR="00965518" w:rsidRDefault="00965518" w:rsidP="00C1595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DD7DBC8" w14:textId="77777777" w:rsidR="00965518" w:rsidRDefault="00965518" w:rsidP="00C1595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CFD0AF1" w14:textId="36EC49ED" w:rsidR="00BD12B6" w:rsidRPr="0072034D" w:rsidRDefault="00BD12B6" w:rsidP="00BD12B6">
      <w:pPr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>Academic Discipline of Social Justice and Inclusion</w:t>
      </w:r>
    </w:p>
    <w:p w14:paraId="2299AA67" w14:textId="77777777" w:rsidR="00BD12B6" w:rsidRDefault="00BD12B6" w:rsidP="00BD12B6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  <w:proofErr w:type="spellStart"/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MArts</w:t>
      </w:r>
      <w:proofErr w:type="spellEnd"/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/BA Humanistic Counselling Practice</w:t>
      </w:r>
    </w:p>
    <w:p w14:paraId="14B8B593" w14:textId="24CBF46C" w:rsidR="00BD12B6" w:rsidRDefault="00BD12B6" w:rsidP="00BD12B6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</w:p>
    <w:p w14:paraId="3F6CA834" w14:textId="77777777" w:rsidR="00BD6155" w:rsidRPr="0072034D" w:rsidRDefault="00BD6155" w:rsidP="00BD12B6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</w:p>
    <w:p w14:paraId="0D1A7896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4B90BE1A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Module: ECH5003</w:t>
      </w:r>
    </w:p>
    <w:p w14:paraId="0AD9BA59" w14:textId="77777777" w:rsidR="00BD12B6" w:rsidRPr="0072034D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DCEA612" w14:textId="77777777" w:rsidR="00BD12B6" w:rsidRPr="0072034D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BC5F427" w14:textId="0DBBDC9A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Assessment Component: 1</w:t>
      </w:r>
    </w:p>
    <w:p w14:paraId="7B0AA542" w14:textId="77777777" w:rsidR="00632C45" w:rsidRDefault="00632C45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434606C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863EA6B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C250D3F" w14:textId="386EA09A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Assignment Title: </w:t>
      </w:r>
    </w:p>
    <w:p w14:paraId="071408D8" w14:textId="77777777" w:rsidR="00E92613" w:rsidRDefault="00E92613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47A05D3" w14:textId="599807C3" w:rsidR="00BD12B6" w:rsidRDefault="00BD12B6" w:rsidP="00E92613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‘Critically reflect on your counselling work with a client, explore ethical issues, application of theory, process recall and use of supervision’</w:t>
      </w:r>
    </w:p>
    <w:p w14:paraId="783E449E" w14:textId="77777777" w:rsidR="00BD12B6" w:rsidRDefault="00BD12B6" w:rsidP="00E92613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7DB60DB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061F63FD" w14:textId="0E03B03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3E8BD997" w14:textId="77777777" w:rsidR="00965518" w:rsidRDefault="00965518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D4B9DC0" w14:textId="77777777" w:rsidR="00BD12B6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58EFBB78" w14:textId="77777777" w:rsidR="00BD12B6" w:rsidRPr="0072034D" w:rsidRDefault="00BD12B6" w:rsidP="00BD12B6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 Number: 1706089</w:t>
      </w:r>
    </w:p>
    <w:p w14:paraId="1D674328" w14:textId="28C9442C" w:rsidR="00A97A05" w:rsidRDefault="00A97A05">
      <w:pPr>
        <w:rPr>
          <w:rFonts w:ascii="Arial" w:hAnsi="Arial" w:cs="Arial"/>
          <w:b/>
          <w:sz w:val="24"/>
          <w:szCs w:val="24"/>
          <w:u w:val="single"/>
        </w:rPr>
      </w:pPr>
    </w:p>
    <w:p w14:paraId="4C4925AC" w14:textId="2D372196" w:rsidR="00BD12B6" w:rsidRDefault="00BD12B6">
      <w:pPr>
        <w:rPr>
          <w:rFonts w:ascii="Arial" w:hAnsi="Arial" w:cs="Arial"/>
          <w:b/>
          <w:sz w:val="24"/>
          <w:szCs w:val="24"/>
          <w:u w:val="single"/>
        </w:rPr>
      </w:pPr>
    </w:p>
    <w:p w14:paraId="5FF242A0" w14:textId="4C5318F9" w:rsidR="002C158A" w:rsidRDefault="00B064BF" w:rsidP="006D28D9">
      <w:pPr>
        <w:rPr>
          <w:rFonts w:ascii="Arial" w:hAnsi="Arial" w:cs="Arial"/>
          <w:b/>
          <w:sz w:val="24"/>
          <w:szCs w:val="24"/>
          <w:u w:val="single"/>
        </w:rPr>
      </w:pPr>
      <w:r w:rsidRPr="00B064BF">
        <w:rPr>
          <w:rFonts w:ascii="Arial" w:hAnsi="Arial" w:cs="Arial"/>
          <w:b/>
          <w:sz w:val="24"/>
          <w:szCs w:val="24"/>
          <w:u w:val="single"/>
        </w:rPr>
        <w:lastRenderedPageBreak/>
        <w:t>Introduction</w:t>
      </w:r>
    </w:p>
    <w:p w14:paraId="1259254A" w14:textId="1183B88C" w:rsidR="00D94DAB" w:rsidRPr="00D32257" w:rsidRDefault="00D32257" w:rsidP="00412A1D">
      <w:pPr>
        <w:jc w:val="both"/>
        <w:rPr>
          <w:rFonts w:ascii="Arial" w:hAnsi="Arial" w:cs="Arial"/>
          <w:sz w:val="24"/>
          <w:szCs w:val="24"/>
        </w:rPr>
      </w:pPr>
      <w:r w:rsidRPr="00D32257">
        <w:rPr>
          <w:rFonts w:ascii="Arial" w:hAnsi="Arial" w:cs="Arial"/>
          <w:sz w:val="24"/>
          <w:szCs w:val="24"/>
        </w:rPr>
        <w:t>The rationale</w:t>
      </w:r>
      <w:r>
        <w:rPr>
          <w:rFonts w:ascii="Arial" w:hAnsi="Arial" w:cs="Arial"/>
          <w:sz w:val="24"/>
          <w:szCs w:val="24"/>
        </w:rPr>
        <w:t xml:space="preserve"> of this case study is for the trainee counsellor </w:t>
      </w:r>
      <w:r w:rsidR="00C94622">
        <w:rPr>
          <w:rFonts w:ascii="Arial" w:hAnsi="Arial" w:cs="Arial"/>
          <w:sz w:val="24"/>
          <w:szCs w:val="24"/>
        </w:rPr>
        <w:t xml:space="preserve">to </w:t>
      </w:r>
      <w:r w:rsidR="00C1447E">
        <w:rPr>
          <w:rFonts w:ascii="Arial" w:hAnsi="Arial" w:cs="Arial"/>
          <w:sz w:val="24"/>
          <w:szCs w:val="24"/>
        </w:rPr>
        <w:t xml:space="preserve">critically </w:t>
      </w:r>
      <w:r w:rsidR="00C94622">
        <w:rPr>
          <w:rFonts w:ascii="Arial" w:hAnsi="Arial" w:cs="Arial"/>
          <w:sz w:val="24"/>
          <w:szCs w:val="24"/>
        </w:rPr>
        <w:t xml:space="preserve">reflect on </w:t>
      </w:r>
      <w:r w:rsidR="00C1447E">
        <w:rPr>
          <w:rFonts w:ascii="Arial" w:hAnsi="Arial" w:cs="Arial"/>
          <w:sz w:val="24"/>
          <w:szCs w:val="24"/>
        </w:rPr>
        <w:t>a</w:t>
      </w:r>
      <w:r w:rsidR="00C94622">
        <w:rPr>
          <w:rFonts w:ascii="Arial" w:hAnsi="Arial" w:cs="Arial"/>
          <w:sz w:val="24"/>
          <w:szCs w:val="24"/>
        </w:rPr>
        <w:t xml:space="preserve"> </w:t>
      </w:r>
      <w:r w:rsidR="005C36C0">
        <w:rPr>
          <w:rFonts w:ascii="Arial" w:hAnsi="Arial" w:cs="Arial"/>
          <w:sz w:val="24"/>
          <w:szCs w:val="24"/>
        </w:rPr>
        <w:t>20-minute</w:t>
      </w:r>
      <w:r w:rsidR="0045682B">
        <w:rPr>
          <w:rFonts w:ascii="Arial" w:hAnsi="Arial" w:cs="Arial"/>
          <w:sz w:val="24"/>
          <w:szCs w:val="24"/>
        </w:rPr>
        <w:t xml:space="preserve"> </w:t>
      </w:r>
      <w:r w:rsidR="004752C9">
        <w:rPr>
          <w:rFonts w:ascii="Arial" w:hAnsi="Arial" w:cs="Arial"/>
          <w:sz w:val="24"/>
          <w:szCs w:val="24"/>
        </w:rPr>
        <w:t xml:space="preserve">counselling </w:t>
      </w:r>
      <w:r w:rsidR="0045682B">
        <w:rPr>
          <w:rFonts w:ascii="Arial" w:hAnsi="Arial" w:cs="Arial"/>
          <w:sz w:val="24"/>
          <w:szCs w:val="24"/>
        </w:rPr>
        <w:t>session with another student</w:t>
      </w:r>
      <w:r w:rsidR="00522F44">
        <w:rPr>
          <w:rFonts w:ascii="Arial" w:hAnsi="Arial" w:cs="Arial"/>
          <w:sz w:val="24"/>
          <w:szCs w:val="24"/>
        </w:rPr>
        <w:t>, whilst being observed by a third student.</w:t>
      </w:r>
      <w:r w:rsidR="00074213">
        <w:rPr>
          <w:rFonts w:ascii="Arial" w:hAnsi="Arial" w:cs="Arial"/>
          <w:sz w:val="24"/>
          <w:szCs w:val="24"/>
        </w:rPr>
        <w:t xml:space="preserve"> </w:t>
      </w:r>
      <w:r w:rsidR="004728E1">
        <w:rPr>
          <w:rFonts w:ascii="Arial" w:hAnsi="Arial" w:cs="Arial"/>
          <w:sz w:val="24"/>
          <w:szCs w:val="24"/>
        </w:rPr>
        <w:t>The t</w:t>
      </w:r>
      <w:r w:rsidR="00DD0AA2">
        <w:rPr>
          <w:rFonts w:ascii="Arial" w:hAnsi="Arial" w:cs="Arial"/>
          <w:sz w:val="24"/>
          <w:szCs w:val="24"/>
        </w:rPr>
        <w:t xml:space="preserve">herapeutic </w:t>
      </w:r>
      <w:r w:rsidR="004728E1">
        <w:rPr>
          <w:rFonts w:ascii="Arial" w:hAnsi="Arial" w:cs="Arial"/>
          <w:sz w:val="24"/>
          <w:szCs w:val="24"/>
        </w:rPr>
        <w:t xml:space="preserve">process and </w:t>
      </w:r>
      <w:r w:rsidR="00981BEC">
        <w:rPr>
          <w:rFonts w:ascii="Arial" w:hAnsi="Arial" w:cs="Arial"/>
          <w:sz w:val="24"/>
          <w:szCs w:val="24"/>
        </w:rPr>
        <w:t>relationship with the ‘client’</w:t>
      </w:r>
      <w:r w:rsidR="004728E1">
        <w:rPr>
          <w:rFonts w:ascii="Arial" w:hAnsi="Arial" w:cs="Arial"/>
          <w:sz w:val="24"/>
          <w:szCs w:val="24"/>
        </w:rPr>
        <w:t>, e</w:t>
      </w:r>
      <w:r w:rsidR="00074213">
        <w:rPr>
          <w:rFonts w:ascii="Arial" w:hAnsi="Arial" w:cs="Arial"/>
          <w:sz w:val="24"/>
          <w:szCs w:val="24"/>
        </w:rPr>
        <w:t>thical issues</w:t>
      </w:r>
      <w:r w:rsidR="005C36C0">
        <w:rPr>
          <w:rFonts w:ascii="Arial" w:hAnsi="Arial" w:cs="Arial"/>
          <w:sz w:val="24"/>
          <w:szCs w:val="24"/>
        </w:rPr>
        <w:t>, application of theory, process recall</w:t>
      </w:r>
      <w:r w:rsidR="00981BEC">
        <w:rPr>
          <w:rFonts w:ascii="Arial" w:hAnsi="Arial" w:cs="Arial"/>
          <w:sz w:val="24"/>
          <w:szCs w:val="24"/>
        </w:rPr>
        <w:t>,</w:t>
      </w:r>
      <w:r w:rsidR="005C36C0">
        <w:rPr>
          <w:rFonts w:ascii="Arial" w:hAnsi="Arial" w:cs="Arial"/>
          <w:sz w:val="24"/>
          <w:szCs w:val="24"/>
        </w:rPr>
        <w:t xml:space="preserve"> </w:t>
      </w:r>
      <w:r w:rsidR="00981BEC">
        <w:rPr>
          <w:rFonts w:ascii="Arial" w:hAnsi="Arial" w:cs="Arial"/>
          <w:sz w:val="24"/>
          <w:szCs w:val="24"/>
        </w:rPr>
        <w:t>as well as</w:t>
      </w:r>
      <w:r w:rsidR="005C36C0">
        <w:rPr>
          <w:rFonts w:ascii="Arial" w:hAnsi="Arial" w:cs="Arial"/>
          <w:sz w:val="24"/>
          <w:szCs w:val="24"/>
        </w:rPr>
        <w:t xml:space="preserve"> the use of supervision will be discussed</w:t>
      </w:r>
      <w:r w:rsidR="00981BEC">
        <w:rPr>
          <w:rFonts w:ascii="Arial" w:hAnsi="Arial" w:cs="Arial"/>
          <w:sz w:val="24"/>
          <w:szCs w:val="24"/>
        </w:rPr>
        <w:t>.</w:t>
      </w:r>
      <w:r w:rsidR="008A7B8A">
        <w:rPr>
          <w:rFonts w:ascii="Arial" w:hAnsi="Arial" w:cs="Arial"/>
          <w:sz w:val="24"/>
          <w:szCs w:val="24"/>
        </w:rPr>
        <w:t xml:space="preserve"> </w:t>
      </w:r>
      <w:r w:rsidR="00981BEC">
        <w:rPr>
          <w:rFonts w:ascii="Arial" w:hAnsi="Arial" w:cs="Arial"/>
          <w:sz w:val="24"/>
          <w:szCs w:val="24"/>
        </w:rPr>
        <w:t>Areas</w:t>
      </w:r>
      <w:r w:rsidR="002D4B26">
        <w:rPr>
          <w:rFonts w:ascii="Arial" w:hAnsi="Arial" w:cs="Arial"/>
          <w:sz w:val="24"/>
          <w:szCs w:val="24"/>
        </w:rPr>
        <w:t xml:space="preserve"> of stren</w:t>
      </w:r>
      <w:r w:rsidR="00071209">
        <w:rPr>
          <w:rFonts w:ascii="Arial" w:hAnsi="Arial" w:cs="Arial"/>
          <w:sz w:val="24"/>
          <w:szCs w:val="24"/>
        </w:rPr>
        <w:t xml:space="preserve">gth </w:t>
      </w:r>
      <w:r w:rsidR="00FE7EA8">
        <w:rPr>
          <w:rFonts w:ascii="Arial" w:hAnsi="Arial" w:cs="Arial"/>
          <w:sz w:val="24"/>
          <w:szCs w:val="24"/>
        </w:rPr>
        <w:t>and</w:t>
      </w:r>
      <w:r w:rsidR="00071209">
        <w:rPr>
          <w:rFonts w:ascii="Arial" w:hAnsi="Arial" w:cs="Arial"/>
          <w:sz w:val="24"/>
          <w:szCs w:val="24"/>
        </w:rPr>
        <w:t xml:space="preserve"> weakness </w:t>
      </w:r>
      <w:r w:rsidR="00981BEC">
        <w:rPr>
          <w:rFonts w:ascii="Arial" w:hAnsi="Arial" w:cs="Arial"/>
          <w:sz w:val="24"/>
          <w:szCs w:val="24"/>
        </w:rPr>
        <w:t xml:space="preserve">will be </w:t>
      </w:r>
      <w:r w:rsidR="00B8037B">
        <w:rPr>
          <w:rFonts w:ascii="Arial" w:hAnsi="Arial" w:cs="Arial"/>
          <w:sz w:val="24"/>
          <w:szCs w:val="24"/>
        </w:rPr>
        <w:t>shared</w:t>
      </w:r>
      <w:r w:rsidR="00FE7EA8">
        <w:rPr>
          <w:rFonts w:ascii="Arial" w:hAnsi="Arial" w:cs="Arial"/>
          <w:sz w:val="24"/>
          <w:szCs w:val="24"/>
        </w:rPr>
        <w:t xml:space="preserve"> </w:t>
      </w:r>
      <w:r w:rsidR="00B8037B">
        <w:rPr>
          <w:rFonts w:ascii="Arial" w:hAnsi="Arial" w:cs="Arial"/>
          <w:sz w:val="24"/>
          <w:szCs w:val="24"/>
        </w:rPr>
        <w:t>by the Observer to</w:t>
      </w:r>
      <w:r w:rsidR="007A3A56">
        <w:rPr>
          <w:rFonts w:ascii="Arial" w:hAnsi="Arial" w:cs="Arial"/>
          <w:sz w:val="24"/>
          <w:szCs w:val="24"/>
        </w:rPr>
        <w:t xml:space="preserve"> enable the trainee counsellor to </w:t>
      </w:r>
      <w:r w:rsidR="00864022">
        <w:rPr>
          <w:rFonts w:ascii="Arial" w:hAnsi="Arial" w:cs="Arial"/>
          <w:sz w:val="24"/>
          <w:szCs w:val="24"/>
        </w:rPr>
        <w:t xml:space="preserve">reflect upon and continue to develop. </w:t>
      </w:r>
      <w:r w:rsidR="00FE7EA8">
        <w:rPr>
          <w:rFonts w:ascii="Arial" w:hAnsi="Arial" w:cs="Arial"/>
          <w:sz w:val="24"/>
          <w:szCs w:val="24"/>
        </w:rPr>
        <w:t xml:space="preserve"> </w:t>
      </w:r>
    </w:p>
    <w:p w14:paraId="642D2640" w14:textId="33214875" w:rsidR="00B064BF" w:rsidRDefault="00B064BF">
      <w:pPr>
        <w:rPr>
          <w:rFonts w:ascii="Arial" w:hAnsi="Arial" w:cs="Arial"/>
          <w:b/>
          <w:sz w:val="24"/>
          <w:szCs w:val="24"/>
          <w:u w:val="single"/>
        </w:rPr>
      </w:pPr>
    </w:p>
    <w:p w14:paraId="7CE8C69E" w14:textId="55BD994B" w:rsidR="00595B22" w:rsidRDefault="00092339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Contract</w:t>
      </w:r>
    </w:p>
    <w:p w14:paraId="214D18E7" w14:textId="5FB38AD1" w:rsidR="00A7728E" w:rsidRDefault="00FE000C" w:rsidP="00412A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Prior to the start of the recording, </w:t>
      </w:r>
      <w:r w:rsidR="00CC78A4">
        <w:rPr>
          <w:rFonts w:ascii="Arial" w:hAnsi="Arial" w:cs="Arial"/>
          <w:sz w:val="24"/>
          <w:szCs w:val="24"/>
        </w:rPr>
        <w:t>t</w:t>
      </w:r>
      <w:r w:rsidR="00C82BE9">
        <w:rPr>
          <w:rFonts w:ascii="Arial" w:hAnsi="Arial" w:cs="Arial"/>
          <w:sz w:val="24"/>
          <w:szCs w:val="24"/>
        </w:rPr>
        <w:t xml:space="preserve">he </w:t>
      </w:r>
      <w:r w:rsidR="00CC78A4">
        <w:rPr>
          <w:rFonts w:ascii="Arial" w:hAnsi="Arial" w:cs="Arial"/>
          <w:sz w:val="24"/>
          <w:szCs w:val="24"/>
        </w:rPr>
        <w:t xml:space="preserve">client will have been reminded about </w:t>
      </w:r>
      <w:r w:rsidR="00E22A15">
        <w:rPr>
          <w:rFonts w:ascii="Arial" w:hAnsi="Arial" w:cs="Arial"/>
          <w:sz w:val="24"/>
          <w:szCs w:val="24"/>
        </w:rPr>
        <w:t>the</w:t>
      </w:r>
      <w:r w:rsidR="009C7668">
        <w:rPr>
          <w:rFonts w:ascii="Arial" w:hAnsi="Arial" w:cs="Arial"/>
          <w:sz w:val="24"/>
          <w:szCs w:val="24"/>
        </w:rPr>
        <w:t xml:space="preserve"> contract and the</w:t>
      </w:r>
      <w:r w:rsidR="00C63B55">
        <w:rPr>
          <w:rFonts w:ascii="Arial" w:hAnsi="Arial" w:cs="Arial"/>
          <w:sz w:val="24"/>
          <w:szCs w:val="24"/>
        </w:rPr>
        <w:t xml:space="preserve"> limitations o</w:t>
      </w:r>
      <w:r w:rsidR="00DE1A60">
        <w:rPr>
          <w:rFonts w:ascii="Arial" w:hAnsi="Arial" w:cs="Arial"/>
          <w:sz w:val="24"/>
          <w:szCs w:val="24"/>
        </w:rPr>
        <w:t>f confidentiality</w:t>
      </w:r>
      <w:r w:rsidR="00C87484">
        <w:rPr>
          <w:rFonts w:ascii="Arial" w:hAnsi="Arial" w:cs="Arial"/>
          <w:sz w:val="24"/>
          <w:szCs w:val="24"/>
        </w:rPr>
        <w:t>,</w:t>
      </w:r>
      <w:r w:rsidR="009C7668">
        <w:rPr>
          <w:rFonts w:ascii="Arial" w:hAnsi="Arial" w:cs="Arial"/>
          <w:sz w:val="24"/>
          <w:szCs w:val="24"/>
        </w:rPr>
        <w:t xml:space="preserve"> which includes</w:t>
      </w:r>
      <w:r w:rsidR="00C87484">
        <w:rPr>
          <w:rFonts w:ascii="Arial" w:hAnsi="Arial" w:cs="Arial"/>
          <w:sz w:val="24"/>
          <w:szCs w:val="24"/>
        </w:rPr>
        <w:t xml:space="preserve"> disclosing information </w:t>
      </w:r>
      <w:r w:rsidR="009C7668">
        <w:rPr>
          <w:rFonts w:ascii="Arial" w:hAnsi="Arial" w:cs="Arial"/>
          <w:sz w:val="24"/>
          <w:szCs w:val="24"/>
        </w:rPr>
        <w:t>that</w:t>
      </w:r>
      <w:r w:rsidR="00C87484">
        <w:rPr>
          <w:rFonts w:ascii="Arial" w:hAnsi="Arial" w:cs="Arial"/>
          <w:sz w:val="24"/>
          <w:szCs w:val="24"/>
        </w:rPr>
        <w:t xml:space="preserve"> identif</w:t>
      </w:r>
      <w:r w:rsidR="000D1216">
        <w:rPr>
          <w:rFonts w:ascii="Arial" w:hAnsi="Arial" w:cs="Arial"/>
          <w:sz w:val="24"/>
          <w:szCs w:val="24"/>
        </w:rPr>
        <w:t>ie</w:t>
      </w:r>
      <w:r w:rsidR="00085FFD">
        <w:rPr>
          <w:rFonts w:ascii="Arial" w:hAnsi="Arial" w:cs="Arial"/>
          <w:sz w:val="24"/>
          <w:szCs w:val="24"/>
        </w:rPr>
        <w:t>s</w:t>
      </w:r>
      <w:r w:rsidR="00C87484">
        <w:rPr>
          <w:rFonts w:ascii="Arial" w:hAnsi="Arial" w:cs="Arial"/>
          <w:sz w:val="24"/>
          <w:szCs w:val="24"/>
        </w:rPr>
        <w:t xml:space="preserve"> th</w:t>
      </w:r>
      <w:r w:rsidR="002C4232">
        <w:rPr>
          <w:rFonts w:ascii="Arial" w:hAnsi="Arial" w:cs="Arial"/>
          <w:sz w:val="24"/>
          <w:szCs w:val="24"/>
        </w:rPr>
        <w:t xml:space="preserve">at the client or someone else </w:t>
      </w:r>
      <w:r w:rsidR="00085FFD">
        <w:rPr>
          <w:rFonts w:ascii="Arial" w:hAnsi="Arial" w:cs="Arial"/>
          <w:sz w:val="24"/>
          <w:szCs w:val="24"/>
        </w:rPr>
        <w:t>i</w:t>
      </w:r>
      <w:r w:rsidR="002C4232">
        <w:rPr>
          <w:rFonts w:ascii="Arial" w:hAnsi="Arial" w:cs="Arial"/>
          <w:sz w:val="24"/>
          <w:szCs w:val="24"/>
        </w:rPr>
        <w:t xml:space="preserve">s at risk of </w:t>
      </w:r>
      <w:r w:rsidR="00A2593A">
        <w:rPr>
          <w:rFonts w:ascii="Arial" w:hAnsi="Arial" w:cs="Arial"/>
          <w:sz w:val="24"/>
          <w:szCs w:val="24"/>
        </w:rPr>
        <w:t>suicide or self-</w:t>
      </w:r>
      <w:r w:rsidR="002C4232">
        <w:rPr>
          <w:rFonts w:ascii="Arial" w:hAnsi="Arial" w:cs="Arial"/>
          <w:sz w:val="24"/>
          <w:szCs w:val="24"/>
        </w:rPr>
        <w:t>harm</w:t>
      </w:r>
      <w:r w:rsidR="005D0B31">
        <w:rPr>
          <w:rFonts w:ascii="Arial" w:hAnsi="Arial" w:cs="Arial"/>
          <w:sz w:val="24"/>
          <w:szCs w:val="24"/>
        </w:rPr>
        <w:t xml:space="preserve">, </w:t>
      </w:r>
      <w:r w:rsidR="000D1216">
        <w:rPr>
          <w:rFonts w:ascii="Arial" w:hAnsi="Arial" w:cs="Arial"/>
          <w:sz w:val="24"/>
          <w:szCs w:val="24"/>
        </w:rPr>
        <w:t>as well as the</w:t>
      </w:r>
      <w:r w:rsidR="002C4232">
        <w:rPr>
          <w:rFonts w:ascii="Arial" w:hAnsi="Arial" w:cs="Arial"/>
          <w:sz w:val="24"/>
          <w:szCs w:val="24"/>
        </w:rPr>
        <w:t xml:space="preserve"> </w:t>
      </w:r>
      <w:r w:rsidR="00270E1B">
        <w:rPr>
          <w:rFonts w:ascii="Arial" w:hAnsi="Arial" w:cs="Arial"/>
          <w:sz w:val="24"/>
          <w:szCs w:val="24"/>
        </w:rPr>
        <w:t>disclosure of criminal activity</w:t>
      </w:r>
      <w:r w:rsidR="00E51879">
        <w:rPr>
          <w:rFonts w:ascii="Arial" w:hAnsi="Arial" w:cs="Arial"/>
          <w:sz w:val="24"/>
          <w:szCs w:val="24"/>
        </w:rPr>
        <w:t>, terrorism or child abuse</w:t>
      </w:r>
      <w:r w:rsidR="005D0B31">
        <w:rPr>
          <w:rFonts w:ascii="Arial" w:hAnsi="Arial" w:cs="Arial"/>
          <w:sz w:val="24"/>
          <w:szCs w:val="24"/>
        </w:rPr>
        <w:t>.</w:t>
      </w:r>
      <w:r w:rsidR="00E51879">
        <w:rPr>
          <w:rFonts w:ascii="Arial" w:hAnsi="Arial" w:cs="Arial"/>
          <w:sz w:val="24"/>
          <w:szCs w:val="24"/>
        </w:rPr>
        <w:t xml:space="preserve"> </w:t>
      </w:r>
      <w:r w:rsidR="007519A4">
        <w:rPr>
          <w:rFonts w:ascii="Arial" w:hAnsi="Arial" w:cs="Arial"/>
          <w:sz w:val="24"/>
          <w:szCs w:val="24"/>
        </w:rPr>
        <w:t>Van Ri</w:t>
      </w:r>
      <w:r w:rsidR="00EE774D">
        <w:rPr>
          <w:rFonts w:ascii="Arial" w:hAnsi="Arial" w:cs="Arial"/>
          <w:sz w:val="24"/>
          <w:szCs w:val="24"/>
        </w:rPr>
        <w:t>jn (2015) states that</w:t>
      </w:r>
      <w:r w:rsidR="00D14177">
        <w:rPr>
          <w:rFonts w:ascii="Arial" w:hAnsi="Arial" w:cs="Arial"/>
          <w:sz w:val="24"/>
          <w:szCs w:val="24"/>
        </w:rPr>
        <w:t xml:space="preserve"> </w:t>
      </w:r>
      <w:r w:rsidR="004C5D42">
        <w:rPr>
          <w:rFonts w:ascii="Arial" w:hAnsi="Arial" w:cs="Arial"/>
          <w:sz w:val="24"/>
          <w:szCs w:val="24"/>
        </w:rPr>
        <w:t xml:space="preserve">Counsellors and psychotherapists are not legally obliged to breach </w:t>
      </w:r>
      <w:r w:rsidR="0066408A">
        <w:rPr>
          <w:rFonts w:ascii="Arial" w:hAnsi="Arial" w:cs="Arial"/>
          <w:sz w:val="24"/>
          <w:szCs w:val="24"/>
        </w:rPr>
        <w:t>confidentiality when clients are suicidal, but they are professionally required to act in accordance with good practice</w:t>
      </w:r>
      <w:r w:rsidR="00E219AA">
        <w:rPr>
          <w:rFonts w:ascii="Arial" w:hAnsi="Arial" w:cs="Arial"/>
          <w:sz w:val="24"/>
          <w:szCs w:val="24"/>
        </w:rPr>
        <w:t xml:space="preserve"> by</w:t>
      </w:r>
      <w:r w:rsidR="00607BA3">
        <w:rPr>
          <w:rFonts w:ascii="Arial" w:hAnsi="Arial" w:cs="Arial"/>
          <w:sz w:val="24"/>
          <w:szCs w:val="24"/>
        </w:rPr>
        <w:t xml:space="preserve"> considering the appropriate codes of ethics</w:t>
      </w:r>
      <w:r w:rsidR="000C6EFA">
        <w:rPr>
          <w:rFonts w:ascii="Arial" w:hAnsi="Arial" w:cs="Arial"/>
          <w:sz w:val="24"/>
          <w:szCs w:val="24"/>
        </w:rPr>
        <w:t xml:space="preserve"> </w:t>
      </w:r>
      <w:r w:rsidR="007E04D0">
        <w:rPr>
          <w:rFonts w:ascii="Arial" w:hAnsi="Arial" w:cs="Arial"/>
          <w:sz w:val="24"/>
          <w:szCs w:val="24"/>
        </w:rPr>
        <w:t xml:space="preserve">such as </w:t>
      </w:r>
      <w:r w:rsidR="00201148">
        <w:rPr>
          <w:rFonts w:ascii="Arial" w:hAnsi="Arial" w:cs="Arial"/>
          <w:sz w:val="24"/>
          <w:szCs w:val="24"/>
        </w:rPr>
        <w:t xml:space="preserve">the </w:t>
      </w:r>
      <w:r w:rsidR="005A58C2">
        <w:rPr>
          <w:rFonts w:ascii="Arial" w:hAnsi="Arial" w:cs="Arial"/>
          <w:sz w:val="24"/>
          <w:szCs w:val="24"/>
        </w:rPr>
        <w:t xml:space="preserve">BACP </w:t>
      </w:r>
      <w:r w:rsidR="005A58C2" w:rsidRPr="00201148">
        <w:rPr>
          <w:rFonts w:ascii="Arial" w:hAnsi="Arial" w:cs="Arial"/>
          <w:i/>
          <w:sz w:val="24"/>
          <w:szCs w:val="24"/>
        </w:rPr>
        <w:t>Ethical Framework</w:t>
      </w:r>
      <w:r w:rsidR="005A58C2">
        <w:rPr>
          <w:rFonts w:ascii="Arial" w:hAnsi="Arial" w:cs="Arial"/>
          <w:sz w:val="24"/>
          <w:szCs w:val="24"/>
        </w:rPr>
        <w:t xml:space="preserve"> 2018</w:t>
      </w:r>
      <w:r w:rsidR="00E219AA">
        <w:rPr>
          <w:rFonts w:ascii="Arial" w:hAnsi="Arial" w:cs="Arial"/>
          <w:sz w:val="24"/>
          <w:szCs w:val="24"/>
        </w:rPr>
        <w:t>.</w:t>
      </w:r>
    </w:p>
    <w:p w14:paraId="05E150FE" w14:textId="1718A600" w:rsidR="00A414F0" w:rsidRPr="00A414F0" w:rsidRDefault="00A414F0" w:rsidP="00412A1D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 w:rsidRPr="00A414F0">
        <w:rPr>
          <w:rFonts w:ascii="Arial" w:hAnsi="Arial" w:cs="Arial"/>
          <w:b/>
          <w:sz w:val="24"/>
          <w:szCs w:val="24"/>
          <w:u w:val="single"/>
        </w:rPr>
        <w:t>Modality</w:t>
      </w:r>
    </w:p>
    <w:p w14:paraId="3796D163" w14:textId="1D58EA29" w:rsidR="00420A2C" w:rsidRDefault="00FE7C83" w:rsidP="00412A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Therapeutic </w:t>
      </w:r>
      <w:r w:rsidR="00EA405C">
        <w:rPr>
          <w:rFonts w:ascii="Arial" w:hAnsi="Arial" w:cs="Arial"/>
          <w:sz w:val="24"/>
          <w:szCs w:val="24"/>
        </w:rPr>
        <w:t xml:space="preserve">process and </w:t>
      </w:r>
      <w:r>
        <w:rPr>
          <w:rFonts w:ascii="Arial" w:hAnsi="Arial" w:cs="Arial"/>
          <w:sz w:val="24"/>
          <w:szCs w:val="24"/>
        </w:rPr>
        <w:t>presence</w:t>
      </w:r>
      <w:r w:rsidR="00420A2C">
        <w:rPr>
          <w:rFonts w:ascii="Arial" w:hAnsi="Arial" w:cs="Arial"/>
          <w:sz w:val="24"/>
          <w:szCs w:val="24"/>
        </w:rPr>
        <w:t>:</w:t>
      </w:r>
    </w:p>
    <w:p w14:paraId="30772EBF" w14:textId="549194F7" w:rsidR="00420A2C" w:rsidRDefault="00420A2C" w:rsidP="00412A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 I really with the client in this moment? </w:t>
      </w:r>
      <w:r w:rsidR="00EA405C">
        <w:rPr>
          <w:rFonts w:ascii="Arial" w:hAnsi="Arial" w:cs="Arial"/>
          <w:sz w:val="24"/>
          <w:szCs w:val="24"/>
        </w:rPr>
        <w:t xml:space="preserve">How </w:t>
      </w:r>
      <w:r w:rsidR="00A33416">
        <w:rPr>
          <w:rFonts w:ascii="Arial" w:hAnsi="Arial" w:cs="Arial"/>
          <w:sz w:val="24"/>
          <w:szCs w:val="24"/>
        </w:rPr>
        <w:t xml:space="preserve">do I display </w:t>
      </w:r>
      <w:proofErr w:type="gramStart"/>
      <w:r w:rsidR="00A33416">
        <w:rPr>
          <w:rFonts w:ascii="Arial" w:hAnsi="Arial" w:cs="Arial"/>
          <w:sz w:val="24"/>
          <w:szCs w:val="24"/>
        </w:rPr>
        <w:t>this ?</w:t>
      </w:r>
      <w:proofErr w:type="gramEnd"/>
    </w:p>
    <w:p w14:paraId="700CA6D0" w14:textId="77777777" w:rsidR="00A33416" w:rsidRDefault="00A33416" w:rsidP="00412A1D">
      <w:pPr>
        <w:jc w:val="both"/>
        <w:rPr>
          <w:rFonts w:ascii="Arial" w:hAnsi="Arial" w:cs="Arial"/>
          <w:sz w:val="24"/>
          <w:szCs w:val="24"/>
        </w:rPr>
      </w:pPr>
    </w:p>
    <w:p w14:paraId="2D30467C" w14:textId="6EE3E360" w:rsidR="00601031" w:rsidRPr="007D3DB2" w:rsidRDefault="00AA6F6F" w:rsidP="00412A1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trainee counsellor uses a </w:t>
      </w:r>
      <w:r w:rsidR="007D3DB2">
        <w:rPr>
          <w:rFonts w:ascii="Arial" w:hAnsi="Arial" w:cs="Arial"/>
          <w:sz w:val="24"/>
          <w:szCs w:val="24"/>
        </w:rPr>
        <w:t>person-centred</w:t>
      </w:r>
      <w:r>
        <w:rPr>
          <w:rFonts w:ascii="Arial" w:hAnsi="Arial" w:cs="Arial"/>
          <w:sz w:val="24"/>
          <w:szCs w:val="24"/>
        </w:rPr>
        <w:t xml:space="preserve"> approach</w:t>
      </w:r>
      <w:r w:rsidR="0062244A">
        <w:rPr>
          <w:rFonts w:ascii="Arial" w:hAnsi="Arial" w:cs="Arial"/>
          <w:sz w:val="24"/>
          <w:szCs w:val="24"/>
        </w:rPr>
        <w:t xml:space="preserve"> </w:t>
      </w:r>
      <w:r w:rsidR="006F7D01">
        <w:rPr>
          <w:rFonts w:ascii="Arial" w:hAnsi="Arial" w:cs="Arial"/>
          <w:sz w:val="24"/>
          <w:szCs w:val="24"/>
        </w:rPr>
        <w:t xml:space="preserve">which </w:t>
      </w:r>
      <w:r w:rsidR="00C6689E">
        <w:rPr>
          <w:rFonts w:ascii="Arial" w:hAnsi="Arial" w:cs="Arial"/>
          <w:sz w:val="24"/>
          <w:szCs w:val="24"/>
        </w:rPr>
        <w:t>was developed by Carl Rogers in the 1930’s</w:t>
      </w:r>
      <w:r w:rsidR="00F866EA">
        <w:rPr>
          <w:rFonts w:ascii="Arial" w:hAnsi="Arial" w:cs="Arial"/>
          <w:sz w:val="24"/>
          <w:szCs w:val="24"/>
        </w:rPr>
        <w:t xml:space="preserve">. </w:t>
      </w:r>
      <w:r w:rsidR="00125CF8">
        <w:rPr>
          <w:rFonts w:ascii="Arial" w:hAnsi="Arial" w:cs="Arial"/>
          <w:sz w:val="24"/>
          <w:szCs w:val="24"/>
        </w:rPr>
        <w:t xml:space="preserve">This </w:t>
      </w:r>
      <w:r w:rsidR="002C0DDB">
        <w:rPr>
          <w:rFonts w:ascii="Arial" w:hAnsi="Arial" w:cs="Arial"/>
          <w:sz w:val="24"/>
          <w:szCs w:val="24"/>
        </w:rPr>
        <w:t xml:space="preserve">philosophy believes that all humans have the </w:t>
      </w:r>
      <w:r w:rsidR="002C0DDB">
        <w:rPr>
          <w:rFonts w:ascii="Arial" w:hAnsi="Arial" w:cs="Arial"/>
          <w:sz w:val="24"/>
          <w:szCs w:val="24"/>
        </w:rPr>
        <w:lastRenderedPageBreak/>
        <w:t xml:space="preserve">capacity </w:t>
      </w:r>
      <w:r w:rsidR="006A4CEB">
        <w:rPr>
          <w:rFonts w:ascii="Arial" w:hAnsi="Arial" w:cs="Arial"/>
          <w:sz w:val="24"/>
          <w:szCs w:val="24"/>
        </w:rPr>
        <w:t>to grow, and given the right conditions</w:t>
      </w:r>
      <w:r w:rsidR="00D77A59">
        <w:rPr>
          <w:rFonts w:ascii="Arial" w:hAnsi="Arial" w:cs="Arial"/>
          <w:sz w:val="24"/>
          <w:szCs w:val="24"/>
        </w:rPr>
        <w:t xml:space="preserve">, they can reach their full potential. </w:t>
      </w:r>
      <w:r w:rsidR="00F866EA">
        <w:rPr>
          <w:rFonts w:ascii="Arial" w:hAnsi="Arial" w:cs="Arial"/>
          <w:sz w:val="24"/>
          <w:szCs w:val="24"/>
        </w:rPr>
        <w:t xml:space="preserve"> </w:t>
      </w:r>
      <w:r w:rsidR="00386825">
        <w:rPr>
          <w:rFonts w:ascii="Arial" w:hAnsi="Arial" w:cs="Arial"/>
          <w:sz w:val="24"/>
          <w:szCs w:val="24"/>
        </w:rPr>
        <w:t>7</w:t>
      </w:r>
      <w:r w:rsidR="00E85B2F">
        <w:rPr>
          <w:rFonts w:ascii="Arial" w:hAnsi="Arial" w:cs="Arial"/>
          <w:sz w:val="24"/>
          <w:szCs w:val="24"/>
        </w:rPr>
        <w:t xml:space="preserve">One of the goals of </w:t>
      </w:r>
      <w:r w:rsidR="0039143B">
        <w:rPr>
          <w:rFonts w:ascii="Arial" w:hAnsi="Arial" w:cs="Arial"/>
          <w:sz w:val="24"/>
          <w:szCs w:val="24"/>
        </w:rPr>
        <w:t xml:space="preserve">person-centred counselling is to </w:t>
      </w:r>
      <w:r w:rsidR="00C05FBB">
        <w:rPr>
          <w:rFonts w:ascii="Arial" w:hAnsi="Arial" w:cs="Arial"/>
          <w:sz w:val="24"/>
          <w:szCs w:val="24"/>
        </w:rPr>
        <w:t xml:space="preserve">enable the client to develop </w:t>
      </w:r>
      <w:r w:rsidR="00033AD9">
        <w:rPr>
          <w:rFonts w:ascii="Arial" w:hAnsi="Arial" w:cs="Arial"/>
          <w:sz w:val="24"/>
          <w:szCs w:val="24"/>
        </w:rPr>
        <w:t>their</w:t>
      </w:r>
      <w:r w:rsidR="00C05FBB">
        <w:rPr>
          <w:rFonts w:ascii="Arial" w:hAnsi="Arial" w:cs="Arial"/>
          <w:sz w:val="24"/>
          <w:szCs w:val="24"/>
        </w:rPr>
        <w:t xml:space="preserve"> own </w:t>
      </w:r>
      <w:r w:rsidR="00C05FBB" w:rsidRPr="00C05FBB">
        <w:rPr>
          <w:rFonts w:ascii="Arial" w:hAnsi="Arial" w:cs="Arial"/>
          <w:i/>
          <w:sz w:val="24"/>
          <w:szCs w:val="24"/>
        </w:rPr>
        <w:t>internal locus of evaluation</w:t>
      </w:r>
      <w:r w:rsidR="007D3DB2">
        <w:rPr>
          <w:rFonts w:ascii="Arial" w:hAnsi="Arial" w:cs="Arial"/>
          <w:i/>
          <w:sz w:val="24"/>
          <w:szCs w:val="24"/>
        </w:rPr>
        <w:t xml:space="preserve"> </w:t>
      </w:r>
      <w:r w:rsidR="007D3DB2" w:rsidRPr="007D3DB2">
        <w:rPr>
          <w:rFonts w:ascii="Arial" w:hAnsi="Arial" w:cs="Arial"/>
          <w:sz w:val="24"/>
          <w:szCs w:val="24"/>
        </w:rPr>
        <w:t xml:space="preserve">and </w:t>
      </w:r>
      <w:r w:rsidR="0034359E">
        <w:rPr>
          <w:rFonts w:ascii="Arial" w:hAnsi="Arial" w:cs="Arial"/>
          <w:sz w:val="24"/>
          <w:szCs w:val="24"/>
        </w:rPr>
        <w:t xml:space="preserve">thereby </w:t>
      </w:r>
      <w:r w:rsidR="007D3DB2" w:rsidRPr="007D3DB2">
        <w:rPr>
          <w:rFonts w:ascii="Arial" w:hAnsi="Arial" w:cs="Arial"/>
          <w:sz w:val="24"/>
          <w:szCs w:val="24"/>
        </w:rPr>
        <w:t xml:space="preserve">reach </w:t>
      </w:r>
      <w:r w:rsidR="00F309CB">
        <w:rPr>
          <w:rFonts w:ascii="Arial" w:hAnsi="Arial" w:cs="Arial"/>
          <w:sz w:val="24"/>
          <w:szCs w:val="24"/>
        </w:rPr>
        <w:t>their</w:t>
      </w:r>
      <w:r w:rsidR="000B3F48">
        <w:rPr>
          <w:rFonts w:ascii="Arial" w:hAnsi="Arial" w:cs="Arial"/>
          <w:sz w:val="24"/>
          <w:szCs w:val="24"/>
        </w:rPr>
        <w:t xml:space="preserve"> own </w:t>
      </w:r>
      <w:r w:rsidR="00F309CB">
        <w:rPr>
          <w:rFonts w:ascii="Arial" w:hAnsi="Arial" w:cs="Arial"/>
          <w:sz w:val="24"/>
          <w:szCs w:val="24"/>
        </w:rPr>
        <w:t>judgement</w:t>
      </w:r>
      <w:r w:rsidR="00353CDF">
        <w:rPr>
          <w:rFonts w:ascii="Arial" w:hAnsi="Arial" w:cs="Arial"/>
          <w:noProof/>
          <w:sz w:val="24"/>
          <w:szCs w:val="24"/>
        </w:rPr>
        <w:t xml:space="preserve"> </w:t>
      </w:r>
      <w:r w:rsidR="00353CDF" w:rsidRPr="00852F12">
        <w:rPr>
          <w:rFonts w:ascii="Arial" w:hAnsi="Arial" w:cs="Arial"/>
          <w:noProof/>
          <w:sz w:val="24"/>
          <w:szCs w:val="24"/>
        </w:rPr>
        <w:t>(Ballantine Dykes, et al</w:t>
      </w:r>
      <w:r w:rsidR="00E57603">
        <w:rPr>
          <w:rFonts w:ascii="Arial" w:hAnsi="Arial" w:cs="Arial"/>
          <w:noProof/>
          <w:sz w:val="24"/>
          <w:szCs w:val="24"/>
        </w:rPr>
        <w:t>.</w:t>
      </w:r>
      <w:r w:rsidR="00353CDF" w:rsidRPr="00852F12">
        <w:rPr>
          <w:rFonts w:ascii="Arial" w:hAnsi="Arial" w:cs="Arial"/>
          <w:noProof/>
          <w:sz w:val="24"/>
          <w:szCs w:val="24"/>
        </w:rPr>
        <w:t xml:space="preserve"> 2017</w:t>
      </w:r>
      <w:r w:rsidR="00E57603">
        <w:rPr>
          <w:rFonts w:ascii="Arial" w:hAnsi="Arial" w:cs="Arial"/>
          <w:noProof/>
          <w:sz w:val="24"/>
          <w:szCs w:val="24"/>
        </w:rPr>
        <w:t>, p.182</w:t>
      </w:r>
      <w:r w:rsidR="00353CDF" w:rsidRPr="00852F12">
        <w:rPr>
          <w:rFonts w:ascii="Arial" w:hAnsi="Arial" w:cs="Arial"/>
          <w:noProof/>
          <w:sz w:val="24"/>
          <w:szCs w:val="24"/>
        </w:rPr>
        <w:t>)</w:t>
      </w:r>
      <w:r w:rsidR="00D06CC8">
        <w:rPr>
          <w:rFonts w:ascii="Arial" w:hAnsi="Arial" w:cs="Arial"/>
          <w:noProof/>
          <w:sz w:val="24"/>
          <w:szCs w:val="24"/>
        </w:rPr>
        <w:t>.</w:t>
      </w:r>
    </w:p>
    <w:p w14:paraId="132E655D" w14:textId="77777777" w:rsidR="006D28D9" w:rsidRPr="00A7728E" w:rsidRDefault="006D28D9" w:rsidP="00412A1D">
      <w:pPr>
        <w:jc w:val="both"/>
        <w:rPr>
          <w:rFonts w:ascii="Arial" w:hAnsi="Arial" w:cs="Arial"/>
          <w:sz w:val="24"/>
          <w:szCs w:val="24"/>
        </w:rPr>
      </w:pPr>
    </w:p>
    <w:p w14:paraId="0B22E8CA" w14:textId="4602D630" w:rsidR="002F0F8B" w:rsidRDefault="002F0F8B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Minimal encouragers</w:t>
      </w:r>
    </w:p>
    <w:p w14:paraId="3050B667" w14:textId="045E581C" w:rsidR="003E4AD8" w:rsidRDefault="003E4AD8" w:rsidP="003E4AD8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E4AD8">
        <w:rPr>
          <w:rFonts w:ascii="Arial" w:hAnsi="Arial" w:cs="Arial"/>
          <w:sz w:val="24"/>
          <w:szCs w:val="24"/>
        </w:rPr>
        <w:t xml:space="preserve">The recording features my second interview with client S, she is reminded about the contract, specifically about the boundaries of confidentiality. S shares how she felt when she found herself in a situation where she was confronted by an angry individual who was usually known to be a very calm person.  </w:t>
      </w:r>
    </w:p>
    <w:p w14:paraId="3266D9C1" w14:textId="77777777" w:rsidR="00D170D6" w:rsidRPr="003E4AD8" w:rsidRDefault="00D170D6" w:rsidP="003E4AD8">
      <w:pPr>
        <w:spacing w:after="0" w:line="240" w:lineRule="auto"/>
        <w:rPr>
          <w:rFonts w:ascii="Arial" w:hAnsi="Arial" w:cs="Arial"/>
          <w:b/>
          <w:sz w:val="24"/>
          <w:szCs w:val="24"/>
          <w:u w:val="single"/>
        </w:rPr>
      </w:pPr>
    </w:p>
    <w:p w14:paraId="1CF147EC" w14:textId="5BF6807D" w:rsidR="003E4AD8" w:rsidRDefault="00D170D6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Themes and sub-themes of the session</w:t>
      </w:r>
    </w:p>
    <w:p w14:paraId="1AAC1E05" w14:textId="7DA21969" w:rsidR="00582966" w:rsidRDefault="00582966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How I implement the theory</w:t>
      </w:r>
    </w:p>
    <w:p w14:paraId="4EB5D997" w14:textId="3D1ABAAA" w:rsidR="00582966" w:rsidRDefault="00582966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What areas can I develop</w:t>
      </w:r>
    </w:p>
    <w:p w14:paraId="4577E2AD" w14:textId="6AAD2E08" w:rsidR="00013248" w:rsidRDefault="00013248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What went well</w:t>
      </w:r>
    </w:p>
    <w:p w14:paraId="10CBD2B5" w14:textId="765F2F82" w:rsidR="00013248" w:rsidRDefault="00013248" w:rsidP="00E22EE8">
      <w:pPr>
        <w:rPr>
          <w:rFonts w:ascii="Arial" w:hAnsi="Arial" w:cs="Arial"/>
          <w:b/>
          <w:sz w:val="24"/>
          <w:szCs w:val="24"/>
          <w:u w:val="single"/>
        </w:rPr>
      </w:pPr>
    </w:p>
    <w:p w14:paraId="3CAE928D" w14:textId="070E6837" w:rsidR="00013248" w:rsidRPr="00545D17" w:rsidRDefault="00013248" w:rsidP="00E22EE8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Link above to </w:t>
      </w:r>
      <w:r w:rsidR="00F67B99">
        <w:rPr>
          <w:rFonts w:ascii="Arial" w:hAnsi="Arial" w:cs="Arial"/>
          <w:b/>
          <w:sz w:val="24"/>
          <w:szCs w:val="24"/>
          <w:u w:val="single"/>
        </w:rPr>
        <w:t>theory and research when possible</w:t>
      </w:r>
      <w:bookmarkStart w:id="0" w:name="_GoBack"/>
      <w:bookmarkEnd w:id="0"/>
    </w:p>
    <w:p w14:paraId="3EF477E4" w14:textId="43A835A1" w:rsidR="004C2C11" w:rsidRDefault="004C2C11">
      <w:pPr>
        <w:rPr>
          <w:rFonts w:ascii="Arial" w:hAnsi="Arial" w:cs="Arial"/>
          <w:b/>
          <w:sz w:val="24"/>
          <w:szCs w:val="24"/>
          <w:u w:val="single"/>
        </w:rPr>
      </w:pPr>
    </w:p>
    <w:p w14:paraId="3CD78FB0" w14:textId="340DBD45" w:rsidR="00BD1FF5" w:rsidRDefault="004C2C1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</w:t>
      </w:r>
      <w:r w:rsidR="00A34B84">
        <w:rPr>
          <w:rFonts w:ascii="Arial" w:hAnsi="Arial" w:cs="Arial"/>
          <w:b/>
          <w:sz w:val="24"/>
          <w:szCs w:val="24"/>
          <w:u w:val="single"/>
        </w:rPr>
        <w:t>sion:</w:t>
      </w:r>
    </w:p>
    <w:p w14:paraId="0E22C5AE" w14:textId="233E1E08" w:rsidR="00DF4385" w:rsidRDefault="00DF4385">
      <w:pPr>
        <w:rPr>
          <w:rFonts w:ascii="Arial" w:hAnsi="Arial" w:cs="Arial"/>
          <w:b/>
          <w:sz w:val="24"/>
          <w:szCs w:val="24"/>
          <w:u w:val="single"/>
        </w:rPr>
      </w:pPr>
    </w:p>
    <w:p w14:paraId="2112E3FD" w14:textId="77777777" w:rsidR="00DF4385" w:rsidRDefault="00DF4385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16308720"/>
        <w:docPartObj>
          <w:docPartGallery w:val="Bibliographies"/>
          <w:docPartUnique/>
        </w:docPartObj>
      </w:sdtPr>
      <w:sdtEndPr/>
      <w:sdtContent>
        <w:p w14:paraId="72358ECE" w14:textId="752FD3FA" w:rsidR="002E1685" w:rsidRDefault="002E168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EA4CEE6" w14:textId="77777777" w:rsidR="00D06CC8" w:rsidRDefault="002E1685" w:rsidP="00D06CC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06CC8">
                <w:rPr>
                  <w:noProof/>
                  <w:lang w:val="en-US"/>
                </w:rPr>
                <w:t xml:space="preserve">BACP, 2018. </w:t>
              </w:r>
              <w:r w:rsidR="00D06CC8">
                <w:rPr>
                  <w:i/>
                  <w:iCs/>
                  <w:noProof/>
                  <w:lang w:val="en-US"/>
                </w:rPr>
                <w:t xml:space="preserve">The Ethical Framework for Counselling Professions, </w:t>
              </w:r>
              <w:r w:rsidR="00D06CC8">
                <w:rPr>
                  <w:noProof/>
                  <w:lang w:val="en-US"/>
                </w:rPr>
                <w:t>Lutterworth: British Association for Counselling and Psychotherapy..</w:t>
              </w:r>
            </w:p>
            <w:p w14:paraId="53A229F1" w14:textId="77777777" w:rsidR="00D06CC8" w:rsidRDefault="00D06CC8" w:rsidP="00D06CC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Ballantine Dykes, F., Postings, T. &amp; Kopp, B., 2017. </w:t>
              </w:r>
              <w:r>
                <w:rPr>
                  <w:i/>
                  <w:iCs/>
                  <w:noProof/>
                  <w:lang w:val="en-US"/>
                </w:rPr>
                <w:t xml:space="preserve">Counselling Skills and Studies. </w:t>
              </w:r>
              <w:r>
                <w:rPr>
                  <w:noProof/>
                  <w:lang w:val="en-US"/>
                </w:rPr>
                <w:t>2nd ed. London: Sage Publications Ltd.</w:t>
              </w:r>
            </w:p>
            <w:p w14:paraId="0F2FDAF8" w14:textId="77777777" w:rsidR="00D06CC8" w:rsidRDefault="00D06CC8" w:rsidP="00D06CC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Van Rijn, B., 2015. </w:t>
              </w:r>
              <w:r>
                <w:rPr>
                  <w:i/>
                  <w:iCs/>
                  <w:noProof/>
                  <w:lang w:val="en-US"/>
                </w:rPr>
                <w:t xml:space="preserve">Assessment and Case Formulation in Counselling and Psychotherapy. </w:t>
              </w:r>
              <w:r>
                <w:rPr>
                  <w:noProof/>
                  <w:lang w:val="en-US"/>
                </w:rPr>
                <w:t>London: SAGE.</w:t>
              </w:r>
            </w:p>
            <w:p w14:paraId="0BB47BDC" w14:textId="19C9FE5C" w:rsidR="002E1685" w:rsidRDefault="002E1685" w:rsidP="00D06CC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63DAB61" w14:textId="519F9575" w:rsidR="00DF4385" w:rsidRDefault="00DF4385" w:rsidP="002E1685"/>
    <w:p w14:paraId="1AAABDC0" w14:textId="77777777" w:rsidR="00A34B84" w:rsidRPr="00B064BF" w:rsidRDefault="00A34B84">
      <w:pPr>
        <w:rPr>
          <w:rFonts w:ascii="Arial" w:hAnsi="Arial" w:cs="Arial"/>
          <w:b/>
          <w:sz w:val="24"/>
          <w:szCs w:val="24"/>
          <w:u w:val="single"/>
        </w:rPr>
      </w:pPr>
    </w:p>
    <w:sectPr w:rsidR="00A34B84" w:rsidRPr="00B064B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0777E4E" w14:textId="77777777" w:rsidR="001231D0" w:rsidRDefault="001231D0" w:rsidP="00750EBE">
      <w:pPr>
        <w:spacing w:after="0" w:line="240" w:lineRule="auto"/>
      </w:pPr>
      <w:r>
        <w:separator/>
      </w:r>
    </w:p>
  </w:endnote>
  <w:endnote w:type="continuationSeparator" w:id="0">
    <w:p w14:paraId="5FB35B9F" w14:textId="77777777" w:rsidR="001231D0" w:rsidRDefault="001231D0" w:rsidP="00750E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02284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A7E768" w14:textId="651CEA75" w:rsidR="00611DA7" w:rsidRDefault="00611D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F10929" w14:textId="77777777" w:rsidR="00750EBE" w:rsidRDefault="00750E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8C12E6" w14:textId="77777777" w:rsidR="001231D0" w:rsidRDefault="001231D0" w:rsidP="00750EBE">
      <w:pPr>
        <w:spacing w:after="0" w:line="240" w:lineRule="auto"/>
      </w:pPr>
      <w:r>
        <w:separator/>
      </w:r>
    </w:p>
  </w:footnote>
  <w:footnote w:type="continuationSeparator" w:id="0">
    <w:p w14:paraId="1640F549" w14:textId="77777777" w:rsidR="001231D0" w:rsidRDefault="001231D0" w:rsidP="00750E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D65797"/>
    <w:multiLevelType w:val="hybridMultilevel"/>
    <w:tmpl w:val="36282E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704DC0"/>
    <w:multiLevelType w:val="hybridMultilevel"/>
    <w:tmpl w:val="2892AF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FB0"/>
    <w:rsid w:val="00001CD6"/>
    <w:rsid w:val="00004610"/>
    <w:rsid w:val="00013248"/>
    <w:rsid w:val="000301A0"/>
    <w:rsid w:val="00033AD9"/>
    <w:rsid w:val="00036114"/>
    <w:rsid w:val="000479F1"/>
    <w:rsid w:val="00071209"/>
    <w:rsid w:val="00074213"/>
    <w:rsid w:val="00085FFD"/>
    <w:rsid w:val="000873C7"/>
    <w:rsid w:val="00087960"/>
    <w:rsid w:val="00092339"/>
    <w:rsid w:val="0009350C"/>
    <w:rsid w:val="0009454F"/>
    <w:rsid w:val="00097BFD"/>
    <w:rsid w:val="000A50B9"/>
    <w:rsid w:val="000B3F48"/>
    <w:rsid w:val="000B5B8E"/>
    <w:rsid w:val="000C6EFA"/>
    <w:rsid w:val="000C75BA"/>
    <w:rsid w:val="000D1216"/>
    <w:rsid w:val="000D4A9F"/>
    <w:rsid w:val="001102A0"/>
    <w:rsid w:val="001231D0"/>
    <w:rsid w:val="001237D0"/>
    <w:rsid w:val="00125CF8"/>
    <w:rsid w:val="00161BB5"/>
    <w:rsid w:val="00166AB0"/>
    <w:rsid w:val="00172392"/>
    <w:rsid w:val="001847B1"/>
    <w:rsid w:val="001E07F0"/>
    <w:rsid w:val="001E2669"/>
    <w:rsid w:val="001E5207"/>
    <w:rsid w:val="00201148"/>
    <w:rsid w:val="00225D19"/>
    <w:rsid w:val="00227043"/>
    <w:rsid w:val="00270E1B"/>
    <w:rsid w:val="002726EA"/>
    <w:rsid w:val="00274E6A"/>
    <w:rsid w:val="002773E7"/>
    <w:rsid w:val="00284031"/>
    <w:rsid w:val="0029505F"/>
    <w:rsid w:val="00295759"/>
    <w:rsid w:val="002C0DDB"/>
    <w:rsid w:val="002C158A"/>
    <w:rsid w:val="002C4232"/>
    <w:rsid w:val="002D4B26"/>
    <w:rsid w:val="002E1685"/>
    <w:rsid w:val="002F0F8B"/>
    <w:rsid w:val="002F32D0"/>
    <w:rsid w:val="00302723"/>
    <w:rsid w:val="00303CBB"/>
    <w:rsid w:val="0031126C"/>
    <w:rsid w:val="00321E9D"/>
    <w:rsid w:val="0034359E"/>
    <w:rsid w:val="00353CDF"/>
    <w:rsid w:val="00386825"/>
    <w:rsid w:val="0039143B"/>
    <w:rsid w:val="00393368"/>
    <w:rsid w:val="00397718"/>
    <w:rsid w:val="003A53B5"/>
    <w:rsid w:val="003C2A96"/>
    <w:rsid w:val="003E4AD8"/>
    <w:rsid w:val="003F330C"/>
    <w:rsid w:val="00411BF4"/>
    <w:rsid w:val="00412A1D"/>
    <w:rsid w:val="00420A2C"/>
    <w:rsid w:val="004317B5"/>
    <w:rsid w:val="0045252B"/>
    <w:rsid w:val="0045682B"/>
    <w:rsid w:val="004728E1"/>
    <w:rsid w:val="004752C9"/>
    <w:rsid w:val="00477A55"/>
    <w:rsid w:val="004C2C11"/>
    <w:rsid w:val="004C5D42"/>
    <w:rsid w:val="004F22CA"/>
    <w:rsid w:val="004F69E0"/>
    <w:rsid w:val="005227B2"/>
    <w:rsid w:val="00522F44"/>
    <w:rsid w:val="00542E75"/>
    <w:rsid w:val="00545D17"/>
    <w:rsid w:val="0057476F"/>
    <w:rsid w:val="00582966"/>
    <w:rsid w:val="00595B22"/>
    <w:rsid w:val="005A58C2"/>
    <w:rsid w:val="005B3A9C"/>
    <w:rsid w:val="005C36C0"/>
    <w:rsid w:val="005C6EC7"/>
    <w:rsid w:val="005C73C4"/>
    <w:rsid w:val="005D0B31"/>
    <w:rsid w:val="00601031"/>
    <w:rsid w:val="00607BA3"/>
    <w:rsid w:val="00611DA7"/>
    <w:rsid w:val="0062244A"/>
    <w:rsid w:val="00623245"/>
    <w:rsid w:val="00632C45"/>
    <w:rsid w:val="00643E87"/>
    <w:rsid w:val="00652E8C"/>
    <w:rsid w:val="0066408A"/>
    <w:rsid w:val="006A4CEB"/>
    <w:rsid w:val="006B3986"/>
    <w:rsid w:val="006D28D9"/>
    <w:rsid w:val="006F7D01"/>
    <w:rsid w:val="0071559B"/>
    <w:rsid w:val="007211A1"/>
    <w:rsid w:val="00750EBE"/>
    <w:rsid w:val="007519A4"/>
    <w:rsid w:val="00752E0F"/>
    <w:rsid w:val="007550BC"/>
    <w:rsid w:val="007A1C9C"/>
    <w:rsid w:val="007A3A56"/>
    <w:rsid w:val="007B0D78"/>
    <w:rsid w:val="007C095A"/>
    <w:rsid w:val="007D3DB2"/>
    <w:rsid w:val="007E04D0"/>
    <w:rsid w:val="007E7BCB"/>
    <w:rsid w:val="008028A2"/>
    <w:rsid w:val="008028C3"/>
    <w:rsid w:val="00812A89"/>
    <w:rsid w:val="00826D1E"/>
    <w:rsid w:val="00832513"/>
    <w:rsid w:val="00836129"/>
    <w:rsid w:val="00852F12"/>
    <w:rsid w:val="00861257"/>
    <w:rsid w:val="00864022"/>
    <w:rsid w:val="00864EB3"/>
    <w:rsid w:val="0086694A"/>
    <w:rsid w:val="00867538"/>
    <w:rsid w:val="008938BD"/>
    <w:rsid w:val="00895A95"/>
    <w:rsid w:val="008A7B8A"/>
    <w:rsid w:val="008D5405"/>
    <w:rsid w:val="008D55C3"/>
    <w:rsid w:val="008F12DD"/>
    <w:rsid w:val="00901F48"/>
    <w:rsid w:val="0090317A"/>
    <w:rsid w:val="00906559"/>
    <w:rsid w:val="00912B90"/>
    <w:rsid w:val="00923DBA"/>
    <w:rsid w:val="0093775B"/>
    <w:rsid w:val="009415C9"/>
    <w:rsid w:val="00941CA4"/>
    <w:rsid w:val="00941E2F"/>
    <w:rsid w:val="00965518"/>
    <w:rsid w:val="009740A6"/>
    <w:rsid w:val="00981BEC"/>
    <w:rsid w:val="00985591"/>
    <w:rsid w:val="00986E6A"/>
    <w:rsid w:val="009A3957"/>
    <w:rsid w:val="009A58ED"/>
    <w:rsid w:val="009B3884"/>
    <w:rsid w:val="009C7668"/>
    <w:rsid w:val="009E4092"/>
    <w:rsid w:val="009F71B3"/>
    <w:rsid w:val="00A2593A"/>
    <w:rsid w:val="00A33416"/>
    <w:rsid w:val="00A34B84"/>
    <w:rsid w:val="00A414F0"/>
    <w:rsid w:val="00A42AB0"/>
    <w:rsid w:val="00A72379"/>
    <w:rsid w:val="00A74610"/>
    <w:rsid w:val="00A7728E"/>
    <w:rsid w:val="00A97A05"/>
    <w:rsid w:val="00AA6F6F"/>
    <w:rsid w:val="00B064BF"/>
    <w:rsid w:val="00B3789C"/>
    <w:rsid w:val="00B8037B"/>
    <w:rsid w:val="00B833FD"/>
    <w:rsid w:val="00B91D8B"/>
    <w:rsid w:val="00BA0931"/>
    <w:rsid w:val="00BC3D03"/>
    <w:rsid w:val="00BD12B6"/>
    <w:rsid w:val="00BD1FF5"/>
    <w:rsid w:val="00BD6155"/>
    <w:rsid w:val="00BE28D6"/>
    <w:rsid w:val="00BF3677"/>
    <w:rsid w:val="00C05FBB"/>
    <w:rsid w:val="00C13021"/>
    <w:rsid w:val="00C1447E"/>
    <w:rsid w:val="00C15955"/>
    <w:rsid w:val="00C161AA"/>
    <w:rsid w:val="00C47CCD"/>
    <w:rsid w:val="00C51805"/>
    <w:rsid w:val="00C63B55"/>
    <w:rsid w:val="00C65580"/>
    <w:rsid w:val="00C6689E"/>
    <w:rsid w:val="00C6740C"/>
    <w:rsid w:val="00C8235B"/>
    <w:rsid w:val="00C82BE9"/>
    <w:rsid w:val="00C87484"/>
    <w:rsid w:val="00C92022"/>
    <w:rsid w:val="00C94622"/>
    <w:rsid w:val="00CA7FB0"/>
    <w:rsid w:val="00CB26D5"/>
    <w:rsid w:val="00CB3558"/>
    <w:rsid w:val="00CB4A9B"/>
    <w:rsid w:val="00CB66B8"/>
    <w:rsid w:val="00CC0659"/>
    <w:rsid w:val="00CC230B"/>
    <w:rsid w:val="00CC4AA8"/>
    <w:rsid w:val="00CC78A4"/>
    <w:rsid w:val="00CE47D6"/>
    <w:rsid w:val="00CF7CE8"/>
    <w:rsid w:val="00D02729"/>
    <w:rsid w:val="00D06CC8"/>
    <w:rsid w:val="00D14177"/>
    <w:rsid w:val="00D170D6"/>
    <w:rsid w:val="00D253C0"/>
    <w:rsid w:val="00D31BC9"/>
    <w:rsid w:val="00D32257"/>
    <w:rsid w:val="00D42C4F"/>
    <w:rsid w:val="00D467FD"/>
    <w:rsid w:val="00D50D38"/>
    <w:rsid w:val="00D72600"/>
    <w:rsid w:val="00D767C4"/>
    <w:rsid w:val="00D77A59"/>
    <w:rsid w:val="00D805C3"/>
    <w:rsid w:val="00D925C7"/>
    <w:rsid w:val="00D94DAB"/>
    <w:rsid w:val="00DA5751"/>
    <w:rsid w:val="00DC1884"/>
    <w:rsid w:val="00DD0AA2"/>
    <w:rsid w:val="00DD6024"/>
    <w:rsid w:val="00DE1A60"/>
    <w:rsid w:val="00DF2066"/>
    <w:rsid w:val="00DF4385"/>
    <w:rsid w:val="00DF4463"/>
    <w:rsid w:val="00DF5507"/>
    <w:rsid w:val="00DF57DC"/>
    <w:rsid w:val="00DF747E"/>
    <w:rsid w:val="00E011BC"/>
    <w:rsid w:val="00E050BF"/>
    <w:rsid w:val="00E16B3B"/>
    <w:rsid w:val="00E219AA"/>
    <w:rsid w:val="00E22A15"/>
    <w:rsid w:val="00E22EE8"/>
    <w:rsid w:val="00E23A5E"/>
    <w:rsid w:val="00E51879"/>
    <w:rsid w:val="00E52E6F"/>
    <w:rsid w:val="00E53024"/>
    <w:rsid w:val="00E57603"/>
    <w:rsid w:val="00E57805"/>
    <w:rsid w:val="00E57A3F"/>
    <w:rsid w:val="00E65CC7"/>
    <w:rsid w:val="00E85B2F"/>
    <w:rsid w:val="00E85BB5"/>
    <w:rsid w:val="00E85C36"/>
    <w:rsid w:val="00E92613"/>
    <w:rsid w:val="00E96D7E"/>
    <w:rsid w:val="00EA405C"/>
    <w:rsid w:val="00EA51BC"/>
    <w:rsid w:val="00EA7BAF"/>
    <w:rsid w:val="00EB4411"/>
    <w:rsid w:val="00EE239B"/>
    <w:rsid w:val="00EE3087"/>
    <w:rsid w:val="00EE774D"/>
    <w:rsid w:val="00EF0EA5"/>
    <w:rsid w:val="00F027F9"/>
    <w:rsid w:val="00F1608A"/>
    <w:rsid w:val="00F21336"/>
    <w:rsid w:val="00F309CB"/>
    <w:rsid w:val="00F60A78"/>
    <w:rsid w:val="00F671D0"/>
    <w:rsid w:val="00F67B99"/>
    <w:rsid w:val="00F77505"/>
    <w:rsid w:val="00F866EA"/>
    <w:rsid w:val="00F94660"/>
    <w:rsid w:val="00F9695B"/>
    <w:rsid w:val="00FB2C25"/>
    <w:rsid w:val="00FE000C"/>
    <w:rsid w:val="00FE533C"/>
    <w:rsid w:val="00FE7C83"/>
    <w:rsid w:val="00FE7EA8"/>
    <w:rsid w:val="00FF3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4CDD76"/>
  <w15:chartTrackingRefBased/>
  <w15:docId w15:val="{ADA7B738-547F-46B8-BC71-19FF49C47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  <w:ind w:firstLine="72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4385"/>
    <w:pPr>
      <w:keepNext/>
      <w:keepLines/>
      <w:spacing w:before="240" w:after="0" w:line="259" w:lineRule="auto"/>
      <w:ind w:firstLine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0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0EBE"/>
  </w:style>
  <w:style w:type="paragraph" w:styleId="Footer">
    <w:name w:val="footer"/>
    <w:basedOn w:val="Normal"/>
    <w:link w:val="FooterChar"/>
    <w:uiPriority w:val="99"/>
    <w:unhideWhenUsed/>
    <w:rsid w:val="00750E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0EBE"/>
  </w:style>
  <w:style w:type="paragraph" w:styleId="NoSpacing">
    <w:name w:val="No Spacing"/>
    <w:link w:val="NoSpacingChar"/>
    <w:uiPriority w:val="1"/>
    <w:qFormat/>
    <w:rsid w:val="00D7260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7260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B355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F438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F43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125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1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6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4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2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1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52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7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2.png@01D3889D.06E5258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Rij15</b:Tag>
    <b:SourceType>Book</b:SourceType>
    <b:Guid>{C7B26D2E-AD13-43A0-B90D-ACA9DDDF838E}</b:Guid>
    <b:Author>
      <b:Author>
        <b:NameList>
          <b:Person>
            <b:Last>Van Rijn</b:Last>
            <b:First>Biljana</b:First>
          </b:Person>
        </b:NameList>
      </b:Author>
    </b:Author>
    <b:Title>Assessment and Case Formulation in Counselling and Psychotherapy</b:Title>
    <b:Year>2015</b:Year>
    <b:City>London</b:City>
    <b:Publisher>SAGE</b:Publisher>
    <b:RefOrder>1</b:RefOrder>
  </b:Source>
  <b:Source>
    <b:Tag>BAC18</b:Tag>
    <b:SourceType>Report</b:SourceType>
    <b:Guid>{1340FB74-ABD3-4FAB-9B77-563E1D451950}</b:Guid>
    <b:Author>
      <b:Author>
        <b:NameList>
          <b:Person>
            <b:Last>BACP</b:Last>
          </b:Person>
        </b:NameList>
      </b:Author>
    </b:Author>
    <b:Title>The Ethical Framework for Counselling Professions</b:Title>
    <b:Year>2018</b:Year>
    <b:YearAccessed>2018</b:YearAccessed>
    <b:MonthAccessed>March</b:MonthAccessed>
    <b:DayAccessed>1</b:DayAccessed>
    <b:URL>https://www.bacp.co.uk/</b:URL>
    <b:Publisher>British Association for Counselling and Psychotherapy.</b:Publisher>
    <b:City>Lutterworth</b:City>
    <b:RefOrder>2</b:RefOrder>
  </b:Source>
  <b:Source>
    <b:Tag>Fio17</b:Tag>
    <b:SourceType>Book</b:SourceType>
    <b:Guid>{453AE7C2-35A4-42B8-AD4C-335B63804B85}</b:Guid>
    <b:Author>
      <b:Author>
        <b:NameList>
          <b:Person>
            <b:Last>Ballantine Dykes</b:Last>
            <b:First>Fiona</b:First>
          </b:Person>
          <b:Person>
            <b:Last>Postings</b:Last>
            <b:First>Traci</b:First>
          </b:Person>
          <b:Person>
            <b:Last>Kopp</b:Last>
            <b:First>Barry</b:First>
          </b:Person>
        </b:NameList>
      </b:Author>
      <b:Editor>
        <b:NameList>
          <b:Person>
            <b:Last>Jarrold</b:Last>
            <b:First>Amy</b:First>
          </b:Person>
        </b:NameList>
      </b:Editor>
    </b:Author>
    <b:Title>Counselling Skills and Studies</b:Title>
    <b:Year>2017</b:Year>
    <b:City>London</b:City>
    <b:Publisher>Sage Publications Ltd</b:Publisher>
    <b:Edition>2nd</b:Edition>
    <b:RefOrder>3</b:RefOrder>
  </b:Source>
</b:Sources>
</file>

<file path=customXml/itemProps1.xml><?xml version="1.0" encoding="utf-8"?>
<ds:datastoreItem xmlns:ds="http://schemas.openxmlformats.org/officeDocument/2006/customXml" ds:itemID="{DB3B6F7F-D54D-45BC-A506-389FDCE109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7043</TotalTime>
  <Pages>4</Pages>
  <Words>437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Hool</dc:creator>
  <cp:keywords/>
  <dc:description/>
  <cp:lastModifiedBy>Karin Hool</cp:lastModifiedBy>
  <cp:revision>269</cp:revision>
  <dcterms:created xsi:type="dcterms:W3CDTF">2019-03-04T21:42:00Z</dcterms:created>
  <dcterms:modified xsi:type="dcterms:W3CDTF">2019-03-11T17:49:00Z</dcterms:modified>
</cp:coreProperties>
</file>