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74C7" w:rsidRPr="002370AE" w:rsidRDefault="00E874C7" w:rsidP="00782A66">
      <w:pPr>
        <w:jc w:val="center"/>
        <w:rPr>
          <w:rFonts w:ascii="Arial" w:hAnsi="Arial" w:cs="Arial"/>
          <w:sz w:val="24"/>
          <w:szCs w:val="24"/>
        </w:rPr>
      </w:pPr>
      <w:smartTag w:uri="urn:schemas-microsoft-com:office:smarttags" w:element="address">
        <w:smartTag w:uri="urn:schemas-microsoft-com:office:smarttags" w:element="Street">
          <w:r w:rsidRPr="002370AE">
            <w:rPr>
              <w:rFonts w:ascii="Arial" w:hAnsi="Arial" w:cs="Arial"/>
              <w:sz w:val="24"/>
              <w:szCs w:val="24"/>
            </w:rPr>
            <w:t>University of Wales Trinity St.</w:t>
          </w:r>
        </w:smartTag>
      </w:smartTag>
      <w:r w:rsidRPr="002370AE">
        <w:rPr>
          <w:rFonts w:ascii="Arial" w:hAnsi="Arial" w:cs="Arial"/>
          <w:sz w:val="24"/>
          <w:szCs w:val="24"/>
        </w:rPr>
        <w:t xml:space="preserve"> David</w:t>
      </w:r>
    </w:p>
    <w:p w:rsidR="00E874C7" w:rsidRPr="002370AE" w:rsidRDefault="00E874C7" w:rsidP="00782A66">
      <w:pPr>
        <w:jc w:val="center"/>
        <w:rPr>
          <w:rFonts w:ascii="Arial" w:hAnsi="Arial" w:cs="Arial"/>
          <w:sz w:val="24"/>
          <w:szCs w:val="24"/>
        </w:rPr>
      </w:pPr>
    </w:p>
    <w:p w:rsidR="00E874C7" w:rsidRPr="002370AE" w:rsidRDefault="003C5F37" w:rsidP="00782A66">
      <w:pPr>
        <w:jc w:val="center"/>
        <w:rPr>
          <w:rFonts w:ascii="Arial" w:hAnsi="Arial" w:cs="Arial"/>
          <w:sz w:val="24"/>
          <w:szCs w:val="24"/>
        </w:rPr>
      </w:pPr>
      <w:r w:rsidRPr="002370AE">
        <w:rPr>
          <w:noProof/>
          <w:lang w:eastAsia="en-GB"/>
        </w:rPr>
        <w:drawing>
          <wp:inline distT="0" distB="0" distL="0" distR="0">
            <wp:extent cx="2387625" cy="2658383"/>
            <wp:effectExtent l="38100" t="0" r="31750" b="104140"/>
            <wp:docPr id="1" name="Picture 10" descr="Crest of TSD.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Crest of TSD.png"/>
                    <pic:cNvPicPr>
                      <a:picLocks noChangeAspect="1" noChangeArrowheads="1"/>
                    </pic:cNvPicPr>
                  </pic:nvPicPr>
                  <pic:blipFill>
                    <a:blip r:embed="rId8">
                      <a:extLst/>
                    </a:blip>
                    <a:srcRect/>
                    <a:stretch>
                      <a:fillRect/>
                    </a:stretch>
                  </pic:blipFill>
                  <pic:spPr bwMode="auto">
                    <a:xfrm>
                      <a:off x="0" y="0"/>
                      <a:ext cx="2387600" cy="2658110"/>
                    </a:xfrm>
                    <a:prstGeom prst="rect">
                      <a:avLst/>
                    </a:prstGeom>
                    <a:noFill/>
                    <a:ln>
                      <a:noFill/>
                    </a:ln>
                    <a:effectLst>
                      <a:outerShdw blurRad="50800" dist="63500" dir="5400000" algn="t" rotWithShape="0">
                        <a:prstClr val="black">
                          <a:alpha val="40000"/>
                        </a:prstClr>
                      </a:outerShdw>
                    </a:effectLst>
                  </pic:spPr>
                </pic:pic>
              </a:graphicData>
            </a:graphic>
          </wp:inline>
        </w:drawing>
      </w:r>
    </w:p>
    <w:p w:rsidR="00E874C7" w:rsidRPr="002370AE" w:rsidRDefault="00E874C7" w:rsidP="00922494">
      <w:pPr>
        <w:jc w:val="center"/>
        <w:rPr>
          <w:rFonts w:ascii="Arial" w:hAnsi="Arial" w:cs="Arial"/>
          <w:sz w:val="24"/>
          <w:szCs w:val="24"/>
        </w:rPr>
      </w:pPr>
    </w:p>
    <w:p w:rsidR="00E874C7" w:rsidRPr="002370AE" w:rsidRDefault="00E874C7" w:rsidP="00922494">
      <w:pPr>
        <w:jc w:val="center"/>
        <w:rPr>
          <w:rFonts w:ascii="Arial" w:hAnsi="Arial" w:cs="Arial"/>
          <w:sz w:val="24"/>
          <w:szCs w:val="24"/>
        </w:rPr>
      </w:pPr>
    </w:p>
    <w:p w:rsidR="00E874C7" w:rsidRPr="002370AE" w:rsidRDefault="00870DFA" w:rsidP="00C67EE9">
      <w:pPr>
        <w:spacing w:line="360" w:lineRule="auto"/>
        <w:jc w:val="center"/>
        <w:rPr>
          <w:rFonts w:ascii="Arial" w:hAnsi="Arial" w:cs="Arial"/>
          <w:sz w:val="24"/>
          <w:szCs w:val="24"/>
        </w:rPr>
      </w:pPr>
      <w:r w:rsidRPr="002370AE">
        <w:rPr>
          <w:rFonts w:ascii="Arial" w:hAnsi="Arial" w:cs="Arial"/>
          <w:sz w:val="24"/>
          <w:szCs w:val="24"/>
        </w:rPr>
        <w:t>Sustainable Architecture</w:t>
      </w:r>
    </w:p>
    <w:p w:rsidR="00E874C7" w:rsidRPr="002370AE" w:rsidRDefault="00E874C7" w:rsidP="00C67EE9">
      <w:pPr>
        <w:spacing w:line="360" w:lineRule="auto"/>
        <w:jc w:val="center"/>
        <w:rPr>
          <w:rFonts w:ascii="Arial" w:hAnsi="Arial" w:cs="Arial"/>
          <w:sz w:val="24"/>
          <w:szCs w:val="24"/>
        </w:rPr>
      </w:pPr>
    </w:p>
    <w:p w:rsidR="00E874C7" w:rsidRPr="002370AE" w:rsidRDefault="00870DFA" w:rsidP="00C67EE9">
      <w:pPr>
        <w:spacing w:line="360" w:lineRule="auto"/>
        <w:jc w:val="center"/>
        <w:rPr>
          <w:rFonts w:ascii="Arial" w:hAnsi="Arial" w:cs="Arial"/>
          <w:sz w:val="24"/>
          <w:szCs w:val="24"/>
        </w:rPr>
      </w:pPr>
      <w:r w:rsidRPr="002370AE">
        <w:rPr>
          <w:rFonts w:ascii="Arial" w:hAnsi="Arial" w:cs="Arial"/>
          <w:sz w:val="24"/>
          <w:szCs w:val="24"/>
        </w:rPr>
        <w:t>Juan A. Ferriz Papi</w:t>
      </w:r>
    </w:p>
    <w:p w:rsidR="00E874C7" w:rsidRPr="002370AE" w:rsidRDefault="00E874C7" w:rsidP="00C67EE9">
      <w:pPr>
        <w:spacing w:line="360" w:lineRule="auto"/>
        <w:jc w:val="center"/>
        <w:rPr>
          <w:rFonts w:ascii="Arial" w:hAnsi="Arial" w:cs="Arial"/>
          <w:sz w:val="24"/>
          <w:szCs w:val="24"/>
        </w:rPr>
      </w:pPr>
    </w:p>
    <w:p w:rsidR="00E874C7" w:rsidRPr="002370AE" w:rsidRDefault="00870DFA" w:rsidP="00C67EE9">
      <w:pPr>
        <w:spacing w:line="360" w:lineRule="auto"/>
        <w:jc w:val="center"/>
        <w:rPr>
          <w:rFonts w:ascii="Arial" w:hAnsi="Arial" w:cs="Arial"/>
          <w:sz w:val="24"/>
          <w:szCs w:val="24"/>
        </w:rPr>
      </w:pPr>
      <w:r w:rsidRPr="002370AE">
        <w:rPr>
          <w:rFonts w:ascii="Arial" w:hAnsi="Arial" w:cs="Arial"/>
          <w:sz w:val="24"/>
          <w:szCs w:val="24"/>
        </w:rPr>
        <w:t>M6X01848</w:t>
      </w:r>
    </w:p>
    <w:p w:rsidR="00E874C7" w:rsidRPr="002370AE" w:rsidRDefault="00E874C7" w:rsidP="00C67EE9">
      <w:pPr>
        <w:spacing w:line="360" w:lineRule="auto"/>
        <w:jc w:val="center"/>
        <w:rPr>
          <w:rFonts w:ascii="Arial" w:hAnsi="Arial" w:cs="Arial"/>
          <w:sz w:val="24"/>
          <w:szCs w:val="24"/>
        </w:rPr>
      </w:pPr>
    </w:p>
    <w:p w:rsidR="00870DFA" w:rsidRPr="002370AE" w:rsidRDefault="00870DFA" w:rsidP="00C67EE9">
      <w:pPr>
        <w:spacing w:line="360" w:lineRule="auto"/>
        <w:jc w:val="center"/>
        <w:rPr>
          <w:rFonts w:ascii="Arial" w:hAnsi="Arial" w:cs="Arial"/>
          <w:sz w:val="24"/>
          <w:szCs w:val="24"/>
        </w:rPr>
      </w:pPr>
      <w:r w:rsidRPr="002370AE">
        <w:rPr>
          <w:rFonts w:ascii="Arial" w:hAnsi="Arial" w:cs="Arial"/>
          <w:sz w:val="24"/>
          <w:szCs w:val="24"/>
        </w:rPr>
        <w:t>Building Sustainability Certification:</w:t>
      </w:r>
    </w:p>
    <w:p w:rsidR="00870DFA" w:rsidRPr="002370AE" w:rsidRDefault="00870DFA" w:rsidP="00C67EE9">
      <w:pPr>
        <w:spacing w:line="360" w:lineRule="auto"/>
        <w:jc w:val="center"/>
        <w:rPr>
          <w:rFonts w:ascii="Arial" w:hAnsi="Arial" w:cs="Arial"/>
          <w:i/>
          <w:sz w:val="24"/>
          <w:szCs w:val="24"/>
        </w:rPr>
      </w:pPr>
      <w:r w:rsidRPr="002370AE">
        <w:rPr>
          <w:rFonts w:ascii="Arial" w:hAnsi="Arial" w:cs="Arial"/>
          <w:i/>
          <w:sz w:val="24"/>
          <w:szCs w:val="24"/>
        </w:rPr>
        <w:t xml:space="preserve">“Comparison between the BREEAM and Passivhaus Certification Schemes in the </w:t>
      </w:r>
      <w:r w:rsidR="005A2484" w:rsidRPr="002370AE">
        <w:rPr>
          <w:rFonts w:ascii="Arial" w:hAnsi="Arial" w:cs="Arial"/>
          <w:i/>
          <w:sz w:val="24"/>
          <w:szCs w:val="24"/>
        </w:rPr>
        <w:t>respect</w:t>
      </w:r>
      <w:r w:rsidRPr="002370AE">
        <w:rPr>
          <w:rFonts w:ascii="Arial" w:hAnsi="Arial" w:cs="Arial"/>
          <w:i/>
          <w:sz w:val="24"/>
          <w:szCs w:val="24"/>
        </w:rPr>
        <w:t xml:space="preserve"> of Design and Materials.”</w:t>
      </w:r>
    </w:p>
    <w:p w:rsidR="00E874C7" w:rsidRPr="002370AE" w:rsidRDefault="00E874C7" w:rsidP="00C67EE9">
      <w:pPr>
        <w:spacing w:line="360" w:lineRule="auto"/>
        <w:rPr>
          <w:rFonts w:ascii="Arial" w:hAnsi="Arial" w:cs="Arial"/>
          <w:sz w:val="24"/>
          <w:szCs w:val="24"/>
        </w:rPr>
      </w:pPr>
    </w:p>
    <w:p w:rsidR="00E874C7" w:rsidRPr="002370AE" w:rsidRDefault="00E874C7" w:rsidP="00C67EE9">
      <w:pPr>
        <w:spacing w:line="360" w:lineRule="auto"/>
        <w:jc w:val="center"/>
        <w:rPr>
          <w:rFonts w:ascii="Arial" w:hAnsi="Arial" w:cs="Arial"/>
          <w:sz w:val="24"/>
          <w:szCs w:val="24"/>
        </w:rPr>
      </w:pPr>
      <w:r w:rsidRPr="002370AE">
        <w:rPr>
          <w:rFonts w:ascii="Arial" w:hAnsi="Arial" w:cs="Arial"/>
          <w:sz w:val="24"/>
          <w:szCs w:val="24"/>
        </w:rPr>
        <w:t>By</w:t>
      </w:r>
    </w:p>
    <w:p w:rsidR="00E874C7" w:rsidRPr="002370AE" w:rsidRDefault="00E874C7" w:rsidP="00C67EE9">
      <w:pPr>
        <w:spacing w:line="360" w:lineRule="auto"/>
        <w:jc w:val="center"/>
        <w:rPr>
          <w:rFonts w:ascii="Arial" w:hAnsi="Arial" w:cs="Arial"/>
          <w:sz w:val="24"/>
          <w:szCs w:val="24"/>
        </w:rPr>
      </w:pPr>
      <w:r w:rsidRPr="002370AE">
        <w:rPr>
          <w:rFonts w:ascii="Arial" w:hAnsi="Arial" w:cs="Arial"/>
          <w:sz w:val="24"/>
          <w:szCs w:val="24"/>
        </w:rPr>
        <w:t>Ashley John Wood</w:t>
      </w:r>
    </w:p>
    <w:p w:rsidR="00E874C7" w:rsidRPr="002370AE" w:rsidRDefault="00E874C7" w:rsidP="00C67EE9">
      <w:pPr>
        <w:spacing w:line="360" w:lineRule="auto"/>
        <w:jc w:val="center"/>
        <w:rPr>
          <w:rFonts w:ascii="Arial" w:hAnsi="Arial" w:cs="Arial"/>
          <w:sz w:val="24"/>
          <w:szCs w:val="24"/>
        </w:rPr>
      </w:pPr>
    </w:p>
    <w:p w:rsidR="00E874C7" w:rsidRPr="002370AE" w:rsidRDefault="00E874C7" w:rsidP="00782A66">
      <w:pPr>
        <w:spacing w:line="360" w:lineRule="auto"/>
        <w:rPr>
          <w:rFonts w:ascii="Arial" w:hAnsi="Arial" w:cs="Arial"/>
          <w:sz w:val="24"/>
          <w:szCs w:val="24"/>
        </w:rPr>
      </w:pPr>
    </w:p>
    <w:p w:rsidR="00E874C7" w:rsidRPr="002370AE" w:rsidRDefault="00E874C7" w:rsidP="00C33612">
      <w:pPr>
        <w:spacing w:line="360" w:lineRule="auto"/>
        <w:jc w:val="right"/>
        <w:rPr>
          <w:rFonts w:ascii="Arial" w:hAnsi="Arial" w:cs="Arial"/>
          <w:b/>
          <w:sz w:val="24"/>
          <w:szCs w:val="24"/>
        </w:rPr>
      </w:pPr>
      <w:r w:rsidRPr="002370AE">
        <w:rPr>
          <w:rFonts w:ascii="Arial" w:hAnsi="Arial" w:cs="Arial"/>
          <w:b/>
          <w:sz w:val="24"/>
          <w:szCs w:val="24"/>
        </w:rPr>
        <w:lastRenderedPageBreak/>
        <w:t>Contents Page</w:t>
      </w:r>
    </w:p>
    <w:p w:rsidR="00C33612" w:rsidRPr="002370AE" w:rsidRDefault="00C33612" w:rsidP="00AE0F5A">
      <w:pPr>
        <w:spacing w:line="360" w:lineRule="auto"/>
        <w:rPr>
          <w:rFonts w:ascii="Arial" w:hAnsi="Arial" w:cs="Arial"/>
          <w:b/>
        </w:rPr>
      </w:pPr>
    </w:p>
    <w:p w:rsidR="00C66613" w:rsidRPr="002370AE" w:rsidRDefault="00C33612" w:rsidP="00AE0F5A">
      <w:pPr>
        <w:spacing w:line="360" w:lineRule="auto"/>
        <w:rPr>
          <w:rFonts w:ascii="Arial" w:hAnsi="Arial" w:cs="Arial"/>
          <w:b/>
        </w:rPr>
      </w:pPr>
      <w:r w:rsidRPr="002370AE">
        <w:rPr>
          <w:rFonts w:ascii="Arial" w:hAnsi="Arial" w:cs="Arial"/>
          <w:b/>
        </w:rPr>
        <w:t>List of Figures</w:t>
      </w:r>
    </w:p>
    <w:p w:rsidR="00C33612" w:rsidRPr="002370AE" w:rsidRDefault="00C33612" w:rsidP="00AE0F5A">
      <w:pPr>
        <w:spacing w:line="360" w:lineRule="auto"/>
        <w:rPr>
          <w:rFonts w:ascii="Arial" w:hAnsi="Arial" w:cs="Arial"/>
          <w:b/>
        </w:rPr>
      </w:pPr>
    </w:p>
    <w:p w:rsidR="00AE0F5A" w:rsidRPr="002370AE" w:rsidRDefault="00AE0F5A" w:rsidP="00AE0F5A">
      <w:pPr>
        <w:spacing w:line="360" w:lineRule="auto"/>
        <w:rPr>
          <w:rFonts w:ascii="Arial" w:hAnsi="Arial" w:cs="Arial"/>
          <w:b/>
        </w:rPr>
      </w:pPr>
      <w:r w:rsidRPr="002370AE">
        <w:rPr>
          <w:rFonts w:ascii="Arial" w:hAnsi="Arial" w:cs="Arial"/>
          <w:b/>
        </w:rPr>
        <w:t>Chapter 1</w:t>
      </w:r>
    </w:p>
    <w:p w:rsidR="00C33612" w:rsidRPr="002370AE" w:rsidRDefault="00AE0F5A" w:rsidP="001620D1">
      <w:pPr>
        <w:spacing w:line="360" w:lineRule="auto"/>
        <w:ind w:firstLine="720"/>
        <w:rPr>
          <w:rFonts w:ascii="Arial" w:hAnsi="Arial" w:cs="Arial"/>
        </w:rPr>
      </w:pPr>
      <w:r w:rsidRPr="002370AE">
        <w:rPr>
          <w:rFonts w:ascii="Arial" w:hAnsi="Arial" w:cs="Arial"/>
        </w:rPr>
        <w:t>1.1 Introduction</w:t>
      </w:r>
    </w:p>
    <w:p w:rsidR="00AE0F5A" w:rsidRPr="002370AE" w:rsidRDefault="00AE0F5A" w:rsidP="00AE0F5A">
      <w:pPr>
        <w:spacing w:line="360" w:lineRule="auto"/>
        <w:rPr>
          <w:rFonts w:ascii="Arial" w:hAnsi="Arial" w:cs="Arial"/>
          <w:b/>
        </w:rPr>
      </w:pPr>
      <w:r w:rsidRPr="002370AE">
        <w:rPr>
          <w:rFonts w:ascii="Arial" w:hAnsi="Arial" w:cs="Arial"/>
          <w:b/>
        </w:rPr>
        <w:t>Chapter 2</w:t>
      </w:r>
    </w:p>
    <w:p w:rsidR="00AE0F5A" w:rsidRPr="002370AE" w:rsidRDefault="00AE0F5A" w:rsidP="00AE0F5A">
      <w:pPr>
        <w:spacing w:line="360" w:lineRule="auto"/>
        <w:ind w:firstLine="720"/>
        <w:rPr>
          <w:rFonts w:ascii="Arial" w:hAnsi="Arial" w:cs="Arial"/>
        </w:rPr>
      </w:pPr>
      <w:r w:rsidRPr="002370AE">
        <w:rPr>
          <w:rFonts w:ascii="Arial" w:hAnsi="Arial" w:cs="Arial"/>
        </w:rPr>
        <w:t>2.1 BREEAM Overview</w:t>
      </w:r>
    </w:p>
    <w:p w:rsidR="00AE0F5A" w:rsidRPr="002370AE" w:rsidRDefault="00AE0F5A" w:rsidP="00AE0F5A">
      <w:pPr>
        <w:spacing w:line="360" w:lineRule="auto"/>
        <w:ind w:firstLine="720"/>
        <w:rPr>
          <w:rFonts w:ascii="Arial" w:hAnsi="Arial" w:cs="Arial"/>
        </w:rPr>
      </w:pPr>
      <w:r w:rsidRPr="002370AE">
        <w:rPr>
          <w:rFonts w:ascii="Arial" w:hAnsi="Arial" w:cs="Arial"/>
        </w:rPr>
        <w:t>2.2 BREEAM Implementation</w:t>
      </w:r>
    </w:p>
    <w:p w:rsidR="00620C83" w:rsidRPr="002370AE" w:rsidRDefault="00AE0F5A" w:rsidP="001620D1">
      <w:pPr>
        <w:spacing w:line="360" w:lineRule="auto"/>
        <w:ind w:firstLine="720"/>
        <w:rPr>
          <w:rFonts w:ascii="Arial" w:hAnsi="Arial" w:cs="Arial"/>
        </w:rPr>
      </w:pPr>
      <w:r w:rsidRPr="002370AE">
        <w:rPr>
          <w:rFonts w:ascii="Arial" w:hAnsi="Arial" w:cs="Arial"/>
        </w:rPr>
        <w:t>2.3 BREEAM Design</w:t>
      </w:r>
      <w:r w:rsidR="00C66613" w:rsidRPr="002370AE">
        <w:rPr>
          <w:rFonts w:ascii="Arial" w:hAnsi="Arial" w:cs="Arial"/>
        </w:rPr>
        <w:t xml:space="preserve"> Criteria</w:t>
      </w:r>
    </w:p>
    <w:p w:rsidR="00620C83" w:rsidRPr="002370AE" w:rsidRDefault="00AE0F5A" w:rsidP="00C66613">
      <w:pPr>
        <w:spacing w:line="360" w:lineRule="auto"/>
        <w:ind w:firstLine="720"/>
        <w:rPr>
          <w:rFonts w:ascii="Arial" w:hAnsi="Arial" w:cs="Arial"/>
        </w:rPr>
      </w:pPr>
      <w:r w:rsidRPr="002370AE">
        <w:rPr>
          <w:rFonts w:ascii="Arial" w:hAnsi="Arial" w:cs="Arial"/>
        </w:rPr>
        <w:t>2.4 BREEAM Material</w:t>
      </w:r>
      <w:r w:rsidR="00C66613" w:rsidRPr="002370AE">
        <w:rPr>
          <w:rFonts w:ascii="Arial" w:hAnsi="Arial" w:cs="Arial"/>
        </w:rPr>
        <w:t>s Criteria</w:t>
      </w:r>
    </w:p>
    <w:p w:rsidR="00AE0F5A" w:rsidRPr="002370AE" w:rsidRDefault="00AE0F5A" w:rsidP="00C66613">
      <w:pPr>
        <w:spacing w:line="360" w:lineRule="auto"/>
        <w:rPr>
          <w:rFonts w:ascii="Arial" w:hAnsi="Arial" w:cs="Arial"/>
          <w:b/>
        </w:rPr>
      </w:pPr>
      <w:r w:rsidRPr="002370AE">
        <w:rPr>
          <w:rFonts w:ascii="Arial" w:hAnsi="Arial" w:cs="Arial"/>
          <w:b/>
        </w:rPr>
        <w:t>Chapter 3</w:t>
      </w:r>
    </w:p>
    <w:p w:rsidR="00AE0F5A" w:rsidRPr="002370AE" w:rsidRDefault="00AE0F5A" w:rsidP="00AE0F5A">
      <w:pPr>
        <w:spacing w:line="360" w:lineRule="auto"/>
        <w:ind w:firstLine="720"/>
        <w:rPr>
          <w:rFonts w:ascii="Arial" w:hAnsi="Arial" w:cs="Arial"/>
        </w:rPr>
      </w:pPr>
      <w:r w:rsidRPr="002370AE">
        <w:rPr>
          <w:rFonts w:ascii="Arial" w:hAnsi="Arial" w:cs="Arial"/>
        </w:rPr>
        <w:t>3.1 PassivHaus Overview</w:t>
      </w:r>
    </w:p>
    <w:p w:rsidR="00AE0F5A" w:rsidRPr="002370AE" w:rsidRDefault="00AE0F5A" w:rsidP="00AE0F5A">
      <w:pPr>
        <w:spacing w:line="360" w:lineRule="auto"/>
        <w:ind w:firstLine="720"/>
        <w:rPr>
          <w:rFonts w:ascii="Arial" w:hAnsi="Arial" w:cs="Arial"/>
        </w:rPr>
      </w:pPr>
      <w:r w:rsidRPr="002370AE">
        <w:rPr>
          <w:rFonts w:ascii="Arial" w:hAnsi="Arial" w:cs="Arial"/>
        </w:rPr>
        <w:t>3.2</w:t>
      </w:r>
      <w:r w:rsidR="00C66613" w:rsidRPr="002370AE">
        <w:rPr>
          <w:rFonts w:ascii="Arial" w:hAnsi="Arial" w:cs="Arial"/>
        </w:rPr>
        <w:t xml:space="preserve"> PassivHaus Implementation</w:t>
      </w:r>
    </w:p>
    <w:p w:rsidR="00C66613" w:rsidRPr="002370AE" w:rsidRDefault="00C66613" w:rsidP="00AE0F5A">
      <w:pPr>
        <w:spacing w:line="360" w:lineRule="auto"/>
        <w:ind w:firstLine="720"/>
        <w:rPr>
          <w:rFonts w:ascii="Arial" w:hAnsi="Arial" w:cs="Arial"/>
        </w:rPr>
      </w:pPr>
      <w:r w:rsidRPr="002370AE">
        <w:rPr>
          <w:rFonts w:ascii="Arial" w:hAnsi="Arial" w:cs="Arial"/>
        </w:rPr>
        <w:t xml:space="preserve">3.3 PassivHaus Design Criteria </w:t>
      </w:r>
    </w:p>
    <w:p w:rsidR="00C33612" w:rsidRPr="002370AE" w:rsidRDefault="00C66613" w:rsidP="001620D1">
      <w:pPr>
        <w:spacing w:line="360" w:lineRule="auto"/>
        <w:ind w:firstLine="720"/>
        <w:rPr>
          <w:rFonts w:ascii="Arial" w:hAnsi="Arial" w:cs="Arial"/>
        </w:rPr>
      </w:pPr>
      <w:r w:rsidRPr="002370AE">
        <w:rPr>
          <w:rFonts w:ascii="Arial" w:hAnsi="Arial" w:cs="Arial"/>
        </w:rPr>
        <w:t>3.4 PassivHaus Materials Criteria</w:t>
      </w:r>
    </w:p>
    <w:p w:rsidR="00C66613" w:rsidRPr="002370AE" w:rsidRDefault="00C66613" w:rsidP="00C66613">
      <w:pPr>
        <w:spacing w:line="360" w:lineRule="auto"/>
        <w:rPr>
          <w:rFonts w:ascii="Arial" w:hAnsi="Arial" w:cs="Arial"/>
          <w:b/>
        </w:rPr>
      </w:pPr>
      <w:r w:rsidRPr="002370AE">
        <w:rPr>
          <w:rFonts w:ascii="Arial" w:hAnsi="Arial" w:cs="Arial"/>
          <w:b/>
        </w:rPr>
        <w:t>Chapter 4</w:t>
      </w:r>
    </w:p>
    <w:p w:rsidR="00C66613" w:rsidRPr="002370AE" w:rsidRDefault="00C66613" w:rsidP="00C66613">
      <w:pPr>
        <w:spacing w:line="360" w:lineRule="auto"/>
        <w:rPr>
          <w:rFonts w:ascii="Arial" w:hAnsi="Arial" w:cs="Arial"/>
        </w:rPr>
      </w:pPr>
      <w:r w:rsidRPr="002370AE">
        <w:rPr>
          <w:rFonts w:ascii="Arial" w:hAnsi="Arial" w:cs="Arial"/>
          <w:b/>
        </w:rPr>
        <w:tab/>
      </w:r>
      <w:r w:rsidRPr="002370AE">
        <w:rPr>
          <w:rFonts w:ascii="Arial" w:hAnsi="Arial" w:cs="Arial"/>
        </w:rPr>
        <w:t>4.1 BREEAM-</w:t>
      </w:r>
      <w:r w:rsidR="00C33612" w:rsidRPr="002370AE">
        <w:rPr>
          <w:rFonts w:ascii="Arial" w:hAnsi="Arial" w:cs="Arial"/>
        </w:rPr>
        <w:t>PassivHaus</w:t>
      </w:r>
      <w:r w:rsidRPr="002370AE">
        <w:rPr>
          <w:rFonts w:ascii="Arial" w:hAnsi="Arial" w:cs="Arial"/>
        </w:rPr>
        <w:t xml:space="preserve"> Conclusion</w:t>
      </w:r>
    </w:p>
    <w:p w:rsidR="00941653" w:rsidRPr="002370AE" w:rsidRDefault="00941653" w:rsidP="00941653">
      <w:pPr>
        <w:spacing w:line="360" w:lineRule="auto"/>
        <w:jc w:val="both"/>
        <w:rPr>
          <w:rFonts w:ascii="Arial" w:hAnsi="Arial" w:cs="Arial"/>
          <w:b/>
        </w:rPr>
      </w:pPr>
    </w:p>
    <w:p w:rsidR="00941653" w:rsidRPr="002370AE" w:rsidRDefault="00941653" w:rsidP="00941653">
      <w:pPr>
        <w:spacing w:line="360" w:lineRule="auto"/>
        <w:jc w:val="both"/>
        <w:rPr>
          <w:rFonts w:ascii="Arial" w:hAnsi="Arial" w:cs="Arial"/>
          <w:b/>
        </w:rPr>
      </w:pPr>
      <w:r w:rsidRPr="002370AE">
        <w:rPr>
          <w:rFonts w:ascii="Arial" w:hAnsi="Arial" w:cs="Arial"/>
          <w:b/>
        </w:rPr>
        <w:t>Bibliography</w:t>
      </w:r>
    </w:p>
    <w:p w:rsidR="00941653" w:rsidRPr="002370AE" w:rsidRDefault="00941653" w:rsidP="00941653">
      <w:pPr>
        <w:spacing w:line="360" w:lineRule="auto"/>
        <w:jc w:val="both"/>
        <w:rPr>
          <w:rFonts w:ascii="Arial" w:hAnsi="Arial" w:cs="Arial"/>
          <w:b/>
        </w:rPr>
      </w:pPr>
    </w:p>
    <w:p w:rsidR="00941653" w:rsidRPr="002370AE" w:rsidRDefault="00941653" w:rsidP="00941653">
      <w:pPr>
        <w:spacing w:line="360" w:lineRule="auto"/>
        <w:jc w:val="both"/>
        <w:rPr>
          <w:rFonts w:ascii="Arial" w:hAnsi="Arial" w:cs="Arial"/>
          <w:b/>
        </w:rPr>
      </w:pPr>
      <w:r w:rsidRPr="002370AE">
        <w:rPr>
          <w:rFonts w:ascii="Arial" w:hAnsi="Arial" w:cs="Arial"/>
          <w:b/>
        </w:rPr>
        <w:t>References</w:t>
      </w:r>
    </w:p>
    <w:p w:rsidR="00941653" w:rsidRPr="002370AE" w:rsidRDefault="00941653" w:rsidP="00C66613">
      <w:pPr>
        <w:spacing w:line="360" w:lineRule="auto"/>
        <w:rPr>
          <w:rFonts w:ascii="Arial" w:hAnsi="Arial" w:cs="Arial"/>
        </w:rPr>
      </w:pPr>
    </w:p>
    <w:p w:rsidR="00AE0F5A" w:rsidRPr="002370AE" w:rsidRDefault="00AE0F5A" w:rsidP="00AE0F5A">
      <w:pPr>
        <w:spacing w:line="360" w:lineRule="auto"/>
        <w:rPr>
          <w:rFonts w:ascii="Arial" w:hAnsi="Arial" w:cs="Arial"/>
        </w:rPr>
      </w:pPr>
    </w:p>
    <w:p w:rsidR="005D42EB" w:rsidRPr="002370AE" w:rsidRDefault="005D42EB" w:rsidP="00870DFA">
      <w:pPr>
        <w:spacing w:line="360" w:lineRule="auto"/>
        <w:jc w:val="both"/>
        <w:rPr>
          <w:rFonts w:ascii="Arial" w:hAnsi="Arial" w:cs="Arial"/>
          <w:sz w:val="24"/>
          <w:szCs w:val="24"/>
        </w:rPr>
      </w:pPr>
    </w:p>
    <w:p w:rsidR="00941653" w:rsidRPr="002370AE" w:rsidRDefault="00941653" w:rsidP="00870DFA">
      <w:pPr>
        <w:spacing w:line="360" w:lineRule="auto"/>
        <w:jc w:val="both"/>
        <w:rPr>
          <w:rFonts w:ascii="Arial" w:hAnsi="Arial" w:cs="Arial"/>
          <w:sz w:val="24"/>
          <w:szCs w:val="24"/>
        </w:rPr>
      </w:pPr>
    </w:p>
    <w:p w:rsidR="00C33612" w:rsidRPr="002370AE" w:rsidRDefault="00C33612" w:rsidP="00870DFA">
      <w:pPr>
        <w:spacing w:line="360" w:lineRule="auto"/>
        <w:jc w:val="both"/>
        <w:rPr>
          <w:rFonts w:ascii="Arial" w:hAnsi="Arial" w:cs="Arial"/>
          <w:b/>
        </w:rPr>
      </w:pPr>
      <w:r w:rsidRPr="002370AE">
        <w:rPr>
          <w:rFonts w:ascii="Arial" w:hAnsi="Arial" w:cs="Arial"/>
          <w:b/>
        </w:rPr>
        <w:lastRenderedPageBreak/>
        <w:t>List of Figures</w:t>
      </w:r>
    </w:p>
    <w:p w:rsidR="00941653" w:rsidRPr="002370AE" w:rsidRDefault="00941653" w:rsidP="00870DFA">
      <w:pPr>
        <w:spacing w:line="360" w:lineRule="auto"/>
        <w:jc w:val="both"/>
        <w:rPr>
          <w:rFonts w:ascii="Arial" w:hAnsi="Arial" w:cs="Arial"/>
          <w:b/>
        </w:rPr>
      </w:pPr>
    </w:p>
    <w:p w:rsidR="00C33612" w:rsidRPr="002370AE" w:rsidRDefault="00C33612" w:rsidP="00870DFA">
      <w:pPr>
        <w:spacing w:line="360" w:lineRule="auto"/>
        <w:jc w:val="both"/>
        <w:rPr>
          <w:rFonts w:ascii="Arial" w:hAnsi="Arial" w:cs="Arial"/>
        </w:rPr>
      </w:pPr>
      <w:r w:rsidRPr="002370AE">
        <w:rPr>
          <w:rFonts w:ascii="Arial" w:hAnsi="Arial" w:cs="Arial"/>
          <w:b/>
        </w:rPr>
        <w:t xml:space="preserve">Figure 1.1: </w:t>
      </w:r>
      <w:r w:rsidRPr="002370AE">
        <w:rPr>
          <w:rFonts w:ascii="Arial" w:hAnsi="Arial" w:cs="Arial"/>
        </w:rPr>
        <w:t>Typical Electricity Use for Office Buildings (Greenwise Strategies, 2017)</w:t>
      </w:r>
    </w:p>
    <w:p w:rsidR="00C33612" w:rsidRPr="002370AE" w:rsidRDefault="00C33612" w:rsidP="00870DFA">
      <w:pPr>
        <w:spacing w:line="360" w:lineRule="auto"/>
        <w:jc w:val="both"/>
        <w:rPr>
          <w:rFonts w:ascii="Arial" w:hAnsi="Arial" w:cs="Arial"/>
        </w:rPr>
      </w:pPr>
      <w:r w:rsidRPr="002370AE">
        <w:rPr>
          <w:rFonts w:ascii="Arial" w:hAnsi="Arial" w:cs="Arial"/>
          <w:b/>
        </w:rPr>
        <w:t>Figure 2.1:</w:t>
      </w:r>
      <w:r w:rsidRPr="002370AE">
        <w:rPr>
          <w:rFonts w:ascii="Arial" w:hAnsi="Arial" w:cs="Arial"/>
        </w:rPr>
        <w:t xml:space="preserve"> BREEAM Logo (BRE, 2017)</w:t>
      </w:r>
    </w:p>
    <w:p w:rsidR="00620C83" w:rsidRPr="002370AE" w:rsidRDefault="00620C83" w:rsidP="00870DFA">
      <w:pPr>
        <w:spacing w:line="360" w:lineRule="auto"/>
        <w:jc w:val="both"/>
        <w:rPr>
          <w:rFonts w:ascii="Arial" w:hAnsi="Arial" w:cs="Arial"/>
        </w:rPr>
      </w:pPr>
      <w:r w:rsidRPr="002370AE">
        <w:rPr>
          <w:rFonts w:ascii="Arial" w:hAnsi="Arial" w:cs="Arial"/>
          <w:b/>
        </w:rPr>
        <w:t>Figure 2.2:</w:t>
      </w:r>
      <w:r w:rsidRPr="002370AE">
        <w:rPr>
          <w:rFonts w:ascii="Arial" w:hAnsi="Arial" w:cs="Arial"/>
        </w:rPr>
        <w:t xml:space="preserve"> Building Type Uptake of BREEAM In-Use. (BRE, 2015)</w:t>
      </w:r>
    </w:p>
    <w:p w:rsidR="00C66613" w:rsidRPr="002370AE" w:rsidRDefault="00C33612" w:rsidP="00870DFA">
      <w:pPr>
        <w:spacing w:line="360" w:lineRule="auto"/>
        <w:jc w:val="both"/>
        <w:rPr>
          <w:rFonts w:ascii="Arial" w:hAnsi="Arial" w:cs="Arial"/>
        </w:rPr>
      </w:pPr>
      <w:r w:rsidRPr="002370AE">
        <w:rPr>
          <w:rFonts w:ascii="Arial" w:hAnsi="Arial" w:cs="Arial"/>
          <w:b/>
        </w:rPr>
        <w:t>Figure 2.4:</w:t>
      </w:r>
      <w:r w:rsidRPr="002370AE">
        <w:rPr>
          <w:rFonts w:ascii="Arial" w:hAnsi="Arial" w:cs="Arial"/>
        </w:rPr>
        <w:t xml:space="preserve"> The Green Guide Explained. (BRE, 2015)</w:t>
      </w:r>
    </w:p>
    <w:p w:rsidR="00635445" w:rsidRPr="002370AE" w:rsidRDefault="00635445" w:rsidP="00870DFA">
      <w:pPr>
        <w:spacing w:line="360" w:lineRule="auto"/>
        <w:jc w:val="both"/>
        <w:rPr>
          <w:rFonts w:ascii="Arial" w:hAnsi="Arial" w:cs="Arial"/>
        </w:rPr>
      </w:pPr>
      <w:r w:rsidRPr="002370AE">
        <w:rPr>
          <w:rFonts w:ascii="Arial" w:hAnsi="Arial" w:cs="Arial"/>
          <w:b/>
        </w:rPr>
        <w:t>Figure 3.1:</w:t>
      </w:r>
      <w:r w:rsidRPr="002370AE">
        <w:rPr>
          <w:rFonts w:ascii="Arial" w:hAnsi="Arial" w:cs="Arial"/>
        </w:rPr>
        <w:t xml:space="preserve"> PassivHaus Logo. (PassivHaus, 2017)</w:t>
      </w:r>
    </w:p>
    <w:p w:rsidR="00635445" w:rsidRPr="002370AE" w:rsidRDefault="00635445" w:rsidP="00870DFA">
      <w:pPr>
        <w:spacing w:line="360" w:lineRule="auto"/>
        <w:jc w:val="both"/>
        <w:rPr>
          <w:rFonts w:ascii="Arial" w:hAnsi="Arial" w:cs="Arial"/>
        </w:rPr>
      </w:pPr>
      <w:r w:rsidRPr="002370AE">
        <w:rPr>
          <w:rFonts w:ascii="Arial" w:hAnsi="Arial" w:cs="Arial"/>
          <w:b/>
        </w:rPr>
        <w:t>Figure 3.2:</w:t>
      </w:r>
      <w:r w:rsidRPr="002370AE">
        <w:rPr>
          <w:rFonts w:ascii="Arial" w:hAnsi="Arial" w:cs="Arial"/>
        </w:rPr>
        <w:t xml:space="preserve"> D</w:t>
      </w:r>
      <w:r w:rsidR="000935C3" w:rsidRPr="002370AE">
        <w:rPr>
          <w:rFonts w:ascii="Arial" w:hAnsi="Arial" w:cs="Arial"/>
        </w:rPr>
        <w:t>esignPH Plugin Process. (Passiv</w:t>
      </w:r>
      <w:r w:rsidRPr="002370AE">
        <w:rPr>
          <w:rFonts w:ascii="Arial" w:hAnsi="Arial" w:cs="Arial"/>
        </w:rPr>
        <w:t xml:space="preserve">Haus </w:t>
      </w:r>
      <w:r w:rsidR="000935C3" w:rsidRPr="002370AE">
        <w:rPr>
          <w:rFonts w:ascii="Arial" w:hAnsi="Arial" w:cs="Arial"/>
        </w:rPr>
        <w:t>Institute</w:t>
      </w:r>
      <w:r w:rsidRPr="002370AE">
        <w:rPr>
          <w:rFonts w:ascii="Arial" w:hAnsi="Arial" w:cs="Arial"/>
        </w:rPr>
        <w:t>. 2017)</w:t>
      </w:r>
    </w:p>
    <w:p w:rsidR="00635445" w:rsidRPr="002370AE" w:rsidRDefault="00635445" w:rsidP="00870DFA">
      <w:pPr>
        <w:spacing w:line="360" w:lineRule="auto"/>
        <w:jc w:val="both"/>
        <w:rPr>
          <w:rFonts w:ascii="Arial" w:hAnsi="Arial" w:cs="Arial"/>
        </w:rPr>
      </w:pPr>
      <w:r w:rsidRPr="002370AE">
        <w:rPr>
          <w:rFonts w:ascii="Arial" w:hAnsi="Arial" w:cs="Arial"/>
          <w:b/>
        </w:rPr>
        <w:t>Figure 3.3:</w:t>
      </w:r>
      <w:r w:rsidRPr="002370AE">
        <w:rPr>
          <w:rFonts w:ascii="Arial" w:hAnsi="Arial" w:cs="Arial"/>
        </w:rPr>
        <w:t xml:space="preserve"> Design Principe for PassivHaus. (PassivHaus Institute. 2017)</w:t>
      </w:r>
    </w:p>
    <w:p w:rsidR="00C33612" w:rsidRPr="002370AE" w:rsidRDefault="00635445" w:rsidP="00870DFA">
      <w:pPr>
        <w:spacing w:line="360" w:lineRule="auto"/>
        <w:jc w:val="both"/>
        <w:rPr>
          <w:rFonts w:ascii="Arial" w:hAnsi="Arial" w:cs="Arial"/>
        </w:rPr>
      </w:pPr>
      <w:r w:rsidRPr="002370AE">
        <w:rPr>
          <w:rFonts w:ascii="Arial" w:hAnsi="Arial" w:cs="Arial"/>
          <w:b/>
        </w:rPr>
        <w:t>Figure 4.1:</w:t>
      </w:r>
      <w:r w:rsidRPr="002370AE">
        <w:rPr>
          <w:rFonts w:ascii="Arial" w:hAnsi="Arial" w:cs="Arial"/>
        </w:rPr>
        <w:t xml:space="preserve"> The Enterprise Centre, UEA. (Morgan Sindall Construction. 2017)</w:t>
      </w: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941653" w:rsidRPr="002370AE" w:rsidRDefault="00941653"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C33612" w:rsidRPr="002370AE" w:rsidRDefault="00C33612" w:rsidP="00870DFA">
      <w:pPr>
        <w:spacing w:line="360" w:lineRule="auto"/>
        <w:jc w:val="both"/>
        <w:rPr>
          <w:rFonts w:ascii="Arial" w:hAnsi="Arial" w:cs="Arial"/>
          <w:b/>
          <w:u w:val="single"/>
        </w:rPr>
      </w:pPr>
    </w:p>
    <w:p w:rsidR="00F3388E" w:rsidRPr="002370AE" w:rsidRDefault="00F3388E" w:rsidP="00870DFA">
      <w:pPr>
        <w:spacing w:line="360" w:lineRule="auto"/>
        <w:jc w:val="both"/>
        <w:rPr>
          <w:rFonts w:ascii="Arial" w:hAnsi="Arial" w:cs="Arial"/>
          <w:b/>
          <w:u w:val="single"/>
        </w:rPr>
      </w:pPr>
    </w:p>
    <w:p w:rsidR="00620C83" w:rsidRPr="002370AE" w:rsidRDefault="00620C83" w:rsidP="00C66613">
      <w:pPr>
        <w:spacing w:line="360" w:lineRule="auto"/>
        <w:jc w:val="right"/>
        <w:rPr>
          <w:rFonts w:ascii="Arial" w:hAnsi="Arial" w:cs="Arial"/>
          <w:b/>
        </w:rPr>
      </w:pPr>
    </w:p>
    <w:p w:rsidR="00C66613" w:rsidRPr="002370AE" w:rsidRDefault="00C66613" w:rsidP="00C66613">
      <w:pPr>
        <w:spacing w:line="360" w:lineRule="auto"/>
        <w:jc w:val="right"/>
        <w:rPr>
          <w:rFonts w:ascii="Arial" w:hAnsi="Arial" w:cs="Arial"/>
          <w:b/>
        </w:rPr>
      </w:pPr>
      <w:bookmarkStart w:id="0" w:name="_Hlk497298942"/>
      <w:r w:rsidRPr="002370AE">
        <w:rPr>
          <w:rFonts w:ascii="Arial" w:hAnsi="Arial" w:cs="Arial"/>
          <w:b/>
        </w:rPr>
        <w:lastRenderedPageBreak/>
        <w:t>Chapter 1</w:t>
      </w:r>
    </w:p>
    <w:p w:rsidR="00E874C7" w:rsidRPr="002370AE" w:rsidRDefault="00E874C7" w:rsidP="007C313B">
      <w:pPr>
        <w:spacing w:line="360" w:lineRule="auto"/>
        <w:jc w:val="both"/>
        <w:rPr>
          <w:rFonts w:ascii="Arial" w:hAnsi="Arial" w:cs="Arial"/>
          <w:b/>
        </w:rPr>
      </w:pPr>
      <w:r w:rsidRPr="002370AE">
        <w:rPr>
          <w:rFonts w:ascii="Arial" w:hAnsi="Arial" w:cs="Arial"/>
          <w:b/>
        </w:rPr>
        <w:t>1.1</w:t>
      </w:r>
      <w:r w:rsidR="00C66613" w:rsidRPr="002370AE">
        <w:rPr>
          <w:rFonts w:ascii="Arial" w:hAnsi="Arial" w:cs="Arial"/>
          <w:b/>
        </w:rPr>
        <w:t xml:space="preserve"> </w:t>
      </w:r>
      <w:r w:rsidRPr="002370AE">
        <w:rPr>
          <w:rFonts w:ascii="Arial" w:hAnsi="Arial" w:cs="Arial"/>
          <w:b/>
        </w:rPr>
        <w:t>Introduction</w:t>
      </w:r>
    </w:p>
    <w:bookmarkEnd w:id="0"/>
    <w:p w:rsidR="00E874C7" w:rsidRPr="002370AE" w:rsidRDefault="00C66613" w:rsidP="007C313B">
      <w:pPr>
        <w:spacing w:line="360" w:lineRule="auto"/>
        <w:ind w:firstLine="720"/>
        <w:jc w:val="both"/>
        <w:rPr>
          <w:rFonts w:ascii="Arial" w:hAnsi="Arial" w:cs="Arial"/>
        </w:rPr>
      </w:pPr>
      <w:r w:rsidRPr="002370AE">
        <w:rPr>
          <w:rFonts w:ascii="Arial" w:hAnsi="Arial" w:cs="Arial"/>
        </w:rPr>
        <w:t>Increasing concerns with the state of global weather patterns and environmental destruction from pollution has been a growing issue to be tackled on the agenda of many countries.</w:t>
      </w:r>
      <w:r w:rsidR="001B2AC8" w:rsidRPr="002370AE">
        <w:rPr>
          <w:rFonts w:ascii="Arial" w:hAnsi="Arial" w:cs="Arial"/>
        </w:rPr>
        <w:t xml:space="preserve"> In the UK particularly, a shortage of affordable housing has resulted in an additional investment of “£2bn in affordable housing” (Building Specifier, 2017) and as the country has the oldest houses in the EU, with over half built before 1960’ (The Guardian, 2017) it is imperative to make these new structures as energy efficient as possible. </w:t>
      </w:r>
      <w:r w:rsidR="00031B7A" w:rsidRPr="002370AE">
        <w:rPr>
          <w:rFonts w:ascii="Arial" w:hAnsi="Arial" w:cs="Arial"/>
        </w:rPr>
        <w:t>This extends also to a commercial setting, whereby usage of electricity and heating have an overbearing effect on energy demands, as seen from figure 1.1, the largest consumers of energy are ‘41% on heating and Air conditioning’’ and ‘36% on Interior Lighting’, both aspects of which can be designed and specified prior to construction.</w:t>
      </w:r>
    </w:p>
    <w:p w:rsidR="00031B7A" w:rsidRPr="002370AE" w:rsidRDefault="00031B7A" w:rsidP="007C313B">
      <w:pPr>
        <w:spacing w:line="360" w:lineRule="auto"/>
        <w:ind w:firstLine="720"/>
        <w:jc w:val="both"/>
        <w:rPr>
          <w:rFonts w:ascii="Arial" w:hAnsi="Arial" w:cs="Arial"/>
        </w:rPr>
      </w:pPr>
      <w:r w:rsidRPr="002370AE">
        <w:rPr>
          <w:noProof/>
          <w:lang w:eastAsia="en-GB"/>
        </w:rPr>
        <w:drawing>
          <wp:inline distT="0" distB="0" distL="0" distR="0">
            <wp:extent cx="4859655" cy="2816860"/>
            <wp:effectExtent l="0" t="0" r="0" b="2540"/>
            <wp:docPr id="3" name="Picture 3" descr="http://greenwisestrategies.com/wp-content/themes/greenwise-strategies/images/electricity-u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greenwisestrategies.com/wp-content/themes/greenwise-strategies/images/electricity-us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9655" cy="2816860"/>
                    </a:xfrm>
                    <a:prstGeom prst="rect">
                      <a:avLst/>
                    </a:prstGeom>
                    <a:noFill/>
                    <a:ln>
                      <a:noFill/>
                    </a:ln>
                  </pic:spPr>
                </pic:pic>
              </a:graphicData>
            </a:graphic>
          </wp:inline>
        </w:drawing>
      </w:r>
    </w:p>
    <w:p w:rsidR="00031B7A" w:rsidRPr="002370AE" w:rsidRDefault="00031B7A" w:rsidP="007C313B">
      <w:pPr>
        <w:spacing w:line="360" w:lineRule="auto"/>
        <w:jc w:val="both"/>
        <w:rPr>
          <w:rFonts w:ascii="Arial" w:hAnsi="Arial" w:cs="Arial"/>
          <w:b/>
          <w:i/>
        </w:rPr>
      </w:pPr>
      <w:r w:rsidRPr="002370AE">
        <w:rPr>
          <w:rFonts w:ascii="Arial" w:hAnsi="Arial" w:cs="Arial"/>
          <w:b/>
          <w:i/>
        </w:rPr>
        <w:t>Figure 1.1 – Typical Electricity Use for Office Buildings</w:t>
      </w:r>
      <w:r w:rsidR="00374834" w:rsidRPr="002370AE">
        <w:rPr>
          <w:rFonts w:ascii="Arial" w:hAnsi="Arial" w:cs="Arial"/>
          <w:b/>
          <w:i/>
        </w:rPr>
        <w:t xml:space="preserve"> (Greenwise Strategies, 2017)</w:t>
      </w:r>
    </w:p>
    <w:p w:rsidR="00031B7A" w:rsidRPr="002370AE" w:rsidRDefault="00031B7A" w:rsidP="007C313B">
      <w:pPr>
        <w:spacing w:line="360" w:lineRule="auto"/>
        <w:ind w:firstLine="720"/>
        <w:jc w:val="both"/>
        <w:rPr>
          <w:rFonts w:ascii="Arial" w:hAnsi="Arial" w:cs="Arial"/>
        </w:rPr>
      </w:pPr>
    </w:p>
    <w:p w:rsidR="00620C83" w:rsidRPr="002370AE" w:rsidRDefault="001B2AC8" w:rsidP="00620C83">
      <w:pPr>
        <w:spacing w:line="360" w:lineRule="auto"/>
        <w:ind w:firstLine="720"/>
        <w:jc w:val="both"/>
        <w:rPr>
          <w:rFonts w:ascii="Arial" w:hAnsi="Arial" w:cs="Arial"/>
        </w:rPr>
      </w:pPr>
      <w:r w:rsidRPr="002370AE">
        <w:rPr>
          <w:rFonts w:ascii="Arial" w:hAnsi="Arial" w:cs="Arial"/>
        </w:rPr>
        <w:t xml:space="preserve">It its legislation and schemes such as the Government backed RHI, </w:t>
      </w:r>
      <w:r w:rsidRPr="002370AE">
        <w:rPr>
          <w:rFonts w:ascii="Arial" w:hAnsi="Arial" w:cs="Arial"/>
          <w:i/>
        </w:rPr>
        <w:t>Renewable Heat Imitative</w:t>
      </w:r>
      <w:r w:rsidR="00031B7A" w:rsidRPr="002370AE">
        <w:rPr>
          <w:rFonts w:ascii="Arial" w:hAnsi="Arial" w:cs="Arial"/>
        </w:rPr>
        <w:t xml:space="preserve">, </w:t>
      </w:r>
      <w:r w:rsidRPr="002370AE">
        <w:rPr>
          <w:rFonts w:ascii="Arial" w:hAnsi="Arial" w:cs="Arial"/>
        </w:rPr>
        <w:t xml:space="preserve">and Green </w:t>
      </w:r>
      <w:r w:rsidR="00031B7A" w:rsidRPr="002370AE">
        <w:rPr>
          <w:rFonts w:ascii="Arial" w:hAnsi="Arial" w:cs="Arial"/>
        </w:rPr>
        <w:t>Deal that currently push existing and new homeowners to increase energy efficiency of their homes in forms of generation and retention by insulative measures.</w:t>
      </w:r>
      <w:r w:rsidR="00374834" w:rsidRPr="002370AE">
        <w:rPr>
          <w:rFonts w:ascii="Arial" w:hAnsi="Arial" w:cs="Arial"/>
        </w:rPr>
        <w:t xml:space="preserve"> More specialised schemes such as BREEAM and </w:t>
      </w:r>
      <w:r w:rsidR="00C33612" w:rsidRPr="002370AE">
        <w:rPr>
          <w:rFonts w:ascii="Arial" w:hAnsi="Arial" w:cs="Arial"/>
        </w:rPr>
        <w:t>PassivHaus</w:t>
      </w:r>
      <w:r w:rsidR="00374834" w:rsidRPr="002370AE">
        <w:rPr>
          <w:rFonts w:ascii="Arial" w:hAnsi="Arial" w:cs="Arial"/>
        </w:rPr>
        <w:t xml:space="preserve"> intend on pushing these standards to that of beyond the UK’s Building Regulations Document L: Conservation of fuel and power</w:t>
      </w:r>
      <w:r w:rsidR="0062320E" w:rsidRPr="002370AE">
        <w:rPr>
          <w:rFonts w:ascii="Arial" w:hAnsi="Arial" w:cs="Arial"/>
        </w:rPr>
        <w:t xml:space="preserve"> in contributing to </w:t>
      </w:r>
      <w:r w:rsidR="00DD2751" w:rsidRPr="002370AE">
        <w:rPr>
          <w:rFonts w:ascii="Arial" w:hAnsi="Arial" w:cs="Arial"/>
        </w:rPr>
        <w:t>global sustainability.</w:t>
      </w:r>
    </w:p>
    <w:p w:rsidR="00DD2751" w:rsidRPr="002370AE" w:rsidRDefault="00DD2751" w:rsidP="00620C83">
      <w:pPr>
        <w:spacing w:line="360" w:lineRule="auto"/>
        <w:ind w:firstLine="720"/>
        <w:jc w:val="right"/>
        <w:rPr>
          <w:rFonts w:ascii="Arial" w:hAnsi="Arial" w:cs="Arial"/>
          <w:b/>
        </w:rPr>
      </w:pPr>
    </w:p>
    <w:p w:rsidR="00374834" w:rsidRPr="002370AE" w:rsidRDefault="00374834" w:rsidP="00620C83">
      <w:pPr>
        <w:spacing w:line="360" w:lineRule="auto"/>
        <w:ind w:firstLine="720"/>
        <w:jc w:val="right"/>
        <w:rPr>
          <w:rFonts w:ascii="Arial" w:hAnsi="Arial" w:cs="Arial"/>
        </w:rPr>
      </w:pPr>
      <w:r w:rsidRPr="002370AE">
        <w:rPr>
          <w:rFonts w:ascii="Arial" w:hAnsi="Arial" w:cs="Arial"/>
          <w:b/>
        </w:rPr>
        <w:lastRenderedPageBreak/>
        <w:t>Chapter 2</w:t>
      </w:r>
    </w:p>
    <w:p w:rsidR="00374834" w:rsidRPr="002370AE" w:rsidRDefault="00374834" w:rsidP="007C313B">
      <w:pPr>
        <w:spacing w:line="360" w:lineRule="auto"/>
        <w:jc w:val="both"/>
        <w:rPr>
          <w:rFonts w:ascii="Arial" w:hAnsi="Arial" w:cs="Arial"/>
          <w:b/>
        </w:rPr>
      </w:pPr>
      <w:r w:rsidRPr="002370AE">
        <w:rPr>
          <w:rFonts w:ascii="Arial" w:hAnsi="Arial" w:cs="Arial"/>
          <w:b/>
        </w:rPr>
        <w:t>2.1 BREEAM Overview</w:t>
      </w:r>
    </w:p>
    <w:p w:rsidR="001B2AC8" w:rsidRPr="002370AE" w:rsidRDefault="00374834" w:rsidP="007C313B">
      <w:pPr>
        <w:spacing w:line="360" w:lineRule="auto"/>
        <w:jc w:val="both"/>
        <w:rPr>
          <w:rFonts w:ascii="Arial" w:hAnsi="Arial" w:cs="Arial"/>
        </w:rPr>
      </w:pPr>
      <w:r w:rsidRPr="002370AE">
        <w:rPr>
          <w:rFonts w:ascii="Arial" w:hAnsi="Arial" w:cs="Arial"/>
        </w:rPr>
        <w:tab/>
        <w:t xml:space="preserve">BREEAM is a privatised company that is a sister body of the BRE Organisation, </w:t>
      </w:r>
      <w:r w:rsidRPr="002370AE">
        <w:rPr>
          <w:rFonts w:ascii="Arial" w:hAnsi="Arial" w:cs="Arial"/>
          <w:i/>
        </w:rPr>
        <w:t>The Building Research Establishment</w:t>
      </w:r>
      <w:r w:rsidRPr="002370AE">
        <w:rPr>
          <w:rFonts w:ascii="Arial" w:hAnsi="Arial" w:cs="Arial"/>
        </w:rPr>
        <w:t xml:space="preserve">, and works closely with public </w:t>
      </w:r>
      <w:r w:rsidR="002370AE" w:rsidRPr="002370AE">
        <w:rPr>
          <w:rFonts w:ascii="Arial" w:hAnsi="Arial" w:cs="Arial"/>
        </w:rPr>
        <w:t>sector</w:t>
      </w:r>
      <w:r w:rsidRPr="002370AE">
        <w:rPr>
          <w:rFonts w:ascii="Arial" w:hAnsi="Arial" w:cs="Arial"/>
        </w:rPr>
        <w:t xml:space="preserve"> projects and the UK Government.</w:t>
      </w:r>
      <w:r w:rsidR="007C313B" w:rsidRPr="002370AE">
        <w:rPr>
          <w:rFonts w:ascii="Arial" w:hAnsi="Arial" w:cs="Arial"/>
        </w:rPr>
        <w:br/>
      </w:r>
    </w:p>
    <w:p w:rsidR="00C33612" w:rsidRPr="002370AE" w:rsidRDefault="00C33612" w:rsidP="007C313B">
      <w:pPr>
        <w:spacing w:line="360" w:lineRule="auto"/>
        <w:jc w:val="center"/>
        <w:rPr>
          <w:rFonts w:ascii="Arial" w:hAnsi="Arial" w:cs="Arial"/>
          <w:b/>
        </w:rPr>
      </w:pPr>
      <w:r w:rsidRPr="002370AE">
        <w:rPr>
          <w:noProof/>
          <w:lang w:eastAsia="en-GB"/>
        </w:rPr>
        <w:drawing>
          <wp:inline distT="0" distB="0" distL="0" distR="0">
            <wp:extent cx="1600200" cy="383540"/>
            <wp:effectExtent l="0" t="0" r="0" b="0"/>
            <wp:docPr id="5" name="Picture 5" descr="BRE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EE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00200" cy="383540"/>
                    </a:xfrm>
                    <a:prstGeom prst="rect">
                      <a:avLst/>
                    </a:prstGeom>
                    <a:noFill/>
                    <a:ln>
                      <a:noFill/>
                    </a:ln>
                  </pic:spPr>
                </pic:pic>
              </a:graphicData>
            </a:graphic>
          </wp:inline>
        </w:drawing>
      </w:r>
    </w:p>
    <w:p w:rsidR="00C33612" w:rsidRPr="002370AE" w:rsidRDefault="00C33612" w:rsidP="007C313B">
      <w:pPr>
        <w:spacing w:line="360" w:lineRule="auto"/>
        <w:jc w:val="center"/>
        <w:rPr>
          <w:rFonts w:ascii="Arial" w:hAnsi="Arial" w:cs="Arial"/>
          <w:b/>
          <w:i/>
        </w:rPr>
      </w:pPr>
      <w:r w:rsidRPr="002370AE">
        <w:rPr>
          <w:rFonts w:ascii="Arial" w:hAnsi="Arial" w:cs="Arial"/>
          <w:b/>
          <w:i/>
        </w:rPr>
        <w:t>Figure 2.1 – BREAAM Logo (BRE, 2017)</w:t>
      </w:r>
    </w:p>
    <w:p w:rsidR="007C313B" w:rsidRPr="002370AE" w:rsidRDefault="007C313B" w:rsidP="007C313B">
      <w:pPr>
        <w:spacing w:line="360" w:lineRule="auto"/>
        <w:jc w:val="both"/>
        <w:rPr>
          <w:rFonts w:ascii="Arial" w:hAnsi="Arial" w:cs="Arial"/>
        </w:rPr>
      </w:pPr>
      <w:r w:rsidRPr="002370AE">
        <w:rPr>
          <w:rFonts w:ascii="Arial" w:hAnsi="Arial" w:cs="Arial"/>
        </w:rPr>
        <w:tab/>
      </w:r>
    </w:p>
    <w:p w:rsidR="00C33612" w:rsidRPr="002370AE" w:rsidRDefault="007C313B" w:rsidP="007C313B">
      <w:pPr>
        <w:spacing w:line="360" w:lineRule="auto"/>
        <w:ind w:firstLine="720"/>
        <w:jc w:val="both"/>
        <w:rPr>
          <w:rFonts w:ascii="Arial" w:hAnsi="Arial" w:cs="Arial"/>
        </w:rPr>
      </w:pPr>
      <w:r w:rsidRPr="002370AE">
        <w:rPr>
          <w:rFonts w:ascii="Arial" w:hAnsi="Arial" w:cs="Arial"/>
        </w:rPr>
        <w:t>Launched in 1990, the scheme aims to increase the all-round sustainability of the development, from the number of cycle storage units to the efficiency of the management during construction. It ensures that the building is not only efficient in terms of adapting to the purpose it serves, but the parties that are affected by the construction process.</w:t>
      </w:r>
    </w:p>
    <w:p w:rsidR="007C313B" w:rsidRPr="002370AE" w:rsidRDefault="007C313B" w:rsidP="007C313B">
      <w:pPr>
        <w:spacing w:line="360" w:lineRule="auto"/>
        <w:ind w:firstLine="720"/>
        <w:jc w:val="both"/>
        <w:rPr>
          <w:rFonts w:ascii="Arial" w:hAnsi="Arial" w:cs="Arial"/>
        </w:rPr>
      </w:pPr>
    </w:p>
    <w:p w:rsidR="007C313B" w:rsidRPr="002370AE" w:rsidRDefault="007C313B" w:rsidP="007C313B">
      <w:pPr>
        <w:spacing w:line="360" w:lineRule="auto"/>
        <w:jc w:val="both"/>
        <w:rPr>
          <w:rFonts w:ascii="Arial" w:hAnsi="Arial" w:cs="Arial"/>
          <w:b/>
        </w:rPr>
      </w:pPr>
      <w:r w:rsidRPr="002370AE">
        <w:rPr>
          <w:rFonts w:ascii="Arial" w:hAnsi="Arial" w:cs="Arial"/>
          <w:b/>
        </w:rPr>
        <w:t>2.2 BREEAM Implementation</w:t>
      </w:r>
    </w:p>
    <w:p w:rsidR="007C313B" w:rsidRPr="002370AE" w:rsidRDefault="007C313B" w:rsidP="007C313B">
      <w:pPr>
        <w:spacing w:line="360" w:lineRule="auto"/>
        <w:jc w:val="both"/>
        <w:rPr>
          <w:rFonts w:ascii="Arial" w:hAnsi="Arial" w:cs="Arial"/>
        </w:rPr>
      </w:pPr>
      <w:r w:rsidRPr="002370AE">
        <w:rPr>
          <w:rFonts w:ascii="Arial" w:hAnsi="Arial" w:cs="Arial"/>
          <w:b/>
        </w:rPr>
        <w:tab/>
      </w:r>
      <w:r w:rsidRPr="002370AE">
        <w:rPr>
          <w:rFonts w:ascii="Arial" w:hAnsi="Arial" w:cs="Arial"/>
        </w:rPr>
        <w:t>With the backing of the Government and public funded projects, the uptake on BREEAM in the UK has been positive</w:t>
      </w:r>
      <w:r w:rsidR="007C5B42" w:rsidRPr="002370AE">
        <w:rPr>
          <w:rFonts w:ascii="Arial" w:hAnsi="Arial" w:cs="Arial"/>
        </w:rPr>
        <w:t>,</w:t>
      </w:r>
      <w:r w:rsidRPr="002370AE">
        <w:rPr>
          <w:rFonts w:ascii="Arial" w:hAnsi="Arial" w:cs="Arial"/>
        </w:rPr>
        <w:t xml:space="preserve"> as matched by its global performance, with </w:t>
      </w:r>
      <w:r w:rsidR="007C5B42" w:rsidRPr="002370AE">
        <w:rPr>
          <w:rFonts w:ascii="Arial" w:hAnsi="Arial" w:cs="Arial"/>
        </w:rPr>
        <w:t>‘</w:t>
      </w:r>
      <w:r w:rsidRPr="002370AE">
        <w:rPr>
          <w:rFonts w:ascii="Arial" w:hAnsi="Arial" w:cs="Arial"/>
        </w:rPr>
        <w:t>2,</w:t>
      </w:r>
      <w:r w:rsidR="007C5B42" w:rsidRPr="002370AE">
        <w:rPr>
          <w:rFonts w:ascii="Arial" w:hAnsi="Arial" w:cs="Arial"/>
        </w:rPr>
        <w:t>266,155 registered buildings, 562,484 certifications and practicing in 76 countries’ (BRE, 2015). As figure 2.2 shows the uptake of the BREEAM Scheme is largely dominated in the Commercial Sector in both Part and Part 2.</w:t>
      </w:r>
    </w:p>
    <w:p w:rsidR="007C5B42" w:rsidRPr="002370AE" w:rsidRDefault="007C5B42" w:rsidP="007C5B42">
      <w:pPr>
        <w:spacing w:line="360" w:lineRule="auto"/>
        <w:jc w:val="center"/>
        <w:rPr>
          <w:rFonts w:ascii="Arial" w:hAnsi="Arial" w:cs="Arial"/>
        </w:rPr>
      </w:pPr>
      <w:r w:rsidRPr="002370AE">
        <w:rPr>
          <w:noProof/>
          <w:lang w:eastAsia="en-GB"/>
        </w:rPr>
        <w:drawing>
          <wp:inline distT="0" distB="0" distL="0" distR="0" wp14:anchorId="5D874180" wp14:editId="2D506CB8">
            <wp:extent cx="5130243" cy="2263878"/>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85902" cy="2288439"/>
                    </a:xfrm>
                    <a:prstGeom prst="rect">
                      <a:avLst/>
                    </a:prstGeom>
                  </pic:spPr>
                </pic:pic>
              </a:graphicData>
            </a:graphic>
          </wp:inline>
        </w:drawing>
      </w:r>
    </w:p>
    <w:p w:rsidR="00090EC3" w:rsidRPr="002370AE" w:rsidRDefault="007C5B42" w:rsidP="00941653">
      <w:pPr>
        <w:spacing w:line="360" w:lineRule="auto"/>
        <w:jc w:val="center"/>
        <w:rPr>
          <w:rFonts w:ascii="Arial" w:hAnsi="Arial" w:cs="Arial"/>
          <w:b/>
          <w:i/>
        </w:rPr>
      </w:pPr>
      <w:r w:rsidRPr="002370AE">
        <w:rPr>
          <w:rFonts w:ascii="Arial" w:hAnsi="Arial" w:cs="Arial"/>
          <w:b/>
          <w:i/>
        </w:rPr>
        <w:t>Figure 2.2: Building Type Uptake of BREEAM In-Use. (BRE, 2015)</w:t>
      </w:r>
    </w:p>
    <w:p w:rsidR="007C313B" w:rsidRPr="002370AE" w:rsidRDefault="007C313B" w:rsidP="007C313B">
      <w:pPr>
        <w:spacing w:line="360" w:lineRule="auto"/>
        <w:jc w:val="both"/>
        <w:rPr>
          <w:rFonts w:ascii="Arial" w:hAnsi="Arial" w:cs="Arial"/>
          <w:b/>
        </w:rPr>
      </w:pPr>
      <w:r w:rsidRPr="002370AE">
        <w:rPr>
          <w:rFonts w:ascii="Arial" w:hAnsi="Arial" w:cs="Arial"/>
          <w:b/>
        </w:rPr>
        <w:lastRenderedPageBreak/>
        <w:t>2.3 BREEAM Design</w:t>
      </w:r>
    </w:p>
    <w:p w:rsidR="007C313B" w:rsidRPr="002370AE" w:rsidRDefault="00090EC3" w:rsidP="007C313B">
      <w:pPr>
        <w:spacing w:line="360" w:lineRule="auto"/>
        <w:jc w:val="both"/>
        <w:rPr>
          <w:rFonts w:ascii="Arial" w:hAnsi="Arial" w:cs="Arial"/>
        </w:rPr>
      </w:pPr>
      <w:r w:rsidRPr="002370AE">
        <w:rPr>
          <w:rFonts w:ascii="Arial" w:hAnsi="Arial" w:cs="Arial"/>
          <w:b/>
        </w:rPr>
        <w:tab/>
      </w:r>
      <w:r w:rsidRPr="002370AE">
        <w:rPr>
          <w:rFonts w:ascii="Arial" w:hAnsi="Arial" w:cs="Arial"/>
        </w:rPr>
        <w:t>A BREEAM design scheme begins at early management stages, multiple meetings with stakeholders ensures that all parties involved are aware of the design pathway and affected in a sustainable way. The design applies to all eight sections of the schemes rating:</w:t>
      </w:r>
    </w:p>
    <w:tbl>
      <w:tblPr>
        <w:tblStyle w:val="TableGrid"/>
        <w:tblpPr w:leftFromText="180" w:rightFromText="180" w:vertAnchor="text" w:horzAnchor="margin" w:tblpXSpec="center" w:tblpY="110"/>
        <w:tblW w:w="0" w:type="auto"/>
        <w:jc w:val="center"/>
        <w:tblLook w:val="04A0" w:firstRow="1" w:lastRow="0" w:firstColumn="1" w:lastColumn="0" w:noHBand="0" w:noVBand="1"/>
      </w:tblPr>
      <w:tblGrid>
        <w:gridCol w:w="1937"/>
        <w:gridCol w:w="7079"/>
      </w:tblGrid>
      <w:tr w:rsidR="00AB35FB" w:rsidRPr="002370AE" w:rsidTr="002D13E0">
        <w:trPr>
          <w:jc w:val="center"/>
        </w:trPr>
        <w:tc>
          <w:tcPr>
            <w:tcW w:w="1413" w:type="dxa"/>
            <w:vAlign w:val="center"/>
          </w:tcPr>
          <w:p w:rsidR="00AB35FB" w:rsidRPr="002370AE" w:rsidRDefault="00AB35FB" w:rsidP="002D13E0">
            <w:pPr>
              <w:spacing w:line="360" w:lineRule="auto"/>
              <w:jc w:val="center"/>
              <w:rPr>
                <w:rFonts w:ascii="Arial" w:hAnsi="Arial" w:cs="Arial"/>
                <w:noProof/>
                <w:sz w:val="24"/>
                <w:szCs w:val="24"/>
                <w:lang w:eastAsia="en-GB"/>
              </w:rPr>
            </w:pPr>
            <w:r w:rsidRPr="002370AE">
              <w:rPr>
                <w:rFonts w:ascii="Arial" w:hAnsi="Arial" w:cs="Arial"/>
                <w:noProof/>
                <w:sz w:val="24"/>
                <w:szCs w:val="24"/>
                <w:lang w:eastAsia="en-GB"/>
              </w:rPr>
              <w:t>Category</w:t>
            </w:r>
          </w:p>
        </w:tc>
        <w:tc>
          <w:tcPr>
            <w:tcW w:w="7603" w:type="dxa"/>
            <w:vAlign w:val="center"/>
          </w:tcPr>
          <w:p w:rsidR="00AB35FB" w:rsidRPr="002370AE" w:rsidRDefault="0028787C" w:rsidP="002D13E0">
            <w:pPr>
              <w:spacing w:line="360" w:lineRule="auto"/>
              <w:jc w:val="center"/>
              <w:rPr>
                <w:rFonts w:ascii="Arial" w:hAnsi="Arial" w:cs="Arial"/>
                <w:sz w:val="24"/>
                <w:szCs w:val="24"/>
              </w:rPr>
            </w:pPr>
            <w:r w:rsidRPr="002370AE">
              <w:rPr>
                <w:rFonts w:ascii="Arial" w:hAnsi="Arial" w:cs="Arial"/>
                <w:sz w:val="24"/>
                <w:szCs w:val="24"/>
              </w:rPr>
              <w:t>Implementation of Design</w:t>
            </w:r>
          </w:p>
        </w:tc>
      </w:tr>
      <w:tr w:rsidR="00AB35FB" w:rsidRPr="002370AE" w:rsidTr="002D13E0">
        <w:trPr>
          <w:jc w:val="center"/>
        </w:trPr>
        <w:tc>
          <w:tcPr>
            <w:tcW w:w="1413" w:type="dxa"/>
            <w:vAlign w:val="center"/>
          </w:tcPr>
          <w:p w:rsidR="00AB35FB" w:rsidRPr="002370AE" w:rsidRDefault="00AB35FB" w:rsidP="002D13E0">
            <w:pPr>
              <w:spacing w:line="360" w:lineRule="auto"/>
              <w:jc w:val="both"/>
              <w:rPr>
                <w:rFonts w:ascii="Arial" w:hAnsi="Arial" w:cs="Arial"/>
                <w:sz w:val="24"/>
                <w:szCs w:val="24"/>
              </w:rPr>
            </w:pPr>
            <w:r w:rsidRPr="002370AE">
              <w:rPr>
                <w:noProof/>
                <w:lang w:eastAsia="en-GB"/>
              </w:rPr>
              <w:drawing>
                <wp:inline distT="0" distB="0" distL="0" distR="0" wp14:anchorId="23BC0AEA" wp14:editId="7FFB8128">
                  <wp:extent cx="838200" cy="838200"/>
                  <wp:effectExtent l="0" t="0" r="0" b="0"/>
                  <wp:docPr id="197" name="Picture 197" descr="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er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a:ln>
                            <a:noFill/>
                          </a:ln>
                        </pic:spPr>
                      </pic:pic>
                    </a:graphicData>
                  </a:graphic>
                </wp:inline>
              </w:drawing>
            </w:r>
          </w:p>
          <w:p w:rsidR="00AB35FB" w:rsidRPr="002370AE" w:rsidRDefault="00AB35FB" w:rsidP="002D13E0">
            <w:pPr>
              <w:spacing w:line="360" w:lineRule="auto"/>
              <w:jc w:val="center"/>
              <w:rPr>
                <w:rFonts w:ascii="Arial" w:hAnsi="Arial" w:cs="Arial"/>
                <w:sz w:val="24"/>
                <w:szCs w:val="24"/>
              </w:rPr>
            </w:pPr>
            <w:r w:rsidRPr="002370AE">
              <w:rPr>
                <w:rFonts w:ascii="Arial" w:hAnsi="Arial" w:cs="Arial"/>
                <w:sz w:val="24"/>
                <w:szCs w:val="24"/>
              </w:rPr>
              <w:t>ENERGY</w:t>
            </w:r>
          </w:p>
        </w:tc>
        <w:tc>
          <w:tcPr>
            <w:tcW w:w="7603" w:type="dxa"/>
            <w:vAlign w:val="center"/>
          </w:tcPr>
          <w:p w:rsidR="0028787C" w:rsidRPr="002370AE" w:rsidRDefault="0028787C" w:rsidP="002D13E0">
            <w:pPr>
              <w:spacing w:line="360" w:lineRule="auto"/>
              <w:jc w:val="both"/>
              <w:rPr>
                <w:rFonts w:ascii="Arial" w:hAnsi="Arial" w:cs="Arial"/>
                <w:sz w:val="24"/>
                <w:szCs w:val="24"/>
              </w:rPr>
            </w:pPr>
            <w:r w:rsidRPr="002370AE">
              <w:rPr>
                <w:rFonts w:ascii="Arial" w:hAnsi="Arial" w:cs="Arial"/>
                <w:sz w:val="24"/>
                <w:szCs w:val="24"/>
              </w:rPr>
              <w:t>The design of building orientation, solar heating and specification of energy-saving measures.</w:t>
            </w:r>
          </w:p>
        </w:tc>
      </w:tr>
      <w:tr w:rsidR="00AB35FB" w:rsidRPr="002370AE" w:rsidTr="002D13E0">
        <w:trPr>
          <w:jc w:val="center"/>
        </w:trPr>
        <w:tc>
          <w:tcPr>
            <w:tcW w:w="1413" w:type="dxa"/>
            <w:vAlign w:val="center"/>
          </w:tcPr>
          <w:p w:rsidR="00AB35FB" w:rsidRPr="002370AE" w:rsidRDefault="00AB35FB" w:rsidP="002D13E0">
            <w:pPr>
              <w:spacing w:line="360" w:lineRule="auto"/>
              <w:jc w:val="both"/>
              <w:rPr>
                <w:rFonts w:ascii="Arial" w:hAnsi="Arial" w:cs="Arial"/>
                <w:sz w:val="24"/>
                <w:szCs w:val="24"/>
              </w:rPr>
            </w:pPr>
            <w:r w:rsidRPr="002370AE">
              <w:rPr>
                <w:noProof/>
                <w:lang w:eastAsia="en-GB"/>
              </w:rPr>
              <w:drawing>
                <wp:inline distT="0" distB="0" distL="0" distR="0" wp14:anchorId="6E96C6AD" wp14:editId="2950D176">
                  <wp:extent cx="861060" cy="861060"/>
                  <wp:effectExtent l="0" t="0" r="0" b="0"/>
                  <wp:docPr id="196" name="Picture 196" descr="Health and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alth and Wellbe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61060" cy="861060"/>
                          </a:xfrm>
                          <a:prstGeom prst="rect">
                            <a:avLst/>
                          </a:prstGeom>
                          <a:noFill/>
                          <a:ln>
                            <a:noFill/>
                          </a:ln>
                        </pic:spPr>
                      </pic:pic>
                    </a:graphicData>
                  </a:graphic>
                </wp:inline>
              </w:drawing>
            </w:r>
          </w:p>
          <w:p w:rsidR="00AB35FB" w:rsidRPr="002370AE" w:rsidRDefault="00AB35FB" w:rsidP="002D13E0">
            <w:pPr>
              <w:spacing w:line="360" w:lineRule="auto"/>
              <w:jc w:val="both"/>
              <w:rPr>
                <w:rFonts w:ascii="Arial" w:hAnsi="Arial" w:cs="Arial"/>
                <w:sz w:val="24"/>
                <w:szCs w:val="24"/>
              </w:rPr>
            </w:pPr>
            <w:r w:rsidRPr="002370AE">
              <w:rPr>
                <w:rFonts w:ascii="Arial" w:hAnsi="Arial" w:cs="Arial"/>
                <w:sz w:val="24"/>
                <w:szCs w:val="24"/>
              </w:rPr>
              <w:t>HEALTH &amp; WELLBEING</w:t>
            </w:r>
          </w:p>
        </w:tc>
        <w:tc>
          <w:tcPr>
            <w:tcW w:w="7603" w:type="dxa"/>
            <w:vAlign w:val="center"/>
          </w:tcPr>
          <w:p w:rsidR="00AB35FB" w:rsidRPr="002370AE" w:rsidRDefault="00AB35FB" w:rsidP="002D13E0">
            <w:pPr>
              <w:spacing w:line="360" w:lineRule="auto"/>
              <w:jc w:val="both"/>
              <w:rPr>
                <w:rFonts w:ascii="Arial" w:hAnsi="Arial" w:cs="Arial"/>
                <w:sz w:val="24"/>
                <w:szCs w:val="24"/>
              </w:rPr>
            </w:pPr>
            <w:r w:rsidRPr="002370AE">
              <w:rPr>
                <w:rFonts w:ascii="Arial" w:hAnsi="Arial" w:cs="Arial"/>
                <w:sz w:val="24"/>
                <w:szCs w:val="24"/>
              </w:rPr>
              <w:t>The promotion of comfort levels and health and sa</w:t>
            </w:r>
            <w:r w:rsidR="00F3388E" w:rsidRPr="002370AE">
              <w:rPr>
                <w:rFonts w:ascii="Arial" w:hAnsi="Arial" w:cs="Arial"/>
                <w:sz w:val="24"/>
                <w:szCs w:val="24"/>
              </w:rPr>
              <w:t>fety in and around the building via efficient and good design</w:t>
            </w:r>
          </w:p>
        </w:tc>
      </w:tr>
      <w:tr w:rsidR="00AB35FB" w:rsidRPr="002370AE" w:rsidTr="002D13E0">
        <w:trPr>
          <w:jc w:val="center"/>
        </w:trPr>
        <w:tc>
          <w:tcPr>
            <w:tcW w:w="1413" w:type="dxa"/>
            <w:vAlign w:val="center"/>
          </w:tcPr>
          <w:p w:rsidR="00AB35FB" w:rsidRPr="002370AE" w:rsidRDefault="00AB35FB" w:rsidP="002D13E0">
            <w:pPr>
              <w:spacing w:line="360" w:lineRule="auto"/>
              <w:jc w:val="both"/>
              <w:rPr>
                <w:rFonts w:ascii="Arial" w:hAnsi="Arial" w:cs="Arial"/>
                <w:sz w:val="24"/>
                <w:szCs w:val="24"/>
              </w:rPr>
            </w:pPr>
            <w:r w:rsidRPr="002370AE">
              <w:rPr>
                <w:noProof/>
                <w:lang w:eastAsia="en-GB"/>
              </w:rPr>
              <w:drawing>
                <wp:inline distT="0" distB="0" distL="0" distR="0" wp14:anchorId="1C806407" wp14:editId="048A10F3">
                  <wp:extent cx="861060" cy="861060"/>
                  <wp:effectExtent l="0" t="0" r="0" b="0"/>
                  <wp:docPr id="198" name="Picture 198" descr="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nov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61060" cy="861060"/>
                          </a:xfrm>
                          <a:prstGeom prst="rect">
                            <a:avLst/>
                          </a:prstGeom>
                          <a:noFill/>
                          <a:ln>
                            <a:noFill/>
                          </a:ln>
                        </pic:spPr>
                      </pic:pic>
                    </a:graphicData>
                  </a:graphic>
                </wp:inline>
              </w:drawing>
            </w:r>
          </w:p>
          <w:p w:rsidR="00AB35FB" w:rsidRPr="002370AE" w:rsidRDefault="00AB35FB" w:rsidP="002D13E0">
            <w:pPr>
              <w:spacing w:line="360" w:lineRule="auto"/>
              <w:jc w:val="both"/>
              <w:rPr>
                <w:rFonts w:ascii="Arial" w:hAnsi="Arial" w:cs="Arial"/>
                <w:sz w:val="24"/>
                <w:szCs w:val="24"/>
              </w:rPr>
            </w:pPr>
            <w:r w:rsidRPr="002370AE">
              <w:rPr>
                <w:rFonts w:ascii="Arial" w:hAnsi="Arial" w:cs="Arial"/>
                <w:sz w:val="24"/>
                <w:szCs w:val="24"/>
              </w:rPr>
              <w:t>INNOVATION</w:t>
            </w:r>
          </w:p>
        </w:tc>
        <w:tc>
          <w:tcPr>
            <w:tcW w:w="7603" w:type="dxa"/>
            <w:vAlign w:val="center"/>
          </w:tcPr>
          <w:p w:rsidR="00AB35FB" w:rsidRPr="002370AE" w:rsidRDefault="0028787C" w:rsidP="002D13E0">
            <w:pPr>
              <w:spacing w:line="360" w:lineRule="auto"/>
              <w:jc w:val="both"/>
              <w:rPr>
                <w:rFonts w:ascii="Arial" w:hAnsi="Arial" w:cs="Arial"/>
                <w:sz w:val="24"/>
                <w:szCs w:val="24"/>
              </w:rPr>
            </w:pPr>
            <w:r w:rsidRPr="002370AE">
              <w:rPr>
                <w:rFonts w:ascii="Arial" w:hAnsi="Arial" w:cs="Arial"/>
                <w:sz w:val="24"/>
                <w:szCs w:val="24"/>
              </w:rPr>
              <w:t>Implementing innovative design measures to improve building sustainability is rewarded.</w:t>
            </w:r>
          </w:p>
        </w:tc>
      </w:tr>
      <w:tr w:rsidR="00AB35FB" w:rsidRPr="002370AE" w:rsidTr="002D13E0">
        <w:trPr>
          <w:jc w:val="center"/>
        </w:trPr>
        <w:tc>
          <w:tcPr>
            <w:tcW w:w="1413" w:type="dxa"/>
            <w:vAlign w:val="center"/>
          </w:tcPr>
          <w:p w:rsidR="00AB35FB" w:rsidRPr="002370AE" w:rsidRDefault="00AB35FB" w:rsidP="002D13E0">
            <w:pPr>
              <w:spacing w:line="360" w:lineRule="auto"/>
              <w:jc w:val="both"/>
              <w:rPr>
                <w:rFonts w:ascii="Arial" w:hAnsi="Arial" w:cs="Arial"/>
                <w:sz w:val="24"/>
                <w:szCs w:val="24"/>
              </w:rPr>
            </w:pPr>
            <w:r w:rsidRPr="002370AE">
              <w:rPr>
                <w:noProof/>
                <w:lang w:eastAsia="en-GB"/>
              </w:rPr>
              <w:drawing>
                <wp:inline distT="0" distB="0" distL="0" distR="0" wp14:anchorId="3FB8FACA" wp14:editId="367A0049">
                  <wp:extent cx="914400" cy="914400"/>
                  <wp:effectExtent l="0" t="0" r="0" b="0"/>
                  <wp:docPr id="199" name="Picture 199" descr="Land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and Us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p>
          <w:p w:rsidR="00AB35FB" w:rsidRPr="002370AE" w:rsidRDefault="00AB35FB" w:rsidP="002D13E0">
            <w:pPr>
              <w:spacing w:line="360" w:lineRule="auto"/>
              <w:jc w:val="center"/>
              <w:rPr>
                <w:rFonts w:ascii="Arial" w:hAnsi="Arial" w:cs="Arial"/>
                <w:sz w:val="24"/>
                <w:szCs w:val="24"/>
              </w:rPr>
            </w:pPr>
            <w:r w:rsidRPr="002370AE">
              <w:rPr>
                <w:rFonts w:ascii="Arial" w:hAnsi="Arial" w:cs="Arial"/>
                <w:sz w:val="24"/>
                <w:szCs w:val="24"/>
              </w:rPr>
              <w:t>LAND USE</w:t>
            </w:r>
          </w:p>
        </w:tc>
        <w:tc>
          <w:tcPr>
            <w:tcW w:w="7603" w:type="dxa"/>
            <w:vAlign w:val="center"/>
          </w:tcPr>
          <w:p w:rsidR="00AB35FB" w:rsidRPr="002370AE" w:rsidRDefault="00AB35FB" w:rsidP="002D13E0">
            <w:pPr>
              <w:spacing w:line="360" w:lineRule="auto"/>
              <w:jc w:val="both"/>
              <w:rPr>
                <w:rFonts w:ascii="Arial" w:hAnsi="Arial" w:cs="Arial"/>
                <w:sz w:val="24"/>
                <w:szCs w:val="24"/>
              </w:rPr>
            </w:pPr>
            <w:r w:rsidRPr="002370AE">
              <w:rPr>
                <w:rFonts w:ascii="Arial" w:hAnsi="Arial" w:cs="Arial"/>
                <w:sz w:val="24"/>
                <w:szCs w:val="24"/>
              </w:rPr>
              <w:t>T</w:t>
            </w:r>
            <w:r w:rsidR="0028787C" w:rsidRPr="002370AE">
              <w:rPr>
                <w:rFonts w:ascii="Arial" w:hAnsi="Arial" w:cs="Arial"/>
                <w:sz w:val="24"/>
                <w:szCs w:val="24"/>
              </w:rPr>
              <w:t xml:space="preserve">he design of the building footprint and surrounding site use ensures no space is wasted. </w:t>
            </w:r>
          </w:p>
        </w:tc>
      </w:tr>
      <w:tr w:rsidR="00AB35FB" w:rsidRPr="002370AE" w:rsidTr="002D13E0">
        <w:trPr>
          <w:jc w:val="center"/>
        </w:trPr>
        <w:tc>
          <w:tcPr>
            <w:tcW w:w="1413" w:type="dxa"/>
            <w:vAlign w:val="center"/>
          </w:tcPr>
          <w:p w:rsidR="00AB35FB" w:rsidRPr="002370AE" w:rsidRDefault="00AB35FB" w:rsidP="002D13E0">
            <w:pPr>
              <w:spacing w:line="360" w:lineRule="auto"/>
              <w:jc w:val="center"/>
              <w:rPr>
                <w:rFonts w:ascii="Arial" w:hAnsi="Arial" w:cs="Arial"/>
                <w:sz w:val="24"/>
                <w:szCs w:val="24"/>
              </w:rPr>
            </w:pPr>
            <w:r w:rsidRPr="002370AE">
              <w:rPr>
                <w:noProof/>
                <w:lang w:eastAsia="en-GB"/>
              </w:rPr>
              <w:drawing>
                <wp:inline distT="0" distB="0" distL="0" distR="0" wp14:anchorId="0169AF63" wp14:editId="4E7A2BA7">
                  <wp:extent cx="952500" cy="952500"/>
                  <wp:effectExtent l="0" t="0" r="0" b="0"/>
                  <wp:docPr id="200" name="Picture 200" descr="Mate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terial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rsidR="00AB35FB" w:rsidRPr="002370AE" w:rsidRDefault="00AB35FB" w:rsidP="002D13E0">
            <w:pPr>
              <w:spacing w:line="360" w:lineRule="auto"/>
              <w:jc w:val="center"/>
              <w:rPr>
                <w:rFonts w:ascii="Arial" w:hAnsi="Arial" w:cs="Arial"/>
                <w:sz w:val="24"/>
                <w:szCs w:val="24"/>
              </w:rPr>
            </w:pPr>
            <w:r w:rsidRPr="002370AE">
              <w:rPr>
                <w:rFonts w:ascii="Arial" w:hAnsi="Arial" w:cs="Arial"/>
                <w:sz w:val="24"/>
                <w:szCs w:val="24"/>
              </w:rPr>
              <w:lastRenderedPageBreak/>
              <w:t>MATERIALS</w:t>
            </w:r>
          </w:p>
        </w:tc>
        <w:tc>
          <w:tcPr>
            <w:tcW w:w="7603" w:type="dxa"/>
            <w:vAlign w:val="center"/>
          </w:tcPr>
          <w:p w:rsidR="00AB35FB" w:rsidRPr="002370AE" w:rsidRDefault="00F3388E" w:rsidP="002D13E0">
            <w:pPr>
              <w:spacing w:line="360" w:lineRule="auto"/>
              <w:jc w:val="both"/>
              <w:rPr>
                <w:rFonts w:ascii="Arial" w:hAnsi="Arial" w:cs="Arial"/>
                <w:sz w:val="24"/>
                <w:szCs w:val="24"/>
              </w:rPr>
            </w:pPr>
            <w:r w:rsidRPr="002370AE">
              <w:rPr>
                <w:rFonts w:ascii="Arial" w:hAnsi="Arial" w:cs="Arial"/>
                <w:sz w:val="24"/>
                <w:szCs w:val="24"/>
              </w:rPr>
              <w:lastRenderedPageBreak/>
              <w:t xml:space="preserve">The design must ensure that materials are responsibly sourced and their application calculated – this ensures minimum wastage and sustainable use. </w:t>
            </w:r>
            <w:r w:rsidR="00AB35FB" w:rsidRPr="002370AE">
              <w:rPr>
                <w:rFonts w:ascii="Arial" w:hAnsi="Arial" w:cs="Arial"/>
                <w:sz w:val="24"/>
                <w:szCs w:val="24"/>
              </w:rPr>
              <w:t xml:space="preserve"> </w:t>
            </w:r>
          </w:p>
        </w:tc>
      </w:tr>
      <w:tr w:rsidR="00AB35FB" w:rsidRPr="002370AE" w:rsidTr="002D13E0">
        <w:trPr>
          <w:jc w:val="center"/>
        </w:trPr>
        <w:tc>
          <w:tcPr>
            <w:tcW w:w="1413" w:type="dxa"/>
            <w:vAlign w:val="center"/>
          </w:tcPr>
          <w:p w:rsidR="00AB35FB" w:rsidRPr="002370AE" w:rsidRDefault="00AB35FB" w:rsidP="002D13E0">
            <w:pPr>
              <w:spacing w:line="360" w:lineRule="auto"/>
              <w:jc w:val="center"/>
              <w:rPr>
                <w:rFonts w:ascii="Arial" w:hAnsi="Arial" w:cs="Arial"/>
                <w:sz w:val="24"/>
                <w:szCs w:val="24"/>
              </w:rPr>
            </w:pPr>
            <w:r w:rsidRPr="002370AE">
              <w:rPr>
                <w:noProof/>
                <w:lang w:eastAsia="en-GB"/>
              </w:rPr>
              <w:drawing>
                <wp:inline distT="0" distB="0" distL="0" distR="0" wp14:anchorId="3FE97279" wp14:editId="79D951DD">
                  <wp:extent cx="944880" cy="944880"/>
                  <wp:effectExtent l="0" t="0" r="7620" b="7620"/>
                  <wp:docPr id="201" name="Picture 201" descr="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nage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44880" cy="944880"/>
                          </a:xfrm>
                          <a:prstGeom prst="rect">
                            <a:avLst/>
                          </a:prstGeom>
                          <a:noFill/>
                          <a:ln>
                            <a:noFill/>
                          </a:ln>
                        </pic:spPr>
                      </pic:pic>
                    </a:graphicData>
                  </a:graphic>
                </wp:inline>
              </w:drawing>
            </w:r>
          </w:p>
          <w:p w:rsidR="00AB35FB" w:rsidRPr="002370AE" w:rsidRDefault="00AB35FB" w:rsidP="002D13E0">
            <w:pPr>
              <w:spacing w:line="360" w:lineRule="auto"/>
              <w:jc w:val="both"/>
              <w:rPr>
                <w:rFonts w:ascii="Arial" w:hAnsi="Arial" w:cs="Arial"/>
                <w:sz w:val="24"/>
                <w:szCs w:val="24"/>
              </w:rPr>
            </w:pPr>
            <w:r w:rsidRPr="002370AE">
              <w:rPr>
                <w:rFonts w:ascii="Arial" w:hAnsi="Arial" w:cs="Arial"/>
                <w:sz w:val="24"/>
                <w:szCs w:val="24"/>
              </w:rPr>
              <w:t>MANAGEMENT</w:t>
            </w:r>
          </w:p>
        </w:tc>
        <w:tc>
          <w:tcPr>
            <w:tcW w:w="7603" w:type="dxa"/>
            <w:vAlign w:val="center"/>
          </w:tcPr>
          <w:p w:rsidR="00AB35FB" w:rsidRPr="002370AE" w:rsidRDefault="00F3388E" w:rsidP="00F3388E">
            <w:pPr>
              <w:spacing w:line="360" w:lineRule="auto"/>
              <w:jc w:val="both"/>
              <w:rPr>
                <w:rFonts w:ascii="Arial" w:hAnsi="Arial" w:cs="Arial"/>
                <w:sz w:val="24"/>
                <w:szCs w:val="24"/>
              </w:rPr>
            </w:pPr>
            <w:r w:rsidRPr="002370AE">
              <w:rPr>
                <w:rFonts w:ascii="Arial" w:hAnsi="Arial" w:cs="Arial"/>
                <w:sz w:val="24"/>
                <w:szCs w:val="24"/>
              </w:rPr>
              <w:t>This is a major part of the design process as stakeholders have early influences on the initial design. These design choices extend to the aftercare of the building</w:t>
            </w:r>
            <w:r w:rsidR="00AB35FB" w:rsidRPr="002370AE">
              <w:rPr>
                <w:rFonts w:ascii="Arial" w:hAnsi="Arial" w:cs="Arial"/>
                <w:sz w:val="24"/>
                <w:szCs w:val="24"/>
              </w:rPr>
              <w:t>.</w:t>
            </w:r>
          </w:p>
        </w:tc>
      </w:tr>
      <w:tr w:rsidR="00AB35FB" w:rsidRPr="002370AE" w:rsidTr="002D13E0">
        <w:trPr>
          <w:jc w:val="center"/>
        </w:trPr>
        <w:tc>
          <w:tcPr>
            <w:tcW w:w="1413" w:type="dxa"/>
            <w:vAlign w:val="center"/>
          </w:tcPr>
          <w:p w:rsidR="00AB35FB" w:rsidRPr="002370AE" w:rsidRDefault="00AB35FB" w:rsidP="002D13E0">
            <w:pPr>
              <w:spacing w:line="360" w:lineRule="auto"/>
              <w:jc w:val="center"/>
              <w:rPr>
                <w:rFonts w:ascii="Arial" w:hAnsi="Arial" w:cs="Arial"/>
                <w:sz w:val="24"/>
                <w:szCs w:val="24"/>
              </w:rPr>
            </w:pPr>
            <w:r w:rsidRPr="002370AE">
              <w:rPr>
                <w:noProof/>
                <w:lang w:eastAsia="en-GB"/>
              </w:rPr>
              <w:drawing>
                <wp:inline distT="0" distB="0" distL="0" distR="0" wp14:anchorId="2126772F" wp14:editId="5BB70F21">
                  <wp:extent cx="975360" cy="975360"/>
                  <wp:effectExtent l="0" t="0" r="0" b="0"/>
                  <wp:docPr id="202" name="Picture 202" descr="Pol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ollu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75360" cy="975360"/>
                          </a:xfrm>
                          <a:prstGeom prst="rect">
                            <a:avLst/>
                          </a:prstGeom>
                          <a:noFill/>
                          <a:ln>
                            <a:noFill/>
                          </a:ln>
                        </pic:spPr>
                      </pic:pic>
                    </a:graphicData>
                  </a:graphic>
                </wp:inline>
              </w:drawing>
            </w:r>
          </w:p>
          <w:p w:rsidR="00AB35FB" w:rsidRPr="002370AE" w:rsidRDefault="00AB35FB" w:rsidP="002D13E0">
            <w:pPr>
              <w:spacing w:line="360" w:lineRule="auto"/>
              <w:jc w:val="center"/>
              <w:rPr>
                <w:rFonts w:ascii="Arial" w:hAnsi="Arial" w:cs="Arial"/>
                <w:sz w:val="24"/>
                <w:szCs w:val="24"/>
              </w:rPr>
            </w:pPr>
            <w:r w:rsidRPr="002370AE">
              <w:rPr>
                <w:rFonts w:ascii="Arial" w:hAnsi="Arial" w:cs="Arial"/>
                <w:sz w:val="24"/>
                <w:szCs w:val="24"/>
              </w:rPr>
              <w:t>POLLUTION</w:t>
            </w:r>
          </w:p>
        </w:tc>
        <w:tc>
          <w:tcPr>
            <w:tcW w:w="7603" w:type="dxa"/>
            <w:vAlign w:val="center"/>
          </w:tcPr>
          <w:p w:rsidR="00AB35FB" w:rsidRPr="002370AE" w:rsidRDefault="00F3388E" w:rsidP="002D13E0">
            <w:pPr>
              <w:spacing w:line="360" w:lineRule="auto"/>
              <w:jc w:val="both"/>
              <w:rPr>
                <w:rFonts w:ascii="Arial" w:hAnsi="Arial" w:cs="Arial"/>
                <w:sz w:val="24"/>
                <w:szCs w:val="24"/>
              </w:rPr>
            </w:pPr>
            <w:r w:rsidRPr="002370AE">
              <w:rPr>
                <w:rFonts w:ascii="Arial" w:hAnsi="Arial" w:cs="Arial"/>
                <w:sz w:val="24"/>
                <w:szCs w:val="24"/>
              </w:rPr>
              <w:t>By designing efficient spaces, the section aims to minimise the pollution, from waste of materials to the specification of renewables to cut carbon emissions.</w:t>
            </w:r>
          </w:p>
        </w:tc>
      </w:tr>
      <w:tr w:rsidR="00AB35FB" w:rsidRPr="002370AE" w:rsidTr="002D13E0">
        <w:trPr>
          <w:jc w:val="center"/>
        </w:trPr>
        <w:tc>
          <w:tcPr>
            <w:tcW w:w="1413" w:type="dxa"/>
            <w:vAlign w:val="center"/>
          </w:tcPr>
          <w:p w:rsidR="00AB35FB" w:rsidRPr="002370AE" w:rsidRDefault="00AB35FB" w:rsidP="002D13E0">
            <w:pPr>
              <w:spacing w:line="360" w:lineRule="auto"/>
              <w:jc w:val="center"/>
              <w:rPr>
                <w:rFonts w:ascii="Arial" w:hAnsi="Arial" w:cs="Arial"/>
                <w:sz w:val="24"/>
                <w:szCs w:val="24"/>
              </w:rPr>
            </w:pPr>
            <w:r w:rsidRPr="002370AE">
              <w:rPr>
                <w:noProof/>
                <w:lang w:eastAsia="en-GB"/>
              </w:rPr>
              <w:drawing>
                <wp:inline distT="0" distB="0" distL="0" distR="0" wp14:anchorId="18CC42A7" wp14:editId="6F25B617">
                  <wp:extent cx="967740" cy="967740"/>
                  <wp:effectExtent l="0" t="0" r="3810" b="3810"/>
                  <wp:docPr id="203" name="Picture 203" descr="Tran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ranspor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67740" cy="967740"/>
                          </a:xfrm>
                          <a:prstGeom prst="rect">
                            <a:avLst/>
                          </a:prstGeom>
                          <a:noFill/>
                          <a:ln>
                            <a:noFill/>
                          </a:ln>
                        </pic:spPr>
                      </pic:pic>
                    </a:graphicData>
                  </a:graphic>
                </wp:inline>
              </w:drawing>
            </w:r>
          </w:p>
          <w:p w:rsidR="00AB35FB" w:rsidRPr="002370AE" w:rsidRDefault="00AB35FB" w:rsidP="002D13E0">
            <w:pPr>
              <w:spacing w:line="360" w:lineRule="auto"/>
              <w:jc w:val="center"/>
              <w:rPr>
                <w:rFonts w:ascii="Arial" w:hAnsi="Arial" w:cs="Arial"/>
                <w:sz w:val="24"/>
                <w:szCs w:val="24"/>
              </w:rPr>
            </w:pPr>
            <w:r w:rsidRPr="002370AE">
              <w:rPr>
                <w:rFonts w:ascii="Arial" w:hAnsi="Arial" w:cs="Arial"/>
                <w:sz w:val="24"/>
                <w:szCs w:val="24"/>
              </w:rPr>
              <w:t>TRANSPORT</w:t>
            </w:r>
          </w:p>
        </w:tc>
        <w:tc>
          <w:tcPr>
            <w:tcW w:w="7603" w:type="dxa"/>
            <w:vAlign w:val="center"/>
          </w:tcPr>
          <w:p w:rsidR="00AB35FB" w:rsidRPr="002370AE" w:rsidRDefault="00F3388E" w:rsidP="002D13E0">
            <w:pPr>
              <w:spacing w:line="360" w:lineRule="auto"/>
              <w:jc w:val="both"/>
              <w:rPr>
                <w:rFonts w:ascii="Arial" w:hAnsi="Arial" w:cs="Arial"/>
                <w:sz w:val="24"/>
                <w:szCs w:val="24"/>
              </w:rPr>
            </w:pPr>
            <w:r w:rsidRPr="002370AE">
              <w:rPr>
                <w:rFonts w:ascii="Arial" w:hAnsi="Arial" w:cs="Arial"/>
                <w:sz w:val="24"/>
                <w:szCs w:val="24"/>
              </w:rPr>
              <w:t>Designing with sustainable transport measures reduces Carbon emissions from lone travelling. Design including Cycle and bus routes play a major part in this section.</w:t>
            </w:r>
          </w:p>
        </w:tc>
      </w:tr>
      <w:tr w:rsidR="00AB35FB" w:rsidRPr="002370AE" w:rsidTr="002D13E0">
        <w:trPr>
          <w:jc w:val="center"/>
        </w:trPr>
        <w:tc>
          <w:tcPr>
            <w:tcW w:w="1413" w:type="dxa"/>
            <w:vAlign w:val="center"/>
          </w:tcPr>
          <w:p w:rsidR="00AB35FB" w:rsidRPr="002370AE" w:rsidRDefault="00AB35FB" w:rsidP="002D13E0">
            <w:pPr>
              <w:spacing w:line="360" w:lineRule="auto"/>
              <w:jc w:val="center"/>
              <w:rPr>
                <w:noProof/>
                <w:sz w:val="24"/>
                <w:szCs w:val="24"/>
                <w:lang w:eastAsia="en-GB"/>
              </w:rPr>
            </w:pPr>
            <w:r w:rsidRPr="002370AE">
              <w:rPr>
                <w:noProof/>
                <w:sz w:val="24"/>
                <w:szCs w:val="24"/>
                <w:lang w:eastAsia="en-GB"/>
              </w:rPr>
              <w:drawing>
                <wp:inline distT="0" distB="0" distL="0" distR="0" wp14:anchorId="14C77DC1" wp14:editId="44301015">
                  <wp:extent cx="990600" cy="990600"/>
                  <wp:effectExtent l="0" t="0" r="0" b="0"/>
                  <wp:docPr id="204" name="Picture 204" descr="Wa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ast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90600" cy="990600"/>
                          </a:xfrm>
                          <a:prstGeom prst="rect">
                            <a:avLst/>
                          </a:prstGeom>
                          <a:noFill/>
                          <a:ln>
                            <a:noFill/>
                          </a:ln>
                        </pic:spPr>
                      </pic:pic>
                    </a:graphicData>
                  </a:graphic>
                </wp:inline>
              </w:drawing>
            </w:r>
          </w:p>
          <w:p w:rsidR="00AB35FB" w:rsidRPr="002370AE" w:rsidRDefault="00AB35FB" w:rsidP="002D13E0">
            <w:pPr>
              <w:spacing w:line="360" w:lineRule="auto"/>
              <w:jc w:val="center"/>
              <w:rPr>
                <w:rFonts w:ascii="Arial" w:hAnsi="Arial" w:cs="Arial"/>
                <w:noProof/>
                <w:lang w:eastAsia="en-GB"/>
              </w:rPr>
            </w:pPr>
            <w:r w:rsidRPr="002370AE">
              <w:rPr>
                <w:rFonts w:ascii="Arial" w:hAnsi="Arial" w:cs="Arial"/>
                <w:noProof/>
                <w:sz w:val="24"/>
                <w:szCs w:val="24"/>
                <w:lang w:eastAsia="en-GB"/>
              </w:rPr>
              <w:t>WASTE</w:t>
            </w:r>
          </w:p>
        </w:tc>
        <w:tc>
          <w:tcPr>
            <w:tcW w:w="7603" w:type="dxa"/>
            <w:vAlign w:val="center"/>
          </w:tcPr>
          <w:p w:rsidR="00AB35FB" w:rsidRPr="002370AE" w:rsidRDefault="00F3388E" w:rsidP="002D13E0">
            <w:pPr>
              <w:spacing w:line="360" w:lineRule="auto"/>
              <w:jc w:val="both"/>
              <w:rPr>
                <w:rFonts w:ascii="Arial" w:hAnsi="Arial" w:cs="Arial"/>
                <w:sz w:val="24"/>
                <w:szCs w:val="24"/>
              </w:rPr>
            </w:pPr>
            <w:r w:rsidRPr="002370AE">
              <w:rPr>
                <w:rFonts w:ascii="Arial" w:hAnsi="Arial" w:cs="Arial"/>
                <w:sz w:val="24"/>
                <w:szCs w:val="24"/>
              </w:rPr>
              <w:t>By specifying and designing materials that are durable and resilient minimises wastage and the amount of repair resources needed to maintain the building.</w:t>
            </w:r>
          </w:p>
        </w:tc>
      </w:tr>
      <w:tr w:rsidR="00AB35FB" w:rsidRPr="002370AE" w:rsidTr="002D13E0">
        <w:trPr>
          <w:jc w:val="center"/>
        </w:trPr>
        <w:tc>
          <w:tcPr>
            <w:tcW w:w="1413" w:type="dxa"/>
            <w:vAlign w:val="center"/>
          </w:tcPr>
          <w:p w:rsidR="00AB35FB" w:rsidRPr="002370AE" w:rsidRDefault="00AB35FB" w:rsidP="002D13E0">
            <w:pPr>
              <w:spacing w:line="360" w:lineRule="auto"/>
              <w:jc w:val="center"/>
              <w:rPr>
                <w:noProof/>
                <w:sz w:val="24"/>
                <w:szCs w:val="24"/>
                <w:lang w:eastAsia="en-GB"/>
              </w:rPr>
            </w:pPr>
            <w:r w:rsidRPr="002370AE">
              <w:rPr>
                <w:noProof/>
                <w:lang w:eastAsia="en-GB"/>
              </w:rPr>
              <w:drawing>
                <wp:inline distT="0" distB="0" distL="0" distR="0" wp14:anchorId="02E5CD99" wp14:editId="450D2380">
                  <wp:extent cx="990600" cy="990600"/>
                  <wp:effectExtent l="0" t="0" r="0" b="0"/>
                  <wp:docPr id="205" name="Picture 205" descr="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Wat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90600" cy="990600"/>
                          </a:xfrm>
                          <a:prstGeom prst="rect">
                            <a:avLst/>
                          </a:prstGeom>
                          <a:noFill/>
                          <a:ln>
                            <a:noFill/>
                          </a:ln>
                        </pic:spPr>
                      </pic:pic>
                    </a:graphicData>
                  </a:graphic>
                </wp:inline>
              </w:drawing>
            </w:r>
          </w:p>
          <w:p w:rsidR="00AB35FB" w:rsidRPr="002370AE" w:rsidRDefault="00AB35FB" w:rsidP="002D13E0">
            <w:pPr>
              <w:spacing w:line="360" w:lineRule="auto"/>
              <w:jc w:val="center"/>
              <w:rPr>
                <w:rFonts w:ascii="Arial" w:hAnsi="Arial" w:cs="Arial"/>
                <w:noProof/>
                <w:sz w:val="24"/>
                <w:szCs w:val="24"/>
                <w:lang w:eastAsia="en-GB"/>
              </w:rPr>
            </w:pPr>
            <w:r w:rsidRPr="002370AE">
              <w:rPr>
                <w:rFonts w:ascii="Arial" w:hAnsi="Arial" w:cs="Arial"/>
                <w:noProof/>
                <w:sz w:val="24"/>
                <w:szCs w:val="24"/>
                <w:lang w:eastAsia="en-GB"/>
              </w:rPr>
              <w:t>WATER</w:t>
            </w:r>
          </w:p>
        </w:tc>
        <w:tc>
          <w:tcPr>
            <w:tcW w:w="7603" w:type="dxa"/>
            <w:vAlign w:val="center"/>
          </w:tcPr>
          <w:p w:rsidR="00AB35FB" w:rsidRPr="002370AE" w:rsidRDefault="00F3388E" w:rsidP="002D13E0">
            <w:pPr>
              <w:spacing w:line="360" w:lineRule="auto"/>
              <w:jc w:val="both"/>
              <w:rPr>
                <w:rFonts w:ascii="Arial" w:hAnsi="Arial" w:cs="Arial"/>
                <w:sz w:val="24"/>
                <w:szCs w:val="24"/>
              </w:rPr>
            </w:pPr>
            <w:r w:rsidRPr="002370AE">
              <w:rPr>
                <w:rFonts w:ascii="Arial" w:hAnsi="Arial" w:cs="Arial"/>
                <w:sz w:val="24"/>
                <w:szCs w:val="24"/>
              </w:rPr>
              <w:t xml:space="preserve">By designing greywater systems and/or leak detection provisions, we minimise </w:t>
            </w:r>
            <w:r w:rsidR="00941653" w:rsidRPr="002370AE">
              <w:rPr>
                <w:rFonts w:ascii="Arial" w:hAnsi="Arial" w:cs="Arial"/>
                <w:sz w:val="24"/>
                <w:szCs w:val="24"/>
              </w:rPr>
              <w:t>potential</w:t>
            </w:r>
            <w:r w:rsidRPr="002370AE">
              <w:rPr>
                <w:rFonts w:ascii="Arial" w:hAnsi="Arial" w:cs="Arial"/>
                <w:sz w:val="24"/>
                <w:szCs w:val="24"/>
              </w:rPr>
              <w:t xml:space="preserve"> for waste and </w:t>
            </w:r>
            <w:r w:rsidR="00941653" w:rsidRPr="002370AE">
              <w:rPr>
                <w:rFonts w:ascii="Arial" w:hAnsi="Arial" w:cs="Arial"/>
                <w:sz w:val="24"/>
                <w:szCs w:val="24"/>
              </w:rPr>
              <w:t>increase the use of surface water.</w:t>
            </w:r>
          </w:p>
        </w:tc>
      </w:tr>
    </w:tbl>
    <w:p w:rsidR="00090EC3" w:rsidRPr="002370AE" w:rsidRDefault="00090EC3" w:rsidP="007C313B">
      <w:pPr>
        <w:spacing w:line="360" w:lineRule="auto"/>
        <w:jc w:val="both"/>
        <w:rPr>
          <w:rFonts w:ascii="Arial" w:hAnsi="Arial" w:cs="Arial"/>
        </w:rPr>
      </w:pPr>
    </w:p>
    <w:p w:rsidR="00C33612" w:rsidRPr="002370AE" w:rsidRDefault="00C33612" w:rsidP="007C313B">
      <w:pPr>
        <w:spacing w:line="360" w:lineRule="auto"/>
        <w:jc w:val="both"/>
        <w:rPr>
          <w:rFonts w:ascii="Arial" w:hAnsi="Arial" w:cs="Arial"/>
          <w:b/>
        </w:rPr>
      </w:pPr>
    </w:p>
    <w:p w:rsidR="006C2EAA" w:rsidRPr="002370AE" w:rsidRDefault="006C2EAA" w:rsidP="007C313B">
      <w:pPr>
        <w:spacing w:line="360" w:lineRule="auto"/>
        <w:jc w:val="both"/>
        <w:rPr>
          <w:rFonts w:ascii="Arial" w:hAnsi="Arial" w:cs="Arial"/>
          <w:b/>
        </w:rPr>
      </w:pPr>
      <w:r w:rsidRPr="002370AE">
        <w:rPr>
          <w:rFonts w:ascii="Arial" w:hAnsi="Arial" w:cs="Arial"/>
          <w:b/>
        </w:rPr>
        <w:lastRenderedPageBreak/>
        <w:t>2.4 BREEAM Materials</w:t>
      </w:r>
    </w:p>
    <w:p w:rsidR="006C2EAA" w:rsidRPr="002370AE" w:rsidRDefault="006C2EAA" w:rsidP="007C313B">
      <w:pPr>
        <w:spacing w:line="360" w:lineRule="auto"/>
        <w:jc w:val="both"/>
        <w:rPr>
          <w:rFonts w:ascii="Arial" w:hAnsi="Arial" w:cs="Arial"/>
        </w:rPr>
      </w:pPr>
      <w:r w:rsidRPr="002370AE">
        <w:rPr>
          <w:rFonts w:ascii="Arial" w:hAnsi="Arial" w:cs="Arial"/>
          <w:b/>
        </w:rPr>
        <w:tab/>
      </w:r>
      <w:r w:rsidRPr="002370AE">
        <w:rPr>
          <w:rFonts w:ascii="Arial" w:hAnsi="Arial" w:cs="Arial"/>
        </w:rPr>
        <w:t>The BREEAM Assessment accounts the whole attributes involved with the specified material for the proposed building, as BREEAM encourages the specification of ‘materials that have a lower impact on the environment’ and these material choices contribute to ‘10% of the overall score’ (Anderson, J., 2002). The material section, as part of the BREEAM scoring criteria, consist of the fulfilment of 4 credits. The conditions of these credits follow the system of the Green Guide as shown in figure 2.4.</w:t>
      </w:r>
    </w:p>
    <w:p w:rsidR="001B2AC8" w:rsidRPr="002370AE" w:rsidRDefault="00C33612" w:rsidP="007C313B">
      <w:pPr>
        <w:spacing w:line="360" w:lineRule="auto"/>
        <w:jc w:val="center"/>
        <w:rPr>
          <w:rFonts w:ascii="Arial" w:hAnsi="Arial" w:cs="Arial"/>
        </w:rPr>
      </w:pPr>
      <w:r w:rsidRPr="002370AE">
        <w:rPr>
          <w:noProof/>
          <w:lang w:eastAsia="en-GB"/>
        </w:rPr>
        <w:drawing>
          <wp:inline distT="0" distB="0" distL="0" distR="0">
            <wp:extent cx="3966914" cy="3200400"/>
            <wp:effectExtent l="0" t="0" r="0" b="0"/>
            <wp:docPr id="4" name="Picture 4" descr="The Green Guide Explained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reen Guide Explained Structu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79527" cy="3210576"/>
                    </a:xfrm>
                    <a:prstGeom prst="rect">
                      <a:avLst/>
                    </a:prstGeom>
                    <a:noFill/>
                    <a:ln>
                      <a:noFill/>
                    </a:ln>
                  </pic:spPr>
                </pic:pic>
              </a:graphicData>
            </a:graphic>
          </wp:inline>
        </w:drawing>
      </w:r>
    </w:p>
    <w:p w:rsidR="001B2AC8" w:rsidRPr="002370AE" w:rsidRDefault="00C33612" w:rsidP="007C313B">
      <w:pPr>
        <w:spacing w:line="360" w:lineRule="auto"/>
        <w:jc w:val="center"/>
        <w:rPr>
          <w:rFonts w:ascii="Arial" w:hAnsi="Arial" w:cs="Arial"/>
          <w:b/>
          <w:i/>
        </w:rPr>
      </w:pPr>
      <w:bookmarkStart w:id="1" w:name="_Hlk497303225"/>
      <w:r w:rsidRPr="002370AE">
        <w:rPr>
          <w:rFonts w:ascii="Arial" w:hAnsi="Arial" w:cs="Arial"/>
          <w:b/>
          <w:i/>
        </w:rPr>
        <w:t>Figure 2.4: The Green Guide Explained. (BRE, 2015)</w:t>
      </w:r>
    </w:p>
    <w:bookmarkEnd w:id="1"/>
    <w:p w:rsidR="005A2484" w:rsidRPr="002370AE" w:rsidRDefault="005A2484" w:rsidP="00941653">
      <w:pPr>
        <w:spacing w:line="360" w:lineRule="auto"/>
        <w:jc w:val="both"/>
        <w:rPr>
          <w:rFonts w:ascii="Arial" w:hAnsi="Arial" w:cs="Arial"/>
        </w:rPr>
      </w:pPr>
    </w:p>
    <w:p w:rsidR="005A2484" w:rsidRPr="002370AE" w:rsidRDefault="00620C83" w:rsidP="005A2484">
      <w:pPr>
        <w:spacing w:line="360" w:lineRule="auto"/>
        <w:ind w:firstLine="720"/>
        <w:jc w:val="both"/>
        <w:rPr>
          <w:rFonts w:ascii="Arial" w:hAnsi="Arial" w:cs="Arial"/>
        </w:rPr>
      </w:pPr>
      <w:r w:rsidRPr="002370AE">
        <w:rPr>
          <w:rFonts w:ascii="Arial" w:hAnsi="Arial" w:cs="Arial"/>
        </w:rPr>
        <w:t>The materials section, abbreviated as ‘MAT’, follows the following subheadings:</w:t>
      </w:r>
    </w:p>
    <w:tbl>
      <w:tblPr>
        <w:tblStyle w:val="TableGrid"/>
        <w:tblW w:w="9209" w:type="dxa"/>
        <w:tblLook w:val="04A0" w:firstRow="1" w:lastRow="0" w:firstColumn="1" w:lastColumn="0" w:noHBand="0" w:noVBand="1"/>
      </w:tblPr>
      <w:tblGrid>
        <w:gridCol w:w="2547"/>
        <w:gridCol w:w="6662"/>
      </w:tblGrid>
      <w:tr w:rsidR="004A3D12" w:rsidRPr="002370AE" w:rsidTr="005A2484">
        <w:trPr>
          <w:trHeight w:val="699"/>
        </w:trPr>
        <w:tc>
          <w:tcPr>
            <w:tcW w:w="2547" w:type="dxa"/>
            <w:shd w:val="clear" w:color="auto" w:fill="D6E3BC" w:themeFill="accent3" w:themeFillTint="66"/>
          </w:tcPr>
          <w:p w:rsidR="004A3D12" w:rsidRPr="002370AE" w:rsidRDefault="004A3D12" w:rsidP="007053BD">
            <w:pPr>
              <w:spacing w:line="360" w:lineRule="auto"/>
              <w:jc w:val="center"/>
              <w:rPr>
                <w:rFonts w:ascii="Arial" w:hAnsi="Arial" w:cs="Arial"/>
                <w:b/>
                <w:sz w:val="22"/>
                <w:szCs w:val="22"/>
              </w:rPr>
            </w:pPr>
            <w:r w:rsidRPr="002370AE">
              <w:rPr>
                <w:rFonts w:ascii="Arial" w:hAnsi="Arial" w:cs="Arial"/>
                <w:b/>
                <w:sz w:val="22"/>
                <w:szCs w:val="22"/>
              </w:rPr>
              <w:t>Sub Section</w:t>
            </w:r>
          </w:p>
        </w:tc>
        <w:tc>
          <w:tcPr>
            <w:tcW w:w="6662" w:type="dxa"/>
            <w:shd w:val="clear" w:color="auto" w:fill="B8CCE4" w:themeFill="accent1" w:themeFillTint="66"/>
          </w:tcPr>
          <w:p w:rsidR="004A3D12" w:rsidRPr="002370AE" w:rsidRDefault="004A3D12" w:rsidP="007053BD">
            <w:pPr>
              <w:spacing w:line="360" w:lineRule="auto"/>
              <w:jc w:val="center"/>
              <w:rPr>
                <w:rFonts w:ascii="Arial" w:hAnsi="Arial" w:cs="Arial"/>
                <w:b/>
                <w:sz w:val="22"/>
                <w:szCs w:val="22"/>
              </w:rPr>
            </w:pPr>
            <w:r w:rsidRPr="002370AE">
              <w:rPr>
                <w:rFonts w:ascii="Arial" w:hAnsi="Arial" w:cs="Arial"/>
                <w:b/>
                <w:sz w:val="22"/>
                <w:szCs w:val="22"/>
              </w:rPr>
              <w:t>Summary</w:t>
            </w:r>
          </w:p>
        </w:tc>
      </w:tr>
      <w:tr w:rsidR="004A3D12" w:rsidRPr="002370AE" w:rsidTr="005A2484">
        <w:tc>
          <w:tcPr>
            <w:tcW w:w="2547" w:type="dxa"/>
            <w:shd w:val="clear" w:color="auto" w:fill="D6E3BC" w:themeFill="accent3" w:themeFillTint="66"/>
          </w:tcPr>
          <w:p w:rsidR="00DB3461" w:rsidRPr="002370AE" w:rsidRDefault="004A3D12" w:rsidP="005A2484">
            <w:pPr>
              <w:spacing w:line="360" w:lineRule="auto"/>
              <w:jc w:val="center"/>
              <w:rPr>
                <w:rFonts w:ascii="Arial" w:hAnsi="Arial" w:cs="Arial"/>
                <w:sz w:val="22"/>
                <w:szCs w:val="22"/>
              </w:rPr>
            </w:pPr>
            <w:r w:rsidRPr="002370AE">
              <w:rPr>
                <w:rFonts w:ascii="Arial" w:hAnsi="Arial" w:cs="Arial"/>
                <w:sz w:val="22"/>
                <w:szCs w:val="22"/>
              </w:rPr>
              <w:t>MAT01</w:t>
            </w:r>
          </w:p>
          <w:p w:rsidR="004A3D12" w:rsidRPr="002370AE" w:rsidRDefault="005A2484" w:rsidP="005A2484">
            <w:pPr>
              <w:spacing w:line="360" w:lineRule="auto"/>
              <w:jc w:val="center"/>
              <w:rPr>
                <w:rFonts w:ascii="Arial" w:hAnsi="Arial" w:cs="Arial"/>
                <w:sz w:val="22"/>
                <w:szCs w:val="22"/>
              </w:rPr>
            </w:pPr>
            <w:r w:rsidRPr="002370AE">
              <w:rPr>
                <w:rFonts w:ascii="Arial" w:hAnsi="Arial" w:cs="Arial"/>
                <w:sz w:val="22"/>
                <w:szCs w:val="22"/>
              </w:rPr>
              <w:t>Life Cycle</w:t>
            </w:r>
          </w:p>
        </w:tc>
        <w:tc>
          <w:tcPr>
            <w:tcW w:w="6662" w:type="dxa"/>
            <w:shd w:val="clear" w:color="auto" w:fill="B8CCE4" w:themeFill="accent1" w:themeFillTint="66"/>
          </w:tcPr>
          <w:p w:rsidR="004A3D12" w:rsidRPr="002370AE" w:rsidRDefault="004A3D12" w:rsidP="005A2484">
            <w:pPr>
              <w:spacing w:line="360" w:lineRule="auto"/>
              <w:jc w:val="center"/>
              <w:rPr>
                <w:rFonts w:ascii="Arial" w:hAnsi="Arial" w:cs="Arial"/>
                <w:sz w:val="22"/>
                <w:szCs w:val="22"/>
              </w:rPr>
            </w:pPr>
            <w:r w:rsidRPr="002370AE">
              <w:rPr>
                <w:rFonts w:ascii="Arial" w:hAnsi="Arial" w:cs="Arial"/>
                <w:sz w:val="22"/>
                <w:szCs w:val="22"/>
              </w:rPr>
              <w:t>This section focuses around the chosen materials’ environmental impact, including its embodied carbon. This is subsequently calculated over the buildings full life cycle.</w:t>
            </w:r>
          </w:p>
        </w:tc>
      </w:tr>
      <w:tr w:rsidR="004A3D12" w:rsidRPr="002370AE" w:rsidTr="005A2484">
        <w:tc>
          <w:tcPr>
            <w:tcW w:w="2547" w:type="dxa"/>
            <w:shd w:val="clear" w:color="auto" w:fill="D6E3BC" w:themeFill="accent3" w:themeFillTint="66"/>
          </w:tcPr>
          <w:p w:rsidR="00DB3461" w:rsidRPr="002370AE" w:rsidRDefault="004A3D12" w:rsidP="005A2484">
            <w:pPr>
              <w:spacing w:line="360" w:lineRule="auto"/>
              <w:jc w:val="center"/>
              <w:rPr>
                <w:rFonts w:ascii="Arial" w:hAnsi="Arial" w:cs="Arial"/>
                <w:sz w:val="22"/>
                <w:szCs w:val="22"/>
              </w:rPr>
            </w:pPr>
            <w:r w:rsidRPr="002370AE">
              <w:rPr>
                <w:rFonts w:ascii="Arial" w:hAnsi="Arial" w:cs="Arial"/>
                <w:sz w:val="22"/>
                <w:szCs w:val="22"/>
              </w:rPr>
              <w:t>MAT02</w:t>
            </w:r>
          </w:p>
          <w:p w:rsidR="004A3D12" w:rsidRPr="002370AE" w:rsidRDefault="005A2484" w:rsidP="005A2484">
            <w:pPr>
              <w:spacing w:line="360" w:lineRule="auto"/>
              <w:jc w:val="center"/>
              <w:rPr>
                <w:rFonts w:ascii="Arial" w:hAnsi="Arial" w:cs="Arial"/>
                <w:sz w:val="22"/>
                <w:szCs w:val="22"/>
              </w:rPr>
            </w:pPr>
            <w:r w:rsidRPr="002370AE">
              <w:rPr>
                <w:rFonts w:ascii="Arial" w:hAnsi="Arial" w:cs="Arial"/>
                <w:sz w:val="22"/>
                <w:szCs w:val="22"/>
              </w:rPr>
              <w:t>Hard Landscaping &amp; Boundary Protection</w:t>
            </w:r>
          </w:p>
        </w:tc>
        <w:tc>
          <w:tcPr>
            <w:tcW w:w="6662" w:type="dxa"/>
            <w:shd w:val="clear" w:color="auto" w:fill="B8CCE4" w:themeFill="accent1" w:themeFillTint="66"/>
          </w:tcPr>
          <w:p w:rsidR="004A3D12" w:rsidRPr="002370AE" w:rsidRDefault="004A3D12" w:rsidP="005A2484">
            <w:pPr>
              <w:spacing w:line="360" w:lineRule="auto"/>
              <w:jc w:val="center"/>
              <w:rPr>
                <w:rFonts w:ascii="Arial" w:hAnsi="Arial" w:cs="Arial"/>
                <w:sz w:val="22"/>
                <w:szCs w:val="22"/>
              </w:rPr>
            </w:pPr>
            <w:r w:rsidRPr="002370AE">
              <w:rPr>
                <w:rFonts w:ascii="Arial" w:hAnsi="Arial" w:cs="Arial"/>
                <w:sz w:val="22"/>
                <w:szCs w:val="22"/>
              </w:rPr>
              <w:t xml:space="preserve">This section </w:t>
            </w:r>
            <w:r w:rsidR="005A2484" w:rsidRPr="002370AE">
              <w:rPr>
                <w:rFonts w:ascii="Arial" w:hAnsi="Arial" w:cs="Arial"/>
                <w:sz w:val="22"/>
                <w:szCs w:val="22"/>
              </w:rPr>
              <w:t>includes the specification of the most sustainable materials to divide the site – The products’ Life Cycle Cost will also have an effect on the overall rating.</w:t>
            </w:r>
          </w:p>
        </w:tc>
      </w:tr>
      <w:tr w:rsidR="004A3D12" w:rsidRPr="002370AE" w:rsidTr="005A2484">
        <w:tc>
          <w:tcPr>
            <w:tcW w:w="2547" w:type="dxa"/>
            <w:shd w:val="clear" w:color="auto" w:fill="D6E3BC" w:themeFill="accent3" w:themeFillTint="66"/>
          </w:tcPr>
          <w:p w:rsidR="00DB3461" w:rsidRPr="002370AE" w:rsidRDefault="004A3D12" w:rsidP="005A2484">
            <w:pPr>
              <w:spacing w:line="360" w:lineRule="auto"/>
              <w:jc w:val="center"/>
              <w:rPr>
                <w:rFonts w:ascii="Arial" w:hAnsi="Arial" w:cs="Arial"/>
                <w:sz w:val="22"/>
                <w:szCs w:val="22"/>
              </w:rPr>
            </w:pPr>
            <w:r w:rsidRPr="002370AE">
              <w:rPr>
                <w:rFonts w:ascii="Arial" w:hAnsi="Arial" w:cs="Arial"/>
                <w:sz w:val="22"/>
                <w:szCs w:val="22"/>
              </w:rPr>
              <w:lastRenderedPageBreak/>
              <w:t>MAT03</w:t>
            </w:r>
          </w:p>
          <w:p w:rsidR="004A3D12" w:rsidRPr="002370AE" w:rsidRDefault="005A2484" w:rsidP="005A2484">
            <w:pPr>
              <w:spacing w:line="360" w:lineRule="auto"/>
              <w:jc w:val="center"/>
              <w:rPr>
                <w:rFonts w:ascii="Arial" w:hAnsi="Arial" w:cs="Arial"/>
                <w:sz w:val="22"/>
                <w:szCs w:val="22"/>
              </w:rPr>
            </w:pPr>
            <w:r w:rsidRPr="002370AE">
              <w:rPr>
                <w:rFonts w:ascii="Arial" w:hAnsi="Arial" w:cs="Arial"/>
                <w:sz w:val="22"/>
                <w:szCs w:val="22"/>
              </w:rPr>
              <w:t>Responsible Sourcing</w:t>
            </w:r>
          </w:p>
        </w:tc>
        <w:tc>
          <w:tcPr>
            <w:tcW w:w="6662" w:type="dxa"/>
            <w:shd w:val="clear" w:color="auto" w:fill="B8CCE4" w:themeFill="accent1" w:themeFillTint="66"/>
          </w:tcPr>
          <w:p w:rsidR="004A3D12" w:rsidRPr="002370AE" w:rsidRDefault="005A2484" w:rsidP="005A2484">
            <w:pPr>
              <w:spacing w:line="360" w:lineRule="auto"/>
              <w:jc w:val="center"/>
              <w:rPr>
                <w:rFonts w:ascii="Arial" w:hAnsi="Arial" w:cs="Arial"/>
                <w:sz w:val="22"/>
                <w:szCs w:val="22"/>
              </w:rPr>
            </w:pPr>
            <w:r w:rsidRPr="002370AE">
              <w:rPr>
                <w:rFonts w:ascii="Arial" w:hAnsi="Arial" w:cs="Arial"/>
                <w:sz w:val="22"/>
                <w:szCs w:val="22"/>
              </w:rPr>
              <w:t>This section refers to the origin of the product, particular in its extraction/harvest. Subsequently, evidence of sustainable procurement for the material will need to be provided to award credits.</w:t>
            </w:r>
          </w:p>
        </w:tc>
      </w:tr>
      <w:tr w:rsidR="004A3D12" w:rsidRPr="002370AE" w:rsidTr="005A2484">
        <w:tc>
          <w:tcPr>
            <w:tcW w:w="2547" w:type="dxa"/>
            <w:shd w:val="clear" w:color="auto" w:fill="D6E3BC" w:themeFill="accent3" w:themeFillTint="66"/>
          </w:tcPr>
          <w:p w:rsidR="00DB3461" w:rsidRPr="002370AE" w:rsidRDefault="00DB3461" w:rsidP="005A2484">
            <w:pPr>
              <w:spacing w:line="360" w:lineRule="auto"/>
              <w:jc w:val="center"/>
              <w:rPr>
                <w:rFonts w:ascii="Arial" w:hAnsi="Arial" w:cs="Arial"/>
                <w:sz w:val="22"/>
                <w:szCs w:val="22"/>
              </w:rPr>
            </w:pPr>
            <w:r w:rsidRPr="002370AE">
              <w:rPr>
                <w:rFonts w:ascii="Arial" w:hAnsi="Arial" w:cs="Arial"/>
                <w:sz w:val="22"/>
                <w:szCs w:val="22"/>
              </w:rPr>
              <w:t>MAT 04</w:t>
            </w:r>
          </w:p>
          <w:p w:rsidR="004A3D12" w:rsidRPr="002370AE" w:rsidRDefault="005A2484" w:rsidP="005A2484">
            <w:pPr>
              <w:spacing w:line="360" w:lineRule="auto"/>
              <w:jc w:val="center"/>
              <w:rPr>
                <w:rFonts w:ascii="Arial" w:hAnsi="Arial" w:cs="Arial"/>
                <w:sz w:val="22"/>
                <w:szCs w:val="22"/>
              </w:rPr>
            </w:pPr>
            <w:r w:rsidRPr="002370AE">
              <w:rPr>
                <w:rFonts w:ascii="Arial" w:hAnsi="Arial" w:cs="Arial"/>
                <w:sz w:val="22"/>
                <w:szCs w:val="22"/>
              </w:rPr>
              <w:t>Insulation</w:t>
            </w:r>
          </w:p>
        </w:tc>
        <w:tc>
          <w:tcPr>
            <w:tcW w:w="6662" w:type="dxa"/>
            <w:shd w:val="clear" w:color="auto" w:fill="B8CCE4" w:themeFill="accent1" w:themeFillTint="66"/>
          </w:tcPr>
          <w:p w:rsidR="004A3D12" w:rsidRPr="002370AE" w:rsidRDefault="005A2484" w:rsidP="005A2484">
            <w:pPr>
              <w:spacing w:line="360" w:lineRule="auto"/>
              <w:jc w:val="center"/>
              <w:rPr>
                <w:rFonts w:ascii="Arial" w:hAnsi="Arial" w:cs="Arial"/>
                <w:sz w:val="22"/>
                <w:szCs w:val="22"/>
              </w:rPr>
            </w:pPr>
            <w:r w:rsidRPr="002370AE">
              <w:rPr>
                <w:rFonts w:ascii="Arial" w:hAnsi="Arial" w:cs="Arial"/>
                <w:sz w:val="22"/>
                <w:szCs w:val="22"/>
              </w:rPr>
              <w:t>The choice of the insulation for the proposed building must not only include a low heat loss value, but also exhibit low embodied carbon factors.</w:t>
            </w:r>
          </w:p>
        </w:tc>
      </w:tr>
      <w:tr w:rsidR="004A3D12" w:rsidRPr="002370AE" w:rsidTr="005A2484">
        <w:tc>
          <w:tcPr>
            <w:tcW w:w="2547" w:type="dxa"/>
            <w:shd w:val="clear" w:color="auto" w:fill="D6E3BC" w:themeFill="accent3" w:themeFillTint="66"/>
          </w:tcPr>
          <w:p w:rsidR="00DB3461" w:rsidRPr="002370AE" w:rsidRDefault="00DB3461" w:rsidP="005A2484">
            <w:pPr>
              <w:spacing w:line="360" w:lineRule="auto"/>
              <w:jc w:val="center"/>
              <w:rPr>
                <w:rFonts w:ascii="Arial" w:hAnsi="Arial" w:cs="Arial"/>
                <w:sz w:val="22"/>
                <w:szCs w:val="22"/>
              </w:rPr>
            </w:pPr>
            <w:r w:rsidRPr="002370AE">
              <w:rPr>
                <w:rFonts w:ascii="Arial" w:hAnsi="Arial" w:cs="Arial"/>
                <w:sz w:val="22"/>
                <w:szCs w:val="22"/>
              </w:rPr>
              <w:t>MAT 05</w:t>
            </w:r>
          </w:p>
          <w:p w:rsidR="004A3D12" w:rsidRPr="002370AE" w:rsidRDefault="005A2484" w:rsidP="005A2484">
            <w:pPr>
              <w:spacing w:line="360" w:lineRule="auto"/>
              <w:jc w:val="center"/>
              <w:rPr>
                <w:rFonts w:ascii="Arial" w:hAnsi="Arial" w:cs="Arial"/>
                <w:sz w:val="22"/>
                <w:szCs w:val="22"/>
              </w:rPr>
            </w:pPr>
            <w:r w:rsidRPr="002370AE">
              <w:rPr>
                <w:rFonts w:ascii="Arial" w:hAnsi="Arial" w:cs="Arial"/>
                <w:sz w:val="22"/>
                <w:szCs w:val="22"/>
              </w:rPr>
              <w:t>Designing for Durability and Resistance</w:t>
            </w:r>
          </w:p>
        </w:tc>
        <w:tc>
          <w:tcPr>
            <w:tcW w:w="6662" w:type="dxa"/>
            <w:shd w:val="clear" w:color="auto" w:fill="B8CCE4" w:themeFill="accent1" w:themeFillTint="66"/>
          </w:tcPr>
          <w:p w:rsidR="004A3D12" w:rsidRPr="002370AE" w:rsidRDefault="00DB3461" w:rsidP="005A2484">
            <w:pPr>
              <w:spacing w:line="360" w:lineRule="auto"/>
              <w:jc w:val="center"/>
              <w:rPr>
                <w:rFonts w:ascii="Arial" w:hAnsi="Arial" w:cs="Arial"/>
                <w:sz w:val="22"/>
                <w:szCs w:val="22"/>
              </w:rPr>
            </w:pPr>
            <w:r w:rsidRPr="002370AE">
              <w:rPr>
                <w:rFonts w:ascii="Arial" w:hAnsi="Arial" w:cs="Arial"/>
                <w:sz w:val="22"/>
                <w:szCs w:val="22"/>
              </w:rPr>
              <w:t>This section revolves around the life span of the specified material – this is included to minimise the frequen</w:t>
            </w:r>
            <w:r w:rsidR="00B13B2A" w:rsidRPr="002370AE">
              <w:rPr>
                <w:rFonts w:ascii="Arial" w:hAnsi="Arial" w:cs="Arial"/>
                <w:sz w:val="22"/>
                <w:szCs w:val="22"/>
              </w:rPr>
              <w:t>cy of replacement or maintenance</w:t>
            </w:r>
            <w:r w:rsidRPr="002370AE">
              <w:rPr>
                <w:rFonts w:ascii="Arial" w:hAnsi="Arial" w:cs="Arial"/>
                <w:sz w:val="22"/>
                <w:szCs w:val="22"/>
              </w:rPr>
              <w:t>; which contributes to resource use and running costs of the building.</w:t>
            </w:r>
          </w:p>
        </w:tc>
      </w:tr>
      <w:tr w:rsidR="004A3D12" w:rsidRPr="002370AE" w:rsidTr="005A2484">
        <w:tc>
          <w:tcPr>
            <w:tcW w:w="2547" w:type="dxa"/>
            <w:shd w:val="clear" w:color="auto" w:fill="D6E3BC" w:themeFill="accent3" w:themeFillTint="66"/>
          </w:tcPr>
          <w:p w:rsidR="004A3D12" w:rsidRPr="002370AE" w:rsidRDefault="004A3D12" w:rsidP="005A2484">
            <w:pPr>
              <w:spacing w:line="360" w:lineRule="auto"/>
              <w:jc w:val="center"/>
              <w:rPr>
                <w:rFonts w:ascii="Arial" w:hAnsi="Arial" w:cs="Arial"/>
                <w:sz w:val="22"/>
                <w:szCs w:val="22"/>
              </w:rPr>
            </w:pPr>
            <w:r w:rsidRPr="002370AE">
              <w:rPr>
                <w:rFonts w:ascii="Arial" w:hAnsi="Arial" w:cs="Arial"/>
                <w:sz w:val="22"/>
                <w:szCs w:val="22"/>
              </w:rPr>
              <w:t>MAT 06</w:t>
            </w:r>
          </w:p>
          <w:p w:rsidR="00DB3461" w:rsidRPr="002370AE" w:rsidRDefault="00DB3461" w:rsidP="005A2484">
            <w:pPr>
              <w:spacing w:line="360" w:lineRule="auto"/>
              <w:jc w:val="center"/>
              <w:rPr>
                <w:rFonts w:ascii="Arial" w:hAnsi="Arial" w:cs="Arial"/>
                <w:sz w:val="22"/>
                <w:szCs w:val="22"/>
              </w:rPr>
            </w:pPr>
            <w:r w:rsidRPr="002370AE">
              <w:rPr>
                <w:rFonts w:ascii="Arial" w:hAnsi="Arial" w:cs="Arial"/>
                <w:sz w:val="22"/>
                <w:szCs w:val="22"/>
              </w:rPr>
              <w:t>Material Efficiency</w:t>
            </w:r>
          </w:p>
        </w:tc>
        <w:tc>
          <w:tcPr>
            <w:tcW w:w="6662" w:type="dxa"/>
            <w:shd w:val="clear" w:color="auto" w:fill="B8CCE4" w:themeFill="accent1" w:themeFillTint="66"/>
          </w:tcPr>
          <w:p w:rsidR="004A3D12" w:rsidRPr="002370AE" w:rsidRDefault="00DB3461" w:rsidP="005A2484">
            <w:pPr>
              <w:spacing w:line="360" w:lineRule="auto"/>
              <w:jc w:val="center"/>
              <w:rPr>
                <w:rFonts w:ascii="Arial" w:hAnsi="Arial" w:cs="Arial"/>
                <w:sz w:val="22"/>
                <w:szCs w:val="22"/>
              </w:rPr>
            </w:pPr>
            <w:r w:rsidRPr="002370AE">
              <w:rPr>
                <w:rFonts w:ascii="Arial" w:hAnsi="Arial" w:cs="Arial"/>
                <w:sz w:val="22"/>
                <w:szCs w:val="22"/>
              </w:rPr>
              <w:t>This refers to the usage of the material. In calculating the proposed use, the section aims to minimise waste of resources and reduce environmental impacts.</w:t>
            </w:r>
          </w:p>
        </w:tc>
      </w:tr>
    </w:tbl>
    <w:p w:rsidR="006C2EAA" w:rsidRPr="002370AE" w:rsidRDefault="006C2EAA" w:rsidP="001B2AC8">
      <w:pPr>
        <w:spacing w:line="360" w:lineRule="auto"/>
        <w:jc w:val="both"/>
        <w:rPr>
          <w:rFonts w:ascii="Arial" w:hAnsi="Arial" w:cs="Arial"/>
          <w:sz w:val="24"/>
          <w:szCs w:val="24"/>
        </w:rPr>
      </w:pPr>
    </w:p>
    <w:p w:rsidR="00B322C1" w:rsidRPr="002370AE" w:rsidRDefault="00B322C1" w:rsidP="001B2AC8">
      <w:pPr>
        <w:spacing w:line="360" w:lineRule="auto"/>
        <w:jc w:val="both"/>
        <w:rPr>
          <w:rFonts w:ascii="Arial" w:hAnsi="Arial" w:cs="Arial"/>
          <w:sz w:val="24"/>
          <w:szCs w:val="24"/>
        </w:rPr>
      </w:pPr>
    </w:p>
    <w:p w:rsidR="00307E37" w:rsidRPr="002370AE" w:rsidRDefault="00307E37" w:rsidP="00307E37">
      <w:pPr>
        <w:spacing w:line="360" w:lineRule="auto"/>
        <w:jc w:val="right"/>
        <w:rPr>
          <w:rFonts w:ascii="Arial" w:hAnsi="Arial" w:cs="Arial"/>
          <w:b/>
        </w:rPr>
      </w:pPr>
      <w:r w:rsidRPr="002370AE">
        <w:rPr>
          <w:rFonts w:ascii="Arial" w:hAnsi="Arial" w:cs="Arial"/>
          <w:b/>
        </w:rPr>
        <w:t>Chapter 3</w:t>
      </w:r>
    </w:p>
    <w:p w:rsidR="00307E37" w:rsidRPr="002370AE" w:rsidRDefault="00307E37" w:rsidP="00307E37">
      <w:pPr>
        <w:spacing w:line="360" w:lineRule="auto"/>
        <w:jc w:val="both"/>
        <w:rPr>
          <w:rFonts w:ascii="Arial" w:hAnsi="Arial" w:cs="Arial"/>
          <w:b/>
        </w:rPr>
      </w:pPr>
      <w:r w:rsidRPr="002370AE">
        <w:rPr>
          <w:rFonts w:ascii="Arial" w:hAnsi="Arial" w:cs="Arial"/>
          <w:b/>
        </w:rPr>
        <w:t xml:space="preserve">3.1 </w:t>
      </w:r>
      <w:r w:rsidR="002370AE" w:rsidRPr="002370AE">
        <w:rPr>
          <w:rFonts w:ascii="Arial" w:hAnsi="Arial" w:cs="Arial"/>
          <w:b/>
        </w:rPr>
        <w:t>Passiv</w:t>
      </w:r>
      <w:r w:rsidR="00C8603E" w:rsidRPr="002370AE">
        <w:rPr>
          <w:rFonts w:ascii="Arial" w:hAnsi="Arial" w:cs="Arial"/>
          <w:b/>
        </w:rPr>
        <w:t>Haus Overview</w:t>
      </w:r>
    </w:p>
    <w:p w:rsidR="00390196" w:rsidRPr="002370AE" w:rsidRDefault="002370AE" w:rsidP="001B2AC8">
      <w:pPr>
        <w:spacing w:line="360" w:lineRule="auto"/>
        <w:jc w:val="both"/>
        <w:rPr>
          <w:rFonts w:ascii="Arial" w:hAnsi="Arial" w:cs="Arial"/>
        </w:rPr>
      </w:pPr>
      <w:r w:rsidRPr="002370AE">
        <w:rPr>
          <w:rFonts w:ascii="Arial" w:hAnsi="Arial" w:cs="Arial"/>
        </w:rPr>
        <w:tab/>
        <w:t>Passiv</w:t>
      </w:r>
      <w:r w:rsidR="00307E37" w:rsidRPr="002370AE">
        <w:rPr>
          <w:rFonts w:ascii="Arial" w:hAnsi="Arial" w:cs="Arial"/>
        </w:rPr>
        <w:t>Haus, translated as ‘Passive House, is a rapidly growing energy efficiency certification scheme. A branch of the BRE, the scheme aims to tackle issues relating to the thermal performance of the building.</w:t>
      </w:r>
    </w:p>
    <w:p w:rsidR="00390196" w:rsidRPr="002370AE" w:rsidRDefault="00390196" w:rsidP="001B2AC8">
      <w:pPr>
        <w:spacing w:line="360" w:lineRule="auto"/>
        <w:jc w:val="both"/>
        <w:rPr>
          <w:rFonts w:ascii="Arial" w:hAnsi="Arial" w:cs="Arial"/>
        </w:rPr>
      </w:pPr>
    </w:p>
    <w:p w:rsidR="00390196" w:rsidRPr="002370AE" w:rsidRDefault="00390196" w:rsidP="00390196">
      <w:pPr>
        <w:spacing w:line="360" w:lineRule="auto"/>
        <w:jc w:val="center"/>
        <w:rPr>
          <w:rFonts w:ascii="Arial" w:hAnsi="Arial" w:cs="Arial"/>
        </w:rPr>
      </w:pPr>
      <w:r w:rsidRPr="002370AE">
        <w:rPr>
          <w:noProof/>
          <w:lang w:eastAsia="en-GB"/>
        </w:rPr>
        <w:drawing>
          <wp:inline distT="0" distB="0" distL="0" distR="0" wp14:anchorId="02A90F81" wp14:editId="26A85DCE">
            <wp:extent cx="2095500" cy="428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95500" cy="428625"/>
                    </a:xfrm>
                    <a:prstGeom prst="rect">
                      <a:avLst/>
                    </a:prstGeom>
                  </pic:spPr>
                </pic:pic>
              </a:graphicData>
            </a:graphic>
          </wp:inline>
        </w:drawing>
      </w:r>
    </w:p>
    <w:p w:rsidR="00390196" w:rsidRPr="002370AE" w:rsidRDefault="00390196" w:rsidP="00390196">
      <w:pPr>
        <w:spacing w:line="360" w:lineRule="auto"/>
        <w:jc w:val="center"/>
        <w:rPr>
          <w:rFonts w:ascii="Arial" w:hAnsi="Arial" w:cs="Arial"/>
          <w:b/>
          <w:i/>
        </w:rPr>
      </w:pPr>
      <w:r w:rsidRPr="002370AE">
        <w:rPr>
          <w:rFonts w:ascii="Arial" w:hAnsi="Arial" w:cs="Arial"/>
          <w:b/>
          <w:i/>
        </w:rPr>
        <w:t>Figure</w:t>
      </w:r>
      <w:r w:rsidR="00635445" w:rsidRPr="002370AE">
        <w:rPr>
          <w:rFonts w:ascii="Arial" w:hAnsi="Arial" w:cs="Arial"/>
          <w:b/>
          <w:i/>
        </w:rPr>
        <w:t xml:space="preserve"> 3.1</w:t>
      </w:r>
      <w:r w:rsidRPr="002370AE">
        <w:rPr>
          <w:rFonts w:ascii="Arial" w:hAnsi="Arial" w:cs="Arial"/>
          <w:b/>
          <w:i/>
        </w:rPr>
        <w:t>: PassivHaus Logo. (PassivHaus, 2017)</w:t>
      </w:r>
    </w:p>
    <w:p w:rsidR="00307E37" w:rsidRPr="002370AE" w:rsidRDefault="00307E37" w:rsidP="001B2AC8">
      <w:pPr>
        <w:spacing w:line="360" w:lineRule="auto"/>
        <w:jc w:val="both"/>
        <w:rPr>
          <w:rFonts w:ascii="Arial" w:hAnsi="Arial" w:cs="Arial"/>
        </w:rPr>
      </w:pPr>
    </w:p>
    <w:p w:rsidR="00B322C1" w:rsidRPr="002370AE" w:rsidRDefault="00307E37" w:rsidP="001B2AC8">
      <w:pPr>
        <w:spacing w:line="360" w:lineRule="auto"/>
        <w:jc w:val="both"/>
        <w:rPr>
          <w:rFonts w:ascii="Arial" w:hAnsi="Arial" w:cs="Arial"/>
        </w:rPr>
      </w:pPr>
      <w:r w:rsidRPr="002370AE">
        <w:rPr>
          <w:rFonts w:ascii="Arial" w:hAnsi="Arial" w:cs="Arial"/>
        </w:rPr>
        <w:t xml:space="preserve">The scheme was originally developed by Prof. Bo Adamson of Sweden and Prof. Wolfgang Feist of </w:t>
      </w:r>
      <w:r w:rsidR="0073114C" w:rsidRPr="002370AE">
        <w:rPr>
          <w:rFonts w:ascii="Arial" w:hAnsi="Arial" w:cs="Arial"/>
        </w:rPr>
        <w:t>Germany with</w:t>
      </w:r>
      <w:r w:rsidRPr="002370AE">
        <w:rPr>
          <w:rFonts w:ascii="Arial" w:hAnsi="Arial" w:cs="Arial"/>
        </w:rPr>
        <w:t xml:space="preserve"> the pair piloting the scheme on a ‘house in 1991’</w:t>
      </w:r>
      <w:r w:rsidR="00B322C1" w:rsidRPr="002370AE">
        <w:rPr>
          <w:rFonts w:ascii="Arial" w:hAnsi="Arial" w:cs="Arial"/>
        </w:rPr>
        <w:t xml:space="preserve">; </w:t>
      </w:r>
      <w:r w:rsidRPr="002370AE">
        <w:rPr>
          <w:rFonts w:ascii="Arial" w:hAnsi="Arial" w:cs="Arial"/>
        </w:rPr>
        <w:t xml:space="preserve">which has now grown to </w:t>
      </w:r>
      <w:r w:rsidR="00B322C1" w:rsidRPr="002370AE">
        <w:rPr>
          <w:rFonts w:ascii="Arial" w:hAnsi="Arial" w:cs="Arial"/>
        </w:rPr>
        <w:t>‘</w:t>
      </w:r>
      <w:r w:rsidRPr="002370AE">
        <w:rPr>
          <w:rFonts w:ascii="Arial" w:hAnsi="Arial" w:cs="Arial"/>
        </w:rPr>
        <w:t>30,000</w:t>
      </w:r>
      <w:r w:rsidR="00B322C1" w:rsidRPr="002370AE">
        <w:rPr>
          <w:rFonts w:ascii="Arial" w:hAnsi="Arial" w:cs="Arial"/>
        </w:rPr>
        <w:t xml:space="preserve">’ </w:t>
      </w:r>
      <w:r w:rsidR="00CA085C" w:rsidRPr="002370AE">
        <w:rPr>
          <w:rFonts w:ascii="Arial" w:hAnsi="Arial" w:cs="Arial"/>
        </w:rPr>
        <w:t xml:space="preserve">in the turn of the century </w:t>
      </w:r>
      <w:r w:rsidR="00B322C1" w:rsidRPr="002370AE">
        <w:rPr>
          <w:rFonts w:ascii="Arial" w:hAnsi="Arial" w:cs="Arial"/>
        </w:rPr>
        <w:t xml:space="preserve">(Passiv Haus, 2017) that reach the passive house standard. The certification is achieved from a fabric first approach, whereby sustainability is tackled by minimising energy usage and conservation through efficient design and mechanical </w:t>
      </w:r>
      <w:r w:rsidR="00B322C1" w:rsidRPr="002370AE">
        <w:rPr>
          <w:rFonts w:ascii="Arial" w:hAnsi="Arial" w:cs="Arial"/>
        </w:rPr>
        <w:lastRenderedPageBreak/>
        <w:t xml:space="preserve">heat recovery systems. This standard of thermal comfort is </w:t>
      </w:r>
      <w:r w:rsidR="00C8603E" w:rsidRPr="002370AE">
        <w:rPr>
          <w:rFonts w:ascii="Arial" w:hAnsi="Arial" w:cs="Arial"/>
        </w:rPr>
        <w:t>at a focus point, whilst maintaining a healthy internal space, as defined in ISO 7730, the buildings performance is modelled before a brick has been laid.</w:t>
      </w:r>
    </w:p>
    <w:p w:rsidR="00C8603E" w:rsidRPr="002370AE" w:rsidRDefault="002370AE" w:rsidP="00C8603E">
      <w:pPr>
        <w:spacing w:line="360" w:lineRule="auto"/>
        <w:jc w:val="both"/>
        <w:rPr>
          <w:rFonts w:ascii="Arial" w:hAnsi="Arial" w:cs="Arial"/>
          <w:b/>
        </w:rPr>
      </w:pPr>
      <w:r w:rsidRPr="002370AE">
        <w:rPr>
          <w:rFonts w:ascii="Arial" w:hAnsi="Arial" w:cs="Arial"/>
          <w:b/>
        </w:rPr>
        <w:t>3.2 Passiv</w:t>
      </w:r>
      <w:r w:rsidR="00C8603E" w:rsidRPr="002370AE">
        <w:rPr>
          <w:rFonts w:ascii="Arial" w:hAnsi="Arial" w:cs="Arial"/>
          <w:b/>
        </w:rPr>
        <w:t>Haus Implementation</w:t>
      </w:r>
    </w:p>
    <w:p w:rsidR="00C8603E" w:rsidRPr="002370AE" w:rsidRDefault="00C8603E" w:rsidP="001B2AC8">
      <w:pPr>
        <w:spacing w:line="360" w:lineRule="auto"/>
        <w:jc w:val="both"/>
        <w:rPr>
          <w:rFonts w:ascii="Arial" w:hAnsi="Arial" w:cs="Arial"/>
        </w:rPr>
      </w:pPr>
      <w:r w:rsidRPr="002370AE">
        <w:rPr>
          <w:rFonts w:ascii="Arial" w:hAnsi="Arial" w:cs="Arial"/>
        </w:rPr>
        <w:tab/>
        <w:t xml:space="preserve">With rising energy costs, as ‘much as 10%’ (U Switch, 2017), and fuel poverty </w:t>
      </w:r>
      <w:r w:rsidR="002370AE" w:rsidRPr="002370AE">
        <w:rPr>
          <w:rFonts w:ascii="Arial" w:hAnsi="Arial" w:cs="Arial"/>
        </w:rPr>
        <w:t>worries have driven the Passiv</w:t>
      </w:r>
      <w:r w:rsidRPr="002370AE">
        <w:rPr>
          <w:rFonts w:ascii="Arial" w:hAnsi="Arial" w:cs="Arial"/>
        </w:rPr>
        <w:t xml:space="preserve">Haus uptake. </w:t>
      </w:r>
      <w:r w:rsidR="00CA085C" w:rsidRPr="002370AE">
        <w:rPr>
          <w:rFonts w:ascii="Arial" w:hAnsi="Arial" w:cs="Arial"/>
        </w:rPr>
        <w:t>There are now ‘150’</w:t>
      </w:r>
      <w:r w:rsidR="002859F4" w:rsidRPr="002370AE">
        <w:rPr>
          <w:rFonts w:ascii="Arial" w:hAnsi="Arial" w:cs="Arial"/>
        </w:rPr>
        <w:t xml:space="preserve"> (Wainwright, O, 2015)</w:t>
      </w:r>
      <w:r w:rsidR="00CA085C" w:rsidRPr="002370AE">
        <w:rPr>
          <w:rFonts w:ascii="Arial" w:hAnsi="Arial" w:cs="Arial"/>
        </w:rPr>
        <w:t xml:space="preserve"> passive homes in </w:t>
      </w:r>
      <w:r w:rsidR="002370AE" w:rsidRPr="002370AE">
        <w:rPr>
          <w:rFonts w:ascii="Arial" w:hAnsi="Arial" w:cs="Arial"/>
        </w:rPr>
        <w:t>the UK which achieve the Passiv</w:t>
      </w:r>
      <w:r w:rsidR="00CA085C" w:rsidRPr="002370AE">
        <w:rPr>
          <w:rFonts w:ascii="Arial" w:hAnsi="Arial" w:cs="Arial"/>
        </w:rPr>
        <w:t xml:space="preserve">Haus standard with larger schemes being launched internationally, in particular </w:t>
      </w:r>
      <w:r w:rsidR="00C871F8" w:rsidRPr="002370AE">
        <w:rPr>
          <w:rFonts w:ascii="Arial" w:hAnsi="Arial" w:cs="Arial"/>
        </w:rPr>
        <w:t>in the Swedish town of Växjö, where high rises have followed the schemes values of energy efficiency which have contributed to a ‘41% reduction of the city's emissions compared to 1993 levels’ (Braw, E. 2014)</w:t>
      </w:r>
    </w:p>
    <w:p w:rsidR="00C871F8" w:rsidRPr="002370AE" w:rsidRDefault="00C871F8" w:rsidP="001B2AC8">
      <w:pPr>
        <w:spacing w:line="360" w:lineRule="auto"/>
        <w:jc w:val="both"/>
        <w:rPr>
          <w:rFonts w:ascii="Arial" w:hAnsi="Arial" w:cs="Arial"/>
        </w:rPr>
      </w:pPr>
      <w:r w:rsidRPr="002370AE">
        <w:rPr>
          <w:rFonts w:ascii="Arial" w:hAnsi="Arial" w:cs="Arial"/>
        </w:rPr>
        <w:t xml:space="preserve">The scheme also adapts to that of the retrofitting process, </w:t>
      </w:r>
      <w:r w:rsidR="00823727" w:rsidRPr="002370AE">
        <w:rPr>
          <w:rFonts w:ascii="Arial" w:hAnsi="Arial" w:cs="Arial"/>
        </w:rPr>
        <w:t>under the EnerPHit certification. Although it is said that these thermal bridges are already existing from previous construction, the additional measures can be made to reduce heating and energy losses.</w:t>
      </w:r>
    </w:p>
    <w:p w:rsidR="00C8603E" w:rsidRPr="002370AE" w:rsidRDefault="00C8603E" w:rsidP="00C8603E">
      <w:pPr>
        <w:spacing w:line="360" w:lineRule="auto"/>
        <w:jc w:val="both"/>
        <w:rPr>
          <w:rFonts w:ascii="Arial" w:hAnsi="Arial" w:cs="Arial"/>
          <w:b/>
        </w:rPr>
      </w:pPr>
    </w:p>
    <w:p w:rsidR="00C8603E" w:rsidRPr="002370AE" w:rsidRDefault="00635445" w:rsidP="00C8603E">
      <w:pPr>
        <w:spacing w:line="360" w:lineRule="auto"/>
        <w:jc w:val="both"/>
        <w:rPr>
          <w:rFonts w:ascii="Arial" w:hAnsi="Arial" w:cs="Arial"/>
          <w:b/>
        </w:rPr>
      </w:pPr>
      <w:r w:rsidRPr="002370AE">
        <w:rPr>
          <w:rFonts w:ascii="Arial" w:hAnsi="Arial" w:cs="Arial"/>
          <w:b/>
        </w:rPr>
        <w:t>3.3 Passiv</w:t>
      </w:r>
      <w:r w:rsidR="00C8603E" w:rsidRPr="002370AE">
        <w:rPr>
          <w:rFonts w:ascii="Arial" w:hAnsi="Arial" w:cs="Arial"/>
          <w:b/>
        </w:rPr>
        <w:t>Haus Design</w:t>
      </w:r>
    </w:p>
    <w:p w:rsidR="00C8603E" w:rsidRPr="002370AE" w:rsidRDefault="00C8603E" w:rsidP="00C8603E">
      <w:pPr>
        <w:spacing w:line="360" w:lineRule="auto"/>
        <w:jc w:val="both"/>
        <w:rPr>
          <w:rFonts w:ascii="Arial" w:hAnsi="Arial" w:cs="Arial"/>
        </w:rPr>
      </w:pPr>
      <w:r w:rsidRPr="002370AE">
        <w:rPr>
          <w:rFonts w:ascii="Arial" w:hAnsi="Arial" w:cs="Arial"/>
          <w:b/>
        </w:rPr>
        <w:tab/>
      </w:r>
      <w:r w:rsidRPr="002370AE">
        <w:rPr>
          <w:rFonts w:ascii="Arial" w:hAnsi="Arial" w:cs="Arial"/>
        </w:rPr>
        <w:t xml:space="preserve">The design of a passive house starts at the early stages of the design process, </w:t>
      </w:r>
      <w:r w:rsidRPr="002370AE">
        <w:rPr>
          <w:rFonts w:ascii="Arial" w:hAnsi="Arial" w:cs="Arial"/>
          <w:i/>
        </w:rPr>
        <w:t>RIBA Stage 1</w:t>
      </w:r>
      <w:r w:rsidRPr="002370AE">
        <w:rPr>
          <w:rFonts w:ascii="Arial" w:hAnsi="Arial" w:cs="Arial"/>
        </w:rPr>
        <w:t xml:space="preserve">, </w:t>
      </w:r>
      <w:r w:rsidR="00823727" w:rsidRPr="002370AE">
        <w:rPr>
          <w:rFonts w:ascii="Arial" w:hAnsi="Arial" w:cs="Arial"/>
        </w:rPr>
        <w:t>and works with the Predicted and Actual energy usage rates of the designed building. The gap between this pre-calculation exercise and post construction measuring process is referred to as the ‘Performance Gap’. With the implementation of BIM in much of construct</w:t>
      </w:r>
      <w:r w:rsidR="00635445" w:rsidRPr="002370AE">
        <w:rPr>
          <w:rFonts w:ascii="Arial" w:hAnsi="Arial" w:cs="Arial"/>
        </w:rPr>
        <w:t>ion projects, the Design Passiv</w:t>
      </w:r>
      <w:r w:rsidR="00823727" w:rsidRPr="002370AE">
        <w:rPr>
          <w:rFonts w:ascii="Arial" w:hAnsi="Arial" w:cs="Arial"/>
        </w:rPr>
        <w:t>Haus plugin has been devised to calculate these losses on the virtual model.</w:t>
      </w:r>
    </w:p>
    <w:p w:rsidR="00823727" w:rsidRPr="002370AE" w:rsidRDefault="00823727" w:rsidP="00823727">
      <w:pPr>
        <w:spacing w:line="360" w:lineRule="auto"/>
        <w:jc w:val="center"/>
        <w:rPr>
          <w:rFonts w:ascii="Arial" w:hAnsi="Arial" w:cs="Arial"/>
        </w:rPr>
      </w:pPr>
      <w:r w:rsidRPr="002370AE">
        <w:rPr>
          <w:noProof/>
          <w:lang w:eastAsia="en-GB"/>
        </w:rPr>
        <w:drawing>
          <wp:inline distT="0" distB="0" distL="0" distR="0" wp14:anchorId="67FA6BE3" wp14:editId="4FACFB65">
            <wp:extent cx="3878897" cy="2388104"/>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92610" cy="2396547"/>
                    </a:xfrm>
                    <a:prstGeom prst="rect">
                      <a:avLst/>
                    </a:prstGeom>
                  </pic:spPr>
                </pic:pic>
              </a:graphicData>
            </a:graphic>
          </wp:inline>
        </w:drawing>
      </w:r>
    </w:p>
    <w:p w:rsidR="00823727" w:rsidRPr="002370AE" w:rsidRDefault="00823727" w:rsidP="00823727">
      <w:pPr>
        <w:spacing w:line="360" w:lineRule="auto"/>
        <w:jc w:val="center"/>
        <w:rPr>
          <w:rFonts w:ascii="Arial" w:hAnsi="Arial" w:cs="Arial"/>
          <w:b/>
          <w:i/>
        </w:rPr>
      </w:pPr>
      <w:r w:rsidRPr="002370AE">
        <w:rPr>
          <w:rFonts w:ascii="Arial" w:hAnsi="Arial" w:cs="Arial"/>
          <w:b/>
          <w:i/>
        </w:rPr>
        <w:t>Figure</w:t>
      </w:r>
      <w:r w:rsidR="00635445" w:rsidRPr="002370AE">
        <w:rPr>
          <w:rFonts w:ascii="Arial" w:hAnsi="Arial" w:cs="Arial"/>
          <w:b/>
          <w:i/>
        </w:rPr>
        <w:t xml:space="preserve"> 3.2</w:t>
      </w:r>
      <w:r w:rsidRPr="002370AE">
        <w:rPr>
          <w:rFonts w:ascii="Arial" w:hAnsi="Arial" w:cs="Arial"/>
          <w:b/>
          <w:i/>
        </w:rPr>
        <w:t>: D</w:t>
      </w:r>
      <w:r w:rsidR="002370AE" w:rsidRPr="002370AE">
        <w:rPr>
          <w:rFonts w:ascii="Arial" w:hAnsi="Arial" w:cs="Arial"/>
          <w:b/>
          <w:i/>
        </w:rPr>
        <w:t>esignPH Plugin Process. (Passiv</w:t>
      </w:r>
      <w:r w:rsidRPr="002370AE">
        <w:rPr>
          <w:rFonts w:ascii="Arial" w:hAnsi="Arial" w:cs="Arial"/>
          <w:b/>
          <w:i/>
        </w:rPr>
        <w:t xml:space="preserve">Haus </w:t>
      </w:r>
      <w:r w:rsidR="006C09BC" w:rsidRPr="002370AE">
        <w:rPr>
          <w:rFonts w:ascii="Arial" w:hAnsi="Arial" w:cs="Arial"/>
          <w:b/>
          <w:i/>
        </w:rPr>
        <w:t>Institute</w:t>
      </w:r>
      <w:r w:rsidRPr="002370AE">
        <w:rPr>
          <w:rFonts w:ascii="Arial" w:hAnsi="Arial" w:cs="Arial"/>
          <w:b/>
          <w:i/>
        </w:rPr>
        <w:t>. 2017)</w:t>
      </w:r>
    </w:p>
    <w:p w:rsidR="00DB3461" w:rsidRPr="002370AE" w:rsidRDefault="00DB3461" w:rsidP="00823727">
      <w:pPr>
        <w:spacing w:line="360" w:lineRule="auto"/>
        <w:rPr>
          <w:rFonts w:ascii="Arial" w:hAnsi="Arial" w:cs="Arial"/>
        </w:rPr>
      </w:pPr>
    </w:p>
    <w:p w:rsidR="00823727" w:rsidRPr="002370AE" w:rsidRDefault="00823727" w:rsidP="00823727">
      <w:pPr>
        <w:spacing w:line="360" w:lineRule="auto"/>
        <w:rPr>
          <w:rFonts w:ascii="Arial" w:hAnsi="Arial" w:cs="Arial"/>
        </w:rPr>
      </w:pPr>
      <w:r w:rsidRPr="002370AE">
        <w:rPr>
          <w:rFonts w:ascii="Arial" w:hAnsi="Arial" w:cs="Arial"/>
        </w:rPr>
        <w:lastRenderedPageBreak/>
        <w:t xml:space="preserve">The outcome of these early calculations can indirectly influence the design of the building in appearance terms. </w:t>
      </w:r>
      <w:r w:rsidR="00DF7E07" w:rsidRPr="002370AE">
        <w:rPr>
          <w:rFonts w:ascii="Arial" w:hAnsi="Arial" w:cs="Arial"/>
        </w:rPr>
        <w:t xml:space="preserve">Orientation and form of the </w:t>
      </w:r>
      <w:r w:rsidR="00D9552E" w:rsidRPr="002370AE">
        <w:rPr>
          <w:rFonts w:ascii="Arial" w:hAnsi="Arial" w:cs="Arial"/>
        </w:rPr>
        <w:t>building</w:t>
      </w:r>
      <w:r w:rsidR="00DF7E07" w:rsidRPr="002370AE">
        <w:rPr>
          <w:rFonts w:ascii="Arial" w:hAnsi="Arial" w:cs="Arial"/>
        </w:rPr>
        <w:t xml:space="preserve"> is a critical factor in the design process, a position within ‘30 degrees of due south’ allows for a ‘40-60%’ </w:t>
      </w:r>
      <w:r w:rsidR="00D9552E" w:rsidRPr="002370AE">
        <w:rPr>
          <w:rFonts w:ascii="Arial" w:hAnsi="Arial" w:cs="Arial"/>
        </w:rPr>
        <w:t xml:space="preserve">(BRE, No Date) </w:t>
      </w:r>
      <w:r w:rsidR="00DF7E07" w:rsidRPr="002370AE">
        <w:rPr>
          <w:rFonts w:ascii="Arial" w:hAnsi="Arial" w:cs="Arial"/>
        </w:rPr>
        <w:t xml:space="preserve">reduction of heating </w:t>
      </w:r>
      <w:r w:rsidR="00D9552E" w:rsidRPr="002370AE">
        <w:rPr>
          <w:rFonts w:ascii="Arial" w:hAnsi="Arial" w:cs="Arial"/>
        </w:rPr>
        <w:t xml:space="preserve">demands. The area to volume ratio is also calculated as smaller, compact buildings achieve significantly less heat than larger counterparts, a ratio </w:t>
      </w:r>
      <w:r w:rsidR="00390196" w:rsidRPr="002370AE">
        <w:rPr>
          <w:rFonts w:ascii="Arial" w:hAnsi="Arial" w:cs="Arial"/>
        </w:rPr>
        <w:t>of ‘</w:t>
      </w:r>
      <w:r w:rsidR="00D9552E" w:rsidRPr="002370AE">
        <w:rPr>
          <w:rFonts w:ascii="Arial" w:hAnsi="Arial" w:cs="Arial"/>
        </w:rPr>
        <w:t>≤ 0.7m²/ m³‘ (BRE, No Date). In summary</w:t>
      </w:r>
      <w:r w:rsidRPr="002370AE">
        <w:rPr>
          <w:rFonts w:ascii="Arial" w:hAnsi="Arial" w:cs="Arial"/>
        </w:rPr>
        <w:t>, Passive Houses follow these basic design principles</w:t>
      </w:r>
      <w:r w:rsidR="00DF7E07" w:rsidRPr="002370AE">
        <w:rPr>
          <w:rFonts w:ascii="Arial" w:hAnsi="Arial" w:cs="Arial"/>
        </w:rPr>
        <w:t>:</w:t>
      </w:r>
    </w:p>
    <w:p w:rsidR="00C8603E" w:rsidRPr="002370AE" w:rsidRDefault="00C871F8" w:rsidP="00C871F8">
      <w:pPr>
        <w:spacing w:line="360" w:lineRule="auto"/>
        <w:jc w:val="center"/>
        <w:rPr>
          <w:rFonts w:ascii="Arial" w:hAnsi="Arial" w:cs="Arial"/>
        </w:rPr>
      </w:pPr>
      <w:r w:rsidRPr="002370AE">
        <w:rPr>
          <w:noProof/>
          <w:lang w:eastAsia="en-GB"/>
        </w:rPr>
        <w:drawing>
          <wp:inline distT="0" distB="0" distL="0" distR="0" wp14:anchorId="0BB5A97A" wp14:editId="72402B9A">
            <wp:extent cx="4329025" cy="2781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29025" cy="2781300"/>
                    </a:xfrm>
                    <a:prstGeom prst="rect">
                      <a:avLst/>
                    </a:prstGeom>
                  </pic:spPr>
                </pic:pic>
              </a:graphicData>
            </a:graphic>
          </wp:inline>
        </w:drawing>
      </w:r>
    </w:p>
    <w:p w:rsidR="00DF7E07" w:rsidRPr="002370AE" w:rsidRDefault="00DF7E07" w:rsidP="00DF7E07">
      <w:pPr>
        <w:spacing w:line="360" w:lineRule="auto"/>
        <w:jc w:val="center"/>
        <w:rPr>
          <w:rFonts w:ascii="Arial" w:hAnsi="Arial" w:cs="Arial"/>
          <w:b/>
          <w:i/>
        </w:rPr>
      </w:pPr>
      <w:r w:rsidRPr="002370AE">
        <w:rPr>
          <w:rFonts w:ascii="Arial" w:hAnsi="Arial" w:cs="Arial"/>
          <w:b/>
          <w:i/>
        </w:rPr>
        <w:t xml:space="preserve">Figure </w:t>
      </w:r>
      <w:r w:rsidR="00635445" w:rsidRPr="002370AE">
        <w:rPr>
          <w:rFonts w:ascii="Arial" w:hAnsi="Arial" w:cs="Arial"/>
          <w:b/>
          <w:i/>
        </w:rPr>
        <w:t>3.3: Design Principe for PassivHaus. (Passiv</w:t>
      </w:r>
      <w:r w:rsidRPr="002370AE">
        <w:rPr>
          <w:rFonts w:ascii="Arial" w:hAnsi="Arial" w:cs="Arial"/>
          <w:b/>
          <w:i/>
        </w:rPr>
        <w:t>Haus Institute. 2017)</w:t>
      </w:r>
    </w:p>
    <w:p w:rsidR="00C8603E" w:rsidRPr="002370AE" w:rsidRDefault="00C8603E" w:rsidP="00C8603E">
      <w:pPr>
        <w:spacing w:line="360" w:lineRule="auto"/>
        <w:jc w:val="both"/>
        <w:rPr>
          <w:rFonts w:ascii="Arial" w:hAnsi="Arial" w:cs="Arial"/>
        </w:rPr>
      </w:pPr>
    </w:p>
    <w:p w:rsidR="00DF7E07" w:rsidRPr="002370AE" w:rsidRDefault="00DF7E07" w:rsidP="00C8603E">
      <w:pPr>
        <w:spacing w:line="360" w:lineRule="auto"/>
        <w:jc w:val="both"/>
        <w:rPr>
          <w:rFonts w:ascii="Arial" w:hAnsi="Arial" w:cs="Arial"/>
        </w:rPr>
      </w:pPr>
    </w:p>
    <w:p w:rsidR="00C8603E" w:rsidRPr="002370AE" w:rsidRDefault="00635445" w:rsidP="001B2AC8">
      <w:pPr>
        <w:spacing w:line="360" w:lineRule="auto"/>
        <w:jc w:val="both"/>
        <w:rPr>
          <w:rFonts w:ascii="Arial" w:hAnsi="Arial" w:cs="Arial"/>
          <w:b/>
        </w:rPr>
      </w:pPr>
      <w:r w:rsidRPr="002370AE">
        <w:rPr>
          <w:rFonts w:ascii="Arial" w:hAnsi="Arial" w:cs="Arial"/>
          <w:b/>
        </w:rPr>
        <w:t>3.2 Passiv</w:t>
      </w:r>
      <w:r w:rsidR="00C8603E" w:rsidRPr="002370AE">
        <w:rPr>
          <w:rFonts w:ascii="Arial" w:hAnsi="Arial" w:cs="Arial"/>
          <w:b/>
        </w:rPr>
        <w:t>Haus Materials</w:t>
      </w:r>
    </w:p>
    <w:p w:rsidR="00D9552E" w:rsidRPr="002370AE" w:rsidRDefault="00DF7E07" w:rsidP="001B2AC8">
      <w:pPr>
        <w:spacing w:line="360" w:lineRule="auto"/>
        <w:jc w:val="both"/>
        <w:rPr>
          <w:rFonts w:ascii="Arial" w:hAnsi="Arial" w:cs="Arial"/>
        </w:rPr>
      </w:pPr>
      <w:r w:rsidRPr="002370AE">
        <w:rPr>
          <w:rFonts w:ascii="Arial" w:hAnsi="Arial" w:cs="Arial"/>
        </w:rPr>
        <w:tab/>
        <w:t xml:space="preserve">The dominating material behind a passive house design is its insulation, </w:t>
      </w:r>
      <w:r w:rsidR="00D9552E" w:rsidRPr="002370AE">
        <w:rPr>
          <w:rFonts w:ascii="Arial" w:hAnsi="Arial" w:cs="Arial"/>
        </w:rPr>
        <w:t>from mineral wool to EPS, the specification of this material is crucial to achieving the following U values</w:t>
      </w:r>
      <w:r w:rsidR="00390196" w:rsidRPr="002370AE">
        <w:rPr>
          <w:rFonts w:ascii="Arial" w:hAnsi="Arial" w:cs="Arial"/>
        </w:rPr>
        <w:t xml:space="preserve"> to achieve the certification</w:t>
      </w:r>
      <w:r w:rsidR="00D9552E" w:rsidRPr="002370AE">
        <w:rPr>
          <w:rFonts w:ascii="Arial" w:hAnsi="Arial" w:cs="Arial"/>
        </w:rPr>
        <w:t>:</w:t>
      </w:r>
    </w:p>
    <w:tbl>
      <w:tblPr>
        <w:tblStyle w:val="TableGrid"/>
        <w:tblW w:w="0" w:type="auto"/>
        <w:tblLook w:val="04A0" w:firstRow="1" w:lastRow="0" w:firstColumn="1" w:lastColumn="0" w:noHBand="0" w:noVBand="1"/>
      </w:tblPr>
      <w:tblGrid>
        <w:gridCol w:w="4508"/>
        <w:gridCol w:w="4508"/>
      </w:tblGrid>
      <w:tr w:rsidR="00D9552E" w:rsidRPr="002370AE" w:rsidTr="00D9552E">
        <w:tc>
          <w:tcPr>
            <w:tcW w:w="4508" w:type="dxa"/>
            <w:shd w:val="clear" w:color="auto" w:fill="E5B8B7" w:themeFill="accent2" w:themeFillTint="66"/>
          </w:tcPr>
          <w:p w:rsidR="00D9552E" w:rsidRPr="002370AE" w:rsidRDefault="00D9552E" w:rsidP="00D9552E">
            <w:pPr>
              <w:spacing w:line="360" w:lineRule="auto"/>
              <w:jc w:val="center"/>
              <w:rPr>
                <w:rFonts w:ascii="Arial" w:hAnsi="Arial" w:cs="Arial"/>
                <w:b/>
                <w:sz w:val="22"/>
                <w:szCs w:val="22"/>
              </w:rPr>
            </w:pPr>
            <w:r w:rsidRPr="002370AE">
              <w:rPr>
                <w:rFonts w:ascii="Arial" w:hAnsi="Arial" w:cs="Arial"/>
                <w:b/>
                <w:sz w:val="22"/>
                <w:szCs w:val="22"/>
              </w:rPr>
              <w:t>Element</w:t>
            </w:r>
          </w:p>
        </w:tc>
        <w:tc>
          <w:tcPr>
            <w:tcW w:w="4508" w:type="dxa"/>
            <w:shd w:val="clear" w:color="auto" w:fill="C6D9F1" w:themeFill="text2" w:themeFillTint="33"/>
          </w:tcPr>
          <w:p w:rsidR="00D9552E" w:rsidRPr="002370AE" w:rsidRDefault="00D9552E" w:rsidP="00D9552E">
            <w:pPr>
              <w:spacing w:line="360" w:lineRule="auto"/>
              <w:jc w:val="center"/>
              <w:rPr>
                <w:rFonts w:ascii="Arial" w:hAnsi="Arial" w:cs="Arial"/>
                <w:b/>
                <w:sz w:val="22"/>
                <w:szCs w:val="22"/>
              </w:rPr>
            </w:pPr>
            <w:r w:rsidRPr="002370AE">
              <w:rPr>
                <w:rFonts w:ascii="Arial" w:hAnsi="Arial" w:cs="Arial"/>
                <w:b/>
                <w:sz w:val="22"/>
                <w:szCs w:val="22"/>
              </w:rPr>
              <w:t>Suggested U Value for PH</w:t>
            </w:r>
          </w:p>
        </w:tc>
      </w:tr>
      <w:tr w:rsidR="00D9552E" w:rsidRPr="002370AE" w:rsidTr="00D9552E">
        <w:tc>
          <w:tcPr>
            <w:tcW w:w="4508" w:type="dxa"/>
            <w:shd w:val="clear" w:color="auto" w:fill="E5B8B7" w:themeFill="accent2" w:themeFillTint="66"/>
          </w:tcPr>
          <w:p w:rsidR="00D9552E" w:rsidRPr="002370AE" w:rsidRDefault="00D9552E" w:rsidP="00D9552E">
            <w:pPr>
              <w:spacing w:line="360" w:lineRule="auto"/>
              <w:jc w:val="center"/>
              <w:rPr>
                <w:rFonts w:ascii="Arial" w:hAnsi="Arial" w:cs="Arial"/>
                <w:sz w:val="22"/>
                <w:szCs w:val="22"/>
              </w:rPr>
            </w:pPr>
            <w:r w:rsidRPr="002370AE">
              <w:rPr>
                <w:rFonts w:ascii="Arial" w:hAnsi="Arial" w:cs="Arial"/>
                <w:sz w:val="22"/>
                <w:szCs w:val="22"/>
              </w:rPr>
              <w:t>Walls, Floors and Roofs</w:t>
            </w:r>
          </w:p>
        </w:tc>
        <w:tc>
          <w:tcPr>
            <w:tcW w:w="4508" w:type="dxa"/>
            <w:shd w:val="clear" w:color="auto" w:fill="C6D9F1" w:themeFill="text2" w:themeFillTint="33"/>
          </w:tcPr>
          <w:p w:rsidR="00D9552E" w:rsidRPr="002370AE" w:rsidRDefault="00D9552E" w:rsidP="00D9552E">
            <w:pPr>
              <w:spacing w:line="360" w:lineRule="auto"/>
              <w:jc w:val="center"/>
              <w:rPr>
                <w:rFonts w:ascii="Arial" w:hAnsi="Arial" w:cs="Arial"/>
                <w:sz w:val="22"/>
                <w:szCs w:val="22"/>
              </w:rPr>
            </w:pPr>
            <w:r w:rsidRPr="002370AE">
              <w:rPr>
                <w:rFonts w:ascii="Arial" w:hAnsi="Arial" w:cs="Arial"/>
                <w:sz w:val="22"/>
                <w:szCs w:val="22"/>
              </w:rPr>
              <w:t>≤ 0.15 W/m²K</w:t>
            </w:r>
          </w:p>
        </w:tc>
      </w:tr>
      <w:tr w:rsidR="00D9552E" w:rsidRPr="002370AE" w:rsidTr="00D9552E">
        <w:tc>
          <w:tcPr>
            <w:tcW w:w="4508" w:type="dxa"/>
            <w:shd w:val="clear" w:color="auto" w:fill="E5B8B7" w:themeFill="accent2" w:themeFillTint="66"/>
          </w:tcPr>
          <w:p w:rsidR="00D9552E" w:rsidRPr="002370AE" w:rsidRDefault="00D9552E" w:rsidP="00D9552E">
            <w:pPr>
              <w:spacing w:line="360" w:lineRule="auto"/>
              <w:jc w:val="center"/>
              <w:rPr>
                <w:rFonts w:ascii="Arial" w:hAnsi="Arial" w:cs="Arial"/>
                <w:sz w:val="22"/>
                <w:szCs w:val="22"/>
              </w:rPr>
            </w:pPr>
            <w:r w:rsidRPr="002370AE">
              <w:rPr>
                <w:rFonts w:ascii="Arial" w:hAnsi="Arial" w:cs="Arial"/>
                <w:sz w:val="22"/>
                <w:szCs w:val="22"/>
              </w:rPr>
              <w:t>Window Installation</w:t>
            </w:r>
          </w:p>
        </w:tc>
        <w:tc>
          <w:tcPr>
            <w:tcW w:w="4508" w:type="dxa"/>
            <w:shd w:val="clear" w:color="auto" w:fill="C6D9F1" w:themeFill="text2" w:themeFillTint="33"/>
          </w:tcPr>
          <w:p w:rsidR="00D9552E" w:rsidRPr="002370AE" w:rsidRDefault="00D9552E" w:rsidP="00D9552E">
            <w:pPr>
              <w:spacing w:line="360" w:lineRule="auto"/>
              <w:jc w:val="center"/>
              <w:rPr>
                <w:rFonts w:ascii="Arial" w:hAnsi="Arial" w:cs="Arial"/>
                <w:sz w:val="22"/>
                <w:szCs w:val="22"/>
              </w:rPr>
            </w:pPr>
            <w:r w:rsidRPr="002370AE">
              <w:rPr>
                <w:rFonts w:ascii="Arial" w:hAnsi="Arial" w:cs="Arial"/>
                <w:sz w:val="22"/>
                <w:szCs w:val="22"/>
              </w:rPr>
              <w:t>≤ 0.85 W/m²K</w:t>
            </w:r>
          </w:p>
        </w:tc>
      </w:tr>
    </w:tbl>
    <w:p w:rsidR="00D9552E" w:rsidRPr="002370AE" w:rsidRDefault="00D9552E" w:rsidP="001B2AC8">
      <w:pPr>
        <w:spacing w:line="360" w:lineRule="auto"/>
        <w:jc w:val="both"/>
        <w:rPr>
          <w:rFonts w:ascii="Arial" w:hAnsi="Arial" w:cs="Arial"/>
          <w:sz w:val="24"/>
          <w:szCs w:val="24"/>
        </w:rPr>
      </w:pPr>
    </w:p>
    <w:p w:rsidR="00390196" w:rsidRPr="002370AE" w:rsidRDefault="00D9552E" w:rsidP="00390196">
      <w:pPr>
        <w:spacing w:line="360" w:lineRule="auto"/>
        <w:jc w:val="right"/>
        <w:rPr>
          <w:rFonts w:ascii="Arial" w:hAnsi="Arial" w:cs="Arial"/>
        </w:rPr>
      </w:pPr>
      <w:r w:rsidRPr="002370AE">
        <w:rPr>
          <w:rFonts w:ascii="Arial" w:hAnsi="Arial" w:cs="Arial"/>
        </w:rPr>
        <w:t>(BRE, No Date)</w:t>
      </w:r>
    </w:p>
    <w:p w:rsidR="00090EC3" w:rsidRPr="002370AE" w:rsidRDefault="00090EC3" w:rsidP="00390196">
      <w:pPr>
        <w:spacing w:line="360" w:lineRule="auto"/>
        <w:jc w:val="both"/>
        <w:rPr>
          <w:rFonts w:ascii="Arial" w:hAnsi="Arial" w:cs="Arial"/>
          <w:sz w:val="24"/>
          <w:szCs w:val="24"/>
        </w:rPr>
      </w:pPr>
    </w:p>
    <w:p w:rsidR="00390196" w:rsidRPr="002370AE" w:rsidRDefault="00390196" w:rsidP="00390196">
      <w:pPr>
        <w:spacing w:line="360" w:lineRule="auto"/>
        <w:jc w:val="both"/>
        <w:rPr>
          <w:rFonts w:ascii="Arial" w:hAnsi="Arial" w:cs="Arial"/>
          <w:i/>
          <w:sz w:val="24"/>
          <w:szCs w:val="24"/>
        </w:rPr>
      </w:pPr>
      <w:r w:rsidRPr="002370AE">
        <w:rPr>
          <w:rFonts w:ascii="Arial" w:hAnsi="Arial" w:cs="Arial"/>
          <w:sz w:val="24"/>
          <w:szCs w:val="24"/>
        </w:rPr>
        <w:lastRenderedPageBreak/>
        <w:t xml:space="preserve">The junction between these materials is often where heat leaks through cold bridges; window reveals, floor junctions and at the eaves are all areas that suffer excessive heat losses. To maintain thermal </w:t>
      </w:r>
      <w:r w:rsidR="00090EC3" w:rsidRPr="002370AE">
        <w:rPr>
          <w:rFonts w:ascii="Arial" w:hAnsi="Arial" w:cs="Arial"/>
          <w:sz w:val="24"/>
          <w:szCs w:val="24"/>
        </w:rPr>
        <w:t xml:space="preserve">continuity in the building envelope all junctions should be sealed, </w:t>
      </w:r>
      <w:r w:rsidR="00635445" w:rsidRPr="002370AE">
        <w:rPr>
          <w:rFonts w:ascii="Arial" w:hAnsi="Arial" w:cs="Arial"/>
          <w:sz w:val="24"/>
          <w:szCs w:val="24"/>
        </w:rPr>
        <w:t>as Architect and Passiv</w:t>
      </w:r>
      <w:r w:rsidR="00090EC3" w:rsidRPr="002370AE">
        <w:rPr>
          <w:rFonts w:ascii="Arial" w:hAnsi="Arial" w:cs="Arial"/>
          <w:sz w:val="24"/>
          <w:szCs w:val="24"/>
        </w:rPr>
        <w:t xml:space="preserve">Haus designer Elrond Burrell states, </w:t>
      </w:r>
      <w:r w:rsidR="00090EC3" w:rsidRPr="002370AE">
        <w:rPr>
          <w:rFonts w:ascii="Arial" w:hAnsi="Arial" w:cs="Arial"/>
          <w:i/>
          <w:sz w:val="24"/>
          <w:szCs w:val="24"/>
        </w:rPr>
        <w:t xml:space="preserve">‘Thermal bridge free construction is essential for </w:t>
      </w:r>
      <w:r w:rsidR="00635445" w:rsidRPr="002370AE">
        <w:rPr>
          <w:rFonts w:ascii="Arial" w:hAnsi="Arial" w:cs="Arial"/>
          <w:i/>
          <w:sz w:val="24"/>
          <w:szCs w:val="24"/>
        </w:rPr>
        <w:t>PassivHaus</w:t>
      </w:r>
      <w:r w:rsidR="00090EC3" w:rsidRPr="002370AE">
        <w:rPr>
          <w:rFonts w:ascii="Arial" w:hAnsi="Arial" w:cs="Arial"/>
          <w:i/>
          <w:sz w:val="24"/>
          <w:szCs w:val="24"/>
        </w:rPr>
        <w:t xml:space="preserve"> buildings to deliver radical energy efficiency and exceptional comfort’ (E, Burrell. 2015)</w:t>
      </w:r>
    </w:p>
    <w:p w:rsidR="0028787C" w:rsidRPr="002370AE" w:rsidRDefault="0028787C" w:rsidP="00390196">
      <w:pPr>
        <w:spacing w:line="360" w:lineRule="auto"/>
        <w:jc w:val="both"/>
        <w:rPr>
          <w:rFonts w:ascii="Arial" w:hAnsi="Arial" w:cs="Arial"/>
        </w:rPr>
      </w:pPr>
    </w:p>
    <w:p w:rsidR="0028787C" w:rsidRPr="002370AE" w:rsidRDefault="0028787C" w:rsidP="0028787C">
      <w:pPr>
        <w:spacing w:line="360" w:lineRule="auto"/>
        <w:jc w:val="right"/>
        <w:rPr>
          <w:rFonts w:ascii="Arial" w:hAnsi="Arial" w:cs="Arial"/>
          <w:b/>
        </w:rPr>
      </w:pPr>
      <w:r w:rsidRPr="002370AE">
        <w:rPr>
          <w:rFonts w:ascii="Arial" w:hAnsi="Arial" w:cs="Arial"/>
          <w:b/>
        </w:rPr>
        <w:t>Chapter 4</w:t>
      </w:r>
    </w:p>
    <w:p w:rsidR="0028787C" w:rsidRPr="002370AE" w:rsidRDefault="0028787C" w:rsidP="0028787C">
      <w:pPr>
        <w:spacing w:line="360" w:lineRule="auto"/>
        <w:jc w:val="both"/>
        <w:rPr>
          <w:rFonts w:ascii="Arial" w:hAnsi="Arial" w:cs="Arial"/>
          <w:b/>
        </w:rPr>
      </w:pPr>
      <w:r w:rsidRPr="002370AE">
        <w:rPr>
          <w:rFonts w:ascii="Arial" w:hAnsi="Arial" w:cs="Arial"/>
          <w:b/>
        </w:rPr>
        <w:t>4.1 BREEAM-PassivHaus Conclusion</w:t>
      </w:r>
    </w:p>
    <w:p w:rsidR="002859F4" w:rsidRPr="002370AE" w:rsidRDefault="0028787C" w:rsidP="001B2AC8">
      <w:pPr>
        <w:spacing w:line="360" w:lineRule="auto"/>
        <w:jc w:val="both"/>
        <w:rPr>
          <w:rFonts w:ascii="Arial" w:hAnsi="Arial" w:cs="Arial"/>
        </w:rPr>
      </w:pPr>
      <w:r w:rsidRPr="002370AE">
        <w:rPr>
          <w:rFonts w:ascii="Arial" w:hAnsi="Arial" w:cs="Arial"/>
        </w:rPr>
        <w:tab/>
        <w:t xml:space="preserve">The outcrops of the BRE, BREEAM and PassivHaus, both share similar characteristics and sustainability visions. </w:t>
      </w:r>
      <w:r w:rsidR="002859F4" w:rsidRPr="002370AE">
        <w:rPr>
          <w:rFonts w:ascii="Arial" w:hAnsi="Arial" w:cs="Arial"/>
        </w:rPr>
        <w:t>However,</w:t>
      </w:r>
      <w:r w:rsidRPr="002370AE">
        <w:rPr>
          <w:rFonts w:ascii="Arial" w:hAnsi="Arial" w:cs="Arial"/>
        </w:rPr>
        <w:t xml:space="preserve"> it is the measures of sustainability which vary in the greatest respects; in the forms of qualitative and quantitative measures. BREEAM offers an insight of the cumulative sustainability of a development, in an attempt to achieve sustainable equilibrium, the scheme measures </w:t>
      </w:r>
      <w:r w:rsidR="002859F4" w:rsidRPr="002370AE">
        <w:rPr>
          <w:rFonts w:ascii="Arial" w:hAnsi="Arial" w:cs="Arial"/>
        </w:rPr>
        <w:t>qualitatively</w:t>
      </w:r>
      <w:r w:rsidRPr="002370AE">
        <w:rPr>
          <w:rFonts w:ascii="Arial" w:hAnsi="Arial" w:cs="Arial"/>
        </w:rPr>
        <w:t xml:space="preserve"> the impact of the building, from Life Cycle costs to the health and </w:t>
      </w:r>
      <w:r w:rsidR="00DB3461" w:rsidRPr="002370AE">
        <w:rPr>
          <w:rFonts w:ascii="Arial" w:hAnsi="Arial" w:cs="Arial"/>
        </w:rPr>
        <w:t>well-being</w:t>
      </w:r>
      <w:r w:rsidRPr="002370AE">
        <w:rPr>
          <w:rFonts w:ascii="Arial" w:hAnsi="Arial" w:cs="Arial"/>
        </w:rPr>
        <w:t xml:space="preserve"> of its inhabitants. PassivHaus on the other hand focuses directly on the buildings thermal </w:t>
      </w:r>
      <w:r w:rsidR="002859F4" w:rsidRPr="002370AE">
        <w:rPr>
          <w:rFonts w:ascii="Arial" w:hAnsi="Arial" w:cs="Arial"/>
        </w:rPr>
        <w:t>performance to improve the sustainability of the building through reduced running costs, in terms of thermal efficiency of the building envelope.</w:t>
      </w:r>
    </w:p>
    <w:p w:rsidR="002859F4" w:rsidRPr="002370AE" w:rsidRDefault="002859F4" w:rsidP="001B2AC8">
      <w:pPr>
        <w:spacing w:line="360" w:lineRule="auto"/>
        <w:jc w:val="both"/>
        <w:rPr>
          <w:rFonts w:ascii="Arial" w:hAnsi="Arial" w:cs="Arial"/>
        </w:rPr>
      </w:pPr>
      <w:r w:rsidRPr="002370AE">
        <w:rPr>
          <w:rFonts w:ascii="Arial" w:hAnsi="Arial" w:cs="Arial"/>
        </w:rPr>
        <w:t>With the focus on fabric and design of the façade in the PassivHaus certification, there is the argument that architecture loses its context owing to the attempts to achieve high thermal performance. As defined by Architect Piers Taylor</w:t>
      </w:r>
      <w:r w:rsidRPr="002370AE">
        <w:rPr>
          <w:rFonts w:ascii="Arial" w:hAnsi="Arial" w:cs="Arial"/>
          <w:i/>
        </w:rPr>
        <w:t>, ‘It's a one-size-fits-all approach, which can make you blind to the specifics of making each home appropriate to its context.’</w:t>
      </w:r>
      <w:r w:rsidRPr="002370AE">
        <w:rPr>
          <w:rFonts w:ascii="Arial" w:hAnsi="Arial" w:cs="Arial"/>
        </w:rPr>
        <w:t xml:space="preserve"> (Wainwright, O, 2015)</w:t>
      </w:r>
    </w:p>
    <w:p w:rsidR="005D42EB" w:rsidRPr="002370AE" w:rsidRDefault="002859F4" w:rsidP="001B2AC8">
      <w:pPr>
        <w:spacing w:line="360" w:lineRule="auto"/>
        <w:jc w:val="both"/>
        <w:rPr>
          <w:rFonts w:ascii="Arial" w:hAnsi="Arial" w:cs="Arial"/>
        </w:rPr>
      </w:pPr>
      <w:r w:rsidRPr="002370AE">
        <w:rPr>
          <w:rFonts w:ascii="Arial" w:hAnsi="Arial" w:cs="Arial"/>
        </w:rPr>
        <w:t>BREEAM has said to have its flaws however, particularity to the measures of sustainability tested</w:t>
      </w:r>
      <w:r w:rsidR="00B42CAA" w:rsidRPr="002370AE">
        <w:rPr>
          <w:rFonts w:ascii="Arial" w:hAnsi="Arial" w:cs="Arial"/>
        </w:rPr>
        <w:t xml:space="preserve">. As the </w:t>
      </w:r>
      <w:r w:rsidR="005D42EB" w:rsidRPr="002370AE">
        <w:rPr>
          <w:rFonts w:ascii="Arial" w:hAnsi="Arial" w:cs="Arial"/>
        </w:rPr>
        <w:t xml:space="preserve">certification </w:t>
      </w:r>
      <w:r w:rsidR="00B42CAA" w:rsidRPr="002370AE">
        <w:rPr>
          <w:rFonts w:ascii="Arial" w:hAnsi="Arial" w:cs="Arial"/>
        </w:rPr>
        <w:t xml:space="preserve">process involves </w:t>
      </w:r>
      <w:r w:rsidR="005D42EB" w:rsidRPr="002370AE">
        <w:rPr>
          <w:rFonts w:ascii="Arial" w:hAnsi="Arial" w:cs="Arial"/>
        </w:rPr>
        <w:t>the provision of evidence for the award of credits, the core issue of environmental performance is said to have been neglected, therefore some see the scheme as a ‘box ticking exercise rather than as a design tool’ (Diamond, R. 2011).</w:t>
      </w:r>
    </w:p>
    <w:p w:rsidR="005D42EB" w:rsidRPr="002370AE" w:rsidRDefault="005D42EB" w:rsidP="001B2AC8">
      <w:pPr>
        <w:spacing w:line="360" w:lineRule="auto"/>
        <w:jc w:val="both"/>
        <w:rPr>
          <w:rFonts w:ascii="Arial" w:hAnsi="Arial" w:cs="Arial"/>
        </w:rPr>
      </w:pPr>
      <w:r w:rsidRPr="002370AE">
        <w:rPr>
          <w:rFonts w:ascii="Arial" w:hAnsi="Arial" w:cs="Arial"/>
        </w:rPr>
        <w:t xml:space="preserve">As sustainability is a broad topic, the implementation of both schemes to tackle the wider issues may be a possible recommendation for future development – particularity as a crossover of BREEAM and PassivHaus. This has proved effective </w:t>
      </w:r>
      <w:r w:rsidR="00F546A6" w:rsidRPr="002370AE">
        <w:rPr>
          <w:rFonts w:ascii="Arial" w:hAnsi="Arial" w:cs="Arial"/>
        </w:rPr>
        <w:t xml:space="preserve">at the Enterprise Centre in the University of East Anglia. The ‘£11.6M’ building took ‘1 year and 6 months’ to achieve and has achieved both PassivHaus and BREEAM certification. Clay Plaster and a ‘100% recycled sub base’ </w:t>
      </w:r>
      <w:r w:rsidR="00635445" w:rsidRPr="002370AE">
        <w:rPr>
          <w:rFonts w:ascii="Arial" w:hAnsi="Arial" w:cs="Arial"/>
        </w:rPr>
        <w:t xml:space="preserve">(Morgan Sindall Construction, 2017) </w:t>
      </w:r>
      <w:r w:rsidR="00F546A6" w:rsidRPr="002370AE">
        <w:rPr>
          <w:rFonts w:ascii="Arial" w:hAnsi="Arial" w:cs="Arial"/>
        </w:rPr>
        <w:t>are just some of the sustainable materials used in the project.</w:t>
      </w:r>
      <w:r w:rsidR="00635445" w:rsidRPr="002370AE">
        <w:rPr>
          <w:rFonts w:ascii="Arial" w:hAnsi="Arial" w:cs="Arial"/>
        </w:rPr>
        <w:t xml:space="preserve"> </w:t>
      </w:r>
      <w:r w:rsidR="00F546A6" w:rsidRPr="002370AE">
        <w:rPr>
          <w:rFonts w:ascii="Arial" w:hAnsi="Arial" w:cs="Arial"/>
        </w:rPr>
        <w:t>The building was also thermally modelled over an ‘</w:t>
      </w:r>
      <w:r w:rsidR="00635445" w:rsidRPr="002370AE">
        <w:rPr>
          <w:rFonts w:ascii="Arial" w:hAnsi="Arial" w:cs="Arial"/>
        </w:rPr>
        <w:t>87-year</w:t>
      </w:r>
      <w:r w:rsidR="00F546A6" w:rsidRPr="002370AE">
        <w:rPr>
          <w:rFonts w:ascii="Arial" w:hAnsi="Arial" w:cs="Arial"/>
        </w:rPr>
        <w:t xml:space="preserve"> lifespan’ (Architype, </w:t>
      </w:r>
      <w:r w:rsidR="00F546A6" w:rsidRPr="002370AE">
        <w:rPr>
          <w:rFonts w:ascii="Arial" w:hAnsi="Arial" w:cs="Arial"/>
        </w:rPr>
        <w:lastRenderedPageBreak/>
        <w:t xml:space="preserve">2017) using the DesignPH software, which has aided the high thermal efficiency and comfort levels to achieve PassivHaus standards. </w:t>
      </w:r>
      <w:r w:rsidR="00635445" w:rsidRPr="002370AE">
        <w:rPr>
          <w:rFonts w:ascii="Arial" w:hAnsi="Arial" w:cs="Arial"/>
        </w:rPr>
        <w:t>The use of these two schemes in collaboration has not only provided a highly efficient and sustainable building, but tackled many issues which are often not considered during the normal design process.</w:t>
      </w:r>
    </w:p>
    <w:p w:rsidR="00307E37" w:rsidRPr="002370AE" w:rsidRDefault="00F546A6" w:rsidP="001B2AC8">
      <w:pPr>
        <w:spacing w:line="360" w:lineRule="auto"/>
        <w:jc w:val="both"/>
        <w:rPr>
          <w:rFonts w:ascii="Arial" w:hAnsi="Arial" w:cs="Arial"/>
          <w:sz w:val="24"/>
          <w:szCs w:val="24"/>
        </w:rPr>
      </w:pPr>
      <w:r w:rsidRPr="002370AE">
        <w:rPr>
          <w:rFonts w:ascii="Arial" w:hAnsi="Arial" w:cs="Arial"/>
          <w:noProof/>
          <w:sz w:val="24"/>
          <w:szCs w:val="24"/>
          <w:lang w:eastAsia="en-GB"/>
        </w:rPr>
        <w:drawing>
          <wp:inline distT="0" distB="0" distL="0" distR="0">
            <wp:extent cx="5731510" cy="2568272"/>
            <wp:effectExtent l="0" t="0" r="2540" b="3810"/>
            <wp:docPr id="14" name="Picture 14" descr="C:\Users\p145687\Downloads\UEA_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p145687\Downloads\UEA_4.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568272"/>
                    </a:xfrm>
                    <a:prstGeom prst="rect">
                      <a:avLst/>
                    </a:prstGeom>
                    <a:noFill/>
                    <a:ln>
                      <a:noFill/>
                    </a:ln>
                  </pic:spPr>
                </pic:pic>
              </a:graphicData>
            </a:graphic>
          </wp:inline>
        </w:drawing>
      </w:r>
    </w:p>
    <w:p w:rsidR="00F546A6" w:rsidRPr="002370AE" w:rsidRDefault="00F546A6" w:rsidP="00F546A6">
      <w:pPr>
        <w:spacing w:line="360" w:lineRule="auto"/>
        <w:jc w:val="center"/>
        <w:rPr>
          <w:rFonts w:ascii="Arial" w:hAnsi="Arial" w:cs="Arial"/>
          <w:b/>
          <w:i/>
        </w:rPr>
      </w:pPr>
      <w:r w:rsidRPr="002370AE">
        <w:rPr>
          <w:rFonts w:ascii="Arial" w:hAnsi="Arial" w:cs="Arial"/>
          <w:b/>
          <w:i/>
        </w:rPr>
        <w:t>Figure 4.1: The Enterprise Centre, UEA. (Morgan Sindall Construction. 2017)</w:t>
      </w:r>
    </w:p>
    <w:p w:rsidR="00F546A6" w:rsidRPr="002370AE" w:rsidRDefault="00F546A6" w:rsidP="001B2AC8">
      <w:pPr>
        <w:spacing w:line="360" w:lineRule="auto"/>
        <w:jc w:val="both"/>
        <w:rPr>
          <w:rFonts w:ascii="Arial" w:hAnsi="Arial" w:cs="Arial"/>
          <w:sz w:val="24"/>
          <w:szCs w:val="24"/>
        </w:rPr>
      </w:pPr>
    </w:p>
    <w:p w:rsidR="00F546A6" w:rsidRPr="002370AE" w:rsidRDefault="00F546A6" w:rsidP="001B2AC8">
      <w:pPr>
        <w:spacing w:line="360" w:lineRule="auto"/>
        <w:jc w:val="both"/>
        <w:rPr>
          <w:rFonts w:ascii="Arial" w:hAnsi="Arial" w:cs="Arial"/>
          <w:sz w:val="24"/>
          <w:szCs w:val="24"/>
        </w:rPr>
      </w:pPr>
    </w:p>
    <w:p w:rsidR="00F546A6" w:rsidRPr="002370AE" w:rsidRDefault="00F546A6" w:rsidP="001B2AC8">
      <w:pPr>
        <w:spacing w:line="360" w:lineRule="auto"/>
        <w:jc w:val="both"/>
        <w:rPr>
          <w:rFonts w:ascii="Arial" w:hAnsi="Arial" w:cs="Arial"/>
          <w:sz w:val="24"/>
          <w:szCs w:val="24"/>
        </w:rPr>
      </w:pPr>
    </w:p>
    <w:p w:rsidR="00F546A6" w:rsidRPr="002370AE" w:rsidRDefault="00F546A6" w:rsidP="001B2AC8">
      <w:pPr>
        <w:spacing w:line="360" w:lineRule="auto"/>
        <w:jc w:val="both"/>
        <w:rPr>
          <w:rFonts w:ascii="Arial" w:hAnsi="Arial" w:cs="Arial"/>
          <w:sz w:val="24"/>
          <w:szCs w:val="24"/>
        </w:rPr>
      </w:pPr>
    </w:p>
    <w:p w:rsidR="00F546A6" w:rsidRPr="002370AE" w:rsidRDefault="00F546A6" w:rsidP="001B2AC8">
      <w:pPr>
        <w:spacing w:line="360" w:lineRule="auto"/>
        <w:jc w:val="both"/>
        <w:rPr>
          <w:rFonts w:ascii="Arial" w:hAnsi="Arial" w:cs="Arial"/>
          <w:sz w:val="24"/>
          <w:szCs w:val="24"/>
        </w:rPr>
      </w:pPr>
    </w:p>
    <w:p w:rsidR="00635445" w:rsidRPr="002370AE" w:rsidRDefault="00635445" w:rsidP="001B2AC8">
      <w:pPr>
        <w:spacing w:line="360" w:lineRule="auto"/>
        <w:jc w:val="both"/>
        <w:rPr>
          <w:rFonts w:ascii="Arial" w:hAnsi="Arial" w:cs="Arial"/>
          <w:sz w:val="24"/>
          <w:szCs w:val="24"/>
        </w:rPr>
      </w:pPr>
    </w:p>
    <w:p w:rsidR="00635445" w:rsidRPr="002370AE" w:rsidRDefault="00635445" w:rsidP="001B2AC8">
      <w:pPr>
        <w:spacing w:line="360" w:lineRule="auto"/>
        <w:jc w:val="both"/>
        <w:rPr>
          <w:rFonts w:ascii="Arial" w:hAnsi="Arial" w:cs="Arial"/>
          <w:sz w:val="24"/>
          <w:szCs w:val="24"/>
        </w:rPr>
      </w:pPr>
    </w:p>
    <w:p w:rsidR="00635445" w:rsidRPr="002370AE" w:rsidRDefault="00635445" w:rsidP="001B2AC8">
      <w:pPr>
        <w:spacing w:line="360" w:lineRule="auto"/>
        <w:jc w:val="both"/>
        <w:rPr>
          <w:rFonts w:ascii="Arial" w:hAnsi="Arial" w:cs="Arial"/>
          <w:sz w:val="24"/>
          <w:szCs w:val="24"/>
        </w:rPr>
      </w:pPr>
    </w:p>
    <w:p w:rsidR="00635445" w:rsidRPr="002370AE" w:rsidRDefault="00635445" w:rsidP="001B2AC8">
      <w:pPr>
        <w:spacing w:line="360" w:lineRule="auto"/>
        <w:jc w:val="both"/>
        <w:rPr>
          <w:rFonts w:ascii="Arial" w:hAnsi="Arial" w:cs="Arial"/>
          <w:sz w:val="24"/>
          <w:szCs w:val="24"/>
        </w:rPr>
      </w:pPr>
    </w:p>
    <w:p w:rsidR="00635445" w:rsidRPr="002370AE" w:rsidRDefault="00635445" w:rsidP="001B2AC8">
      <w:pPr>
        <w:spacing w:line="360" w:lineRule="auto"/>
        <w:jc w:val="both"/>
        <w:rPr>
          <w:rFonts w:ascii="Arial" w:hAnsi="Arial" w:cs="Arial"/>
          <w:sz w:val="24"/>
          <w:szCs w:val="24"/>
        </w:rPr>
      </w:pPr>
    </w:p>
    <w:p w:rsidR="00635445" w:rsidRPr="002370AE" w:rsidRDefault="00635445" w:rsidP="001B2AC8">
      <w:pPr>
        <w:spacing w:line="360" w:lineRule="auto"/>
        <w:jc w:val="both"/>
        <w:rPr>
          <w:rFonts w:ascii="Arial" w:hAnsi="Arial" w:cs="Arial"/>
          <w:sz w:val="24"/>
          <w:szCs w:val="24"/>
        </w:rPr>
      </w:pPr>
    </w:p>
    <w:p w:rsidR="00635445" w:rsidRPr="002370AE" w:rsidRDefault="00635445" w:rsidP="001B2AC8">
      <w:pPr>
        <w:spacing w:line="360" w:lineRule="auto"/>
        <w:jc w:val="both"/>
        <w:rPr>
          <w:rFonts w:ascii="Arial" w:hAnsi="Arial" w:cs="Arial"/>
          <w:sz w:val="24"/>
          <w:szCs w:val="24"/>
        </w:rPr>
      </w:pPr>
    </w:p>
    <w:p w:rsidR="00F546A6" w:rsidRPr="002370AE" w:rsidRDefault="00F546A6" w:rsidP="001B2AC8">
      <w:pPr>
        <w:spacing w:line="360" w:lineRule="auto"/>
        <w:jc w:val="both"/>
        <w:rPr>
          <w:rFonts w:ascii="Arial" w:hAnsi="Arial" w:cs="Arial"/>
          <w:sz w:val="24"/>
          <w:szCs w:val="24"/>
        </w:rPr>
      </w:pPr>
    </w:p>
    <w:p w:rsidR="005D42EB" w:rsidRPr="002370AE" w:rsidRDefault="005D42EB" w:rsidP="001B2AC8">
      <w:pPr>
        <w:spacing w:line="360" w:lineRule="auto"/>
        <w:jc w:val="both"/>
        <w:rPr>
          <w:rFonts w:ascii="Arial" w:hAnsi="Arial" w:cs="Arial"/>
          <w:b/>
        </w:rPr>
      </w:pPr>
      <w:r w:rsidRPr="002370AE">
        <w:rPr>
          <w:rFonts w:ascii="Arial" w:hAnsi="Arial" w:cs="Arial"/>
          <w:b/>
        </w:rPr>
        <w:lastRenderedPageBreak/>
        <w:t>Bibliography</w:t>
      </w:r>
    </w:p>
    <w:p w:rsidR="005D42EB" w:rsidRPr="002370AE" w:rsidRDefault="005D42EB" w:rsidP="001B2AC8">
      <w:pPr>
        <w:spacing w:line="360" w:lineRule="auto"/>
        <w:jc w:val="both"/>
        <w:rPr>
          <w:rFonts w:ascii="Arial" w:hAnsi="Arial" w:cs="Arial"/>
          <w:color w:val="000000"/>
        </w:rPr>
      </w:pPr>
      <w:r w:rsidRPr="002370AE">
        <w:rPr>
          <w:rFonts w:ascii="Arial" w:hAnsi="Arial" w:cs="Arial"/>
          <w:color w:val="000000"/>
        </w:rPr>
        <w:t>Bere, J (2013). </w:t>
      </w:r>
      <w:r w:rsidRPr="002370AE">
        <w:rPr>
          <w:rFonts w:ascii="Arial" w:hAnsi="Arial" w:cs="Arial"/>
          <w:i/>
          <w:iCs/>
          <w:color w:val="000000"/>
        </w:rPr>
        <w:t>An Introduction to Passive House</w:t>
      </w:r>
      <w:r w:rsidRPr="002370AE">
        <w:rPr>
          <w:rFonts w:ascii="Arial" w:hAnsi="Arial" w:cs="Arial"/>
          <w:color w:val="000000"/>
        </w:rPr>
        <w:t>. London: RIBA Publishing.</w:t>
      </w:r>
    </w:p>
    <w:p w:rsidR="00DB3461" w:rsidRPr="002370AE" w:rsidRDefault="00DB3461" w:rsidP="001B2AC8">
      <w:pPr>
        <w:spacing w:line="360" w:lineRule="auto"/>
        <w:jc w:val="both"/>
        <w:rPr>
          <w:rFonts w:ascii="Arial" w:hAnsi="Arial" w:cs="Arial"/>
        </w:rPr>
      </w:pPr>
      <w:r w:rsidRPr="002370AE">
        <w:rPr>
          <w:rFonts w:ascii="Arial" w:hAnsi="Arial" w:cs="Arial"/>
        </w:rPr>
        <w:t xml:space="preserve">Heale, M. (2017). Passivhaus Versus BREEAM. [online] 2degrees. Available at: </w:t>
      </w:r>
      <w:r w:rsidR="00635445" w:rsidRPr="002370AE">
        <w:rPr>
          <w:rFonts w:ascii="Arial" w:hAnsi="Arial" w:cs="Arial"/>
        </w:rPr>
        <w:t>https://www.2degreesnetwork.com/groups/2degrees-community/resources/passivhaus-versus-breeam/</w:t>
      </w:r>
    </w:p>
    <w:p w:rsidR="00635445" w:rsidRPr="002370AE" w:rsidRDefault="00635445" w:rsidP="001B2AC8">
      <w:pPr>
        <w:spacing w:line="360" w:lineRule="auto"/>
        <w:jc w:val="both"/>
        <w:rPr>
          <w:rFonts w:ascii="Arial" w:hAnsi="Arial" w:cs="Arial"/>
        </w:rPr>
      </w:pPr>
      <w:r w:rsidRPr="002370AE">
        <w:rPr>
          <w:rFonts w:ascii="Arial" w:hAnsi="Arial" w:cs="Arial"/>
        </w:rPr>
        <w:t>BREEAM. (2017). BREEAM. [online] Available at: https://www.breeam.com/</w:t>
      </w:r>
    </w:p>
    <w:p w:rsidR="00635445" w:rsidRPr="002370AE" w:rsidRDefault="00635445" w:rsidP="001B2AC8">
      <w:pPr>
        <w:spacing w:line="360" w:lineRule="auto"/>
        <w:jc w:val="both"/>
        <w:rPr>
          <w:rFonts w:ascii="Arial" w:hAnsi="Arial" w:cs="Arial"/>
        </w:rPr>
      </w:pPr>
      <w:r w:rsidRPr="002370AE">
        <w:rPr>
          <w:rFonts w:ascii="Arial" w:hAnsi="Arial" w:cs="Arial"/>
        </w:rPr>
        <w:t xml:space="preserve">BREEAM Technical Manual 2014. (2017). [ebook] Watford: BRE. Available at: http://www.breeam.com/filelibrary/BREEAM%20UK%20NC%202014%20Resources/SD5076_DRAFT_BREEAM_UK_New_Construction_2014_Technical_Manual_ISSUE_0.1.pdf </w:t>
      </w:r>
    </w:p>
    <w:p w:rsidR="00635445" w:rsidRPr="002370AE" w:rsidRDefault="00635445" w:rsidP="001B2AC8">
      <w:pPr>
        <w:spacing w:line="360" w:lineRule="auto"/>
        <w:jc w:val="both"/>
        <w:rPr>
          <w:rFonts w:ascii="Arial" w:hAnsi="Arial" w:cs="Arial"/>
        </w:rPr>
      </w:pPr>
      <w:r w:rsidRPr="002370AE">
        <w:rPr>
          <w:rFonts w:ascii="Arial" w:hAnsi="Arial" w:cs="Arial"/>
        </w:rPr>
        <w:t xml:space="preserve">Passivhaus.org.uk. (2017). Passivhaus:The world's leading fabric first approach to low energy buildings. [online] Available at: http://www.passivhaus.org.uk/ </w:t>
      </w:r>
    </w:p>
    <w:p w:rsidR="00F3388E" w:rsidRPr="002370AE" w:rsidRDefault="00F3388E" w:rsidP="001B2AC8">
      <w:pPr>
        <w:spacing w:line="360" w:lineRule="auto"/>
        <w:jc w:val="both"/>
        <w:rPr>
          <w:rFonts w:ascii="Arial" w:hAnsi="Arial" w:cs="Arial"/>
        </w:rPr>
      </w:pPr>
      <w:r w:rsidRPr="002370AE">
        <w:rPr>
          <w:rFonts w:ascii="Arial" w:hAnsi="Arial" w:cs="Arial"/>
        </w:rPr>
        <w:t>UKGBC - UK Green Building Council. (2017). Welcome to UKGBC | UK Green Building Council. [online] Available at: https://www.ukgbc.org/</w:t>
      </w:r>
    </w:p>
    <w:p w:rsidR="00F3388E" w:rsidRPr="002370AE" w:rsidRDefault="00F3388E" w:rsidP="001B2AC8">
      <w:pPr>
        <w:spacing w:line="360" w:lineRule="auto"/>
        <w:jc w:val="both"/>
        <w:rPr>
          <w:rFonts w:ascii="Arial" w:hAnsi="Arial" w:cs="Arial"/>
        </w:rPr>
      </w:pPr>
      <w:r w:rsidRPr="002370AE">
        <w:rPr>
          <w:rFonts w:ascii="Arial" w:hAnsi="Arial" w:cs="Arial"/>
        </w:rPr>
        <w:t>Barlow, S. (2011). Guide to Breeam. London: RIBA Publishing.</w:t>
      </w:r>
    </w:p>
    <w:p w:rsidR="002370AE" w:rsidRDefault="002370AE" w:rsidP="001B2AC8">
      <w:pPr>
        <w:spacing w:line="360" w:lineRule="auto"/>
        <w:jc w:val="both"/>
        <w:rPr>
          <w:rFonts w:ascii="Arial" w:hAnsi="Arial" w:cs="Arial"/>
          <w:b/>
        </w:rPr>
      </w:pPr>
    </w:p>
    <w:p w:rsidR="005D42EB" w:rsidRPr="002370AE" w:rsidRDefault="005D42EB" w:rsidP="001B2AC8">
      <w:pPr>
        <w:spacing w:line="360" w:lineRule="auto"/>
        <w:jc w:val="both"/>
        <w:rPr>
          <w:rFonts w:ascii="Arial" w:hAnsi="Arial" w:cs="Arial"/>
          <w:b/>
        </w:rPr>
      </w:pPr>
      <w:bookmarkStart w:id="2" w:name="_GoBack"/>
      <w:bookmarkEnd w:id="2"/>
      <w:r w:rsidRPr="002370AE">
        <w:rPr>
          <w:rFonts w:ascii="Arial" w:hAnsi="Arial" w:cs="Arial"/>
          <w:b/>
        </w:rPr>
        <w:t>References</w:t>
      </w:r>
    </w:p>
    <w:p w:rsidR="001B2AC8" w:rsidRPr="002370AE" w:rsidRDefault="001B2AC8" w:rsidP="001B2AC8">
      <w:pPr>
        <w:spacing w:line="360" w:lineRule="auto"/>
        <w:jc w:val="both"/>
        <w:rPr>
          <w:rFonts w:ascii="Arial" w:hAnsi="Arial" w:cs="Arial"/>
        </w:rPr>
      </w:pPr>
      <w:r w:rsidRPr="002370AE">
        <w:rPr>
          <w:rFonts w:ascii="Arial" w:hAnsi="Arial" w:cs="Arial"/>
        </w:rPr>
        <w:t>Building Specifier. 2017. Theresa May speech - the view from construction. [ONLINE] Available at: https://www.buildingspecifier.com/theresa-may-speech-the-view-from-construction/. [Accessed 13 October 2017].</w:t>
      </w:r>
    </w:p>
    <w:p w:rsidR="001B2AC8" w:rsidRPr="002370AE" w:rsidRDefault="001B2AC8" w:rsidP="001B2AC8">
      <w:pPr>
        <w:spacing w:line="360" w:lineRule="auto"/>
        <w:jc w:val="both"/>
        <w:rPr>
          <w:rFonts w:ascii="Arial" w:hAnsi="Arial" w:cs="Arial"/>
        </w:rPr>
      </w:pPr>
      <w:r w:rsidRPr="002370AE">
        <w:rPr>
          <w:rFonts w:ascii="Arial" w:hAnsi="Arial" w:cs="Arial"/>
        </w:rPr>
        <w:t>The Guardian. 2013. Britain's damp, leaky homes among Europe's most costly to heat Environment,</w:t>
      </w:r>
      <w:r w:rsidR="00C33612" w:rsidRPr="002370AE">
        <w:rPr>
          <w:rFonts w:ascii="Arial" w:hAnsi="Arial" w:cs="Arial"/>
        </w:rPr>
        <w:t xml:space="preserve"> </w:t>
      </w:r>
      <w:r w:rsidRPr="002370AE">
        <w:rPr>
          <w:rFonts w:ascii="Arial" w:hAnsi="Arial" w:cs="Arial"/>
        </w:rPr>
        <w:t>The Guardian. [ONLINE] Available at: https://www.theguardian.com/environment/damian-carrington-blog/2013/nov/29/uk-homes-most-expensive-heat-eu-fuel-poverty. [Accessed 13 October 2017].</w:t>
      </w:r>
    </w:p>
    <w:p w:rsidR="00031B7A" w:rsidRPr="002370AE" w:rsidRDefault="00031B7A" w:rsidP="001B2AC8">
      <w:pPr>
        <w:spacing w:line="360" w:lineRule="auto"/>
        <w:jc w:val="both"/>
        <w:rPr>
          <w:rFonts w:ascii="Arial" w:hAnsi="Arial" w:cs="Arial"/>
        </w:rPr>
      </w:pPr>
      <w:r w:rsidRPr="002370AE">
        <w:rPr>
          <w:rFonts w:ascii="Arial" w:hAnsi="Arial" w:cs="Arial"/>
        </w:rPr>
        <w:t>Commercial Building Energy Audits | Greenwise Strategies. 2017. Commercial Building Energy Audits | Greenwise Strategies. [ONLINE] Available at: http://greenwisestrategies.com/energy-audits-engineering/commercial-building-energy-audits. [Accessed 13 October 2017].</w:t>
      </w:r>
    </w:p>
    <w:p w:rsidR="007C5B42" w:rsidRPr="002370AE" w:rsidRDefault="007C5B42" w:rsidP="001B2AC8">
      <w:pPr>
        <w:spacing w:line="360" w:lineRule="auto"/>
        <w:jc w:val="both"/>
        <w:rPr>
          <w:rFonts w:ascii="Arial" w:hAnsi="Arial" w:cs="Arial"/>
        </w:rPr>
      </w:pPr>
      <w:r w:rsidRPr="002370AE">
        <w:rPr>
          <w:rFonts w:ascii="Arial" w:hAnsi="Arial" w:cs="Arial"/>
        </w:rPr>
        <w:t>BREEAM . 2017. BREEAM . [ONLINE] Available at: http://www.breeam.com/. [Accessed 13 October 2017].</w:t>
      </w:r>
    </w:p>
    <w:p w:rsidR="007C5B42" w:rsidRPr="002370AE" w:rsidRDefault="007C5B42" w:rsidP="001B2AC8">
      <w:pPr>
        <w:spacing w:line="360" w:lineRule="auto"/>
        <w:jc w:val="both"/>
        <w:rPr>
          <w:rFonts w:ascii="Arial" w:hAnsi="Arial" w:cs="Arial"/>
        </w:rPr>
      </w:pPr>
      <w:r w:rsidRPr="002370AE">
        <w:rPr>
          <w:rFonts w:ascii="Arial" w:hAnsi="Arial" w:cs="Arial"/>
        </w:rPr>
        <w:lastRenderedPageBreak/>
        <w:t>BRE. 2015. BREEAM In-Use Statistics. [ONLINE] Available at: https://www.breeam.com/filelibrary/BREEAM%20In%20Use/90949-BREEAM-In-Use-Stats-May-2015-v33-FINAL.pdf. [Accessed 13 October 2017].</w:t>
      </w:r>
    </w:p>
    <w:p w:rsidR="006C2EAA" w:rsidRPr="002370AE" w:rsidRDefault="006C2EAA" w:rsidP="001B2AC8">
      <w:pPr>
        <w:spacing w:line="360" w:lineRule="auto"/>
        <w:jc w:val="both"/>
        <w:rPr>
          <w:rFonts w:ascii="Arial" w:hAnsi="Arial" w:cs="Arial"/>
        </w:rPr>
      </w:pPr>
      <w:r w:rsidRPr="002370AE">
        <w:rPr>
          <w:rFonts w:ascii="Arial" w:hAnsi="Arial" w:cs="Arial"/>
        </w:rPr>
        <w:t>Anderson, J., 2002. The Green Guide to Specification. Wiley. [Accessed 13 October 2017].</w:t>
      </w:r>
    </w:p>
    <w:p w:rsidR="00390196" w:rsidRPr="002370AE" w:rsidRDefault="006C2EAA" w:rsidP="001B2AC8">
      <w:pPr>
        <w:spacing w:line="360" w:lineRule="auto"/>
        <w:jc w:val="both"/>
      </w:pPr>
      <w:r w:rsidRPr="002370AE">
        <w:rPr>
          <w:rFonts w:ascii="Arial" w:hAnsi="Arial" w:cs="Arial"/>
        </w:rPr>
        <w:t>BRE: The Green Guide Explained. 2017. BRE: The Green Guide Explained. [ONLINE] Available at: https://www.bre.co.uk/greenguide/page.jsp?id=3612. [Accessed 13 Oc</w:t>
      </w:r>
      <w:r w:rsidR="00390196" w:rsidRPr="002370AE">
        <w:t xml:space="preserve"> </w:t>
      </w:r>
    </w:p>
    <w:p w:rsidR="00390196" w:rsidRPr="002370AE" w:rsidRDefault="00390196" w:rsidP="001B2AC8">
      <w:pPr>
        <w:spacing w:line="360" w:lineRule="auto"/>
        <w:jc w:val="both"/>
        <w:rPr>
          <w:rFonts w:ascii="Arial" w:hAnsi="Arial" w:cs="Arial"/>
        </w:rPr>
      </w:pPr>
    </w:p>
    <w:p w:rsidR="006C2EAA" w:rsidRPr="002370AE" w:rsidRDefault="00390196" w:rsidP="001B2AC8">
      <w:pPr>
        <w:spacing w:line="360" w:lineRule="auto"/>
        <w:jc w:val="both"/>
        <w:rPr>
          <w:rFonts w:ascii="Arial" w:hAnsi="Arial" w:cs="Arial"/>
        </w:rPr>
      </w:pPr>
      <w:r w:rsidRPr="002370AE">
        <w:rPr>
          <w:rFonts w:ascii="Arial" w:hAnsi="Arial" w:cs="Arial"/>
        </w:rPr>
        <w:t>Passiv Haus. (2017). Passiv Haus. Available: http://www.passivhaus.org.uk/. Last accessed 01 November 2017</w:t>
      </w:r>
      <w:r w:rsidR="006C2EAA" w:rsidRPr="002370AE">
        <w:rPr>
          <w:rFonts w:ascii="Arial" w:hAnsi="Arial" w:cs="Arial"/>
        </w:rPr>
        <w:t>tober 2017].</w:t>
      </w:r>
    </w:p>
    <w:p w:rsidR="00390196" w:rsidRPr="002370AE" w:rsidRDefault="00390196" w:rsidP="001B2AC8">
      <w:pPr>
        <w:spacing w:line="360" w:lineRule="auto"/>
        <w:jc w:val="both"/>
        <w:rPr>
          <w:rFonts w:ascii="Arial" w:hAnsi="Arial" w:cs="Arial"/>
        </w:rPr>
      </w:pPr>
    </w:p>
    <w:p w:rsidR="00B322C1" w:rsidRPr="002370AE" w:rsidRDefault="00B322C1" w:rsidP="001B2AC8">
      <w:pPr>
        <w:spacing w:line="360" w:lineRule="auto"/>
        <w:jc w:val="both"/>
        <w:rPr>
          <w:rFonts w:ascii="Arial" w:hAnsi="Arial" w:cs="Arial"/>
        </w:rPr>
      </w:pPr>
      <w:r w:rsidRPr="002370AE">
        <w:rPr>
          <w:rFonts w:ascii="Arial" w:hAnsi="Arial" w:cs="Arial"/>
        </w:rPr>
        <w:t>Passiv Haus. (2017). The Passiv Haus Standard. Available: http://www.passivhaus.org.uk/standard.jsp?id=122. Last accessed 01 November 2017</w:t>
      </w:r>
    </w:p>
    <w:p w:rsidR="00C8603E" w:rsidRPr="002370AE" w:rsidRDefault="00C8603E" w:rsidP="001B2AC8">
      <w:pPr>
        <w:spacing w:line="360" w:lineRule="auto"/>
        <w:jc w:val="both"/>
        <w:rPr>
          <w:rFonts w:ascii="Arial" w:hAnsi="Arial" w:cs="Arial"/>
        </w:rPr>
      </w:pPr>
      <w:r w:rsidRPr="002370AE">
        <w:rPr>
          <w:rFonts w:ascii="Arial" w:hAnsi="Arial" w:cs="Arial"/>
        </w:rPr>
        <w:t>U Switch. (2017). Gas and electricity price changes 2017. Available: https://www.uswitch.com/gas-electricity/guides/gas-electricity-prices/. Last accessed 01 November 2017.</w:t>
      </w:r>
    </w:p>
    <w:p w:rsidR="00CA085C" w:rsidRPr="002370AE" w:rsidRDefault="00CA085C" w:rsidP="001B2AC8">
      <w:pPr>
        <w:spacing w:line="360" w:lineRule="auto"/>
        <w:jc w:val="both"/>
        <w:rPr>
          <w:rFonts w:ascii="Arial" w:hAnsi="Arial" w:cs="Arial"/>
        </w:rPr>
      </w:pPr>
      <w:r w:rsidRPr="002370AE">
        <w:rPr>
          <w:rFonts w:ascii="Arial" w:hAnsi="Arial" w:cs="Arial"/>
        </w:rPr>
        <w:t>Wainwright, O. (2013). The Passivhaus's fabric-first approach to energy efficiency. Available: https://www.theguardian.com/artanddesign/2013/nov/01/passivhaus-fabric-first-energy-efficiency. Last accessed 01 November 2017.</w:t>
      </w:r>
    </w:p>
    <w:p w:rsidR="00C871F8" w:rsidRPr="002370AE" w:rsidRDefault="00C871F8" w:rsidP="001B2AC8">
      <w:pPr>
        <w:spacing w:line="360" w:lineRule="auto"/>
        <w:jc w:val="both"/>
        <w:rPr>
          <w:rFonts w:ascii="Arial" w:hAnsi="Arial" w:cs="Arial"/>
        </w:rPr>
      </w:pPr>
      <w:r w:rsidRPr="002370AE">
        <w:rPr>
          <w:rFonts w:ascii="Arial" w:hAnsi="Arial" w:cs="Arial"/>
        </w:rPr>
        <w:t>Braw, E. (2014). Swedish city builds 'passive houses' as part of ambitious CO2 reduction targets. Available: https://www.theguardian.com/sustainable-business/sweden-passive-housing-co2-reduction-targets. Last accessed 01 November 2017.</w:t>
      </w:r>
    </w:p>
    <w:p w:rsidR="00823727" w:rsidRPr="002370AE" w:rsidRDefault="00823727" w:rsidP="001B2AC8">
      <w:pPr>
        <w:spacing w:line="360" w:lineRule="auto"/>
        <w:jc w:val="both"/>
        <w:rPr>
          <w:rFonts w:ascii="Arial" w:hAnsi="Arial" w:cs="Arial"/>
        </w:rPr>
      </w:pPr>
      <w:r w:rsidRPr="002370AE">
        <w:rPr>
          <w:rFonts w:ascii="Arial" w:hAnsi="Arial" w:cs="Arial"/>
        </w:rPr>
        <w:t>Passiv Haus Insititute. (2017). designPH is set to revolutionise the way we use PHPP. Available: https://www.designph.org/. Last accessed 01 November 2017.</w:t>
      </w:r>
    </w:p>
    <w:p w:rsidR="00D9552E" w:rsidRPr="002370AE" w:rsidRDefault="00D9552E" w:rsidP="001B2AC8">
      <w:pPr>
        <w:spacing w:line="360" w:lineRule="auto"/>
        <w:jc w:val="both"/>
        <w:rPr>
          <w:rFonts w:ascii="Arial" w:hAnsi="Arial" w:cs="Arial"/>
        </w:rPr>
      </w:pPr>
      <w:r w:rsidRPr="002370AE">
        <w:rPr>
          <w:rFonts w:ascii="Arial" w:hAnsi="Arial" w:cs="Arial"/>
        </w:rPr>
        <w:t>BRE. (No Date). Passivhaus primer: Designer’s guide. Available: http://www.passivhaus.org.uk/filelibrary/Primers/KN4430_Passivhaus_Designers_Guide_WEB.pdf. Last accessed 01 November 2017.</w:t>
      </w:r>
    </w:p>
    <w:p w:rsidR="00DF7E07" w:rsidRPr="002370AE" w:rsidRDefault="00DF7E07" w:rsidP="001B2AC8">
      <w:pPr>
        <w:spacing w:line="360" w:lineRule="auto"/>
        <w:jc w:val="both"/>
        <w:rPr>
          <w:rFonts w:ascii="Arial" w:hAnsi="Arial" w:cs="Arial"/>
        </w:rPr>
      </w:pPr>
      <w:r w:rsidRPr="002370AE">
        <w:rPr>
          <w:rFonts w:ascii="Arial" w:hAnsi="Arial" w:cs="Arial"/>
        </w:rPr>
        <w:t>Passiv Haus Insititute. (2017). Passive House requirements. Available: http://www.passiv.de/en/02_informations/02_passive-house-requirements/02_passive-house-requirements.htm. Last accessed 01 November 2017.</w:t>
      </w:r>
    </w:p>
    <w:p w:rsidR="00090EC3" w:rsidRPr="002370AE" w:rsidRDefault="00090EC3" w:rsidP="001B2AC8">
      <w:pPr>
        <w:spacing w:line="360" w:lineRule="auto"/>
        <w:jc w:val="both"/>
        <w:rPr>
          <w:rFonts w:ascii="Arial" w:hAnsi="Arial" w:cs="Arial"/>
        </w:rPr>
      </w:pPr>
      <w:r w:rsidRPr="002370AE">
        <w:rPr>
          <w:rFonts w:ascii="Arial" w:hAnsi="Arial" w:cs="Arial"/>
        </w:rPr>
        <w:lastRenderedPageBreak/>
        <w:t>Burrell, E. (2015). What is Thermal Bridge Free Construction?. Available: http://elrondburrell.com/blog/passivhaus-thermal-bridge-free-construction/. Last accessed 01 November 2017.</w:t>
      </w:r>
    </w:p>
    <w:p w:rsidR="002859F4" w:rsidRPr="002370AE" w:rsidRDefault="002859F4" w:rsidP="001B2AC8">
      <w:pPr>
        <w:spacing w:line="360" w:lineRule="auto"/>
        <w:jc w:val="both"/>
        <w:rPr>
          <w:rFonts w:ascii="Arial" w:hAnsi="Arial" w:cs="Arial"/>
        </w:rPr>
      </w:pPr>
      <w:r w:rsidRPr="002370AE">
        <w:rPr>
          <w:rFonts w:ascii="Arial" w:hAnsi="Arial" w:cs="Arial"/>
        </w:rPr>
        <w:t>Wainwright, O. (2013). The Passivhaus's fabric-first approach to energy efficiency. Available: https://www.theguardian.com/artanddesign/2013/nov/01/passivhaus-fabric-first-energy-efficiency. Last accessed 01 November 2017.</w:t>
      </w:r>
    </w:p>
    <w:p w:rsidR="005D42EB" w:rsidRPr="002370AE" w:rsidRDefault="005D42EB" w:rsidP="001B2AC8">
      <w:pPr>
        <w:spacing w:line="360" w:lineRule="auto"/>
        <w:jc w:val="both"/>
        <w:rPr>
          <w:rFonts w:ascii="Arial" w:hAnsi="Arial" w:cs="Arial"/>
        </w:rPr>
      </w:pPr>
      <w:r w:rsidRPr="002370AE">
        <w:rPr>
          <w:rFonts w:ascii="Arial" w:hAnsi="Arial" w:cs="Arial"/>
        </w:rPr>
        <w:t>Diamond, R. (2011). BREEAM: The Harsh Reality. CIBSE Technical Symposium. 1 (1), p3.</w:t>
      </w:r>
    </w:p>
    <w:p w:rsidR="00C8603E" w:rsidRPr="002370AE" w:rsidRDefault="00F546A6" w:rsidP="001B2AC8">
      <w:pPr>
        <w:spacing w:line="360" w:lineRule="auto"/>
        <w:jc w:val="both"/>
        <w:rPr>
          <w:rFonts w:ascii="Arial" w:hAnsi="Arial" w:cs="Arial"/>
        </w:rPr>
      </w:pPr>
      <w:r w:rsidRPr="002370AE">
        <w:rPr>
          <w:rFonts w:ascii="Arial" w:hAnsi="Arial" w:cs="Arial"/>
        </w:rPr>
        <w:t>Construction.morgansindall.com. (2017). Enterprise Centre, University of East Anglia | Morgan Sindall. [online] Available at: https://construction.morgansindall.com/case-study/enterprise-centre-university-east-anglia [Accessed 1 Nov. 2017].</w:t>
      </w:r>
    </w:p>
    <w:p w:rsidR="00F546A6" w:rsidRDefault="00F546A6" w:rsidP="001B2AC8">
      <w:pPr>
        <w:spacing w:line="360" w:lineRule="auto"/>
        <w:jc w:val="both"/>
        <w:rPr>
          <w:rFonts w:ascii="Arial" w:hAnsi="Arial" w:cs="Arial"/>
          <w:sz w:val="24"/>
          <w:szCs w:val="24"/>
        </w:rPr>
      </w:pPr>
      <w:r w:rsidRPr="002370AE">
        <w:rPr>
          <w:rFonts w:ascii="Arial" w:hAnsi="Arial" w:cs="Arial"/>
          <w:sz w:val="24"/>
          <w:szCs w:val="24"/>
        </w:rPr>
        <w:t>Architype.co.uk. (2017). Architype / The Enterprise Centre / The UK's Leading Passivhaus, Sustainable Architects. [online] Available at: http://www.architype.co.uk/project/the-enterprise-centre-uea/ [Accessed 1 Nov. 2017].</w:t>
      </w:r>
    </w:p>
    <w:sectPr w:rsidR="00F546A6" w:rsidSect="00C009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7C39" w:rsidRDefault="00EE7C39" w:rsidP="00AA06EF">
      <w:pPr>
        <w:spacing w:after="0" w:line="240" w:lineRule="auto"/>
      </w:pPr>
      <w:r>
        <w:separator/>
      </w:r>
    </w:p>
  </w:endnote>
  <w:endnote w:type="continuationSeparator" w:id="0">
    <w:p w:rsidR="00EE7C39" w:rsidRDefault="00EE7C39" w:rsidP="00AA0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7C39" w:rsidRDefault="00EE7C39" w:rsidP="00AA06EF">
      <w:pPr>
        <w:spacing w:after="0" w:line="240" w:lineRule="auto"/>
      </w:pPr>
      <w:r>
        <w:separator/>
      </w:r>
    </w:p>
  </w:footnote>
  <w:footnote w:type="continuationSeparator" w:id="0">
    <w:p w:rsidR="00EE7C39" w:rsidRDefault="00EE7C39" w:rsidP="00AA06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926D3"/>
    <w:multiLevelType w:val="hybridMultilevel"/>
    <w:tmpl w:val="60840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A3792"/>
    <w:multiLevelType w:val="hybridMultilevel"/>
    <w:tmpl w:val="420069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ED46FB"/>
    <w:multiLevelType w:val="hybridMultilevel"/>
    <w:tmpl w:val="7E200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345B55"/>
    <w:multiLevelType w:val="hybridMultilevel"/>
    <w:tmpl w:val="1BCCB5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B8D5986"/>
    <w:multiLevelType w:val="hybridMultilevel"/>
    <w:tmpl w:val="685033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C596A75"/>
    <w:multiLevelType w:val="hybridMultilevel"/>
    <w:tmpl w:val="13BC5C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D1461B5"/>
    <w:multiLevelType w:val="hybridMultilevel"/>
    <w:tmpl w:val="6EE85E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0E156203"/>
    <w:multiLevelType w:val="hybridMultilevel"/>
    <w:tmpl w:val="8B687E4E"/>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101E79FB"/>
    <w:multiLevelType w:val="hybridMultilevel"/>
    <w:tmpl w:val="09869EF6"/>
    <w:lvl w:ilvl="0" w:tplc="71180BD4">
      <w:numFmt w:val="bullet"/>
      <w:lvlText w:val="-"/>
      <w:lvlJc w:val="left"/>
      <w:pPr>
        <w:ind w:left="1440" w:hanging="360"/>
      </w:pPr>
      <w:rPr>
        <w:rFonts w:ascii="Arial" w:eastAsia="Times New Roman" w:hAnsi="Aria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0BA55ED"/>
    <w:multiLevelType w:val="hybridMultilevel"/>
    <w:tmpl w:val="44FE36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4F70BA5"/>
    <w:multiLevelType w:val="hybridMultilevel"/>
    <w:tmpl w:val="C1E05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3A5241"/>
    <w:multiLevelType w:val="hybridMultilevel"/>
    <w:tmpl w:val="C7D49C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8E54AA2"/>
    <w:multiLevelType w:val="hybridMultilevel"/>
    <w:tmpl w:val="0046B8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00A6697"/>
    <w:multiLevelType w:val="hybridMultilevel"/>
    <w:tmpl w:val="27E6ECE0"/>
    <w:lvl w:ilvl="0" w:tplc="C61E1D6E">
      <w:start w:val="1"/>
      <w:numFmt w:val="bullet"/>
      <w:lvlText w:val=""/>
      <w:lvlJc w:val="left"/>
      <w:pPr>
        <w:ind w:left="360" w:hanging="360"/>
      </w:pPr>
      <w:rPr>
        <w:rFonts w:ascii="Symbol" w:hAnsi="Symbol" w:hint="default"/>
        <w:i w:val="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F75DA4"/>
    <w:multiLevelType w:val="hybridMultilevel"/>
    <w:tmpl w:val="6D1EB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AC1759"/>
    <w:multiLevelType w:val="hybridMultilevel"/>
    <w:tmpl w:val="AB4060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E6025D"/>
    <w:multiLevelType w:val="hybridMultilevel"/>
    <w:tmpl w:val="36EECA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05E46B3"/>
    <w:multiLevelType w:val="hybridMultilevel"/>
    <w:tmpl w:val="FD0C58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2203368"/>
    <w:multiLevelType w:val="hybridMultilevel"/>
    <w:tmpl w:val="696A7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1707B1"/>
    <w:multiLevelType w:val="hybridMultilevel"/>
    <w:tmpl w:val="B37C4ADE"/>
    <w:lvl w:ilvl="0" w:tplc="97169C5A">
      <w:start w:val="2"/>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4A14E3"/>
    <w:multiLevelType w:val="hybridMultilevel"/>
    <w:tmpl w:val="4AD2E8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552E78"/>
    <w:multiLevelType w:val="hybridMultilevel"/>
    <w:tmpl w:val="7B2A78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2" w15:restartNumberingAfterBreak="0">
    <w:nsid w:val="3A6A3980"/>
    <w:multiLevelType w:val="hybridMultilevel"/>
    <w:tmpl w:val="49326F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1C43FE"/>
    <w:multiLevelType w:val="hybridMultilevel"/>
    <w:tmpl w:val="3C6421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F0C676A"/>
    <w:multiLevelType w:val="hybridMultilevel"/>
    <w:tmpl w:val="87F8BF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DE6F4F"/>
    <w:multiLevelType w:val="hybridMultilevel"/>
    <w:tmpl w:val="02607B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0D44C37"/>
    <w:multiLevelType w:val="hybridMultilevel"/>
    <w:tmpl w:val="17D6DD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7" w15:restartNumberingAfterBreak="0">
    <w:nsid w:val="48D8399D"/>
    <w:multiLevelType w:val="hybridMultilevel"/>
    <w:tmpl w:val="E8A809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D531D5C"/>
    <w:multiLevelType w:val="hybridMultilevel"/>
    <w:tmpl w:val="007AA38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9" w15:restartNumberingAfterBreak="0">
    <w:nsid w:val="4D5B6C1B"/>
    <w:multiLevelType w:val="hybridMultilevel"/>
    <w:tmpl w:val="422AB3B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0" w15:restartNumberingAfterBreak="0">
    <w:nsid w:val="4DF74150"/>
    <w:multiLevelType w:val="hybridMultilevel"/>
    <w:tmpl w:val="B8D8B6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4EB82293"/>
    <w:multiLevelType w:val="hybridMultilevel"/>
    <w:tmpl w:val="2208FA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248691F"/>
    <w:multiLevelType w:val="hybridMultilevel"/>
    <w:tmpl w:val="BC8246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5F304AC"/>
    <w:multiLevelType w:val="multilevel"/>
    <w:tmpl w:val="D9E84E28"/>
    <w:lvl w:ilvl="0">
      <w:start w:val="1"/>
      <w:numFmt w:val="decimal"/>
      <w:lvlText w:val="%1.0"/>
      <w:lvlJc w:val="left"/>
      <w:pPr>
        <w:ind w:left="528" w:hanging="528"/>
      </w:pPr>
      <w:rPr>
        <w:rFonts w:cs="Times New Roman" w:hint="default"/>
      </w:rPr>
    </w:lvl>
    <w:lvl w:ilvl="1">
      <w:start w:val="1"/>
      <w:numFmt w:val="decimalZero"/>
      <w:lvlText w:val="%1.%2"/>
      <w:lvlJc w:val="left"/>
      <w:pPr>
        <w:ind w:left="1248" w:hanging="528"/>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34" w15:restartNumberingAfterBreak="0">
    <w:nsid w:val="59804E64"/>
    <w:multiLevelType w:val="hybridMultilevel"/>
    <w:tmpl w:val="81FE59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28E3588"/>
    <w:multiLevelType w:val="hybridMultilevel"/>
    <w:tmpl w:val="D480BD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4084236"/>
    <w:multiLevelType w:val="hybridMultilevel"/>
    <w:tmpl w:val="770A1C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45B4761"/>
    <w:multiLevelType w:val="hybridMultilevel"/>
    <w:tmpl w:val="109686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BAA2832"/>
    <w:multiLevelType w:val="hybridMultilevel"/>
    <w:tmpl w:val="8D9AE3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C5A041A"/>
    <w:multiLevelType w:val="hybridMultilevel"/>
    <w:tmpl w:val="2F809E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3914CFA"/>
    <w:multiLevelType w:val="hybridMultilevel"/>
    <w:tmpl w:val="264C8F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50B04E8"/>
    <w:multiLevelType w:val="hybridMultilevel"/>
    <w:tmpl w:val="D4DA4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E75E4E"/>
    <w:multiLevelType w:val="hybridMultilevel"/>
    <w:tmpl w:val="2EFC00C2"/>
    <w:lvl w:ilvl="0" w:tplc="71180BD4">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553779"/>
    <w:multiLevelType w:val="hybridMultilevel"/>
    <w:tmpl w:val="2B5E1450"/>
    <w:lvl w:ilvl="0" w:tplc="B740B8B8">
      <w:start w:val="1"/>
      <w:numFmt w:val="bullet"/>
      <w:lvlText w:val=""/>
      <w:lvlJc w:val="left"/>
      <w:pPr>
        <w:ind w:left="360" w:hanging="360"/>
      </w:pPr>
      <w:rPr>
        <w:rFonts w:ascii="Symbol" w:hAnsi="Symbol" w:hint="default"/>
        <w:i w:val="0"/>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8A10CEC"/>
    <w:multiLevelType w:val="hybridMultilevel"/>
    <w:tmpl w:val="ED1274C6"/>
    <w:lvl w:ilvl="0" w:tplc="C408E586">
      <w:start w:val="2"/>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5E5C7D"/>
    <w:multiLevelType w:val="hybridMultilevel"/>
    <w:tmpl w:val="05B42C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DB96E55"/>
    <w:multiLevelType w:val="hybridMultilevel"/>
    <w:tmpl w:val="FB86027C"/>
    <w:lvl w:ilvl="0" w:tplc="C61E1D6E">
      <w:start w:val="1"/>
      <w:numFmt w:val="bullet"/>
      <w:lvlText w:val=""/>
      <w:lvlJc w:val="left"/>
      <w:pPr>
        <w:ind w:left="360" w:hanging="360"/>
      </w:pPr>
      <w:rPr>
        <w:rFonts w:ascii="Symbol" w:hAnsi="Symbol" w:hint="default"/>
        <w:i w:val="0"/>
      </w:rPr>
    </w:lvl>
    <w:lvl w:ilvl="1" w:tplc="08090003" w:tentative="1">
      <w:start w:val="1"/>
      <w:numFmt w:val="bullet"/>
      <w:lvlText w:val="o"/>
      <w:lvlJc w:val="left"/>
      <w:pPr>
        <w:ind w:left="1157" w:hanging="360"/>
      </w:pPr>
      <w:rPr>
        <w:rFonts w:ascii="Courier New" w:hAnsi="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hint="default"/>
      </w:rPr>
    </w:lvl>
    <w:lvl w:ilvl="8" w:tplc="08090005" w:tentative="1">
      <w:start w:val="1"/>
      <w:numFmt w:val="bullet"/>
      <w:lvlText w:val=""/>
      <w:lvlJc w:val="left"/>
      <w:pPr>
        <w:ind w:left="6197" w:hanging="360"/>
      </w:pPr>
      <w:rPr>
        <w:rFonts w:ascii="Wingdings" w:hAnsi="Wingdings" w:hint="default"/>
      </w:rPr>
    </w:lvl>
  </w:abstractNum>
  <w:num w:numId="1">
    <w:abstractNumId w:val="2"/>
  </w:num>
  <w:num w:numId="2">
    <w:abstractNumId w:val="18"/>
  </w:num>
  <w:num w:numId="3">
    <w:abstractNumId w:val="42"/>
  </w:num>
  <w:num w:numId="4">
    <w:abstractNumId w:val="8"/>
  </w:num>
  <w:num w:numId="5">
    <w:abstractNumId w:val="14"/>
  </w:num>
  <w:num w:numId="6">
    <w:abstractNumId w:val="0"/>
  </w:num>
  <w:num w:numId="7">
    <w:abstractNumId w:val="3"/>
  </w:num>
  <w:num w:numId="8">
    <w:abstractNumId w:val="45"/>
  </w:num>
  <w:num w:numId="9">
    <w:abstractNumId w:val="39"/>
  </w:num>
  <w:num w:numId="10">
    <w:abstractNumId w:val="34"/>
  </w:num>
  <w:num w:numId="11">
    <w:abstractNumId w:val="32"/>
  </w:num>
  <w:num w:numId="12">
    <w:abstractNumId w:val="17"/>
  </w:num>
  <w:num w:numId="13">
    <w:abstractNumId w:val="15"/>
  </w:num>
  <w:num w:numId="14">
    <w:abstractNumId w:val="9"/>
  </w:num>
  <w:num w:numId="15">
    <w:abstractNumId w:val="35"/>
  </w:num>
  <w:num w:numId="16">
    <w:abstractNumId w:val="5"/>
  </w:num>
  <w:num w:numId="17">
    <w:abstractNumId w:val="16"/>
  </w:num>
  <w:num w:numId="18">
    <w:abstractNumId w:val="22"/>
  </w:num>
  <w:num w:numId="19">
    <w:abstractNumId w:val="4"/>
  </w:num>
  <w:num w:numId="20">
    <w:abstractNumId w:val="44"/>
  </w:num>
  <w:num w:numId="21">
    <w:abstractNumId w:val="19"/>
  </w:num>
  <w:num w:numId="22">
    <w:abstractNumId w:val="40"/>
  </w:num>
  <w:num w:numId="23">
    <w:abstractNumId w:val="23"/>
  </w:num>
  <w:num w:numId="24">
    <w:abstractNumId w:val="37"/>
  </w:num>
  <w:num w:numId="25">
    <w:abstractNumId w:val="36"/>
  </w:num>
  <w:num w:numId="26">
    <w:abstractNumId w:val="11"/>
  </w:num>
  <w:num w:numId="27">
    <w:abstractNumId w:val="1"/>
  </w:num>
  <w:num w:numId="28">
    <w:abstractNumId w:val="31"/>
  </w:num>
  <w:num w:numId="29">
    <w:abstractNumId w:val="38"/>
  </w:num>
  <w:num w:numId="30">
    <w:abstractNumId w:val="24"/>
  </w:num>
  <w:num w:numId="31">
    <w:abstractNumId w:val="13"/>
  </w:num>
  <w:num w:numId="32">
    <w:abstractNumId w:val="43"/>
  </w:num>
  <w:num w:numId="33">
    <w:abstractNumId w:val="28"/>
  </w:num>
  <w:num w:numId="34">
    <w:abstractNumId w:val="20"/>
  </w:num>
  <w:num w:numId="35">
    <w:abstractNumId w:val="21"/>
  </w:num>
  <w:num w:numId="36">
    <w:abstractNumId w:val="10"/>
  </w:num>
  <w:num w:numId="37">
    <w:abstractNumId w:val="25"/>
  </w:num>
  <w:num w:numId="38">
    <w:abstractNumId w:val="30"/>
  </w:num>
  <w:num w:numId="39">
    <w:abstractNumId w:val="12"/>
  </w:num>
  <w:num w:numId="40">
    <w:abstractNumId w:val="27"/>
  </w:num>
  <w:num w:numId="41">
    <w:abstractNumId w:val="26"/>
  </w:num>
  <w:num w:numId="42">
    <w:abstractNumId w:val="46"/>
  </w:num>
  <w:num w:numId="43">
    <w:abstractNumId w:val="41"/>
  </w:num>
  <w:num w:numId="44">
    <w:abstractNumId w:val="33"/>
  </w:num>
  <w:num w:numId="45">
    <w:abstractNumId w:val="29"/>
  </w:num>
  <w:num w:numId="46">
    <w:abstractNumId w:val="7"/>
  </w:num>
  <w:num w:numId="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2494"/>
    <w:rsid w:val="000131CC"/>
    <w:rsid w:val="00016E1B"/>
    <w:rsid w:val="00027B6A"/>
    <w:rsid w:val="00031758"/>
    <w:rsid w:val="00031B7A"/>
    <w:rsid w:val="0003605F"/>
    <w:rsid w:val="00042865"/>
    <w:rsid w:val="00062024"/>
    <w:rsid w:val="000754B9"/>
    <w:rsid w:val="00075D47"/>
    <w:rsid w:val="00090EC3"/>
    <w:rsid w:val="000935C3"/>
    <w:rsid w:val="000A2B21"/>
    <w:rsid w:val="000B2C4D"/>
    <w:rsid w:val="000C2E74"/>
    <w:rsid w:val="000D1736"/>
    <w:rsid w:val="000D3DB1"/>
    <w:rsid w:val="000D6559"/>
    <w:rsid w:val="000E4605"/>
    <w:rsid w:val="000F75B4"/>
    <w:rsid w:val="00111811"/>
    <w:rsid w:val="0011331E"/>
    <w:rsid w:val="00117FEA"/>
    <w:rsid w:val="001357EA"/>
    <w:rsid w:val="00146FD1"/>
    <w:rsid w:val="001524A6"/>
    <w:rsid w:val="001614AE"/>
    <w:rsid w:val="001620D1"/>
    <w:rsid w:val="00170004"/>
    <w:rsid w:val="001774B8"/>
    <w:rsid w:val="00180846"/>
    <w:rsid w:val="0018260B"/>
    <w:rsid w:val="00190647"/>
    <w:rsid w:val="001A0D04"/>
    <w:rsid w:val="001A11F8"/>
    <w:rsid w:val="001B2AC8"/>
    <w:rsid w:val="001B3B06"/>
    <w:rsid w:val="001B7C75"/>
    <w:rsid w:val="001C652D"/>
    <w:rsid w:val="001C7561"/>
    <w:rsid w:val="001D536A"/>
    <w:rsid w:val="001F1230"/>
    <w:rsid w:val="001F3F43"/>
    <w:rsid w:val="00203FF3"/>
    <w:rsid w:val="00213279"/>
    <w:rsid w:val="0022015B"/>
    <w:rsid w:val="00235E46"/>
    <w:rsid w:val="002370AE"/>
    <w:rsid w:val="00244AB5"/>
    <w:rsid w:val="00247145"/>
    <w:rsid w:val="0025206D"/>
    <w:rsid w:val="00253228"/>
    <w:rsid w:val="0027771C"/>
    <w:rsid w:val="002810A0"/>
    <w:rsid w:val="002859F4"/>
    <w:rsid w:val="0028787C"/>
    <w:rsid w:val="002A4D16"/>
    <w:rsid w:val="002A6175"/>
    <w:rsid w:val="002A7252"/>
    <w:rsid w:val="002B0BEE"/>
    <w:rsid w:val="002B0F77"/>
    <w:rsid w:val="002B2501"/>
    <w:rsid w:val="002B2B83"/>
    <w:rsid w:val="002B7C0F"/>
    <w:rsid w:val="002D46F7"/>
    <w:rsid w:val="002E0A58"/>
    <w:rsid w:val="002E130B"/>
    <w:rsid w:val="002E199B"/>
    <w:rsid w:val="002E3387"/>
    <w:rsid w:val="002E5C20"/>
    <w:rsid w:val="002F2341"/>
    <w:rsid w:val="00300862"/>
    <w:rsid w:val="00300AB0"/>
    <w:rsid w:val="00307E37"/>
    <w:rsid w:val="00310797"/>
    <w:rsid w:val="0031628F"/>
    <w:rsid w:val="0031740C"/>
    <w:rsid w:val="003422E0"/>
    <w:rsid w:val="003510E1"/>
    <w:rsid w:val="003575BF"/>
    <w:rsid w:val="00361450"/>
    <w:rsid w:val="00372D6B"/>
    <w:rsid w:val="00374834"/>
    <w:rsid w:val="00375AFD"/>
    <w:rsid w:val="00380867"/>
    <w:rsid w:val="00383C71"/>
    <w:rsid w:val="00386E81"/>
    <w:rsid w:val="00390196"/>
    <w:rsid w:val="003908F9"/>
    <w:rsid w:val="00391029"/>
    <w:rsid w:val="003A4758"/>
    <w:rsid w:val="003A72A4"/>
    <w:rsid w:val="003B5E5E"/>
    <w:rsid w:val="003B6717"/>
    <w:rsid w:val="003C5F37"/>
    <w:rsid w:val="003D14B4"/>
    <w:rsid w:val="003D4E9A"/>
    <w:rsid w:val="00402E34"/>
    <w:rsid w:val="00403E5D"/>
    <w:rsid w:val="00406D0A"/>
    <w:rsid w:val="00413E6B"/>
    <w:rsid w:val="00416041"/>
    <w:rsid w:val="00420641"/>
    <w:rsid w:val="00421D6A"/>
    <w:rsid w:val="00436978"/>
    <w:rsid w:val="00443168"/>
    <w:rsid w:val="00443D93"/>
    <w:rsid w:val="00453FC2"/>
    <w:rsid w:val="00455AB6"/>
    <w:rsid w:val="004623DB"/>
    <w:rsid w:val="00462874"/>
    <w:rsid w:val="00462B10"/>
    <w:rsid w:val="00464621"/>
    <w:rsid w:val="00466DA0"/>
    <w:rsid w:val="004678B9"/>
    <w:rsid w:val="004703DD"/>
    <w:rsid w:val="00484643"/>
    <w:rsid w:val="00491025"/>
    <w:rsid w:val="0049194E"/>
    <w:rsid w:val="004961D7"/>
    <w:rsid w:val="004A3D12"/>
    <w:rsid w:val="004A712F"/>
    <w:rsid w:val="004B1C7A"/>
    <w:rsid w:val="004C27C6"/>
    <w:rsid w:val="004D31EF"/>
    <w:rsid w:val="004E0813"/>
    <w:rsid w:val="004F2166"/>
    <w:rsid w:val="00500E6A"/>
    <w:rsid w:val="00501840"/>
    <w:rsid w:val="00525D20"/>
    <w:rsid w:val="00525E5D"/>
    <w:rsid w:val="005372AF"/>
    <w:rsid w:val="00545A65"/>
    <w:rsid w:val="005460B6"/>
    <w:rsid w:val="00552D1B"/>
    <w:rsid w:val="00563E8B"/>
    <w:rsid w:val="00573564"/>
    <w:rsid w:val="00581294"/>
    <w:rsid w:val="005A2484"/>
    <w:rsid w:val="005A4579"/>
    <w:rsid w:val="005A7643"/>
    <w:rsid w:val="005B4A00"/>
    <w:rsid w:val="005C0EDC"/>
    <w:rsid w:val="005C1951"/>
    <w:rsid w:val="005D42EB"/>
    <w:rsid w:val="005E52FD"/>
    <w:rsid w:val="005E7CD9"/>
    <w:rsid w:val="005F2CD2"/>
    <w:rsid w:val="005F799A"/>
    <w:rsid w:val="0061398C"/>
    <w:rsid w:val="00616443"/>
    <w:rsid w:val="006204EF"/>
    <w:rsid w:val="00620C83"/>
    <w:rsid w:val="00622599"/>
    <w:rsid w:val="0062320E"/>
    <w:rsid w:val="00624B79"/>
    <w:rsid w:val="00631358"/>
    <w:rsid w:val="00635445"/>
    <w:rsid w:val="00637344"/>
    <w:rsid w:val="00642171"/>
    <w:rsid w:val="006454DE"/>
    <w:rsid w:val="00655466"/>
    <w:rsid w:val="006629FA"/>
    <w:rsid w:val="0066684F"/>
    <w:rsid w:val="00666EB4"/>
    <w:rsid w:val="00674F19"/>
    <w:rsid w:val="0067680C"/>
    <w:rsid w:val="0067773B"/>
    <w:rsid w:val="0069196F"/>
    <w:rsid w:val="00696302"/>
    <w:rsid w:val="00697D95"/>
    <w:rsid w:val="006A013F"/>
    <w:rsid w:val="006B3D79"/>
    <w:rsid w:val="006C09BC"/>
    <w:rsid w:val="006C0CD9"/>
    <w:rsid w:val="006C10B9"/>
    <w:rsid w:val="006C2DE4"/>
    <w:rsid w:val="006C2EAA"/>
    <w:rsid w:val="006C3CFA"/>
    <w:rsid w:val="006D6048"/>
    <w:rsid w:val="006E5ED8"/>
    <w:rsid w:val="006F407C"/>
    <w:rsid w:val="00705146"/>
    <w:rsid w:val="007053BD"/>
    <w:rsid w:val="0070585F"/>
    <w:rsid w:val="007101EC"/>
    <w:rsid w:val="00711BA8"/>
    <w:rsid w:val="00720034"/>
    <w:rsid w:val="00720BB6"/>
    <w:rsid w:val="00723071"/>
    <w:rsid w:val="00726BF7"/>
    <w:rsid w:val="0073114C"/>
    <w:rsid w:val="007337BF"/>
    <w:rsid w:val="0073774D"/>
    <w:rsid w:val="0074179E"/>
    <w:rsid w:val="00765517"/>
    <w:rsid w:val="00766C7F"/>
    <w:rsid w:val="007718CE"/>
    <w:rsid w:val="00782A66"/>
    <w:rsid w:val="00782F5C"/>
    <w:rsid w:val="0078436A"/>
    <w:rsid w:val="00784EF1"/>
    <w:rsid w:val="00785C20"/>
    <w:rsid w:val="00792331"/>
    <w:rsid w:val="007A1FD9"/>
    <w:rsid w:val="007B2371"/>
    <w:rsid w:val="007B2B88"/>
    <w:rsid w:val="007C282F"/>
    <w:rsid w:val="007C313B"/>
    <w:rsid w:val="007C5B42"/>
    <w:rsid w:val="007D78A2"/>
    <w:rsid w:val="007E2D0E"/>
    <w:rsid w:val="007E3CF1"/>
    <w:rsid w:val="007F7338"/>
    <w:rsid w:val="007F79FF"/>
    <w:rsid w:val="008106D7"/>
    <w:rsid w:val="00810AF9"/>
    <w:rsid w:val="0081691C"/>
    <w:rsid w:val="00817EFD"/>
    <w:rsid w:val="00820E6D"/>
    <w:rsid w:val="00820FF7"/>
    <w:rsid w:val="00823727"/>
    <w:rsid w:val="008246EE"/>
    <w:rsid w:val="00837936"/>
    <w:rsid w:val="008429FC"/>
    <w:rsid w:val="00847461"/>
    <w:rsid w:val="00850303"/>
    <w:rsid w:val="008549A2"/>
    <w:rsid w:val="00866B5A"/>
    <w:rsid w:val="00870DFA"/>
    <w:rsid w:val="0087484F"/>
    <w:rsid w:val="00875FA8"/>
    <w:rsid w:val="00876D83"/>
    <w:rsid w:val="00885901"/>
    <w:rsid w:val="00886807"/>
    <w:rsid w:val="008A3EE0"/>
    <w:rsid w:val="008B154E"/>
    <w:rsid w:val="008B676C"/>
    <w:rsid w:val="008D009A"/>
    <w:rsid w:val="008D7502"/>
    <w:rsid w:val="008F291C"/>
    <w:rsid w:val="008F7A44"/>
    <w:rsid w:val="009139BD"/>
    <w:rsid w:val="00922494"/>
    <w:rsid w:val="00931EDA"/>
    <w:rsid w:val="0093430F"/>
    <w:rsid w:val="00941653"/>
    <w:rsid w:val="00942D92"/>
    <w:rsid w:val="0094355F"/>
    <w:rsid w:val="00957FB1"/>
    <w:rsid w:val="00961C0A"/>
    <w:rsid w:val="00972E90"/>
    <w:rsid w:val="00973CD9"/>
    <w:rsid w:val="009924F5"/>
    <w:rsid w:val="00994CC4"/>
    <w:rsid w:val="009B2EBA"/>
    <w:rsid w:val="009B6189"/>
    <w:rsid w:val="009C3B7A"/>
    <w:rsid w:val="009D2E05"/>
    <w:rsid w:val="009D627E"/>
    <w:rsid w:val="009F6BAD"/>
    <w:rsid w:val="00A01282"/>
    <w:rsid w:val="00A03760"/>
    <w:rsid w:val="00A038D4"/>
    <w:rsid w:val="00A079B6"/>
    <w:rsid w:val="00A1160F"/>
    <w:rsid w:val="00A12421"/>
    <w:rsid w:val="00A171F6"/>
    <w:rsid w:val="00A21EBB"/>
    <w:rsid w:val="00A25F70"/>
    <w:rsid w:val="00A32364"/>
    <w:rsid w:val="00A54EC7"/>
    <w:rsid w:val="00A56530"/>
    <w:rsid w:val="00A722A2"/>
    <w:rsid w:val="00A81317"/>
    <w:rsid w:val="00A8544C"/>
    <w:rsid w:val="00A900C7"/>
    <w:rsid w:val="00A9618A"/>
    <w:rsid w:val="00AA06EF"/>
    <w:rsid w:val="00AA0745"/>
    <w:rsid w:val="00AA6CE1"/>
    <w:rsid w:val="00AB35FB"/>
    <w:rsid w:val="00AC7092"/>
    <w:rsid w:val="00AD0DB1"/>
    <w:rsid w:val="00AE0F5A"/>
    <w:rsid w:val="00AE1D70"/>
    <w:rsid w:val="00AE2927"/>
    <w:rsid w:val="00AF3F1D"/>
    <w:rsid w:val="00AF6594"/>
    <w:rsid w:val="00B13B2A"/>
    <w:rsid w:val="00B1413D"/>
    <w:rsid w:val="00B14A94"/>
    <w:rsid w:val="00B267EC"/>
    <w:rsid w:val="00B322C1"/>
    <w:rsid w:val="00B33AAB"/>
    <w:rsid w:val="00B34F2D"/>
    <w:rsid w:val="00B41C0E"/>
    <w:rsid w:val="00B42CAA"/>
    <w:rsid w:val="00B527EE"/>
    <w:rsid w:val="00B55862"/>
    <w:rsid w:val="00B6239E"/>
    <w:rsid w:val="00B6684E"/>
    <w:rsid w:val="00B66F73"/>
    <w:rsid w:val="00B73C8A"/>
    <w:rsid w:val="00B83BD4"/>
    <w:rsid w:val="00B90FE5"/>
    <w:rsid w:val="00B95755"/>
    <w:rsid w:val="00BA0994"/>
    <w:rsid w:val="00BA65BC"/>
    <w:rsid w:val="00BB4FEB"/>
    <w:rsid w:val="00BC67C5"/>
    <w:rsid w:val="00BC74F2"/>
    <w:rsid w:val="00BC7B3C"/>
    <w:rsid w:val="00BC7F1F"/>
    <w:rsid w:val="00BD35B2"/>
    <w:rsid w:val="00BD6AFA"/>
    <w:rsid w:val="00C0099B"/>
    <w:rsid w:val="00C00CBB"/>
    <w:rsid w:val="00C00CEF"/>
    <w:rsid w:val="00C01B0D"/>
    <w:rsid w:val="00C0268B"/>
    <w:rsid w:val="00C14BB0"/>
    <w:rsid w:val="00C22F0D"/>
    <w:rsid w:val="00C3287D"/>
    <w:rsid w:val="00C33612"/>
    <w:rsid w:val="00C430D9"/>
    <w:rsid w:val="00C52BC7"/>
    <w:rsid w:val="00C61C6D"/>
    <w:rsid w:val="00C66613"/>
    <w:rsid w:val="00C67EE9"/>
    <w:rsid w:val="00C80696"/>
    <w:rsid w:val="00C8603E"/>
    <w:rsid w:val="00C871F8"/>
    <w:rsid w:val="00C9111F"/>
    <w:rsid w:val="00C92793"/>
    <w:rsid w:val="00C92BB7"/>
    <w:rsid w:val="00CA085C"/>
    <w:rsid w:val="00CA5E49"/>
    <w:rsid w:val="00CB65D5"/>
    <w:rsid w:val="00CD1E2F"/>
    <w:rsid w:val="00CE260A"/>
    <w:rsid w:val="00CE43E4"/>
    <w:rsid w:val="00CE5696"/>
    <w:rsid w:val="00CF2F54"/>
    <w:rsid w:val="00D128BD"/>
    <w:rsid w:val="00D16EB8"/>
    <w:rsid w:val="00D44EAA"/>
    <w:rsid w:val="00D51555"/>
    <w:rsid w:val="00D56F7B"/>
    <w:rsid w:val="00D83574"/>
    <w:rsid w:val="00D8370F"/>
    <w:rsid w:val="00D91C6E"/>
    <w:rsid w:val="00D946B3"/>
    <w:rsid w:val="00D9479C"/>
    <w:rsid w:val="00D9552E"/>
    <w:rsid w:val="00DA7035"/>
    <w:rsid w:val="00DB3461"/>
    <w:rsid w:val="00DC0DAE"/>
    <w:rsid w:val="00DD2751"/>
    <w:rsid w:val="00DD67C5"/>
    <w:rsid w:val="00DE6894"/>
    <w:rsid w:val="00DF2EAE"/>
    <w:rsid w:val="00DF5B39"/>
    <w:rsid w:val="00DF72E5"/>
    <w:rsid w:val="00DF7E07"/>
    <w:rsid w:val="00E11D9F"/>
    <w:rsid w:val="00E14DF6"/>
    <w:rsid w:val="00E17FB9"/>
    <w:rsid w:val="00E21550"/>
    <w:rsid w:val="00E21B3D"/>
    <w:rsid w:val="00E23036"/>
    <w:rsid w:val="00E371DD"/>
    <w:rsid w:val="00E54BC6"/>
    <w:rsid w:val="00E6161F"/>
    <w:rsid w:val="00E725AA"/>
    <w:rsid w:val="00E75E72"/>
    <w:rsid w:val="00E81CE5"/>
    <w:rsid w:val="00E86AEB"/>
    <w:rsid w:val="00E871E6"/>
    <w:rsid w:val="00E874C7"/>
    <w:rsid w:val="00E91928"/>
    <w:rsid w:val="00E92A20"/>
    <w:rsid w:val="00E935C1"/>
    <w:rsid w:val="00EA3A45"/>
    <w:rsid w:val="00EA4436"/>
    <w:rsid w:val="00EA583D"/>
    <w:rsid w:val="00EA72EA"/>
    <w:rsid w:val="00EB24E7"/>
    <w:rsid w:val="00EB6B1A"/>
    <w:rsid w:val="00EC090C"/>
    <w:rsid w:val="00EC39C6"/>
    <w:rsid w:val="00ED17B9"/>
    <w:rsid w:val="00EE7C39"/>
    <w:rsid w:val="00EF1304"/>
    <w:rsid w:val="00EF1A9F"/>
    <w:rsid w:val="00EF221E"/>
    <w:rsid w:val="00EF4089"/>
    <w:rsid w:val="00EF6494"/>
    <w:rsid w:val="00EF7C2D"/>
    <w:rsid w:val="00F17AB1"/>
    <w:rsid w:val="00F2023F"/>
    <w:rsid w:val="00F26D6F"/>
    <w:rsid w:val="00F32531"/>
    <w:rsid w:val="00F3388E"/>
    <w:rsid w:val="00F37443"/>
    <w:rsid w:val="00F41ADD"/>
    <w:rsid w:val="00F546A6"/>
    <w:rsid w:val="00F57B15"/>
    <w:rsid w:val="00F607E1"/>
    <w:rsid w:val="00F64730"/>
    <w:rsid w:val="00F65FCC"/>
    <w:rsid w:val="00F732D3"/>
    <w:rsid w:val="00F74153"/>
    <w:rsid w:val="00F815EC"/>
    <w:rsid w:val="00F84AE4"/>
    <w:rsid w:val="00F91971"/>
    <w:rsid w:val="00F97C61"/>
    <w:rsid w:val="00FA0501"/>
    <w:rsid w:val="00FA393E"/>
    <w:rsid w:val="00FA7E3D"/>
    <w:rsid w:val="00FB290D"/>
    <w:rsid w:val="00FB3D77"/>
    <w:rsid w:val="00FD4BD3"/>
    <w:rsid w:val="00FF0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address"/>
  <w:smartTagType w:namespaceuri="urn:schemas-microsoft-com:office:smarttags" w:name="Street"/>
  <w:shapeDefaults>
    <o:shapedefaults v:ext="edit" spidmax="1026"/>
    <o:shapelayout v:ext="edit">
      <o:idmap v:ext="edit" data="1"/>
    </o:shapelayout>
  </w:shapeDefaults>
  <w:decimalSymbol w:val="."/>
  <w:listSeparator w:val=","/>
  <w14:docId w14:val="6D2F452F"/>
  <w15:docId w15:val="{23747751-2A32-4B0B-969E-FD2FA7132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603E"/>
    <w:pPr>
      <w:spacing w:after="160" w:line="259" w:lineRule="auto"/>
    </w:pPr>
    <w:rPr>
      <w:lang w:eastAsia="en-US"/>
    </w:rPr>
  </w:style>
  <w:style w:type="paragraph" w:styleId="Heading1">
    <w:name w:val="heading 1"/>
    <w:basedOn w:val="Normal"/>
    <w:next w:val="Normal"/>
    <w:link w:val="Heading1Char"/>
    <w:uiPriority w:val="99"/>
    <w:qFormat/>
    <w:rsid w:val="00300AB0"/>
    <w:pPr>
      <w:keepNext/>
      <w:keepLines/>
      <w:spacing w:before="240" w:after="0"/>
      <w:outlineLvl w:val="0"/>
    </w:pPr>
    <w:rPr>
      <w:rFonts w:ascii="Calibri Light" w:eastAsia="Times New Roman" w:hAnsi="Calibri Light"/>
      <w:color w:val="2E74B5"/>
      <w:sz w:val="32"/>
      <w:szCs w:val="32"/>
    </w:rPr>
  </w:style>
  <w:style w:type="paragraph" w:styleId="Heading4">
    <w:name w:val="heading 4"/>
    <w:basedOn w:val="Normal"/>
    <w:next w:val="Normal"/>
    <w:link w:val="Heading4Char"/>
    <w:uiPriority w:val="99"/>
    <w:qFormat/>
    <w:rsid w:val="00765517"/>
    <w:pPr>
      <w:keepNext/>
      <w:keepLines/>
      <w:spacing w:before="40" w:after="0"/>
      <w:outlineLvl w:val="3"/>
    </w:pPr>
    <w:rPr>
      <w:rFonts w:ascii="Calibri Light" w:eastAsia="Times New Roman" w:hAnsi="Calibri Light"/>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00AB0"/>
    <w:rPr>
      <w:rFonts w:ascii="Calibri Light" w:hAnsi="Calibri Light" w:cs="Times New Roman"/>
      <w:color w:val="2E74B5"/>
      <w:sz w:val="32"/>
      <w:szCs w:val="32"/>
    </w:rPr>
  </w:style>
  <w:style w:type="character" w:customStyle="1" w:styleId="Heading4Char">
    <w:name w:val="Heading 4 Char"/>
    <w:basedOn w:val="DefaultParagraphFont"/>
    <w:link w:val="Heading4"/>
    <w:uiPriority w:val="99"/>
    <w:semiHidden/>
    <w:locked/>
    <w:rsid w:val="00765517"/>
    <w:rPr>
      <w:rFonts w:ascii="Calibri Light" w:hAnsi="Calibri Light" w:cs="Times New Roman"/>
      <w:i/>
      <w:iCs/>
      <w:color w:val="2E74B5"/>
    </w:rPr>
  </w:style>
  <w:style w:type="character" w:styleId="Hyperlink">
    <w:name w:val="Hyperlink"/>
    <w:basedOn w:val="DefaultParagraphFont"/>
    <w:uiPriority w:val="99"/>
    <w:rsid w:val="006629FA"/>
    <w:rPr>
      <w:rFonts w:cs="Times New Roman"/>
      <w:color w:val="0563C1"/>
      <w:u w:val="single"/>
    </w:rPr>
  </w:style>
  <w:style w:type="paragraph" w:styleId="ListParagraph">
    <w:name w:val="List Paragraph"/>
    <w:basedOn w:val="Normal"/>
    <w:uiPriority w:val="99"/>
    <w:qFormat/>
    <w:rsid w:val="003575BF"/>
    <w:pPr>
      <w:ind w:left="720"/>
      <w:contextualSpacing/>
    </w:pPr>
  </w:style>
  <w:style w:type="table" w:styleId="TableGrid">
    <w:name w:val="Table Grid"/>
    <w:basedOn w:val="TableNormal"/>
    <w:uiPriority w:val="39"/>
    <w:rsid w:val="00235E46"/>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AA06EF"/>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AA06EF"/>
    <w:rPr>
      <w:rFonts w:cs="Times New Roman"/>
    </w:rPr>
  </w:style>
  <w:style w:type="paragraph" w:styleId="Footer">
    <w:name w:val="footer"/>
    <w:basedOn w:val="Normal"/>
    <w:link w:val="FooterChar"/>
    <w:uiPriority w:val="99"/>
    <w:rsid w:val="00AA06EF"/>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AA06EF"/>
    <w:rPr>
      <w:rFonts w:cs="Times New Roman"/>
    </w:rPr>
  </w:style>
  <w:style w:type="paragraph" w:styleId="BalloonText">
    <w:name w:val="Balloon Text"/>
    <w:basedOn w:val="Normal"/>
    <w:link w:val="BalloonTextChar"/>
    <w:uiPriority w:val="99"/>
    <w:semiHidden/>
    <w:rsid w:val="00300A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locked/>
    <w:rsid w:val="00300AB0"/>
    <w:rPr>
      <w:rFonts w:ascii="Segoe UI" w:hAnsi="Segoe UI" w:cs="Segoe UI"/>
      <w:sz w:val="18"/>
      <w:szCs w:val="18"/>
    </w:rPr>
  </w:style>
  <w:style w:type="paragraph" w:styleId="FootnoteText">
    <w:name w:val="footnote text"/>
    <w:basedOn w:val="Normal"/>
    <w:link w:val="FootnoteTextChar"/>
    <w:uiPriority w:val="99"/>
    <w:semiHidden/>
    <w:rsid w:val="00E725AA"/>
    <w:pPr>
      <w:spacing w:after="0" w:line="240" w:lineRule="auto"/>
    </w:pPr>
    <w:rPr>
      <w:sz w:val="20"/>
      <w:szCs w:val="20"/>
    </w:rPr>
  </w:style>
  <w:style w:type="character" w:customStyle="1" w:styleId="FootnoteTextChar">
    <w:name w:val="Footnote Text Char"/>
    <w:basedOn w:val="DefaultParagraphFont"/>
    <w:link w:val="FootnoteText"/>
    <w:uiPriority w:val="99"/>
    <w:semiHidden/>
    <w:locked/>
    <w:rsid w:val="00E725AA"/>
    <w:rPr>
      <w:rFonts w:cs="Times New Roman"/>
      <w:sz w:val="20"/>
      <w:szCs w:val="20"/>
    </w:rPr>
  </w:style>
  <w:style w:type="character" w:styleId="FootnoteReference">
    <w:name w:val="footnote reference"/>
    <w:basedOn w:val="DefaultParagraphFont"/>
    <w:uiPriority w:val="99"/>
    <w:semiHidden/>
    <w:rsid w:val="00E725AA"/>
    <w:rPr>
      <w:rFonts w:cs="Times New Roman"/>
      <w:vertAlign w:val="superscript"/>
    </w:rPr>
  </w:style>
  <w:style w:type="paragraph" w:styleId="EndnoteText">
    <w:name w:val="endnote text"/>
    <w:basedOn w:val="Normal"/>
    <w:link w:val="EndnoteTextChar"/>
    <w:uiPriority w:val="99"/>
    <w:semiHidden/>
    <w:rsid w:val="00E725AA"/>
    <w:pPr>
      <w:spacing w:after="0" w:line="240" w:lineRule="auto"/>
    </w:pPr>
    <w:rPr>
      <w:sz w:val="20"/>
      <w:szCs w:val="20"/>
    </w:rPr>
  </w:style>
  <w:style w:type="character" w:customStyle="1" w:styleId="EndnoteTextChar">
    <w:name w:val="Endnote Text Char"/>
    <w:basedOn w:val="DefaultParagraphFont"/>
    <w:link w:val="EndnoteText"/>
    <w:uiPriority w:val="99"/>
    <w:semiHidden/>
    <w:locked/>
    <w:rsid w:val="00E725AA"/>
    <w:rPr>
      <w:rFonts w:cs="Times New Roman"/>
      <w:sz w:val="20"/>
      <w:szCs w:val="20"/>
    </w:rPr>
  </w:style>
  <w:style w:type="character" w:styleId="EndnoteReference">
    <w:name w:val="endnote reference"/>
    <w:basedOn w:val="DefaultParagraphFont"/>
    <w:uiPriority w:val="99"/>
    <w:semiHidden/>
    <w:rsid w:val="00E725AA"/>
    <w:rPr>
      <w:rFonts w:cs="Times New Roman"/>
      <w:vertAlign w:val="superscript"/>
    </w:rPr>
  </w:style>
  <w:style w:type="character" w:customStyle="1" w:styleId="apple-converted-space">
    <w:name w:val="apple-converted-space"/>
    <w:basedOn w:val="DefaultParagraphFont"/>
    <w:uiPriority w:val="99"/>
    <w:rsid w:val="00765517"/>
    <w:rPr>
      <w:rFonts w:cs="Times New Roman"/>
    </w:rPr>
  </w:style>
  <w:style w:type="paragraph" w:styleId="Caption">
    <w:name w:val="caption"/>
    <w:basedOn w:val="Normal"/>
    <w:next w:val="Normal"/>
    <w:uiPriority w:val="99"/>
    <w:qFormat/>
    <w:rsid w:val="001B3B06"/>
    <w:pPr>
      <w:spacing w:after="200" w:line="240" w:lineRule="auto"/>
      <w:jc w:val="both"/>
    </w:pPr>
    <w:rPr>
      <w:rFonts w:ascii="Times New Roman" w:hAnsi="Times New Roman"/>
      <w:bCs/>
      <w:sz w:val="24"/>
      <w:szCs w:val="24"/>
    </w:rPr>
  </w:style>
  <w:style w:type="character" w:customStyle="1" w:styleId="Mention1">
    <w:name w:val="Mention1"/>
    <w:basedOn w:val="DefaultParagraphFont"/>
    <w:uiPriority w:val="99"/>
    <w:semiHidden/>
    <w:rsid w:val="001357EA"/>
    <w:rPr>
      <w:rFonts w:cs="Times New Roman"/>
      <w:color w:val="2B579A"/>
      <w:shd w:val="clear" w:color="auto" w:fill="E6E6E6"/>
    </w:rPr>
  </w:style>
  <w:style w:type="character" w:customStyle="1" w:styleId="UnresolvedMention1">
    <w:name w:val="Unresolved Mention1"/>
    <w:basedOn w:val="DefaultParagraphFont"/>
    <w:uiPriority w:val="99"/>
    <w:semiHidden/>
    <w:unhideWhenUsed/>
    <w:rsid w:val="0039019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3558206">
      <w:marLeft w:val="0"/>
      <w:marRight w:val="0"/>
      <w:marTop w:val="0"/>
      <w:marBottom w:val="0"/>
      <w:divBdr>
        <w:top w:val="none" w:sz="0" w:space="0" w:color="auto"/>
        <w:left w:val="none" w:sz="0" w:space="0" w:color="auto"/>
        <w:bottom w:val="none" w:sz="0" w:space="0" w:color="auto"/>
        <w:right w:val="none" w:sz="0" w:space="0" w:color="auto"/>
      </w:divBdr>
    </w:div>
    <w:div w:id="1633558209">
      <w:marLeft w:val="0"/>
      <w:marRight w:val="0"/>
      <w:marTop w:val="0"/>
      <w:marBottom w:val="0"/>
      <w:divBdr>
        <w:top w:val="none" w:sz="0" w:space="0" w:color="auto"/>
        <w:left w:val="none" w:sz="0" w:space="0" w:color="auto"/>
        <w:bottom w:val="none" w:sz="0" w:space="0" w:color="auto"/>
        <w:right w:val="none" w:sz="0" w:space="0" w:color="auto"/>
      </w:divBdr>
      <w:divsChild>
        <w:div w:id="1633558219">
          <w:marLeft w:val="0"/>
          <w:marRight w:val="0"/>
          <w:marTop w:val="0"/>
          <w:marBottom w:val="0"/>
          <w:divBdr>
            <w:top w:val="none" w:sz="0" w:space="0" w:color="auto"/>
            <w:left w:val="none" w:sz="0" w:space="0" w:color="auto"/>
            <w:bottom w:val="none" w:sz="0" w:space="0" w:color="auto"/>
            <w:right w:val="none" w:sz="0" w:space="0" w:color="auto"/>
          </w:divBdr>
          <w:divsChild>
            <w:div w:id="1633558204">
              <w:marLeft w:val="0"/>
              <w:marRight w:val="0"/>
              <w:marTop w:val="0"/>
              <w:marBottom w:val="0"/>
              <w:divBdr>
                <w:top w:val="none" w:sz="0" w:space="0" w:color="auto"/>
                <w:left w:val="none" w:sz="0" w:space="0" w:color="auto"/>
                <w:bottom w:val="none" w:sz="0" w:space="0" w:color="auto"/>
                <w:right w:val="none" w:sz="0" w:space="0" w:color="auto"/>
              </w:divBdr>
            </w:div>
            <w:div w:id="1633558207">
              <w:marLeft w:val="0"/>
              <w:marRight w:val="0"/>
              <w:marTop w:val="0"/>
              <w:marBottom w:val="0"/>
              <w:divBdr>
                <w:top w:val="none" w:sz="0" w:space="0" w:color="auto"/>
                <w:left w:val="none" w:sz="0" w:space="0" w:color="auto"/>
                <w:bottom w:val="none" w:sz="0" w:space="0" w:color="auto"/>
                <w:right w:val="none" w:sz="0" w:space="0" w:color="auto"/>
              </w:divBdr>
            </w:div>
            <w:div w:id="1633558212">
              <w:marLeft w:val="0"/>
              <w:marRight w:val="0"/>
              <w:marTop w:val="0"/>
              <w:marBottom w:val="0"/>
              <w:divBdr>
                <w:top w:val="none" w:sz="0" w:space="0" w:color="auto"/>
                <w:left w:val="none" w:sz="0" w:space="0" w:color="auto"/>
                <w:bottom w:val="none" w:sz="0" w:space="0" w:color="auto"/>
                <w:right w:val="none" w:sz="0" w:space="0" w:color="auto"/>
              </w:divBdr>
            </w:div>
            <w:div w:id="1633558214">
              <w:marLeft w:val="0"/>
              <w:marRight w:val="0"/>
              <w:marTop w:val="0"/>
              <w:marBottom w:val="0"/>
              <w:divBdr>
                <w:top w:val="none" w:sz="0" w:space="0" w:color="auto"/>
                <w:left w:val="none" w:sz="0" w:space="0" w:color="auto"/>
                <w:bottom w:val="none" w:sz="0" w:space="0" w:color="auto"/>
                <w:right w:val="none" w:sz="0" w:space="0" w:color="auto"/>
              </w:divBdr>
            </w:div>
            <w:div w:id="1633558226">
              <w:marLeft w:val="0"/>
              <w:marRight w:val="0"/>
              <w:marTop w:val="0"/>
              <w:marBottom w:val="0"/>
              <w:divBdr>
                <w:top w:val="none" w:sz="0" w:space="0" w:color="auto"/>
                <w:left w:val="none" w:sz="0" w:space="0" w:color="auto"/>
                <w:bottom w:val="none" w:sz="0" w:space="0" w:color="auto"/>
                <w:right w:val="none" w:sz="0" w:space="0" w:color="auto"/>
              </w:divBdr>
            </w:div>
            <w:div w:id="1633558241">
              <w:marLeft w:val="0"/>
              <w:marRight w:val="0"/>
              <w:marTop w:val="0"/>
              <w:marBottom w:val="0"/>
              <w:divBdr>
                <w:top w:val="none" w:sz="0" w:space="0" w:color="auto"/>
                <w:left w:val="none" w:sz="0" w:space="0" w:color="auto"/>
                <w:bottom w:val="none" w:sz="0" w:space="0" w:color="auto"/>
                <w:right w:val="none" w:sz="0" w:space="0" w:color="auto"/>
              </w:divBdr>
            </w:div>
            <w:div w:id="1633558245">
              <w:marLeft w:val="0"/>
              <w:marRight w:val="0"/>
              <w:marTop w:val="0"/>
              <w:marBottom w:val="0"/>
              <w:divBdr>
                <w:top w:val="none" w:sz="0" w:space="0" w:color="auto"/>
                <w:left w:val="none" w:sz="0" w:space="0" w:color="auto"/>
                <w:bottom w:val="none" w:sz="0" w:space="0" w:color="auto"/>
                <w:right w:val="none" w:sz="0" w:space="0" w:color="auto"/>
              </w:divBdr>
            </w:div>
            <w:div w:id="1633558246">
              <w:marLeft w:val="0"/>
              <w:marRight w:val="0"/>
              <w:marTop w:val="0"/>
              <w:marBottom w:val="0"/>
              <w:divBdr>
                <w:top w:val="none" w:sz="0" w:space="0" w:color="auto"/>
                <w:left w:val="none" w:sz="0" w:space="0" w:color="auto"/>
                <w:bottom w:val="none" w:sz="0" w:space="0" w:color="auto"/>
                <w:right w:val="none" w:sz="0" w:space="0" w:color="auto"/>
              </w:divBdr>
            </w:div>
            <w:div w:id="1633558250">
              <w:marLeft w:val="0"/>
              <w:marRight w:val="0"/>
              <w:marTop w:val="0"/>
              <w:marBottom w:val="0"/>
              <w:divBdr>
                <w:top w:val="none" w:sz="0" w:space="0" w:color="auto"/>
                <w:left w:val="none" w:sz="0" w:space="0" w:color="auto"/>
                <w:bottom w:val="none" w:sz="0" w:space="0" w:color="auto"/>
                <w:right w:val="none" w:sz="0" w:space="0" w:color="auto"/>
              </w:divBdr>
            </w:div>
            <w:div w:id="1633558253">
              <w:marLeft w:val="0"/>
              <w:marRight w:val="0"/>
              <w:marTop w:val="0"/>
              <w:marBottom w:val="0"/>
              <w:divBdr>
                <w:top w:val="none" w:sz="0" w:space="0" w:color="auto"/>
                <w:left w:val="none" w:sz="0" w:space="0" w:color="auto"/>
                <w:bottom w:val="none" w:sz="0" w:space="0" w:color="auto"/>
                <w:right w:val="none" w:sz="0" w:space="0" w:color="auto"/>
              </w:divBdr>
            </w:div>
          </w:divsChild>
        </w:div>
        <w:div w:id="1633558227">
          <w:marLeft w:val="0"/>
          <w:marRight w:val="0"/>
          <w:marTop w:val="0"/>
          <w:marBottom w:val="0"/>
          <w:divBdr>
            <w:top w:val="none" w:sz="0" w:space="0" w:color="auto"/>
            <w:left w:val="none" w:sz="0" w:space="0" w:color="auto"/>
            <w:bottom w:val="none" w:sz="0" w:space="0" w:color="auto"/>
            <w:right w:val="none" w:sz="0" w:space="0" w:color="auto"/>
          </w:divBdr>
          <w:divsChild>
            <w:div w:id="1633558202">
              <w:marLeft w:val="0"/>
              <w:marRight w:val="0"/>
              <w:marTop w:val="0"/>
              <w:marBottom w:val="0"/>
              <w:divBdr>
                <w:top w:val="none" w:sz="0" w:space="0" w:color="auto"/>
                <w:left w:val="none" w:sz="0" w:space="0" w:color="auto"/>
                <w:bottom w:val="none" w:sz="0" w:space="0" w:color="auto"/>
                <w:right w:val="none" w:sz="0" w:space="0" w:color="auto"/>
              </w:divBdr>
            </w:div>
            <w:div w:id="1633558203">
              <w:marLeft w:val="0"/>
              <w:marRight w:val="0"/>
              <w:marTop w:val="0"/>
              <w:marBottom w:val="0"/>
              <w:divBdr>
                <w:top w:val="none" w:sz="0" w:space="0" w:color="auto"/>
                <w:left w:val="none" w:sz="0" w:space="0" w:color="auto"/>
                <w:bottom w:val="none" w:sz="0" w:space="0" w:color="auto"/>
                <w:right w:val="none" w:sz="0" w:space="0" w:color="auto"/>
              </w:divBdr>
            </w:div>
            <w:div w:id="1633558205">
              <w:marLeft w:val="0"/>
              <w:marRight w:val="0"/>
              <w:marTop w:val="0"/>
              <w:marBottom w:val="0"/>
              <w:divBdr>
                <w:top w:val="none" w:sz="0" w:space="0" w:color="auto"/>
                <w:left w:val="none" w:sz="0" w:space="0" w:color="auto"/>
                <w:bottom w:val="none" w:sz="0" w:space="0" w:color="auto"/>
                <w:right w:val="none" w:sz="0" w:space="0" w:color="auto"/>
              </w:divBdr>
            </w:div>
            <w:div w:id="1633558211">
              <w:marLeft w:val="0"/>
              <w:marRight w:val="0"/>
              <w:marTop w:val="0"/>
              <w:marBottom w:val="0"/>
              <w:divBdr>
                <w:top w:val="none" w:sz="0" w:space="0" w:color="auto"/>
                <w:left w:val="none" w:sz="0" w:space="0" w:color="auto"/>
                <w:bottom w:val="none" w:sz="0" w:space="0" w:color="auto"/>
                <w:right w:val="none" w:sz="0" w:space="0" w:color="auto"/>
              </w:divBdr>
            </w:div>
            <w:div w:id="1633558215">
              <w:marLeft w:val="0"/>
              <w:marRight w:val="0"/>
              <w:marTop w:val="0"/>
              <w:marBottom w:val="0"/>
              <w:divBdr>
                <w:top w:val="none" w:sz="0" w:space="0" w:color="auto"/>
                <w:left w:val="none" w:sz="0" w:space="0" w:color="auto"/>
                <w:bottom w:val="none" w:sz="0" w:space="0" w:color="auto"/>
                <w:right w:val="none" w:sz="0" w:space="0" w:color="auto"/>
              </w:divBdr>
            </w:div>
            <w:div w:id="1633558216">
              <w:marLeft w:val="0"/>
              <w:marRight w:val="0"/>
              <w:marTop w:val="0"/>
              <w:marBottom w:val="0"/>
              <w:divBdr>
                <w:top w:val="none" w:sz="0" w:space="0" w:color="auto"/>
                <w:left w:val="none" w:sz="0" w:space="0" w:color="auto"/>
                <w:bottom w:val="none" w:sz="0" w:space="0" w:color="auto"/>
                <w:right w:val="none" w:sz="0" w:space="0" w:color="auto"/>
              </w:divBdr>
            </w:div>
            <w:div w:id="1633558222">
              <w:marLeft w:val="0"/>
              <w:marRight w:val="0"/>
              <w:marTop w:val="0"/>
              <w:marBottom w:val="0"/>
              <w:divBdr>
                <w:top w:val="none" w:sz="0" w:space="0" w:color="auto"/>
                <w:left w:val="none" w:sz="0" w:space="0" w:color="auto"/>
                <w:bottom w:val="none" w:sz="0" w:space="0" w:color="auto"/>
                <w:right w:val="none" w:sz="0" w:space="0" w:color="auto"/>
              </w:divBdr>
            </w:div>
            <w:div w:id="1633558224">
              <w:marLeft w:val="0"/>
              <w:marRight w:val="0"/>
              <w:marTop w:val="0"/>
              <w:marBottom w:val="0"/>
              <w:divBdr>
                <w:top w:val="none" w:sz="0" w:space="0" w:color="auto"/>
                <w:left w:val="none" w:sz="0" w:space="0" w:color="auto"/>
                <w:bottom w:val="none" w:sz="0" w:space="0" w:color="auto"/>
                <w:right w:val="none" w:sz="0" w:space="0" w:color="auto"/>
              </w:divBdr>
            </w:div>
            <w:div w:id="1633558228">
              <w:marLeft w:val="0"/>
              <w:marRight w:val="0"/>
              <w:marTop w:val="0"/>
              <w:marBottom w:val="0"/>
              <w:divBdr>
                <w:top w:val="none" w:sz="0" w:space="0" w:color="auto"/>
                <w:left w:val="none" w:sz="0" w:space="0" w:color="auto"/>
                <w:bottom w:val="none" w:sz="0" w:space="0" w:color="auto"/>
                <w:right w:val="none" w:sz="0" w:space="0" w:color="auto"/>
              </w:divBdr>
            </w:div>
            <w:div w:id="1633558229">
              <w:marLeft w:val="0"/>
              <w:marRight w:val="0"/>
              <w:marTop w:val="0"/>
              <w:marBottom w:val="0"/>
              <w:divBdr>
                <w:top w:val="none" w:sz="0" w:space="0" w:color="auto"/>
                <w:left w:val="none" w:sz="0" w:space="0" w:color="auto"/>
                <w:bottom w:val="none" w:sz="0" w:space="0" w:color="auto"/>
                <w:right w:val="none" w:sz="0" w:space="0" w:color="auto"/>
              </w:divBdr>
            </w:div>
            <w:div w:id="1633558230">
              <w:marLeft w:val="0"/>
              <w:marRight w:val="0"/>
              <w:marTop w:val="0"/>
              <w:marBottom w:val="0"/>
              <w:divBdr>
                <w:top w:val="none" w:sz="0" w:space="0" w:color="auto"/>
                <w:left w:val="none" w:sz="0" w:space="0" w:color="auto"/>
                <w:bottom w:val="none" w:sz="0" w:space="0" w:color="auto"/>
                <w:right w:val="none" w:sz="0" w:space="0" w:color="auto"/>
              </w:divBdr>
            </w:div>
            <w:div w:id="1633558232">
              <w:marLeft w:val="0"/>
              <w:marRight w:val="0"/>
              <w:marTop w:val="0"/>
              <w:marBottom w:val="0"/>
              <w:divBdr>
                <w:top w:val="none" w:sz="0" w:space="0" w:color="auto"/>
                <w:left w:val="none" w:sz="0" w:space="0" w:color="auto"/>
                <w:bottom w:val="none" w:sz="0" w:space="0" w:color="auto"/>
                <w:right w:val="none" w:sz="0" w:space="0" w:color="auto"/>
              </w:divBdr>
            </w:div>
            <w:div w:id="1633558240">
              <w:marLeft w:val="0"/>
              <w:marRight w:val="0"/>
              <w:marTop w:val="0"/>
              <w:marBottom w:val="0"/>
              <w:divBdr>
                <w:top w:val="none" w:sz="0" w:space="0" w:color="auto"/>
                <w:left w:val="none" w:sz="0" w:space="0" w:color="auto"/>
                <w:bottom w:val="none" w:sz="0" w:space="0" w:color="auto"/>
                <w:right w:val="none" w:sz="0" w:space="0" w:color="auto"/>
              </w:divBdr>
            </w:div>
            <w:div w:id="1633558243">
              <w:marLeft w:val="0"/>
              <w:marRight w:val="0"/>
              <w:marTop w:val="0"/>
              <w:marBottom w:val="0"/>
              <w:divBdr>
                <w:top w:val="none" w:sz="0" w:space="0" w:color="auto"/>
                <w:left w:val="none" w:sz="0" w:space="0" w:color="auto"/>
                <w:bottom w:val="none" w:sz="0" w:space="0" w:color="auto"/>
                <w:right w:val="none" w:sz="0" w:space="0" w:color="auto"/>
              </w:divBdr>
            </w:div>
            <w:div w:id="1633558244">
              <w:marLeft w:val="0"/>
              <w:marRight w:val="0"/>
              <w:marTop w:val="0"/>
              <w:marBottom w:val="0"/>
              <w:divBdr>
                <w:top w:val="none" w:sz="0" w:space="0" w:color="auto"/>
                <w:left w:val="none" w:sz="0" w:space="0" w:color="auto"/>
                <w:bottom w:val="none" w:sz="0" w:space="0" w:color="auto"/>
                <w:right w:val="none" w:sz="0" w:space="0" w:color="auto"/>
              </w:divBdr>
            </w:div>
            <w:div w:id="1633558249">
              <w:marLeft w:val="0"/>
              <w:marRight w:val="0"/>
              <w:marTop w:val="0"/>
              <w:marBottom w:val="0"/>
              <w:divBdr>
                <w:top w:val="none" w:sz="0" w:space="0" w:color="auto"/>
                <w:left w:val="none" w:sz="0" w:space="0" w:color="auto"/>
                <w:bottom w:val="none" w:sz="0" w:space="0" w:color="auto"/>
                <w:right w:val="none" w:sz="0" w:space="0" w:color="auto"/>
              </w:divBdr>
            </w:div>
            <w:div w:id="1633558258">
              <w:marLeft w:val="0"/>
              <w:marRight w:val="0"/>
              <w:marTop w:val="0"/>
              <w:marBottom w:val="0"/>
              <w:divBdr>
                <w:top w:val="none" w:sz="0" w:space="0" w:color="auto"/>
                <w:left w:val="none" w:sz="0" w:space="0" w:color="auto"/>
                <w:bottom w:val="none" w:sz="0" w:space="0" w:color="auto"/>
                <w:right w:val="none" w:sz="0" w:space="0" w:color="auto"/>
              </w:divBdr>
            </w:div>
            <w:div w:id="1633558259">
              <w:marLeft w:val="0"/>
              <w:marRight w:val="0"/>
              <w:marTop w:val="0"/>
              <w:marBottom w:val="0"/>
              <w:divBdr>
                <w:top w:val="none" w:sz="0" w:space="0" w:color="auto"/>
                <w:left w:val="none" w:sz="0" w:space="0" w:color="auto"/>
                <w:bottom w:val="none" w:sz="0" w:space="0" w:color="auto"/>
                <w:right w:val="none" w:sz="0" w:space="0" w:color="auto"/>
              </w:divBdr>
            </w:div>
            <w:div w:id="1633558262">
              <w:marLeft w:val="0"/>
              <w:marRight w:val="0"/>
              <w:marTop w:val="0"/>
              <w:marBottom w:val="0"/>
              <w:divBdr>
                <w:top w:val="none" w:sz="0" w:space="0" w:color="auto"/>
                <w:left w:val="none" w:sz="0" w:space="0" w:color="auto"/>
                <w:bottom w:val="none" w:sz="0" w:space="0" w:color="auto"/>
                <w:right w:val="none" w:sz="0" w:space="0" w:color="auto"/>
              </w:divBdr>
            </w:div>
            <w:div w:id="163355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558218">
      <w:marLeft w:val="0"/>
      <w:marRight w:val="0"/>
      <w:marTop w:val="0"/>
      <w:marBottom w:val="0"/>
      <w:divBdr>
        <w:top w:val="none" w:sz="0" w:space="0" w:color="auto"/>
        <w:left w:val="none" w:sz="0" w:space="0" w:color="auto"/>
        <w:bottom w:val="none" w:sz="0" w:space="0" w:color="auto"/>
        <w:right w:val="none" w:sz="0" w:space="0" w:color="auto"/>
      </w:divBdr>
    </w:div>
    <w:div w:id="1633558220">
      <w:marLeft w:val="0"/>
      <w:marRight w:val="0"/>
      <w:marTop w:val="0"/>
      <w:marBottom w:val="0"/>
      <w:divBdr>
        <w:top w:val="none" w:sz="0" w:space="0" w:color="auto"/>
        <w:left w:val="none" w:sz="0" w:space="0" w:color="auto"/>
        <w:bottom w:val="none" w:sz="0" w:space="0" w:color="auto"/>
        <w:right w:val="none" w:sz="0" w:space="0" w:color="auto"/>
      </w:divBdr>
    </w:div>
    <w:div w:id="1633558221">
      <w:marLeft w:val="0"/>
      <w:marRight w:val="0"/>
      <w:marTop w:val="0"/>
      <w:marBottom w:val="0"/>
      <w:divBdr>
        <w:top w:val="none" w:sz="0" w:space="0" w:color="auto"/>
        <w:left w:val="none" w:sz="0" w:space="0" w:color="auto"/>
        <w:bottom w:val="none" w:sz="0" w:space="0" w:color="auto"/>
        <w:right w:val="none" w:sz="0" w:space="0" w:color="auto"/>
      </w:divBdr>
    </w:div>
    <w:div w:id="1633558234">
      <w:marLeft w:val="0"/>
      <w:marRight w:val="0"/>
      <w:marTop w:val="0"/>
      <w:marBottom w:val="0"/>
      <w:divBdr>
        <w:top w:val="none" w:sz="0" w:space="0" w:color="auto"/>
        <w:left w:val="none" w:sz="0" w:space="0" w:color="auto"/>
        <w:bottom w:val="none" w:sz="0" w:space="0" w:color="auto"/>
        <w:right w:val="none" w:sz="0" w:space="0" w:color="auto"/>
      </w:divBdr>
      <w:divsChild>
        <w:div w:id="1633558208">
          <w:marLeft w:val="0"/>
          <w:marRight w:val="0"/>
          <w:marTop w:val="0"/>
          <w:marBottom w:val="0"/>
          <w:divBdr>
            <w:top w:val="none" w:sz="0" w:space="0" w:color="auto"/>
            <w:left w:val="none" w:sz="0" w:space="0" w:color="auto"/>
            <w:bottom w:val="none" w:sz="0" w:space="0" w:color="auto"/>
            <w:right w:val="none" w:sz="0" w:space="0" w:color="auto"/>
          </w:divBdr>
        </w:div>
        <w:div w:id="1633558210">
          <w:marLeft w:val="0"/>
          <w:marRight w:val="0"/>
          <w:marTop w:val="0"/>
          <w:marBottom w:val="0"/>
          <w:divBdr>
            <w:top w:val="none" w:sz="0" w:space="0" w:color="auto"/>
            <w:left w:val="none" w:sz="0" w:space="0" w:color="auto"/>
            <w:bottom w:val="none" w:sz="0" w:space="0" w:color="auto"/>
            <w:right w:val="none" w:sz="0" w:space="0" w:color="auto"/>
          </w:divBdr>
        </w:div>
        <w:div w:id="1633558213">
          <w:marLeft w:val="0"/>
          <w:marRight w:val="0"/>
          <w:marTop w:val="0"/>
          <w:marBottom w:val="0"/>
          <w:divBdr>
            <w:top w:val="none" w:sz="0" w:space="0" w:color="auto"/>
            <w:left w:val="none" w:sz="0" w:space="0" w:color="auto"/>
            <w:bottom w:val="none" w:sz="0" w:space="0" w:color="auto"/>
            <w:right w:val="none" w:sz="0" w:space="0" w:color="auto"/>
          </w:divBdr>
        </w:div>
        <w:div w:id="1633558217">
          <w:marLeft w:val="0"/>
          <w:marRight w:val="0"/>
          <w:marTop w:val="0"/>
          <w:marBottom w:val="0"/>
          <w:divBdr>
            <w:top w:val="none" w:sz="0" w:space="0" w:color="auto"/>
            <w:left w:val="none" w:sz="0" w:space="0" w:color="auto"/>
            <w:bottom w:val="none" w:sz="0" w:space="0" w:color="auto"/>
            <w:right w:val="none" w:sz="0" w:space="0" w:color="auto"/>
          </w:divBdr>
        </w:div>
        <w:div w:id="1633558233">
          <w:marLeft w:val="0"/>
          <w:marRight w:val="0"/>
          <w:marTop w:val="0"/>
          <w:marBottom w:val="0"/>
          <w:divBdr>
            <w:top w:val="none" w:sz="0" w:space="0" w:color="auto"/>
            <w:left w:val="none" w:sz="0" w:space="0" w:color="auto"/>
            <w:bottom w:val="none" w:sz="0" w:space="0" w:color="auto"/>
            <w:right w:val="none" w:sz="0" w:space="0" w:color="auto"/>
          </w:divBdr>
        </w:div>
        <w:div w:id="1633558239">
          <w:marLeft w:val="0"/>
          <w:marRight w:val="0"/>
          <w:marTop w:val="0"/>
          <w:marBottom w:val="0"/>
          <w:divBdr>
            <w:top w:val="none" w:sz="0" w:space="0" w:color="auto"/>
            <w:left w:val="none" w:sz="0" w:space="0" w:color="auto"/>
            <w:bottom w:val="none" w:sz="0" w:space="0" w:color="auto"/>
            <w:right w:val="none" w:sz="0" w:space="0" w:color="auto"/>
          </w:divBdr>
        </w:div>
        <w:div w:id="1633558252">
          <w:marLeft w:val="0"/>
          <w:marRight w:val="0"/>
          <w:marTop w:val="0"/>
          <w:marBottom w:val="0"/>
          <w:divBdr>
            <w:top w:val="none" w:sz="0" w:space="0" w:color="auto"/>
            <w:left w:val="none" w:sz="0" w:space="0" w:color="auto"/>
            <w:bottom w:val="none" w:sz="0" w:space="0" w:color="auto"/>
            <w:right w:val="none" w:sz="0" w:space="0" w:color="auto"/>
          </w:divBdr>
        </w:div>
        <w:div w:id="1633558254">
          <w:marLeft w:val="0"/>
          <w:marRight w:val="0"/>
          <w:marTop w:val="0"/>
          <w:marBottom w:val="0"/>
          <w:divBdr>
            <w:top w:val="none" w:sz="0" w:space="0" w:color="auto"/>
            <w:left w:val="none" w:sz="0" w:space="0" w:color="auto"/>
            <w:bottom w:val="none" w:sz="0" w:space="0" w:color="auto"/>
            <w:right w:val="none" w:sz="0" w:space="0" w:color="auto"/>
          </w:divBdr>
        </w:div>
        <w:div w:id="1633558256">
          <w:marLeft w:val="0"/>
          <w:marRight w:val="0"/>
          <w:marTop w:val="0"/>
          <w:marBottom w:val="0"/>
          <w:divBdr>
            <w:top w:val="none" w:sz="0" w:space="0" w:color="auto"/>
            <w:left w:val="none" w:sz="0" w:space="0" w:color="auto"/>
            <w:bottom w:val="none" w:sz="0" w:space="0" w:color="auto"/>
            <w:right w:val="none" w:sz="0" w:space="0" w:color="auto"/>
          </w:divBdr>
        </w:div>
        <w:div w:id="1633558264">
          <w:marLeft w:val="0"/>
          <w:marRight w:val="0"/>
          <w:marTop w:val="0"/>
          <w:marBottom w:val="0"/>
          <w:divBdr>
            <w:top w:val="none" w:sz="0" w:space="0" w:color="auto"/>
            <w:left w:val="none" w:sz="0" w:space="0" w:color="auto"/>
            <w:bottom w:val="none" w:sz="0" w:space="0" w:color="auto"/>
            <w:right w:val="none" w:sz="0" w:space="0" w:color="auto"/>
          </w:divBdr>
        </w:div>
      </w:divsChild>
    </w:div>
    <w:div w:id="1633558236">
      <w:marLeft w:val="0"/>
      <w:marRight w:val="0"/>
      <w:marTop w:val="0"/>
      <w:marBottom w:val="0"/>
      <w:divBdr>
        <w:top w:val="none" w:sz="0" w:space="0" w:color="auto"/>
        <w:left w:val="none" w:sz="0" w:space="0" w:color="auto"/>
        <w:bottom w:val="none" w:sz="0" w:space="0" w:color="auto"/>
        <w:right w:val="none" w:sz="0" w:space="0" w:color="auto"/>
      </w:divBdr>
    </w:div>
    <w:div w:id="1633558237">
      <w:marLeft w:val="0"/>
      <w:marRight w:val="0"/>
      <w:marTop w:val="0"/>
      <w:marBottom w:val="0"/>
      <w:divBdr>
        <w:top w:val="none" w:sz="0" w:space="0" w:color="auto"/>
        <w:left w:val="none" w:sz="0" w:space="0" w:color="auto"/>
        <w:bottom w:val="none" w:sz="0" w:space="0" w:color="auto"/>
        <w:right w:val="none" w:sz="0" w:space="0" w:color="auto"/>
      </w:divBdr>
    </w:div>
    <w:div w:id="1633558242">
      <w:marLeft w:val="0"/>
      <w:marRight w:val="0"/>
      <w:marTop w:val="0"/>
      <w:marBottom w:val="0"/>
      <w:divBdr>
        <w:top w:val="none" w:sz="0" w:space="0" w:color="auto"/>
        <w:left w:val="none" w:sz="0" w:space="0" w:color="auto"/>
        <w:bottom w:val="none" w:sz="0" w:space="0" w:color="auto"/>
        <w:right w:val="none" w:sz="0" w:space="0" w:color="auto"/>
      </w:divBdr>
      <w:divsChild>
        <w:div w:id="1633558235">
          <w:marLeft w:val="0"/>
          <w:marRight w:val="0"/>
          <w:marTop w:val="0"/>
          <w:marBottom w:val="0"/>
          <w:divBdr>
            <w:top w:val="none" w:sz="0" w:space="0" w:color="auto"/>
            <w:left w:val="none" w:sz="0" w:space="0" w:color="auto"/>
            <w:bottom w:val="none" w:sz="0" w:space="0" w:color="auto"/>
            <w:right w:val="none" w:sz="0" w:space="0" w:color="auto"/>
          </w:divBdr>
          <w:divsChild>
            <w:div w:id="1633558225">
              <w:marLeft w:val="0"/>
              <w:marRight w:val="0"/>
              <w:marTop w:val="0"/>
              <w:marBottom w:val="0"/>
              <w:divBdr>
                <w:top w:val="none" w:sz="0" w:space="0" w:color="auto"/>
                <w:left w:val="none" w:sz="0" w:space="0" w:color="auto"/>
                <w:bottom w:val="none" w:sz="0" w:space="0" w:color="auto"/>
                <w:right w:val="none" w:sz="0" w:space="0" w:color="auto"/>
              </w:divBdr>
            </w:div>
            <w:div w:id="1633558231">
              <w:marLeft w:val="0"/>
              <w:marRight w:val="0"/>
              <w:marTop w:val="0"/>
              <w:marBottom w:val="0"/>
              <w:divBdr>
                <w:top w:val="none" w:sz="0" w:space="0" w:color="auto"/>
                <w:left w:val="none" w:sz="0" w:space="0" w:color="auto"/>
                <w:bottom w:val="none" w:sz="0" w:space="0" w:color="auto"/>
                <w:right w:val="none" w:sz="0" w:space="0" w:color="auto"/>
              </w:divBdr>
            </w:div>
            <w:div w:id="1633558238">
              <w:marLeft w:val="0"/>
              <w:marRight w:val="0"/>
              <w:marTop w:val="0"/>
              <w:marBottom w:val="0"/>
              <w:divBdr>
                <w:top w:val="none" w:sz="0" w:space="0" w:color="auto"/>
                <w:left w:val="none" w:sz="0" w:space="0" w:color="auto"/>
                <w:bottom w:val="none" w:sz="0" w:space="0" w:color="auto"/>
                <w:right w:val="none" w:sz="0" w:space="0" w:color="auto"/>
              </w:divBdr>
            </w:div>
            <w:div w:id="1633558247">
              <w:marLeft w:val="0"/>
              <w:marRight w:val="0"/>
              <w:marTop w:val="0"/>
              <w:marBottom w:val="0"/>
              <w:divBdr>
                <w:top w:val="none" w:sz="0" w:space="0" w:color="auto"/>
                <w:left w:val="none" w:sz="0" w:space="0" w:color="auto"/>
                <w:bottom w:val="none" w:sz="0" w:space="0" w:color="auto"/>
                <w:right w:val="none" w:sz="0" w:space="0" w:color="auto"/>
              </w:divBdr>
            </w:div>
            <w:div w:id="163355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558248">
      <w:marLeft w:val="0"/>
      <w:marRight w:val="0"/>
      <w:marTop w:val="0"/>
      <w:marBottom w:val="0"/>
      <w:divBdr>
        <w:top w:val="none" w:sz="0" w:space="0" w:color="auto"/>
        <w:left w:val="none" w:sz="0" w:space="0" w:color="auto"/>
        <w:bottom w:val="none" w:sz="0" w:space="0" w:color="auto"/>
        <w:right w:val="none" w:sz="0" w:space="0" w:color="auto"/>
      </w:divBdr>
      <w:divsChild>
        <w:div w:id="1633558223">
          <w:marLeft w:val="0"/>
          <w:marRight w:val="0"/>
          <w:marTop w:val="0"/>
          <w:marBottom w:val="0"/>
          <w:divBdr>
            <w:top w:val="none" w:sz="0" w:space="0" w:color="auto"/>
            <w:left w:val="none" w:sz="0" w:space="0" w:color="auto"/>
            <w:bottom w:val="none" w:sz="0" w:space="0" w:color="auto"/>
            <w:right w:val="none" w:sz="0" w:space="0" w:color="auto"/>
          </w:divBdr>
        </w:div>
        <w:div w:id="1633558255">
          <w:marLeft w:val="0"/>
          <w:marRight w:val="0"/>
          <w:marTop w:val="0"/>
          <w:marBottom w:val="0"/>
          <w:divBdr>
            <w:top w:val="none" w:sz="0" w:space="0" w:color="auto"/>
            <w:left w:val="none" w:sz="0" w:space="0" w:color="auto"/>
            <w:bottom w:val="none" w:sz="0" w:space="0" w:color="auto"/>
            <w:right w:val="none" w:sz="0" w:space="0" w:color="auto"/>
          </w:divBdr>
        </w:div>
      </w:divsChild>
    </w:div>
    <w:div w:id="1633558251">
      <w:marLeft w:val="0"/>
      <w:marRight w:val="0"/>
      <w:marTop w:val="0"/>
      <w:marBottom w:val="0"/>
      <w:divBdr>
        <w:top w:val="none" w:sz="0" w:space="0" w:color="auto"/>
        <w:left w:val="none" w:sz="0" w:space="0" w:color="auto"/>
        <w:bottom w:val="none" w:sz="0" w:space="0" w:color="auto"/>
        <w:right w:val="none" w:sz="0" w:space="0" w:color="auto"/>
      </w:divBdr>
    </w:div>
    <w:div w:id="1633558260">
      <w:marLeft w:val="0"/>
      <w:marRight w:val="0"/>
      <w:marTop w:val="0"/>
      <w:marBottom w:val="0"/>
      <w:divBdr>
        <w:top w:val="none" w:sz="0" w:space="0" w:color="auto"/>
        <w:left w:val="none" w:sz="0" w:space="0" w:color="auto"/>
        <w:bottom w:val="none" w:sz="0" w:space="0" w:color="auto"/>
        <w:right w:val="none" w:sz="0" w:space="0" w:color="auto"/>
      </w:divBdr>
    </w:div>
    <w:div w:id="163355826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BSp</b:Tag>
    <b:SourceType>Report</b:SourceType>
    <b:Guid>{D14EE1C7-B147-43C7-989C-6177A1E0B46F}</b:Guid>
    <b:Author>
      <b:Author>
        <b:NameList>
          <b:Person>
            <b:Last>Spittle</b:Last>
            <b:First>B.</b:First>
          </b:Person>
        </b:NameList>
      </b:Author>
    </b:Author>
    <b:Title>Exploring the whole life carbon benefits of insulation material in housing refurbishment</b:Title>
    <b:Year>2013</b:Year>
    <b:Publisher>Cardiff University</b:Publisher>
    <b:City>Cardiff</b:City>
    <b:RefOrder>38</b:RefOrder>
  </b:Source>
  <b:Source>
    <b:Tag>WEC13</b:Tag>
    <b:SourceType>Report</b:SourceType>
    <b:Guid>{6D98FCDB-632E-A746-8ABA-326C9428F309}</b:Guid>
    <b:Author>
      <b:Author>
        <b:Corporate>WEC</b:Corporate>
      </b:Author>
    </b:Author>
    <b:Title>World Energy Resources</b:Title>
    <b:Publisher>World Energy council </b:Publisher>
    <b:Year>2013</b:Year>
    <b:RefOrder>21</b:RefOrder>
  </b:Source>
  <b:Source>
    <b:Tag>DTI07</b:Tag>
    <b:SourceType>Report</b:SourceType>
    <b:Guid>{343EA4B5-B4E9-B34C-AC4F-3A6C6FED3282}</b:Guid>
    <b:Title>Meeting the Energy Challenge</b:Title>
    <b:Year>2007</b:Year>
    <b:Author>
      <b:Author>
        <b:Corporate>DTI</b:Corporate>
      </b:Author>
    </b:Author>
    <b:Institution>Department of Trade and Industry </b:Institution>
    <b:City>London</b:City>
    <b:RefOrder>41</b:RefOrder>
  </b:Source>
  <b:Source>
    <b:Tag>The08</b:Tag>
    <b:SourceType>Report</b:SourceType>
    <b:Guid>{BB48B743-45EF-F14D-A230-21781BDC3A46}</b:Guid>
    <b:Title>The Climate Change Act and UK regulations</b:Title>
    <b:InternetSiteTitle>Theccc</b:InternetSiteTitle>
    <b:URL>http://www.theccc.org.uk/tackling-climate-change/the-legal-landscape/global-action-on-climate-change/</b:URL>
    <b:Year>2008</b:Year>
    <b:YearAccessed>2015</b:YearAccessed>
    <b:MonthAccessed>February</b:MonthAccessed>
    <b:DayAccessed>5</b:DayAccessed>
    <b:Author>
      <b:Author>
        <b:Corporate>Climate Change act</b:Corporate>
      </b:Author>
    </b:Author>
    <b:Publisher>Government legislation</b:Publisher>
    <b:RefOrder>1</b:RefOrder>
  </b:Source>
</b:Sources>
</file>

<file path=customXml/itemProps1.xml><?xml version="1.0" encoding="utf-8"?>
<ds:datastoreItem xmlns:ds="http://schemas.openxmlformats.org/officeDocument/2006/customXml" ds:itemID="{808413C2-2CBB-4754-87B4-DE0FB6D95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2744</Words>
  <Characters>15645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University of Wales Trinity St</vt:lpstr>
    </vt:vector>
  </TitlesOfParts>
  <Company/>
  <LinksUpToDate>false</LinksUpToDate>
  <CharactersWithSpaces>18353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St</dc:title>
  <dc:subject/>
  <dc:creator>Ashley Wood</dc:creator>
  <cp:keywords/>
  <dc:description/>
  <cp:lastModifiedBy>Ashley Wood</cp:lastModifiedBy>
  <cp:revision>2</cp:revision>
  <cp:lastPrinted>2017-03-14T10:42:00Z</cp:lastPrinted>
  <dcterms:created xsi:type="dcterms:W3CDTF">2017-11-15T23:37:00Z</dcterms:created>
  <dcterms:modified xsi:type="dcterms:W3CDTF">2017-11-15T23:37:00Z</dcterms:modified>
</cp:coreProperties>
</file>