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1318874984"/>
        <w:docPartObj>
          <w:docPartGallery w:val="Cover Pages"/>
          <w:docPartUnique/>
        </w:docPartObj>
      </w:sdtPr>
      <w:sdtEndPr>
        <w:rPr>
          <w:sz w:val="22"/>
        </w:rPr>
      </w:sdtEndPr>
      <w:sdtContent>
        <w:p w14:paraId="104D4B09" w14:textId="6728F869" w:rsidR="001E3A10" w:rsidRDefault="0054489E">
          <w:pPr>
            <w:pStyle w:val="NoSpacing"/>
            <w:rPr>
              <w:sz w:val="2"/>
            </w:rPr>
          </w:pPr>
          <w:r>
            <w:rPr>
              <w:noProof/>
            </w:rPr>
            <mc:AlternateContent>
              <mc:Choice Requires="wps">
                <w:drawing>
                  <wp:anchor distT="0" distB="0" distL="114300" distR="114300" simplePos="0" relativeHeight="251661312" behindDoc="0" locked="0" layoutInCell="1" allowOverlap="1" wp14:anchorId="56151BD4" wp14:editId="4031760B">
                    <wp:simplePos x="0" y="0"/>
                    <wp:positionH relativeFrom="page">
                      <wp:align>center</wp:align>
                    </wp:positionH>
                    <wp:positionV relativeFrom="margin">
                      <wp:align>top</wp:align>
                    </wp:positionV>
                    <wp:extent cx="5943600" cy="107442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1074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C8B15" w14:textId="6404451C" w:rsidR="003F0FDF" w:rsidRPr="000D7B1F" w:rsidRDefault="001B089A" w:rsidP="000D7B1F">
                                <w:pPr>
                                  <w:pStyle w:val="Title"/>
                                  <w:rPr>
                                    <w:color w:val="017057" w:themeColor="accent4" w:themeShade="BF"/>
                                  </w:rPr>
                                </w:pPr>
                                <w:r>
                                  <w:rPr>
                                    <w:color w:val="017057" w:themeColor="accent4" w:themeShade="BF"/>
                                  </w:rPr>
                                  <w:t>Individual</w:t>
                                </w:r>
                                <w:r w:rsidR="000D7B1F" w:rsidRPr="000D7B1F">
                                  <w:rPr>
                                    <w:color w:val="017057" w:themeColor="accent4" w:themeShade="BF"/>
                                  </w:rPr>
                                  <w:t xml:space="preserve"> Report</w:t>
                                </w:r>
                              </w:p>
                              <w:p w14:paraId="3FE51320" w14:textId="2B19F514" w:rsidR="003F0FDF" w:rsidRPr="000D7B1F" w:rsidRDefault="001B089A" w:rsidP="000D7B1F">
                                <w:pPr>
                                  <w:pStyle w:val="Title"/>
                                  <w:rPr>
                                    <w:rFonts w:asciiTheme="minorHAnsi" w:hAnsiTheme="minorHAnsi"/>
                                    <w:noProof/>
                                    <w:color w:val="014A3A" w:themeColor="accent4" w:themeShade="80"/>
                                    <w:sz w:val="40"/>
                                    <w:szCs w:val="40"/>
                                  </w:rPr>
                                </w:pPr>
                                <w:sdt>
                                  <w:sdtPr>
                                    <w:rPr>
                                      <w:rFonts w:asciiTheme="minorHAnsi" w:hAnsiTheme="minorHAnsi"/>
                                      <w:color w:val="014A3A" w:themeColor="accent4" w:themeShade="80"/>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F0FDF" w:rsidRPr="000D7B1F">
                                      <w:rPr>
                                        <w:rFonts w:asciiTheme="minorHAnsi" w:hAnsiTheme="minorHAnsi"/>
                                        <w:color w:val="014A3A" w:themeColor="accent4" w:themeShade="80"/>
                                        <w:sz w:val="44"/>
                                        <w:szCs w:val="44"/>
                                      </w:rPr>
                                      <w:t>Dragos R</w:t>
                                    </w:r>
                                    <w:r w:rsidR="000D7B1F" w:rsidRPr="000D7B1F">
                                      <w:rPr>
                                        <w:rFonts w:asciiTheme="minorHAnsi" w:hAnsiTheme="minorHAnsi"/>
                                        <w:color w:val="014A3A" w:themeColor="accent4" w:themeShade="80"/>
                                        <w:sz w:val="44"/>
                                        <w:szCs w:val="44"/>
                                      </w:rPr>
                                      <w:t>aducanu</w:t>
                                    </w:r>
                                  </w:sdtContent>
                                </w:sdt>
                              </w:p>
                              <w:p w14:paraId="4D33B8AE" w14:textId="521B9BAC" w:rsidR="001E3A10" w:rsidRPr="00F31EDE" w:rsidRDefault="001E3A10">
                                <w:pPr>
                                  <w:pStyle w:val="NoSpacing"/>
                                  <w:spacing w:before="120"/>
                                  <w:rPr>
                                    <w:color w:val="549E39" w:themeColor="accent1"/>
                                    <w:sz w:val="52"/>
                                    <w:szCs w:val="52"/>
                                  </w:rPr>
                                </w:pPr>
                              </w:p>
                              <w:p w14:paraId="5440C041" w14:textId="77777777" w:rsidR="001E3A10" w:rsidRDefault="001E3A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6151BD4" id="_x0000_t202" coordsize="21600,21600" o:spt="202" path="m,l,21600r21600,l21600,xe">
                    <v:stroke joinstyle="miter"/>
                    <v:path gradientshapeok="t" o:connecttype="rect"/>
                  </v:shapetype>
                  <v:shape id="Text Box 66" o:spid="_x0000_s1026" type="#_x0000_t202" style="position:absolute;margin-left:0;margin-top:0;width:468pt;height:84.6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" filled="f" stroked="f" strokeweight=".5pt">
                    <v:textbox>
                      <w:txbxContent>
                        <w:p w14:paraId="6E0C8B15" w14:textId="6404451C" w:rsidR="003F0FDF" w:rsidRPr="000D7B1F" w:rsidRDefault="001B089A" w:rsidP="000D7B1F">
                          <w:pPr>
                            <w:pStyle w:val="Title"/>
                            <w:rPr>
                              <w:color w:val="017057" w:themeColor="accent4" w:themeShade="BF"/>
                            </w:rPr>
                          </w:pPr>
                          <w:r>
                            <w:rPr>
                              <w:color w:val="017057" w:themeColor="accent4" w:themeShade="BF"/>
                            </w:rPr>
                            <w:t>Individual</w:t>
                          </w:r>
                          <w:r w:rsidR="000D7B1F" w:rsidRPr="000D7B1F">
                            <w:rPr>
                              <w:color w:val="017057" w:themeColor="accent4" w:themeShade="BF"/>
                            </w:rPr>
                            <w:t xml:space="preserve"> Report</w:t>
                          </w:r>
                        </w:p>
                        <w:p w14:paraId="3FE51320" w14:textId="2B19F514" w:rsidR="003F0FDF" w:rsidRPr="000D7B1F" w:rsidRDefault="001B089A" w:rsidP="000D7B1F">
                          <w:pPr>
                            <w:pStyle w:val="Title"/>
                            <w:rPr>
                              <w:rFonts w:asciiTheme="minorHAnsi" w:hAnsiTheme="minorHAnsi"/>
                              <w:noProof/>
                              <w:color w:val="014A3A" w:themeColor="accent4" w:themeShade="80"/>
                              <w:sz w:val="40"/>
                              <w:szCs w:val="40"/>
                            </w:rPr>
                          </w:pPr>
                          <w:sdt>
                            <w:sdtPr>
                              <w:rPr>
                                <w:rFonts w:asciiTheme="minorHAnsi" w:hAnsiTheme="minorHAnsi"/>
                                <w:color w:val="014A3A" w:themeColor="accent4" w:themeShade="80"/>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F0FDF" w:rsidRPr="000D7B1F">
                                <w:rPr>
                                  <w:rFonts w:asciiTheme="minorHAnsi" w:hAnsiTheme="minorHAnsi"/>
                                  <w:color w:val="014A3A" w:themeColor="accent4" w:themeShade="80"/>
                                  <w:sz w:val="44"/>
                                  <w:szCs w:val="44"/>
                                </w:rPr>
                                <w:t>Dragos R</w:t>
                              </w:r>
                              <w:r w:rsidR="000D7B1F" w:rsidRPr="000D7B1F">
                                <w:rPr>
                                  <w:rFonts w:asciiTheme="minorHAnsi" w:hAnsiTheme="minorHAnsi"/>
                                  <w:color w:val="014A3A" w:themeColor="accent4" w:themeShade="80"/>
                                  <w:sz w:val="44"/>
                                  <w:szCs w:val="44"/>
                                </w:rPr>
                                <w:t>aducanu</w:t>
                              </w:r>
                            </w:sdtContent>
                          </w:sdt>
                        </w:p>
                        <w:p w14:paraId="4D33B8AE" w14:textId="521B9BAC" w:rsidR="001E3A10" w:rsidRPr="00F31EDE" w:rsidRDefault="001E3A10">
                          <w:pPr>
                            <w:pStyle w:val="NoSpacing"/>
                            <w:spacing w:before="120"/>
                            <w:rPr>
                              <w:color w:val="549E39" w:themeColor="accent1"/>
                              <w:sz w:val="52"/>
                              <w:szCs w:val="52"/>
                            </w:rPr>
                          </w:pPr>
                        </w:p>
                        <w:p w14:paraId="5440C041" w14:textId="77777777" w:rsidR="001E3A10" w:rsidRDefault="001E3A10"/>
                      </w:txbxContent>
                    </v:textbox>
                    <w10:wrap anchorx="page" anchory="margin"/>
                  </v:shape>
                </w:pict>
              </mc:Fallback>
            </mc:AlternateContent>
          </w:r>
        </w:p>
        <w:p w14:paraId="004444EE" w14:textId="1BBE1B45" w:rsidR="001E3A10" w:rsidRDefault="001E3A10"/>
        <w:p w14:paraId="396166AE" w14:textId="082464E9" w:rsidR="001E3A10" w:rsidRDefault="001E3A10">
          <w:pPr>
            <w:rPr>
              <w:rFonts w:asciiTheme="majorHAnsi" w:eastAsiaTheme="majorEastAsia" w:hAnsiTheme="majorHAnsi" w:cstheme="majorBidi"/>
              <w:color w:val="3E762A" w:themeColor="accent1" w:themeShade="BF"/>
              <w:sz w:val="40"/>
              <w:szCs w:val="40"/>
            </w:rPr>
          </w:pPr>
          <w:r>
            <w:rPr>
              <w:noProof/>
            </w:rPr>
            <mc:AlternateContent>
              <mc:Choice Requires="wps">
                <w:drawing>
                  <wp:anchor distT="45720" distB="45720" distL="114300" distR="114300" simplePos="0" relativeHeight="251659263" behindDoc="0" locked="0" layoutInCell="1" allowOverlap="1" wp14:anchorId="77400659" wp14:editId="654C601B">
                    <wp:simplePos x="0" y="0"/>
                    <wp:positionH relativeFrom="margin">
                      <wp:align>left</wp:align>
                    </wp:positionH>
                    <wp:positionV relativeFrom="paragraph">
                      <wp:posOffset>7067550</wp:posOffset>
                    </wp:positionV>
                    <wp:extent cx="5715000" cy="1463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63040"/>
                            </a:xfrm>
                            <a:prstGeom prst="rect">
                              <a:avLst/>
                            </a:prstGeom>
                            <a:solidFill>
                              <a:srgbClr val="FFFFFF"/>
                            </a:solidFill>
                            <a:ln w="9525">
                              <a:noFill/>
                              <a:miter lim="800000"/>
                              <a:headEnd/>
                              <a:tailEnd/>
                            </a:ln>
                          </wps:spPr>
                          <wps:txbx>
                            <w:txbxContent>
                              <w:p w14:paraId="069E7613" w14:textId="13D761DE" w:rsidR="001E3A10" w:rsidRPr="000D7B1F" w:rsidRDefault="001E3A10" w:rsidP="001E3A10">
                                <w:pPr>
                                  <w:spacing w:line="360" w:lineRule="auto"/>
                                  <w:jc w:val="right"/>
                                  <w:rPr>
                                    <w:color w:val="014A3A" w:themeColor="accent4" w:themeShade="80"/>
                                    <w:sz w:val="24"/>
                                    <w:szCs w:val="24"/>
                                  </w:rPr>
                                </w:pPr>
                                <w:r w:rsidRPr="000D7B1F">
                                  <w:rPr>
                                    <w:color w:val="014A3A" w:themeColor="accent4" w:themeShade="80"/>
                                    <w:sz w:val="24"/>
                                    <w:szCs w:val="24"/>
                                  </w:rPr>
                                  <w:t>LCLM500</w:t>
                                </w:r>
                                <w:r w:rsidR="000327B6">
                                  <w:rPr>
                                    <w:color w:val="014A3A" w:themeColor="accent4" w:themeShade="80"/>
                                    <w:sz w:val="24"/>
                                    <w:szCs w:val="24"/>
                                  </w:rPr>
                                  <w:t>1</w:t>
                                </w:r>
                              </w:p>
                              <w:p w14:paraId="12408C65" w14:textId="7138DC55" w:rsidR="001E3A10" w:rsidRPr="000D7B1F" w:rsidRDefault="00C61AB4" w:rsidP="001E3A10">
                                <w:pPr>
                                  <w:spacing w:line="360" w:lineRule="auto"/>
                                  <w:jc w:val="right"/>
                                  <w:rPr>
                                    <w:color w:val="014A3A" w:themeColor="accent4" w:themeShade="80"/>
                                    <w:sz w:val="24"/>
                                    <w:szCs w:val="24"/>
                                  </w:rPr>
                                </w:pPr>
                                <w:r w:rsidRPr="000D7B1F">
                                  <w:rPr>
                                    <w:color w:val="014A3A" w:themeColor="accent4" w:themeShade="80"/>
                                    <w:sz w:val="24"/>
                                    <w:szCs w:val="24"/>
                                  </w:rPr>
                                  <w:t>2417315</w:t>
                                </w:r>
                              </w:p>
                              <w:p w14:paraId="47749460" w14:textId="4582A3EB" w:rsidR="00C61AB4" w:rsidRPr="000D7B1F" w:rsidRDefault="00C61AB4" w:rsidP="001E3A10">
                                <w:pPr>
                                  <w:spacing w:line="360" w:lineRule="auto"/>
                                  <w:jc w:val="right"/>
                                  <w:rPr>
                                    <w:color w:val="014A3A" w:themeColor="accent4" w:themeShade="80"/>
                                    <w:sz w:val="24"/>
                                    <w:szCs w:val="24"/>
                                  </w:rPr>
                                </w:pPr>
                                <w:r w:rsidRPr="000D7B1F">
                                  <w:rPr>
                                    <w:color w:val="014A3A" w:themeColor="accent4" w:themeShade="80"/>
                                    <w:sz w:val="24"/>
                                    <w:szCs w:val="24"/>
                                  </w:rPr>
                                  <w:t>Developing and Managing Individuals</w:t>
                                </w:r>
                              </w:p>
                              <w:p w14:paraId="41D5345A" w14:textId="2953786C" w:rsidR="00F31EDE" w:rsidRPr="000D7B1F" w:rsidRDefault="00F31EDE" w:rsidP="001E3A10">
                                <w:pPr>
                                  <w:spacing w:line="360" w:lineRule="auto"/>
                                  <w:jc w:val="right"/>
                                  <w:rPr>
                                    <w:color w:val="014A3A" w:themeColor="accent4" w:themeShade="80"/>
                                    <w:sz w:val="24"/>
                                    <w:szCs w:val="24"/>
                                  </w:rPr>
                                </w:pPr>
                                <w:r w:rsidRPr="000D7B1F">
                                  <w:rPr>
                                    <w:color w:val="014A3A" w:themeColor="accent4" w:themeShade="80"/>
                                    <w:sz w:val="24"/>
                                    <w:szCs w:val="24"/>
                                  </w:rPr>
                                  <w:t>Kazeem Oseni</w:t>
                                </w:r>
                              </w:p>
                              <w:p w14:paraId="5E8E4B38" w14:textId="77777777" w:rsidR="00C61AB4" w:rsidRDefault="00C61AB4" w:rsidP="001E3A10">
                                <w:pPr>
                                  <w:spacing w:line="360" w:lineRule="auto"/>
                                  <w:jc w:val="right"/>
                                </w:pPr>
                              </w:p>
                              <w:p w14:paraId="41A68988" w14:textId="77777777" w:rsidR="00C61AB4" w:rsidRDefault="00C61AB4" w:rsidP="001E3A10">
                                <w:pPr>
                                  <w:spacing w:line="360" w:lineRule="auto"/>
                                  <w:jc w:val="right"/>
                                </w:pPr>
                              </w:p>
                              <w:p w14:paraId="090744D1" w14:textId="77777777" w:rsidR="001E3A10" w:rsidRDefault="001E3A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00659" id="Text Box 2" o:spid="_x0000_s1027" type="#_x0000_t202" style="position:absolute;margin-left:0;margin-top:556.5pt;width:450pt;height:115.2pt;z-index:25165926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" stroked="f">
                    <v:textbox>
                      <w:txbxContent>
                        <w:p w14:paraId="069E7613" w14:textId="13D761DE" w:rsidR="001E3A10" w:rsidRPr="000D7B1F" w:rsidRDefault="001E3A10" w:rsidP="001E3A10">
                          <w:pPr>
                            <w:spacing w:line="360" w:lineRule="auto"/>
                            <w:jc w:val="right"/>
                            <w:rPr>
                              <w:color w:val="014A3A" w:themeColor="accent4" w:themeShade="80"/>
                              <w:sz w:val="24"/>
                              <w:szCs w:val="24"/>
                            </w:rPr>
                          </w:pPr>
                          <w:r w:rsidRPr="000D7B1F">
                            <w:rPr>
                              <w:color w:val="014A3A" w:themeColor="accent4" w:themeShade="80"/>
                              <w:sz w:val="24"/>
                              <w:szCs w:val="24"/>
                            </w:rPr>
                            <w:t>LCLM500</w:t>
                          </w:r>
                          <w:r w:rsidR="000327B6">
                            <w:rPr>
                              <w:color w:val="014A3A" w:themeColor="accent4" w:themeShade="80"/>
                              <w:sz w:val="24"/>
                              <w:szCs w:val="24"/>
                            </w:rPr>
                            <w:t>1</w:t>
                          </w:r>
                        </w:p>
                        <w:p w14:paraId="12408C65" w14:textId="7138DC55" w:rsidR="001E3A10" w:rsidRPr="000D7B1F" w:rsidRDefault="00C61AB4" w:rsidP="001E3A10">
                          <w:pPr>
                            <w:spacing w:line="360" w:lineRule="auto"/>
                            <w:jc w:val="right"/>
                            <w:rPr>
                              <w:color w:val="014A3A" w:themeColor="accent4" w:themeShade="80"/>
                              <w:sz w:val="24"/>
                              <w:szCs w:val="24"/>
                            </w:rPr>
                          </w:pPr>
                          <w:r w:rsidRPr="000D7B1F">
                            <w:rPr>
                              <w:color w:val="014A3A" w:themeColor="accent4" w:themeShade="80"/>
                              <w:sz w:val="24"/>
                              <w:szCs w:val="24"/>
                            </w:rPr>
                            <w:t>2417315</w:t>
                          </w:r>
                        </w:p>
                        <w:p w14:paraId="47749460" w14:textId="4582A3EB" w:rsidR="00C61AB4" w:rsidRPr="000D7B1F" w:rsidRDefault="00C61AB4" w:rsidP="001E3A10">
                          <w:pPr>
                            <w:spacing w:line="360" w:lineRule="auto"/>
                            <w:jc w:val="right"/>
                            <w:rPr>
                              <w:color w:val="014A3A" w:themeColor="accent4" w:themeShade="80"/>
                              <w:sz w:val="24"/>
                              <w:szCs w:val="24"/>
                            </w:rPr>
                          </w:pPr>
                          <w:r w:rsidRPr="000D7B1F">
                            <w:rPr>
                              <w:color w:val="014A3A" w:themeColor="accent4" w:themeShade="80"/>
                              <w:sz w:val="24"/>
                              <w:szCs w:val="24"/>
                            </w:rPr>
                            <w:t>Developing and Managing Individuals</w:t>
                          </w:r>
                        </w:p>
                        <w:p w14:paraId="41D5345A" w14:textId="2953786C" w:rsidR="00F31EDE" w:rsidRPr="000D7B1F" w:rsidRDefault="00F31EDE" w:rsidP="001E3A10">
                          <w:pPr>
                            <w:spacing w:line="360" w:lineRule="auto"/>
                            <w:jc w:val="right"/>
                            <w:rPr>
                              <w:color w:val="014A3A" w:themeColor="accent4" w:themeShade="80"/>
                              <w:sz w:val="24"/>
                              <w:szCs w:val="24"/>
                            </w:rPr>
                          </w:pPr>
                          <w:r w:rsidRPr="000D7B1F">
                            <w:rPr>
                              <w:color w:val="014A3A" w:themeColor="accent4" w:themeShade="80"/>
                              <w:sz w:val="24"/>
                              <w:szCs w:val="24"/>
                            </w:rPr>
                            <w:t>Kazeem Oseni</w:t>
                          </w:r>
                        </w:p>
                        <w:p w14:paraId="5E8E4B38" w14:textId="77777777" w:rsidR="00C61AB4" w:rsidRDefault="00C61AB4" w:rsidP="001E3A10">
                          <w:pPr>
                            <w:spacing w:line="360" w:lineRule="auto"/>
                            <w:jc w:val="right"/>
                          </w:pPr>
                        </w:p>
                        <w:p w14:paraId="41A68988" w14:textId="77777777" w:rsidR="00C61AB4" w:rsidRDefault="00C61AB4" w:rsidP="001E3A10">
                          <w:pPr>
                            <w:spacing w:line="360" w:lineRule="auto"/>
                            <w:jc w:val="right"/>
                          </w:pPr>
                        </w:p>
                        <w:p w14:paraId="090744D1" w14:textId="77777777" w:rsidR="001E3A10" w:rsidRDefault="001E3A10"/>
                      </w:txbxContent>
                    </v:textbox>
                    <w10:wrap type="square" anchorx="margin"/>
                  </v:shape>
                </w:pict>
              </mc:Fallback>
            </mc:AlternateContent>
          </w:r>
          <w:r>
            <w:rPr>
              <w:noProof/>
              <w:color w:val="549E39" w:themeColor="accent1"/>
              <w:sz w:val="36"/>
              <w:szCs w:val="36"/>
            </w:rPr>
            <mc:AlternateContent>
              <mc:Choice Requires="wpg">
                <w:drawing>
                  <wp:anchor distT="0" distB="0" distL="114300" distR="114300" simplePos="0" relativeHeight="251662336" behindDoc="1" locked="0" layoutInCell="1" allowOverlap="1" wp14:anchorId="68FC7A43" wp14:editId="2E1C84B8">
                    <wp:simplePos x="0" y="0"/>
                    <wp:positionH relativeFrom="margin">
                      <wp:align>right</wp:align>
                    </wp:positionH>
                    <wp:positionV relativeFrom="margin">
                      <wp:align>center</wp:align>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64977CA" id="Group 2" o:spid="_x0000_s1026" style="position:absolute;margin-left:381.45pt;margin-top:0;width:432.65pt;height:448.55pt;z-index:-251654144;mso-width-percent:706;mso-height-percent:566;mso-position-horizontal:right;mso-position-horizontal-relative:margin;mso-position-vertical:center;mso-position-vertical-relative:margin;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margin"/>
                  </v:group>
                </w:pict>
              </mc:Fallback>
            </mc:AlternateContent>
          </w:r>
          <w:r>
            <w:br w:type="page"/>
          </w:r>
        </w:p>
      </w:sdtContent>
    </w:sdt>
    <w:p w14:paraId="4844737B" w14:textId="48F9FCBB" w:rsidR="00C93D0C" w:rsidRDefault="00127BA1" w:rsidP="00C93D0C">
      <w:pPr>
        <w:pStyle w:val="Heading1"/>
      </w:pPr>
      <w:bookmarkStart w:id="0" w:name="_Toc217035613"/>
      <w:r>
        <w:lastRenderedPageBreak/>
        <w:t>Executive Summary</w:t>
      </w:r>
      <w:bookmarkEnd w:id="0"/>
    </w:p>
    <w:p w14:paraId="45EFA47C" w14:textId="6A169723" w:rsidR="008327CC" w:rsidRDefault="00C93D0C">
      <w:r>
        <w:t xml:space="preserve">This report </w:t>
      </w:r>
      <w:r w:rsidR="001C2F8E">
        <w:t>details the strategic stakeholder engagement plan for launching Pfizer’s ‘VitaTrack’ wearable device within six months. It provides a situational analysis, identifies key stakeholders, and applier engagement frameworks including a RACI matrix and 4C’s model. The plan aims to align all parties, manage conflict, and ensure a successful market entry. Proactive stakeho</w:t>
      </w:r>
      <w:r w:rsidR="00113C1A">
        <w:t>lder management is critical to achieving project objectives and strengthening Pfizer’s position in digital health</w:t>
      </w:r>
      <w:r w:rsidR="00624975">
        <w:t>.</w:t>
      </w:r>
    </w:p>
    <w:p w14:paraId="51409D7D" w14:textId="77777777" w:rsidR="008327CC" w:rsidRDefault="008327CC">
      <w:r>
        <w:br w:type="page"/>
      </w:r>
    </w:p>
    <w:sdt>
      <w:sdtPr>
        <w:rPr>
          <w:rFonts w:asciiTheme="minorHAnsi" w:eastAsiaTheme="minorHAnsi" w:hAnsiTheme="minorHAnsi" w:cstheme="minorBidi"/>
          <w:color w:val="auto"/>
          <w:kern w:val="2"/>
          <w:sz w:val="22"/>
          <w:szCs w:val="22"/>
          <w:lang w:val="en-GB"/>
          <w14:ligatures w14:val="standardContextual"/>
        </w:rPr>
        <w:id w:val="1481123492"/>
        <w:docPartObj>
          <w:docPartGallery w:val="Table of Contents"/>
          <w:docPartUnique/>
        </w:docPartObj>
      </w:sdtPr>
      <w:sdtEndPr>
        <w:rPr>
          <w:b/>
          <w:bCs/>
          <w:noProof/>
        </w:rPr>
      </w:sdtEndPr>
      <w:sdtContent>
        <w:p w14:paraId="3FE3E411" w14:textId="0E3F441C" w:rsidR="008327CC" w:rsidRDefault="008327CC">
          <w:pPr>
            <w:pStyle w:val="TOCHeading"/>
          </w:pPr>
          <w:r>
            <w:t>Contents</w:t>
          </w:r>
        </w:p>
        <w:p w14:paraId="22219C95" w14:textId="54925428" w:rsidR="00624975" w:rsidRDefault="008327C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035613" w:history="1">
            <w:r w:rsidR="00624975" w:rsidRPr="001609B7">
              <w:rPr>
                <w:rStyle w:val="Hyperlink"/>
                <w:noProof/>
              </w:rPr>
              <w:t>Executive Summary</w:t>
            </w:r>
            <w:r w:rsidR="00624975">
              <w:rPr>
                <w:noProof/>
                <w:webHidden/>
              </w:rPr>
              <w:tab/>
            </w:r>
            <w:r w:rsidR="00624975">
              <w:rPr>
                <w:noProof/>
                <w:webHidden/>
              </w:rPr>
              <w:fldChar w:fldCharType="begin"/>
            </w:r>
            <w:r w:rsidR="00624975">
              <w:rPr>
                <w:noProof/>
                <w:webHidden/>
              </w:rPr>
              <w:instrText xml:space="preserve"> PAGEREF _Toc217035613 \h </w:instrText>
            </w:r>
            <w:r w:rsidR="00624975">
              <w:rPr>
                <w:noProof/>
                <w:webHidden/>
              </w:rPr>
            </w:r>
            <w:r w:rsidR="00624975">
              <w:rPr>
                <w:noProof/>
                <w:webHidden/>
              </w:rPr>
              <w:fldChar w:fldCharType="separate"/>
            </w:r>
            <w:r w:rsidR="00624975">
              <w:rPr>
                <w:noProof/>
                <w:webHidden/>
              </w:rPr>
              <w:t>1</w:t>
            </w:r>
            <w:r w:rsidR="00624975">
              <w:rPr>
                <w:noProof/>
                <w:webHidden/>
              </w:rPr>
              <w:fldChar w:fldCharType="end"/>
            </w:r>
          </w:hyperlink>
        </w:p>
        <w:p w14:paraId="7E80C79B" w14:textId="576CFFDF" w:rsidR="00624975" w:rsidRDefault="00624975">
          <w:pPr>
            <w:pStyle w:val="TOC1"/>
            <w:tabs>
              <w:tab w:val="right" w:leader="dot" w:pos="9016"/>
            </w:tabs>
            <w:rPr>
              <w:rFonts w:eastAsiaTheme="minorEastAsia"/>
              <w:noProof/>
              <w:sz w:val="24"/>
              <w:szCs w:val="24"/>
              <w:lang w:eastAsia="en-GB"/>
            </w:rPr>
          </w:pPr>
          <w:hyperlink w:anchor="_Toc217035614" w:history="1">
            <w:r w:rsidRPr="001609B7">
              <w:rPr>
                <w:rStyle w:val="Hyperlink"/>
                <w:noProof/>
              </w:rPr>
              <w:t>Introduction</w:t>
            </w:r>
            <w:r>
              <w:rPr>
                <w:noProof/>
                <w:webHidden/>
              </w:rPr>
              <w:tab/>
            </w:r>
            <w:r>
              <w:rPr>
                <w:noProof/>
                <w:webHidden/>
              </w:rPr>
              <w:fldChar w:fldCharType="begin"/>
            </w:r>
            <w:r>
              <w:rPr>
                <w:noProof/>
                <w:webHidden/>
              </w:rPr>
              <w:instrText xml:space="preserve"> PAGEREF _Toc217035614 \h </w:instrText>
            </w:r>
            <w:r>
              <w:rPr>
                <w:noProof/>
                <w:webHidden/>
              </w:rPr>
            </w:r>
            <w:r>
              <w:rPr>
                <w:noProof/>
                <w:webHidden/>
              </w:rPr>
              <w:fldChar w:fldCharType="separate"/>
            </w:r>
            <w:r>
              <w:rPr>
                <w:noProof/>
                <w:webHidden/>
              </w:rPr>
              <w:t>3</w:t>
            </w:r>
            <w:r>
              <w:rPr>
                <w:noProof/>
                <w:webHidden/>
              </w:rPr>
              <w:fldChar w:fldCharType="end"/>
            </w:r>
          </w:hyperlink>
        </w:p>
        <w:p w14:paraId="2D769074" w14:textId="3B077889" w:rsidR="00624975" w:rsidRDefault="00624975">
          <w:pPr>
            <w:pStyle w:val="TOC1"/>
            <w:tabs>
              <w:tab w:val="right" w:leader="dot" w:pos="9016"/>
            </w:tabs>
            <w:rPr>
              <w:rFonts w:eastAsiaTheme="minorEastAsia"/>
              <w:noProof/>
              <w:sz w:val="24"/>
              <w:szCs w:val="24"/>
              <w:lang w:eastAsia="en-GB"/>
            </w:rPr>
          </w:pPr>
          <w:hyperlink w:anchor="_Toc217035615" w:history="1">
            <w:r w:rsidRPr="001609B7">
              <w:rPr>
                <w:rStyle w:val="Hyperlink"/>
                <w:noProof/>
              </w:rPr>
              <w:t>Strategic Appraisal Using Strategic Planning Tools</w:t>
            </w:r>
            <w:r>
              <w:rPr>
                <w:noProof/>
                <w:webHidden/>
              </w:rPr>
              <w:tab/>
            </w:r>
            <w:r>
              <w:rPr>
                <w:noProof/>
                <w:webHidden/>
              </w:rPr>
              <w:fldChar w:fldCharType="begin"/>
            </w:r>
            <w:r>
              <w:rPr>
                <w:noProof/>
                <w:webHidden/>
              </w:rPr>
              <w:instrText xml:space="preserve"> PAGEREF _Toc217035615 \h </w:instrText>
            </w:r>
            <w:r>
              <w:rPr>
                <w:noProof/>
                <w:webHidden/>
              </w:rPr>
            </w:r>
            <w:r>
              <w:rPr>
                <w:noProof/>
                <w:webHidden/>
              </w:rPr>
              <w:fldChar w:fldCharType="separate"/>
            </w:r>
            <w:r>
              <w:rPr>
                <w:noProof/>
                <w:webHidden/>
              </w:rPr>
              <w:t>4</w:t>
            </w:r>
            <w:r>
              <w:rPr>
                <w:noProof/>
                <w:webHidden/>
              </w:rPr>
              <w:fldChar w:fldCharType="end"/>
            </w:r>
          </w:hyperlink>
        </w:p>
        <w:p w14:paraId="38907175" w14:textId="4D3CBD12" w:rsidR="00624975" w:rsidRDefault="00624975">
          <w:pPr>
            <w:pStyle w:val="TOC2"/>
            <w:tabs>
              <w:tab w:val="right" w:leader="dot" w:pos="9016"/>
            </w:tabs>
            <w:rPr>
              <w:rFonts w:eastAsiaTheme="minorEastAsia"/>
              <w:noProof/>
              <w:sz w:val="24"/>
              <w:szCs w:val="24"/>
              <w:lang w:eastAsia="en-GB"/>
            </w:rPr>
          </w:pPr>
          <w:hyperlink w:anchor="_Toc217035616" w:history="1">
            <w:r w:rsidRPr="001609B7">
              <w:rPr>
                <w:rStyle w:val="Hyperlink"/>
                <w:noProof/>
              </w:rPr>
              <w:t>SWOT Analysis</w:t>
            </w:r>
            <w:r>
              <w:rPr>
                <w:noProof/>
                <w:webHidden/>
              </w:rPr>
              <w:tab/>
            </w:r>
            <w:r>
              <w:rPr>
                <w:noProof/>
                <w:webHidden/>
              </w:rPr>
              <w:fldChar w:fldCharType="begin"/>
            </w:r>
            <w:r>
              <w:rPr>
                <w:noProof/>
                <w:webHidden/>
              </w:rPr>
              <w:instrText xml:space="preserve"> PAGEREF _Toc217035616 \h </w:instrText>
            </w:r>
            <w:r>
              <w:rPr>
                <w:noProof/>
                <w:webHidden/>
              </w:rPr>
            </w:r>
            <w:r>
              <w:rPr>
                <w:noProof/>
                <w:webHidden/>
              </w:rPr>
              <w:fldChar w:fldCharType="separate"/>
            </w:r>
            <w:r>
              <w:rPr>
                <w:noProof/>
                <w:webHidden/>
              </w:rPr>
              <w:t>4</w:t>
            </w:r>
            <w:r>
              <w:rPr>
                <w:noProof/>
                <w:webHidden/>
              </w:rPr>
              <w:fldChar w:fldCharType="end"/>
            </w:r>
          </w:hyperlink>
        </w:p>
        <w:p w14:paraId="185D5BA4" w14:textId="3DF65995" w:rsidR="00624975" w:rsidRDefault="00624975">
          <w:pPr>
            <w:pStyle w:val="TOC3"/>
            <w:tabs>
              <w:tab w:val="right" w:leader="dot" w:pos="9016"/>
            </w:tabs>
            <w:rPr>
              <w:rFonts w:eastAsiaTheme="minorEastAsia"/>
              <w:noProof/>
              <w:sz w:val="24"/>
              <w:szCs w:val="24"/>
              <w:lang w:eastAsia="en-GB"/>
            </w:rPr>
          </w:pPr>
          <w:hyperlink w:anchor="_Toc217035617" w:history="1">
            <w:r w:rsidRPr="001609B7">
              <w:rPr>
                <w:rStyle w:val="Hyperlink"/>
                <w:noProof/>
              </w:rPr>
              <w:t>Strengths</w:t>
            </w:r>
            <w:r>
              <w:rPr>
                <w:noProof/>
                <w:webHidden/>
              </w:rPr>
              <w:tab/>
            </w:r>
            <w:r>
              <w:rPr>
                <w:noProof/>
                <w:webHidden/>
              </w:rPr>
              <w:fldChar w:fldCharType="begin"/>
            </w:r>
            <w:r>
              <w:rPr>
                <w:noProof/>
                <w:webHidden/>
              </w:rPr>
              <w:instrText xml:space="preserve"> PAGEREF _Toc217035617 \h </w:instrText>
            </w:r>
            <w:r>
              <w:rPr>
                <w:noProof/>
                <w:webHidden/>
              </w:rPr>
            </w:r>
            <w:r>
              <w:rPr>
                <w:noProof/>
                <w:webHidden/>
              </w:rPr>
              <w:fldChar w:fldCharType="separate"/>
            </w:r>
            <w:r>
              <w:rPr>
                <w:noProof/>
                <w:webHidden/>
              </w:rPr>
              <w:t>4</w:t>
            </w:r>
            <w:r>
              <w:rPr>
                <w:noProof/>
                <w:webHidden/>
              </w:rPr>
              <w:fldChar w:fldCharType="end"/>
            </w:r>
          </w:hyperlink>
        </w:p>
        <w:p w14:paraId="509156A7" w14:textId="1D18B226" w:rsidR="00624975" w:rsidRDefault="00624975">
          <w:pPr>
            <w:pStyle w:val="TOC3"/>
            <w:tabs>
              <w:tab w:val="right" w:leader="dot" w:pos="9016"/>
            </w:tabs>
            <w:rPr>
              <w:rFonts w:eastAsiaTheme="minorEastAsia"/>
              <w:noProof/>
              <w:sz w:val="24"/>
              <w:szCs w:val="24"/>
              <w:lang w:eastAsia="en-GB"/>
            </w:rPr>
          </w:pPr>
          <w:hyperlink w:anchor="_Toc217035618" w:history="1">
            <w:r w:rsidRPr="001609B7">
              <w:rPr>
                <w:rStyle w:val="Hyperlink"/>
                <w:noProof/>
              </w:rPr>
              <w:t>Weaknesses</w:t>
            </w:r>
            <w:r>
              <w:rPr>
                <w:noProof/>
                <w:webHidden/>
              </w:rPr>
              <w:tab/>
            </w:r>
            <w:r>
              <w:rPr>
                <w:noProof/>
                <w:webHidden/>
              </w:rPr>
              <w:fldChar w:fldCharType="begin"/>
            </w:r>
            <w:r>
              <w:rPr>
                <w:noProof/>
                <w:webHidden/>
              </w:rPr>
              <w:instrText xml:space="preserve"> PAGEREF _Toc217035618 \h </w:instrText>
            </w:r>
            <w:r>
              <w:rPr>
                <w:noProof/>
                <w:webHidden/>
              </w:rPr>
            </w:r>
            <w:r>
              <w:rPr>
                <w:noProof/>
                <w:webHidden/>
              </w:rPr>
              <w:fldChar w:fldCharType="separate"/>
            </w:r>
            <w:r>
              <w:rPr>
                <w:noProof/>
                <w:webHidden/>
              </w:rPr>
              <w:t>4</w:t>
            </w:r>
            <w:r>
              <w:rPr>
                <w:noProof/>
                <w:webHidden/>
              </w:rPr>
              <w:fldChar w:fldCharType="end"/>
            </w:r>
          </w:hyperlink>
        </w:p>
        <w:p w14:paraId="72B627B8" w14:textId="0D755020" w:rsidR="00624975" w:rsidRDefault="00624975">
          <w:pPr>
            <w:pStyle w:val="TOC3"/>
            <w:tabs>
              <w:tab w:val="right" w:leader="dot" w:pos="9016"/>
            </w:tabs>
            <w:rPr>
              <w:rFonts w:eastAsiaTheme="minorEastAsia"/>
              <w:noProof/>
              <w:sz w:val="24"/>
              <w:szCs w:val="24"/>
              <w:lang w:eastAsia="en-GB"/>
            </w:rPr>
          </w:pPr>
          <w:hyperlink w:anchor="_Toc217035619" w:history="1">
            <w:r w:rsidRPr="001609B7">
              <w:rPr>
                <w:rStyle w:val="Hyperlink"/>
                <w:noProof/>
              </w:rPr>
              <w:t>Opportunities</w:t>
            </w:r>
            <w:r>
              <w:rPr>
                <w:noProof/>
                <w:webHidden/>
              </w:rPr>
              <w:tab/>
            </w:r>
            <w:r>
              <w:rPr>
                <w:noProof/>
                <w:webHidden/>
              </w:rPr>
              <w:fldChar w:fldCharType="begin"/>
            </w:r>
            <w:r>
              <w:rPr>
                <w:noProof/>
                <w:webHidden/>
              </w:rPr>
              <w:instrText xml:space="preserve"> PAGEREF _Toc217035619 \h </w:instrText>
            </w:r>
            <w:r>
              <w:rPr>
                <w:noProof/>
                <w:webHidden/>
              </w:rPr>
            </w:r>
            <w:r>
              <w:rPr>
                <w:noProof/>
                <w:webHidden/>
              </w:rPr>
              <w:fldChar w:fldCharType="separate"/>
            </w:r>
            <w:r>
              <w:rPr>
                <w:noProof/>
                <w:webHidden/>
              </w:rPr>
              <w:t>4</w:t>
            </w:r>
            <w:r>
              <w:rPr>
                <w:noProof/>
                <w:webHidden/>
              </w:rPr>
              <w:fldChar w:fldCharType="end"/>
            </w:r>
          </w:hyperlink>
        </w:p>
        <w:p w14:paraId="511EC2FE" w14:textId="66CDA5FA" w:rsidR="00624975" w:rsidRDefault="00624975">
          <w:pPr>
            <w:pStyle w:val="TOC3"/>
            <w:tabs>
              <w:tab w:val="right" w:leader="dot" w:pos="9016"/>
            </w:tabs>
            <w:rPr>
              <w:rFonts w:eastAsiaTheme="minorEastAsia"/>
              <w:noProof/>
              <w:sz w:val="24"/>
              <w:szCs w:val="24"/>
              <w:lang w:eastAsia="en-GB"/>
            </w:rPr>
          </w:pPr>
          <w:hyperlink w:anchor="_Toc217035620" w:history="1">
            <w:r w:rsidRPr="001609B7">
              <w:rPr>
                <w:rStyle w:val="Hyperlink"/>
                <w:noProof/>
              </w:rPr>
              <w:t>Threats</w:t>
            </w:r>
            <w:r>
              <w:rPr>
                <w:noProof/>
                <w:webHidden/>
              </w:rPr>
              <w:tab/>
            </w:r>
            <w:r>
              <w:rPr>
                <w:noProof/>
                <w:webHidden/>
              </w:rPr>
              <w:fldChar w:fldCharType="begin"/>
            </w:r>
            <w:r>
              <w:rPr>
                <w:noProof/>
                <w:webHidden/>
              </w:rPr>
              <w:instrText xml:space="preserve"> PAGEREF _Toc217035620 \h </w:instrText>
            </w:r>
            <w:r>
              <w:rPr>
                <w:noProof/>
                <w:webHidden/>
              </w:rPr>
            </w:r>
            <w:r>
              <w:rPr>
                <w:noProof/>
                <w:webHidden/>
              </w:rPr>
              <w:fldChar w:fldCharType="separate"/>
            </w:r>
            <w:r>
              <w:rPr>
                <w:noProof/>
                <w:webHidden/>
              </w:rPr>
              <w:t>5</w:t>
            </w:r>
            <w:r>
              <w:rPr>
                <w:noProof/>
                <w:webHidden/>
              </w:rPr>
              <w:fldChar w:fldCharType="end"/>
            </w:r>
          </w:hyperlink>
        </w:p>
        <w:p w14:paraId="242B5B93" w14:textId="1CBF5D99" w:rsidR="00624975" w:rsidRDefault="00624975">
          <w:pPr>
            <w:pStyle w:val="TOC2"/>
            <w:tabs>
              <w:tab w:val="right" w:leader="dot" w:pos="9016"/>
            </w:tabs>
            <w:rPr>
              <w:rFonts w:eastAsiaTheme="minorEastAsia"/>
              <w:noProof/>
              <w:sz w:val="24"/>
              <w:szCs w:val="24"/>
              <w:lang w:eastAsia="en-GB"/>
            </w:rPr>
          </w:pPr>
          <w:hyperlink w:anchor="_Toc217035621" w:history="1">
            <w:r w:rsidRPr="001609B7">
              <w:rPr>
                <w:rStyle w:val="Hyperlink"/>
                <w:noProof/>
              </w:rPr>
              <w:t>Pestle Analysis</w:t>
            </w:r>
            <w:r>
              <w:rPr>
                <w:noProof/>
                <w:webHidden/>
              </w:rPr>
              <w:tab/>
            </w:r>
            <w:r>
              <w:rPr>
                <w:noProof/>
                <w:webHidden/>
              </w:rPr>
              <w:fldChar w:fldCharType="begin"/>
            </w:r>
            <w:r>
              <w:rPr>
                <w:noProof/>
                <w:webHidden/>
              </w:rPr>
              <w:instrText xml:space="preserve"> PAGEREF _Toc217035621 \h </w:instrText>
            </w:r>
            <w:r>
              <w:rPr>
                <w:noProof/>
                <w:webHidden/>
              </w:rPr>
            </w:r>
            <w:r>
              <w:rPr>
                <w:noProof/>
                <w:webHidden/>
              </w:rPr>
              <w:fldChar w:fldCharType="separate"/>
            </w:r>
            <w:r>
              <w:rPr>
                <w:noProof/>
                <w:webHidden/>
              </w:rPr>
              <w:t>5</w:t>
            </w:r>
            <w:r>
              <w:rPr>
                <w:noProof/>
                <w:webHidden/>
              </w:rPr>
              <w:fldChar w:fldCharType="end"/>
            </w:r>
          </w:hyperlink>
        </w:p>
        <w:p w14:paraId="2E64CCF4" w14:textId="01CEE516" w:rsidR="00624975" w:rsidRDefault="00624975">
          <w:pPr>
            <w:pStyle w:val="TOC3"/>
            <w:tabs>
              <w:tab w:val="right" w:leader="dot" w:pos="9016"/>
            </w:tabs>
            <w:rPr>
              <w:rFonts w:eastAsiaTheme="minorEastAsia"/>
              <w:noProof/>
              <w:sz w:val="24"/>
              <w:szCs w:val="24"/>
              <w:lang w:eastAsia="en-GB"/>
            </w:rPr>
          </w:pPr>
          <w:hyperlink w:anchor="_Toc217035622" w:history="1">
            <w:r w:rsidRPr="001609B7">
              <w:rPr>
                <w:rStyle w:val="Hyperlink"/>
                <w:noProof/>
              </w:rPr>
              <w:t>Political:</w:t>
            </w:r>
            <w:r>
              <w:rPr>
                <w:noProof/>
                <w:webHidden/>
              </w:rPr>
              <w:tab/>
            </w:r>
            <w:r>
              <w:rPr>
                <w:noProof/>
                <w:webHidden/>
              </w:rPr>
              <w:fldChar w:fldCharType="begin"/>
            </w:r>
            <w:r>
              <w:rPr>
                <w:noProof/>
                <w:webHidden/>
              </w:rPr>
              <w:instrText xml:space="preserve"> PAGEREF _Toc217035622 \h </w:instrText>
            </w:r>
            <w:r>
              <w:rPr>
                <w:noProof/>
                <w:webHidden/>
              </w:rPr>
            </w:r>
            <w:r>
              <w:rPr>
                <w:noProof/>
                <w:webHidden/>
              </w:rPr>
              <w:fldChar w:fldCharType="separate"/>
            </w:r>
            <w:r>
              <w:rPr>
                <w:noProof/>
                <w:webHidden/>
              </w:rPr>
              <w:t>5</w:t>
            </w:r>
            <w:r>
              <w:rPr>
                <w:noProof/>
                <w:webHidden/>
              </w:rPr>
              <w:fldChar w:fldCharType="end"/>
            </w:r>
          </w:hyperlink>
        </w:p>
        <w:p w14:paraId="6C17691B" w14:textId="53DB4DD2" w:rsidR="00624975" w:rsidRDefault="00624975">
          <w:pPr>
            <w:pStyle w:val="TOC3"/>
            <w:tabs>
              <w:tab w:val="right" w:leader="dot" w:pos="9016"/>
            </w:tabs>
            <w:rPr>
              <w:rFonts w:eastAsiaTheme="minorEastAsia"/>
              <w:noProof/>
              <w:sz w:val="24"/>
              <w:szCs w:val="24"/>
              <w:lang w:eastAsia="en-GB"/>
            </w:rPr>
          </w:pPr>
          <w:hyperlink w:anchor="_Toc217035623" w:history="1">
            <w:r w:rsidRPr="001609B7">
              <w:rPr>
                <w:rStyle w:val="Hyperlink"/>
                <w:noProof/>
              </w:rPr>
              <w:t>Economic:</w:t>
            </w:r>
            <w:r>
              <w:rPr>
                <w:noProof/>
                <w:webHidden/>
              </w:rPr>
              <w:tab/>
            </w:r>
            <w:r>
              <w:rPr>
                <w:noProof/>
                <w:webHidden/>
              </w:rPr>
              <w:fldChar w:fldCharType="begin"/>
            </w:r>
            <w:r>
              <w:rPr>
                <w:noProof/>
                <w:webHidden/>
              </w:rPr>
              <w:instrText xml:space="preserve"> PAGEREF _Toc217035623 \h </w:instrText>
            </w:r>
            <w:r>
              <w:rPr>
                <w:noProof/>
                <w:webHidden/>
              </w:rPr>
            </w:r>
            <w:r>
              <w:rPr>
                <w:noProof/>
                <w:webHidden/>
              </w:rPr>
              <w:fldChar w:fldCharType="separate"/>
            </w:r>
            <w:r>
              <w:rPr>
                <w:noProof/>
                <w:webHidden/>
              </w:rPr>
              <w:t>5</w:t>
            </w:r>
            <w:r>
              <w:rPr>
                <w:noProof/>
                <w:webHidden/>
              </w:rPr>
              <w:fldChar w:fldCharType="end"/>
            </w:r>
          </w:hyperlink>
        </w:p>
        <w:p w14:paraId="5928210D" w14:textId="42542C28" w:rsidR="00624975" w:rsidRDefault="00624975">
          <w:pPr>
            <w:pStyle w:val="TOC3"/>
            <w:tabs>
              <w:tab w:val="right" w:leader="dot" w:pos="9016"/>
            </w:tabs>
            <w:rPr>
              <w:rFonts w:eastAsiaTheme="minorEastAsia"/>
              <w:noProof/>
              <w:sz w:val="24"/>
              <w:szCs w:val="24"/>
              <w:lang w:eastAsia="en-GB"/>
            </w:rPr>
          </w:pPr>
          <w:hyperlink w:anchor="_Toc217035624" w:history="1">
            <w:r w:rsidRPr="001609B7">
              <w:rPr>
                <w:rStyle w:val="Hyperlink"/>
                <w:noProof/>
              </w:rPr>
              <w:t>Technological:</w:t>
            </w:r>
            <w:r>
              <w:rPr>
                <w:noProof/>
                <w:webHidden/>
              </w:rPr>
              <w:tab/>
            </w:r>
            <w:r>
              <w:rPr>
                <w:noProof/>
                <w:webHidden/>
              </w:rPr>
              <w:fldChar w:fldCharType="begin"/>
            </w:r>
            <w:r>
              <w:rPr>
                <w:noProof/>
                <w:webHidden/>
              </w:rPr>
              <w:instrText xml:space="preserve"> PAGEREF _Toc217035624 \h </w:instrText>
            </w:r>
            <w:r>
              <w:rPr>
                <w:noProof/>
                <w:webHidden/>
              </w:rPr>
            </w:r>
            <w:r>
              <w:rPr>
                <w:noProof/>
                <w:webHidden/>
              </w:rPr>
              <w:fldChar w:fldCharType="separate"/>
            </w:r>
            <w:r>
              <w:rPr>
                <w:noProof/>
                <w:webHidden/>
              </w:rPr>
              <w:t>6</w:t>
            </w:r>
            <w:r>
              <w:rPr>
                <w:noProof/>
                <w:webHidden/>
              </w:rPr>
              <w:fldChar w:fldCharType="end"/>
            </w:r>
          </w:hyperlink>
        </w:p>
        <w:p w14:paraId="7388CD75" w14:textId="4B4AFE87" w:rsidR="00624975" w:rsidRDefault="00624975">
          <w:pPr>
            <w:pStyle w:val="TOC3"/>
            <w:tabs>
              <w:tab w:val="right" w:leader="dot" w:pos="9016"/>
            </w:tabs>
            <w:rPr>
              <w:rFonts w:eastAsiaTheme="minorEastAsia"/>
              <w:noProof/>
              <w:sz w:val="24"/>
              <w:szCs w:val="24"/>
              <w:lang w:eastAsia="en-GB"/>
            </w:rPr>
          </w:pPr>
          <w:hyperlink w:anchor="_Toc217035625" w:history="1">
            <w:r w:rsidRPr="001609B7">
              <w:rPr>
                <w:rStyle w:val="Hyperlink"/>
                <w:noProof/>
              </w:rPr>
              <w:t>Legal:</w:t>
            </w:r>
            <w:r>
              <w:rPr>
                <w:noProof/>
                <w:webHidden/>
              </w:rPr>
              <w:tab/>
            </w:r>
            <w:r>
              <w:rPr>
                <w:noProof/>
                <w:webHidden/>
              </w:rPr>
              <w:fldChar w:fldCharType="begin"/>
            </w:r>
            <w:r>
              <w:rPr>
                <w:noProof/>
                <w:webHidden/>
              </w:rPr>
              <w:instrText xml:space="preserve"> PAGEREF _Toc217035625 \h </w:instrText>
            </w:r>
            <w:r>
              <w:rPr>
                <w:noProof/>
                <w:webHidden/>
              </w:rPr>
            </w:r>
            <w:r>
              <w:rPr>
                <w:noProof/>
                <w:webHidden/>
              </w:rPr>
              <w:fldChar w:fldCharType="separate"/>
            </w:r>
            <w:r>
              <w:rPr>
                <w:noProof/>
                <w:webHidden/>
              </w:rPr>
              <w:t>6</w:t>
            </w:r>
            <w:r>
              <w:rPr>
                <w:noProof/>
                <w:webHidden/>
              </w:rPr>
              <w:fldChar w:fldCharType="end"/>
            </w:r>
          </w:hyperlink>
        </w:p>
        <w:p w14:paraId="623EE442" w14:textId="5A9E3846" w:rsidR="00624975" w:rsidRDefault="00624975">
          <w:pPr>
            <w:pStyle w:val="TOC3"/>
            <w:tabs>
              <w:tab w:val="right" w:leader="dot" w:pos="9016"/>
            </w:tabs>
            <w:rPr>
              <w:rFonts w:eastAsiaTheme="minorEastAsia"/>
              <w:noProof/>
              <w:sz w:val="24"/>
              <w:szCs w:val="24"/>
              <w:lang w:eastAsia="en-GB"/>
            </w:rPr>
          </w:pPr>
          <w:hyperlink w:anchor="_Toc217035626" w:history="1">
            <w:r w:rsidRPr="001609B7">
              <w:rPr>
                <w:rStyle w:val="Hyperlink"/>
                <w:noProof/>
              </w:rPr>
              <w:t>Environmental:</w:t>
            </w:r>
            <w:r>
              <w:rPr>
                <w:noProof/>
                <w:webHidden/>
              </w:rPr>
              <w:tab/>
            </w:r>
            <w:r>
              <w:rPr>
                <w:noProof/>
                <w:webHidden/>
              </w:rPr>
              <w:fldChar w:fldCharType="begin"/>
            </w:r>
            <w:r>
              <w:rPr>
                <w:noProof/>
                <w:webHidden/>
              </w:rPr>
              <w:instrText xml:space="preserve"> PAGEREF _Toc217035626 \h </w:instrText>
            </w:r>
            <w:r>
              <w:rPr>
                <w:noProof/>
                <w:webHidden/>
              </w:rPr>
            </w:r>
            <w:r>
              <w:rPr>
                <w:noProof/>
                <w:webHidden/>
              </w:rPr>
              <w:fldChar w:fldCharType="separate"/>
            </w:r>
            <w:r>
              <w:rPr>
                <w:noProof/>
                <w:webHidden/>
              </w:rPr>
              <w:t>6</w:t>
            </w:r>
            <w:r>
              <w:rPr>
                <w:noProof/>
                <w:webHidden/>
              </w:rPr>
              <w:fldChar w:fldCharType="end"/>
            </w:r>
          </w:hyperlink>
        </w:p>
        <w:p w14:paraId="21C7A167" w14:textId="2AF60EBC" w:rsidR="00624975" w:rsidRDefault="00624975">
          <w:pPr>
            <w:pStyle w:val="TOC1"/>
            <w:tabs>
              <w:tab w:val="right" w:leader="dot" w:pos="9016"/>
            </w:tabs>
            <w:rPr>
              <w:rFonts w:eastAsiaTheme="minorEastAsia"/>
              <w:noProof/>
              <w:sz w:val="24"/>
              <w:szCs w:val="24"/>
              <w:lang w:eastAsia="en-GB"/>
            </w:rPr>
          </w:pPr>
          <w:hyperlink w:anchor="_Toc217035627" w:history="1">
            <w:r w:rsidRPr="001609B7">
              <w:rPr>
                <w:rStyle w:val="Hyperlink"/>
                <w:noProof/>
              </w:rPr>
              <w:t>SMART</w:t>
            </w:r>
            <w:r>
              <w:rPr>
                <w:noProof/>
                <w:webHidden/>
              </w:rPr>
              <w:tab/>
            </w:r>
            <w:r>
              <w:rPr>
                <w:noProof/>
                <w:webHidden/>
              </w:rPr>
              <w:fldChar w:fldCharType="begin"/>
            </w:r>
            <w:r>
              <w:rPr>
                <w:noProof/>
                <w:webHidden/>
              </w:rPr>
              <w:instrText xml:space="preserve"> PAGEREF _Toc217035627 \h </w:instrText>
            </w:r>
            <w:r>
              <w:rPr>
                <w:noProof/>
                <w:webHidden/>
              </w:rPr>
            </w:r>
            <w:r>
              <w:rPr>
                <w:noProof/>
                <w:webHidden/>
              </w:rPr>
              <w:fldChar w:fldCharType="separate"/>
            </w:r>
            <w:r>
              <w:rPr>
                <w:noProof/>
                <w:webHidden/>
              </w:rPr>
              <w:t>6</w:t>
            </w:r>
            <w:r>
              <w:rPr>
                <w:noProof/>
                <w:webHidden/>
              </w:rPr>
              <w:fldChar w:fldCharType="end"/>
            </w:r>
          </w:hyperlink>
        </w:p>
        <w:p w14:paraId="0287B5B4" w14:textId="631FAD83" w:rsidR="00624975" w:rsidRDefault="00624975">
          <w:pPr>
            <w:pStyle w:val="TOC1"/>
            <w:tabs>
              <w:tab w:val="right" w:leader="dot" w:pos="9016"/>
            </w:tabs>
            <w:rPr>
              <w:rFonts w:eastAsiaTheme="minorEastAsia"/>
              <w:noProof/>
              <w:sz w:val="24"/>
              <w:szCs w:val="24"/>
              <w:lang w:eastAsia="en-GB"/>
            </w:rPr>
          </w:pPr>
          <w:hyperlink w:anchor="_Toc217035628" w:history="1">
            <w:r w:rsidRPr="001609B7">
              <w:rPr>
                <w:rStyle w:val="Hyperlink"/>
                <w:noProof/>
              </w:rPr>
              <w:t>Stakeholder Identification and Analysis</w:t>
            </w:r>
            <w:r>
              <w:rPr>
                <w:noProof/>
                <w:webHidden/>
              </w:rPr>
              <w:tab/>
            </w:r>
            <w:r>
              <w:rPr>
                <w:noProof/>
                <w:webHidden/>
              </w:rPr>
              <w:fldChar w:fldCharType="begin"/>
            </w:r>
            <w:r>
              <w:rPr>
                <w:noProof/>
                <w:webHidden/>
              </w:rPr>
              <w:instrText xml:space="preserve"> PAGEREF _Toc217035628 \h </w:instrText>
            </w:r>
            <w:r>
              <w:rPr>
                <w:noProof/>
                <w:webHidden/>
              </w:rPr>
            </w:r>
            <w:r>
              <w:rPr>
                <w:noProof/>
                <w:webHidden/>
              </w:rPr>
              <w:fldChar w:fldCharType="separate"/>
            </w:r>
            <w:r>
              <w:rPr>
                <w:noProof/>
                <w:webHidden/>
              </w:rPr>
              <w:t>7</w:t>
            </w:r>
            <w:r>
              <w:rPr>
                <w:noProof/>
                <w:webHidden/>
              </w:rPr>
              <w:fldChar w:fldCharType="end"/>
            </w:r>
          </w:hyperlink>
        </w:p>
        <w:p w14:paraId="2B52603B" w14:textId="145BD3C3" w:rsidR="00624975" w:rsidRDefault="00624975">
          <w:pPr>
            <w:pStyle w:val="TOC2"/>
            <w:tabs>
              <w:tab w:val="right" w:leader="dot" w:pos="9016"/>
            </w:tabs>
            <w:rPr>
              <w:rFonts w:eastAsiaTheme="minorEastAsia"/>
              <w:noProof/>
              <w:sz w:val="24"/>
              <w:szCs w:val="24"/>
              <w:lang w:eastAsia="en-GB"/>
            </w:rPr>
          </w:pPr>
          <w:hyperlink w:anchor="_Toc217035629" w:history="1">
            <w:r w:rsidRPr="001609B7">
              <w:rPr>
                <w:rStyle w:val="Hyperlink"/>
                <w:noProof/>
              </w:rPr>
              <w:t>Internal Stakeholders:</w:t>
            </w:r>
            <w:r>
              <w:rPr>
                <w:noProof/>
                <w:webHidden/>
              </w:rPr>
              <w:tab/>
            </w:r>
            <w:r>
              <w:rPr>
                <w:noProof/>
                <w:webHidden/>
              </w:rPr>
              <w:fldChar w:fldCharType="begin"/>
            </w:r>
            <w:r>
              <w:rPr>
                <w:noProof/>
                <w:webHidden/>
              </w:rPr>
              <w:instrText xml:space="preserve"> PAGEREF _Toc217035629 \h </w:instrText>
            </w:r>
            <w:r>
              <w:rPr>
                <w:noProof/>
                <w:webHidden/>
              </w:rPr>
            </w:r>
            <w:r>
              <w:rPr>
                <w:noProof/>
                <w:webHidden/>
              </w:rPr>
              <w:fldChar w:fldCharType="separate"/>
            </w:r>
            <w:r>
              <w:rPr>
                <w:noProof/>
                <w:webHidden/>
              </w:rPr>
              <w:t>7</w:t>
            </w:r>
            <w:r>
              <w:rPr>
                <w:noProof/>
                <w:webHidden/>
              </w:rPr>
              <w:fldChar w:fldCharType="end"/>
            </w:r>
          </w:hyperlink>
        </w:p>
        <w:p w14:paraId="124286DD" w14:textId="673B3096" w:rsidR="00624975" w:rsidRDefault="00624975">
          <w:pPr>
            <w:pStyle w:val="TOC2"/>
            <w:tabs>
              <w:tab w:val="right" w:leader="dot" w:pos="9016"/>
            </w:tabs>
            <w:rPr>
              <w:rFonts w:eastAsiaTheme="minorEastAsia"/>
              <w:noProof/>
              <w:sz w:val="24"/>
              <w:szCs w:val="24"/>
              <w:lang w:eastAsia="en-GB"/>
            </w:rPr>
          </w:pPr>
          <w:hyperlink w:anchor="_Toc217035630" w:history="1">
            <w:r w:rsidRPr="001609B7">
              <w:rPr>
                <w:rStyle w:val="Hyperlink"/>
                <w:noProof/>
              </w:rPr>
              <w:t>External Stakeholders:</w:t>
            </w:r>
            <w:r>
              <w:rPr>
                <w:noProof/>
                <w:webHidden/>
              </w:rPr>
              <w:tab/>
            </w:r>
            <w:r>
              <w:rPr>
                <w:noProof/>
                <w:webHidden/>
              </w:rPr>
              <w:fldChar w:fldCharType="begin"/>
            </w:r>
            <w:r>
              <w:rPr>
                <w:noProof/>
                <w:webHidden/>
              </w:rPr>
              <w:instrText xml:space="preserve"> PAGEREF _Toc217035630 \h </w:instrText>
            </w:r>
            <w:r>
              <w:rPr>
                <w:noProof/>
                <w:webHidden/>
              </w:rPr>
            </w:r>
            <w:r>
              <w:rPr>
                <w:noProof/>
                <w:webHidden/>
              </w:rPr>
              <w:fldChar w:fldCharType="separate"/>
            </w:r>
            <w:r>
              <w:rPr>
                <w:noProof/>
                <w:webHidden/>
              </w:rPr>
              <w:t>7</w:t>
            </w:r>
            <w:r>
              <w:rPr>
                <w:noProof/>
                <w:webHidden/>
              </w:rPr>
              <w:fldChar w:fldCharType="end"/>
            </w:r>
          </w:hyperlink>
        </w:p>
        <w:p w14:paraId="1D3C8515" w14:textId="47C5463A" w:rsidR="00624975" w:rsidRDefault="00624975">
          <w:pPr>
            <w:pStyle w:val="TOC1"/>
            <w:tabs>
              <w:tab w:val="right" w:leader="dot" w:pos="9016"/>
            </w:tabs>
            <w:rPr>
              <w:rFonts w:eastAsiaTheme="minorEastAsia"/>
              <w:noProof/>
              <w:sz w:val="24"/>
              <w:szCs w:val="24"/>
              <w:lang w:eastAsia="en-GB"/>
            </w:rPr>
          </w:pPr>
          <w:hyperlink w:anchor="_Toc217035631" w:history="1">
            <w:r w:rsidRPr="001609B7">
              <w:rPr>
                <w:rStyle w:val="Hyperlink"/>
                <w:noProof/>
              </w:rPr>
              <w:t>Roles, Responsibilities, Benefits, and Challenges</w:t>
            </w:r>
            <w:r>
              <w:rPr>
                <w:noProof/>
                <w:webHidden/>
              </w:rPr>
              <w:tab/>
            </w:r>
            <w:r>
              <w:rPr>
                <w:noProof/>
                <w:webHidden/>
              </w:rPr>
              <w:fldChar w:fldCharType="begin"/>
            </w:r>
            <w:r>
              <w:rPr>
                <w:noProof/>
                <w:webHidden/>
              </w:rPr>
              <w:instrText xml:space="preserve"> PAGEREF _Toc217035631 \h </w:instrText>
            </w:r>
            <w:r>
              <w:rPr>
                <w:noProof/>
                <w:webHidden/>
              </w:rPr>
            </w:r>
            <w:r>
              <w:rPr>
                <w:noProof/>
                <w:webHidden/>
              </w:rPr>
              <w:fldChar w:fldCharType="separate"/>
            </w:r>
            <w:r>
              <w:rPr>
                <w:noProof/>
                <w:webHidden/>
              </w:rPr>
              <w:t>8</w:t>
            </w:r>
            <w:r>
              <w:rPr>
                <w:noProof/>
                <w:webHidden/>
              </w:rPr>
              <w:fldChar w:fldCharType="end"/>
            </w:r>
          </w:hyperlink>
        </w:p>
        <w:p w14:paraId="35CA4455" w14:textId="5FBA15AA" w:rsidR="00624975" w:rsidRDefault="00624975">
          <w:pPr>
            <w:pStyle w:val="TOC1"/>
            <w:tabs>
              <w:tab w:val="right" w:leader="dot" w:pos="9016"/>
            </w:tabs>
            <w:rPr>
              <w:rFonts w:eastAsiaTheme="minorEastAsia"/>
              <w:noProof/>
              <w:sz w:val="24"/>
              <w:szCs w:val="24"/>
              <w:lang w:eastAsia="en-GB"/>
            </w:rPr>
          </w:pPr>
          <w:hyperlink w:anchor="_Toc217035632" w:history="1">
            <w:r w:rsidRPr="001609B7">
              <w:rPr>
                <w:rStyle w:val="Hyperlink"/>
                <w:noProof/>
              </w:rPr>
              <w:t>Stakeholder Engagement Framework and Plans</w:t>
            </w:r>
            <w:r>
              <w:rPr>
                <w:noProof/>
                <w:webHidden/>
              </w:rPr>
              <w:tab/>
            </w:r>
            <w:r>
              <w:rPr>
                <w:noProof/>
                <w:webHidden/>
              </w:rPr>
              <w:fldChar w:fldCharType="begin"/>
            </w:r>
            <w:r>
              <w:rPr>
                <w:noProof/>
                <w:webHidden/>
              </w:rPr>
              <w:instrText xml:space="preserve"> PAGEREF _Toc217035632 \h </w:instrText>
            </w:r>
            <w:r>
              <w:rPr>
                <w:noProof/>
                <w:webHidden/>
              </w:rPr>
            </w:r>
            <w:r>
              <w:rPr>
                <w:noProof/>
                <w:webHidden/>
              </w:rPr>
              <w:fldChar w:fldCharType="separate"/>
            </w:r>
            <w:r>
              <w:rPr>
                <w:noProof/>
                <w:webHidden/>
              </w:rPr>
              <w:t>9</w:t>
            </w:r>
            <w:r>
              <w:rPr>
                <w:noProof/>
                <w:webHidden/>
              </w:rPr>
              <w:fldChar w:fldCharType="end"/>
            </w:r>
          </w:hyperlink>
        </w:p>
        <w:p w14:paraId="2BAC3238" w14:textId="610B4013" w:rsidR="00624975" w:rsidRDefault="00624975">
          <w:pPr>
            <w:pStyle w:val="TOC2"/>
            <w:tabs>
              <w:tab w:val="right" w:leader="dot" w:pos="9016"/>
            </w:tabs>
            <w:rPr>
              <w:rFonts w:eastAsiaTheme="minorEastAsia"/>
              <w:noProof/>
              <w:sz w:val="24"/>
              <w:szCs w:val="24"/>
              <w:lang w:eastAsia="en-GB"/>
            </w:rPr>
          </w:pPr>
          <w:hyperlink w:anchor="_Toc217035633" w:history="1">
            <w:r w:rsidRPr="001609B7">
              <w:rPr>
                <w:rStyle w:val="Hyperlink"/>
                <w:noProof/>
              </w:rPr>
              <w:t>Stakeholder Power-Interest Matrix</w:t>
            </w:r>
            <w:r>
              <w:rPr>
                <w:noProof/>
                <w:webHidden/>
              </w:rPr>
              <w:tab/>
            </w:r>
            <w:r>
              <w:rPr>
                <w:noProof/>
                <w:webHidden/>
              </w:rPr>
              <w:fldChar w:fldCharType="begin"/>
            </w:r>
            <w:r>
              <w:rPr>
                <w:noProof/>
                <w:webHidden/>
              </w:rPr>
              <w:instrText xml:space="preserve"> PAGEREF _Toc217035633 \h </w:instrText>
            </w:r>
            <w:r>
              <w:rPr>
                <w:noProof/>
                <w:webHidden/>
              </w:rPr>
            </w:r>
            <w:r>
              <w:rPr>
                <w:noProof/>
                <w:webHidden/>
              </w:rPr>
              <w:fldChar w:fldCharType="separate"/>
            </w:r>
            <w:r>
              <w:rPr>
                <w:noProof/>
                <w:webHidden/>
              </w:rPr>
              <w:t>9</w:t>
            </w:r>
            <w:r>
              <w:rPr>
                <w:noProof/>
                <w:webHidden/>
              </w:rPr>
              <w:fldChar w:fldCharType="end"/>
            </w:r>
          </w:hyperlink>
        </w:p>
        <w:p w14:paraId="080F50CF" w14:textId="08CACD35" w:rsidR="00624975" w:rsidRDefault="00624975">
          <w:pPr>
            <w:pStyle w:val="TOC2"/>
            <w:tabs>
              <w:tab w:val="right" w:leader="dot" w:pos="9016"/>
            </w:tabs>
            <w:rPr>
              <w:rFonts w:eastAsiaTheme="minorEastAsia"/>
              <w:noProof/>
              <w:sz w:val="24"/>
              <w:szCs w:val="24"/>
              <w:lang w:eastAsia="en-GB"/>
            </w:rPr>
          </w:pPr>
          <w:hyperlink w:anchor="_Toc217035634" w:history="1">
            <w:r w:rsidRPr="001609B7">
              <w:rPr>
                <w:rStyle w:val="Hyperlink"/>
                <w:noProof/>
              </w:rPr>
              <w:t>RACI Matrix (Responsible, Accountable, Consulted, Informed)</w:t>
            </w:r>
            <w:r>
              <w:rPr>
                <w:noProof/>
                <w:webHidden/>
              </w:rPr>
              <w:tab/>
            </w:r>
            <w:r>
              <w:rPr>
                <w:noProof/>
                <w:webHidden/>
              </w:rPr>
              <w:fldChar w:fldCharType="begin"/>
            </w:r>
            <w:r>
              <w:rPr>
                <w:noProof/>
                <w:webHidden/>
              </w:rPr>
              <w:instrText xml:space="preserve"> PAGEREF _Toc217035634 \h </w:instrText>
            </w:r>
            <w:r>
              <w:rPr>
                <w:noProof/>
                <w:webHidden/>
              </w:rPr>
            </w:r>
            <w:r>
              <w:rPr>
                <w:noProof/>
                <w:webHidden/>
              </w:rPr>
              <w:fldChar w:fldCharType="separate"/>
            </w:r>
            <w:r>
              <w:rPr>
                <w:noProof/>
                <w:webHidden/>
              </w:rPr>
              <w:t>9</w:t>
            </w:r>
            <w:r>
              <w:rPr>
                <w:noProof/>
                <w:webHidden/>
              </w:rPr>
              <w:fldChar w:fldCharType="end"/>
            </w:r>
          </w:hyperlink>
        </w:p>
        <w:p w14:paraId="4E9BCD18" w14:textId="1832227A" w:rsidR="00624975" w:rsidRDefault="00624975">
          <w:pPr>
            <w:pStyle w:val="TOC2"/>
            <w:tabs>
              <w:tab w:val="right" w:leader="dot" w:pos="9016"/>
            </w:tabs>
            <w:rPr>
              <w:rFonts w:eastAsiaTheme="minorEastAsia"/>
              <w:noProof/>
              <w:sz w:val="24"/>
              <w:szCs w:val="24"/>
              <w:lang w:eastAsia="en-GB"/>
            </w:rPr>
          </w:pPr>
          <w:hyperlink w:anchor="_Toc217035635" w:history="1">
            <w:r w:rsidRPr="001609B7">
              <w:rPr>
                <w:rStyle w:val="Hyperlink"/>
                <w:noProof/>
              </w:rPr>
              <w:t>Stakeholder Engagement Plan</w:t>
            </w:r>
            <w:r>
              <w:rPr>
                <w:noProof/>
                <w:webHidden/>
              </w:rPr>
              <w:tab/>
            </w:r>
            <w:r>
              <w:rPr>
                <w:noProof/>
                <w:webHidden/>
              </w:rPr>
              <w:fldChar w:fldCharType="begin"/>
            </w:r>
            <w:r>
              <w:rPr>
                <w:noProof/>
                <w:webHidden/>
              </w:rPr>
              <w:instrText xml:space="preserve"> PAGEREF _Toc217035635 \h </w:instrText>
            </w:r>
            <w:r>
              <w:rPr>
                <w:noProof/>
                <w:webHidden/>
              </w:rPr>
            </w:r>
            <w:r>
              <w:rPr>
                <w:noProof/>
                <w:webHidden/>
              </w:rPr>
              <w:fldChar w:fldCharType="separate"/>
            </w:r>
            <w:r>
              <w:rPr>
                <w:noProof/>
                <w:webHidden/>
              </w:rPr>
              <w:t>10</w:t>
            </w:r>
            <w:r>
              <w:rPr>
                <w:noProof/>
                <w:webHidden/>
              </w:rPr>
              <w:fldChar w:fldCharType="end"/>
            </w:r>
          </w:hyperlink>
        </w:p>
        <w:p w14:paraId="4A17FEE4" w14:textId="6EE8E77F" w:rsidR="00624975" w:rsidRDefault="00624975">
          <w:pPr>
            <w:pStyle w:val="TOC1"/>
            <w:tabs>
              <w:tab w:val="right" w:leader="dot" w:pos="9016"/>
            </w:tabs>
            <w:rPr>
              <w:rFonts w:eastAsiaTheme="minorEastAsia"/>
              <w:noProof/>
              <w:sz w:val="24"/>
              <w:szCs w:val="24"/>
              <w:lang w:eastAsia="en-GB"/>
            </w:rPr>
          </w:pPr>
          <w:hyperlink w:anchor="_Toc217035636" w:history="1">
            <w:r w:rsidRPr="001609B7">
              <w:rPr>
                <w:rStyle w:val="Hyperlink"/>
                <w:noProof/>
              </w:rPr>
              <w:t>4C’s Model for Engagement</w:t>
            </w:r>
            <w:r>
              <w:rPr>
                <w:noProof/>
                <w:webHidden/>
              </w:rPr>
              <w:tab/>
            </w:r>
            <w:r>
              <w:rPr>
                <w:noProof/>
                <w:webHidden/>
              </w:rPr>
              <w:fldChar w:fldCharType="begin"/>
            </w:r>
            <w:r>
              <w:rPr>
                <w:noProof/>
                <w:webHidden/>
              </w:rPr>
              <w:instrText xml:space="preserve"> PAGEREF _Toc217035636 \h </w:instrText>
            </w:r>
            <w:r>
              <w:rPr>
                <w:noProof/>
                <w:webHidden/>
              </w:rPr>
            </w:r>
            <w:r>
              <w:rPr>
                <w:noProof/>
                <w:webHidden/>
              </w:rPr>
              <w:fldChar w:fldCharType="separate"/>
            </w:r>
            <w:r>
              <w:rPr>
                <w:noProof/>
                <w:webHidden/>
              </w:rPr>
              <w:t>12</w:t>
            </w:r>
            <w:r>
              <w:rPr>
                <w:noProof/>
                <w:webHidden/>
              </w:rPr>
              <w:fldChar w:fldCharType="end"/>
            </w:r>
          </w:hyperlink>
        </w:p>
        <w:p w14:paraId="159A3D42" w14:textId="12FCB454" w:rsidR="00624975" w:rsidRDefault="00624975">
          <w:pPr>
            <w:pStyle w:val="TOC2"/>
            <w:tabs>
              <w:tab w:val="right" w:leader="dot" w:pos="9016"/>
            </w:tabs>
            <w:rPr>
              <w:rFonts w:eastAsiaTheme="minorEastAsia"/>
              <w:noProof/>
              <w:sz w:val="24"/>
              <w:szCs w:val="24"/>
              <w:lang w:eastAsia="en-GB"/>
            </w:rPr>
          </w:pPr>
          <w:hyperlink w:anchor="_Toc217035637" w:history="1">
            <w:r w:rsidRPr="001609B7">
              <w:rPr>
                <w:rStyle w:val="Hyperlink"/>
                <w:noProof/>
              </w:rPr>
              <w:t>The Project Manager’s Role and Conflict Management Strategies</w:t>
            </w:r>
            <w:r>
              <w:rPr>
                <w:noProof/>
                <w:webHidden/>
              </w:rPr>
              <w:tab/>
            </w:r>
            <w:r>
              <w:rPr>
                <w:noProof/>
                <w:webHidden/>
              </w:rPr>
              <w:fldChar w:fldCharType="begin"/>
            </w:r>
            <w:r>
              <w:rPr>
                <w:noProof/>
                <w:webHidden/>
              </w:rPr>
              <w:instrText xml:space="preserve"> PAGEREF _Toc217035637 \h </w:instrText>
            </w:r>
            <w:r>
              <w:rPr>
                <w:noProof/>
                <w:webHidden/>
              </w:rPr>
            </w:r>
            <w:r>
              <w:rPr>
                <w:noProof/>
                <w:webHidden/>
              </w:rPr>
              <w:fldChar w:fldCharType="separate"/>
            </w:r>
            <w:r>
              <w:rPr>
                <w:noProof/>
                <w:webHidden/>
              </w:rPr>
              <w:t>13</w:t>
            </w:r>
            <w:r>
              <w:rPr>
                <w:noProof/>
                <w:webHidden/>
              </w:rPr>
              <w:fldChar w:fldCharType="end"/>
            </w:r>
          </w:hyperlink>
        </w:p>
        <w:p w14:paraId="592CCAF1" w14:textId="7CC195B2" w:rsidR="00624975" w:rsidRDefault="00624975">
          <w:pPr>
            <w:pStyle w:val="TOC1"/>
            <w:tabs>
              <w:tab w:val="right" w:leader="dot" w:pos="9016"/>
            </w:tabs>
            <w:rPr>
              <w:rFonts w:eastAsiaTheme="minorEastAsia"/>
              <w:noProof/>
              <w:sz w:val="24"/>
              <w:szCs w:val="24"/>
              <w:lang w:eastAsia="en-GB"/>
            </w:rPr>
          </w:pPr>
          <w:hyperlink w:anchor="_Toc217035638" w:history="1">
            <w:r w:rsidRPr="001609B7">
              <w:rPr>
                <w:rStyle w:val="Hyperlink"/>
                <w:noProof/>
              </w:rPr>
              <w:t>Evaluation of Impact and Recommendations</w:t>
            </w:r>
            <w:r>
              <w:rPr>
                <w:noProof/>
                <w:webHidden/>
              </w:rPr>
              <w:tab/>
            </w:r>
            <w:r>
              <w:rPr>
                <w:noProof/>
                <w:webHidden/>
              </w:rPr>
              <w:fldChar w:fldCharType="begin"/>
            </w:r>
            <w:r>
              <w:rPr>
                <w:noProof/>
                <w:webHidden/>
              </w:rPr>
              <w:instrText xml:space="preserve"> PAGEREF _Toc217035638 \h </w:instrText>
            </w:r>
            <w:r>
              <w:rPr>
                <w:noProof/>
                <w:webHidden/>
              </w:rPr>
            </w:r>
            <w:r>
              <w:rPr>
                <w:noProof/>
                <w:webHidden/>
              </w:rPr>
              <w:fldChar w:fldCharType="separate"/>
            </w:r>
            <w:r>
              <w:rPr>
                <w:noProof/>
                <w:webHidden/>
              </w:rPr>
              <w:t>15</w:t>
            </w:r>
            <w:r>
              <w:rPr>
                <w:noProof/>
                <w:webHidden/>
              </w:rPr>
              <w:fldChar w:fldCharType="end"/>
            </w:r>
          </w:hyperlink>
        </w:p>
        <w:p w14:paraId="267261B5" w14:textId="66694C08" w:rsidR="00624975" w:rsidRDefault="00624975">
          <w:pPr>
            <w:pStyle w:val="TOC2"/>
            <w:tabs>
              <w:tab w:val="right" w:leader="dot" w:pos="9016"/>
            </w:tabs>
            <w:rPr>
              <w:rFonts w:eastAsiaTheme="minorEastAsia"/>
              <w:noProof/>
              <w:sz w:val="24"/>
              <w:szCs w:val="24"/>
              <w:lang w:eastAsia="en-GB"/>
            </w:rPr>
          </w:pPr>
          <w:hyperlink w:anchor="_Toc217035639" w:history="1">
            <w:r w:rsidRPr="001609B7">
              <w:rPr>
                <w:rStyle w:val="Hyperlink"/>
                <w:noProof/>
              </w:rPr>
              <w:t>Evaluation of Stakeholder Engagement Impact on Business Performance</w:t>
            </w:r>
            <w:r>
              <w:rPr>
                <w:noProof/>
                <w:webHidden/>
              </w:rPr>
              <w:tab/>
            </w:r>
            <w:r>
              <w:rPr>
                <w:noProof/>
                <w:webHidden/>
              </w:rPr>
              <w:fldChar w:fldCharType="begin"/>
            </w:r>
            <w:r>
              <w:rPr>
                <w:noProof/>
                <w:webHidden/>
              </w:rPr>
              <w:instrText xml:space="preserve"> PAGEREF _Toc217035639 \h </w:instrText>
            </w:r>
            <w:r>
              <w:rPr>
                <w:noProof/>
                <w:webHidden/>
              </w:rPr>
            </w:r>
            <w:r>
              <w:rPr>
                <w:noProof/>
                <w:webHidden/>
              </w:rPr>
              <w:fldChar w:fldCharType="separate"/>
            </w:r>
            <w:r>
              <w:rPr>
                <w:noProof/>
                <w:webHidden/>
              </w:rPr>
              <w:t>15</w:t>
            </w:r>
            <w:r>
              <w:rPr>
                <w:noProof/>
                <w:webHidden/>
              </w:rPr>
              <w:fldChar w:fldCharType="end"/>
            </w:r>
          </w:hyperlink>
        </w:p>
        <w:p w14:paraId="0D1B34A6" w14:textId="60FF4019" w:rsidR="00624975" w:rsidRDefault="00624975">
          <w:pPr>
            <w:pStyle w:val="TOC2"/>
            <w:tabs>
              <w:tab w:val="right" w:leader="dot" w:pos="9016"/>
            </w:tabs>
            <w:rPr>
              <w:rFonts w:eastAsiaTheme="minorEastAsia"/>
              <w:noProof/>
              <w:sz w:val="24"/>
              <w:szCs w:val="24"/>
              <w:lang w:eastAsia="en-GB"/>
            </w:rPr>
          </w:pPr>
          <w:hyperlink w:anchor="_Toc217035640" w:history="1">
            <w:r w:rsidRPr="001609B7">
              <w:rPr>
                <w:rStyle w:val="Hyperlink"/>
                <w:noProof/>
              </w:rPr>
              <w:t>Recommendations for Future Stakeholder Engagement</w:t>
            </w:r>
            <w:r>
              <w:rPr>
                <w:noProof/>
                <w:webHidden/>
              </w:rPr>
              <w:tab/>
            </w:r>
            <w:r>
              <w:rPr>
                <w:noProof/>
                <w:webHidden/>
              </w:rPr>
              <w:fldChar w:fldCharType="begin"/>
            </w:r>
            <w:r>
              <w:rPr>
                <w:noProof/>
                <w:webHidden/>
              </w:rPr>
              <w:instrText xml:space="preserve"> PAGEREF _Toc217035640 \h </w:instrText>
            </w:r>
            <w:r>
              <w:rPr>
                <w:noProof/>
                <w:webHidden/>
              </w:rPr>
            </w:r>
            <w:r>
              <w:rPr>
                <w:noProof/>
                <w:webHidden/>
              </w:rPr>
              <w:fldChar w:fldCharType="separate"/>
            </w:r>
            <w:r>
              <w:rPr>
                <w:noProof/>
                <w:webHidden/>
              </w:rPr>
              <w:t>17</w:t>
            </w:r>
            <w:r>
              <w:rPr>
                <w:noProof/>
                <w:webHidden/>
              </w:rPr>
              <w:fldChar w:fldCharType="end"/>
            </w:r>
          </w:hyperlink>
        </w:p>
        <w:p w14:paraId="67BF7A40" w14:textId="42EC1656" w:rsidR="00624975" w:rsidRDefault="00624975">
          <w:pPr>
            <w:pStyle w:val="TOC1"/>
            <w:tabs>
              <w:tab w:val="right" w:leader="dot" w:pos="9016"/>
            </w:tabs>
            <w:rPr>
              <w:rFonts w:eastAsiaTheme="minorEastAsia"/>
              <w:noProof/>
              <w:sz w:val="24"/>
              <w:szCs w:val="24"/>
              <w:lang w:eastAsia="en-GB"/>
            </w:rPr>
          </w:pPr>
          <w:hyperlink w:anchor="_Toc217035641" w:history="1">
            <w:r w:rsidRPr="001609B7">
              <w:rPr>
                <w:rStyle w:val="Hyperlink"/>
                <w:noProof/>
              </w:rPr>
              <w:t>Conclusion</w:t>
            </w:r>
            <w:r>
              <w:rPr>
                <w:noProof/>
                <w:webHidden/>
              </w:rPr>
              <w:tab/>
            </w:r>
            <w:r>
              <w:rPr>
                <w:noProof/>
                <w:webHidden/>
              </w:rPr>
              <w:fldChar w:fldCharType="begin"/>
            </w:r>
            <w:r>
              <w:rPr>
                <w:noProof/>
                <w:webHidden/>
              </w:rPr>
              <w:instrText xml:space="preserve"> PAGEREF _Toc217035641 \h </w:instrText>
            </w:r>
            <w:r>
              <w:rPr>
                <w:noProof/>
                <w:webHidden/>
              </w:rPr>
            </w:r>
            <w:r>
              <w:rPr>
                <w:noProof/>
                <w:webHidden/>
              </w:rPr>
              <w:fldChar w:fldCharType="separate"/>
            </w:r>
            <w:r>
              <w:rPr>
                <w:noProof/>
                <w:webHidden/>
              </w:rPr>
              <w:t>18</w:t>
            </w:r>
            <w:r>
              <w:rPr>
                <w:noProof/>
                <w:webHidden/>
              </w:rPr>
              <w:fldChar w:fldCharType="end"/>
            </w:r>
          </w:hyperlink>
        </w:p>
        <w:p w14:paraId="37C1E110" w14:textId="05F932FB" w:rsidR="00624975" w:rsidRDefault="00624975">
          <w:pPr>
            <w:pStyle w:val="TOC1"/>
            <w:tabs>
              <w:tab w:val="right" w:leader="dot" w:pos="9016"/>
            </w:tabs>
            <w:rPr>
              <w:rFonts w:eastAsiaTheme="minorEastAsia"/>
              <w:noProof/>
              <w:sz w:val="24"/>
              <w:szCs w:val="24"/>
              <w:lang w:eastAsia="en-GB"/>
            </w:rPr>
          </w:pPr>
          <w:hyperlink w:anchor="_Toc217035642" w:history="1">
            <w:r w:rsidRPr="001609B7">
              <w:rPr>
                <w:rStyle w:val="Hyperlink"/>
                <w:noProof/>
              </w:rPr>
              <w:t>References</w:t>
            </w:r>
            <w:r>
              <w:rPr>
                <w:noProof/>
                <w:webHidden/>
              </w:rPr>
              <w:tab/>
            </w:r>
            <w:r>
              <w:rPr>
                <w:noProof/>
                <w:webHidden/>
              </w:rPr>
              <w:fldChar w:fldCharType="begin"/>
            </w:r>
            <w:r>
              <w:rPr>
                <w:noProof/>
                <w:webHidden/>
              </w:rPr>
              <w:instrText xml:space="preserve"> PAGEREF _Toc217035642 \h </w:instrText>
            </w:r>
            <w:r>
              <w:rPr>
                <w:noProof/>
                <w:webHidden/>
              </w:rPr>
            </w:r>
            <w:r>
              <w:rPr>
                <w:noProof/>
                <w:webHidden/>
              </w:rPr>
              <w:fldChar w:fldCharType="separate"/>
            </w:r>
            <w:r>
              <w:rPr>
                <w:noProof/>
                <w:webHidden/>
              </w:rPr>
              <w:t>19</w:t>
            </w:r>
            <w:r>
              <w:rPr>
                <w:noProof/>
                <w:webHidden/>
              </w:rPr>
              <w:fldChar w:fldCharType="end"/>
            </w:r>
          </w:hyperlink>
        </w:p>
        <w:p w14:paraId="24B13765" w14:textId="23E3E74D" w:rsidR="008327CC" w:rsidRDefault="008327CC">
          <w:r>
            <w:rPr>
              <w:b/>
              <w:bCs/>
              <w:noProof/>
            </w:rPr>
            <w:fldChar w:fldCharType="end"/>
          </w:r>
        </w:p>
      </w:sdtContent>
    </w:sdt>
    <w:p w14:paraId="7B226DFB" w14:textId="1586037D" w:rsidR="00203A49" w:rsidRDefault="00203A49">
      <w:r>
        <w:br w:type="page"/>
      </w:r>
    </w:p>
    <w:p w14:paraId="67644D3B" w14:textId="78B0A101" w:rsidR="000A577C" w:rsidRPr="00721638" w:rsidRDefault="007C1073" w:rsidP="00721638">
      <w:pPr>
        <w:pStyle w:val="Heading1"/>
      </w:pPr>
      <w:bookmarkStart w:id="1" w:name="_Toc217035614"/>
      <w:r w:rsidRPr="00721638">
        <w:lastRenderedPageBreak/>
        <w:t>Introduction</w:t>
      </w:r>
      <w:bookmarkEnd w:id="1"/>
    </w:p>
    <w:p w14:paraId="2C7773A5" w14:textId="7613A488" w:rsidR="00EA5332" w:rsidRDefault="005B4FD3" w:rsidP="00685262">
      <w:pPr>
        <w:spacing w:line="360" w:lineRule="auto"/>
      </w:pPr>
      <w:r>
        <w:t>Pfizer Inc. is a premier, research-based global biopharmaceutical company headquartered in New York</w:t>
      </w:r>
      <w:r w:rsidR="009527B4">
        <w:t>, with a significant operational and research</w:t>
      </w:r>
      <w:r w:rsidR="00550021">
        <w:t xml:space="preserve"> footprint in the UK, including major sites in Cambridge, Sandwich</w:t>
      </w:r>
      <w:r w:rsidR="000155AA">
        <w:t>, and Walton Oaks. Founded in 1849</w:t>
      </w:r>
      <w:r w:rsidR="00396966">
        <w:t xml:space="preserve"> </w:t>
      </w:r>
      <w:r w:rsidR="00685550" w:rsidRPr="00F76BFF">
        <w:t>(</w:t>
      </w:r>
      <w:r w:rsidR="00291382" w:rsidRPr="00F76BFF">
        <w:t>Pfizer, 2024</w:t>
      </w:r>
      <w:r w:rsidR="00685550" w:rsidRPr="00F76BFF">
        <w:t>)</w:t>
      </w:r>
      <w:r w:rsidR="00685550">
        <w:t>, Pfizer is renowned for its historic</w:t>
      </w:r>
      <w:r w:rsidR="00156CD5">
        <w:t xml:space="preserve"> and ongoing contributions to public health, from penici</w:t>
      </w:r>
      <w:r w:rsidR="001E1D9F">
        <w:t>llin to the Covid-19 vaccine. While its</w:t>
      </w:r>
      <w:r w:rsidR="00BA402C">
        <w:t xml:space="preserve"> core identity is rooted in pharmaceuticals and vaccines, Pfizer has strategically expanded</w:t>
      </w:r>
      <w:r w:rsidR="00494B14">
        <w:t xml:space="preserve"> into a broader healthcare entity. This is evidenced by its Pfizer Healthcare division, which</w:t>
      </w:r>
      <w:r w:rsidR="00DC52A0">
        <w:t xml:space="preserve"> encompasses consumer healthcare (now part of Haleo</w:t>
      </w:r>
      <w:r w:rsidR="002643E9">
        <w:t>n post-divestiture)</w:t>
      </w:r>
      <w:r w:rsidR="001724F2">
        <w:t xml:space="preserve"> </w:t>
      </w:r>
      <w:r w:rsidR="001724F2" w:rsidRPr="00F76BFF">
        <w:t>(GSK, 2024)</w:t>
      </w:r>
      <w:r w:rsidR="00A70589">
        <w:t>,</w:t>
      </w:r>
      <w:r w:rsidR="001724F2">
        <w:t xml:space="preserve"> </w:t>
      </w:r>
      <w:r w:rsidR="002643E9">
        <w:t>and</w:t>
      </w:r>
      <w:r w:rsidR="00A70589">
        <w:t xml:space="preserve"> </w:t>
      </w:r>
      <w:r w:rsidR="002643E9">
        <w:t>increasing biomedical technology and digital health initiatives</w:t>
      </w:r>
      <w:r w:rsidR="007A0C45">
        <w:t>. The company’s mission, “Breakthroughs that change patients</w:t>
      </w:r>
      <w:r w:rsidR="001E0E2E">
        <w:t>’ lives,” now extends beyond</w:t>
      </w:r>
      <w:r w:rsidR="00124CF9">
        <w:t xml:space="preserve"> molecular entities to include health technologies that empower patient-centric care. Launching a wearable health device</w:t>
      </w:r>
      <w:r w:rsidR="00376F80">
        <w:t xml:space="preserve"> represents a strategic alignment with this evolution, leveraging</w:t>
      </w:r>
      <w:r w:rsidR="009D0B60">
        <w:t xml:space="preserve"> Pfizer’s trusted brand, deep clinical expertise, and global reach to enter </w:t>
      </w:r>
      <w:r w:rsidR="00723F4D">
        <w:t>the</w:t>
      </w:r>
      <w:r w:rsidR="006B4B60">
        <w:t xml:space="preserve"> connected health market. This move </w:t>
      </w:r>
      <w:r w:rsidR="00F033BA">
        <w:t xml:space="preserve">aims to create a direct, data-driven connection with consumers, opening </w:t>
      </w:r>
      <w:r w:rsidR="00A870D8">
        <w:t>new avenues for preventive health management and complementing its the</w:t>
      </w:r>
      <w:r w:rsidR="003613DF">
        <w:t>rapeutic portfolios in cardiovascular and neurological diseases.</w:t>
      </w:r>
    </w:p>
    <w:p w14:paraId="685BDF70" w14:textId="77777777" w:rsidR="00EA5332" w:rsidRDefault="00EA5332" w:rsidP="00685262">
      <w:pPr>
        <w:spacing w:line="360" w:lineRule="auto"/>
      </w:pPr>
      <w:r>
        <w:br w:type="page"/>
      </w:r>
    </w:p>
    <w:p w14:paraId="7A79A79B" w14:textId="226E1738" w:rsidR="007C1073" w:rsidRDefault="00924A1F" w:rsidP="00685262">
      <w:pPr>
        <w:pStyle w:val="Heading1"/>
        <w:spacing w:line="360" w:lineRule="auto"/>
      </w:pPr>
      <w:bookmarkStart w:id="2" w:name="_Toc217035615"/>
      <w:r>
        <w:lastRenderedPageBreak/>
        <w:t xml:space="preserve">Strategic Appraisal Using </w:t>
      </w:r>
      <w:r w:rsidR="00E956FD">
        <w:t>Strategic Planning Tools</w:t>
      </w:r>
      <w:bookmarkEnd w:id="2"/>
    </w:p>
    <w:p w14:paraId="0C6A1A00" w14:textId="5B49D316" w:rsidR="0093767E" w:rsidRDefault="0093767E" w:rsidP="00685262">
      <w:pPr>
        <w:spacing w:line="360" w:lineRule="auto"/>
      </w:pPr>
      <w:r>
        <w:t xml:space="preserve">A SWOT analysis provides a strategic snapshot of Pfizer Healthcare’s position as it ventures into the </w:t>
      </w:r>
      <w:r w:rsidR="0085078E">
        <w:t>wearable health device market.</w:t>
      </w:r>
    </w:p>
    <w:p w14:paraId="49C3ED7A" w14:textId="00E72752" w:rsidR="00E956FD" w:rsidRDefault="00E956FD" w:rsidP="00E956FD">
      <w:pPr>
        <w:pStyle w:val="Heading2"/>
      </w:pPr>
      <w:bookmarkStart w:id="3" w:name="_Toc217035616"/>
      <w:r>
        <w:t>SWOT Analysis</w:t>
      </w:r>
      <w:bookmarkEnd w:id="3"/>
    </w:p>
    <w:p w14:paraId="7087F613" w14:textId="013E210C" w:rsidR="0085078E" w:rsidRDefault="0085078E" w:rsidP="00E956FD">
      <w:pPr>
        <w:pStyle w:val="Heading3"/>
      </w:pPr>
      <w:bookmarkStart w:id="4" w:name="_Toc217035617"/>
      <w:r>
        <w:t>Strengths</w:t>
      </w:r>
      <w:bookmarkEnd w:id="4"/>
    </w:p>
    <w:p w14:paraId="69E3EA4B" w14:textId="4A2CDD72" w:rsidR="0085078E" w:rsidRDefault="0085078E" w:rsidP="00685262">
      <w:pPr>
        <w:spacing w:line="360" w:lineRule="auto"/>
      </w:pPr>
      <w:r>
        <w:t>Brand Equity and Trust: Pfizer possesses one of the most trusted brands in global healthcare, associated</w:t>
      </w:r>
      <w:r w:rsidR="009756F3">
        <w:t xml:space="preserve"> with scientific rigour</w:t>
      </w:r>
      <w:r w:rsidR="005B47B5">
        <w:t xml:space="preserve"> </w:t>
      </w:r>
      <w:r w:rsidR="005B47B5" w:rsidRPr="00ED2529">
        <w:t>(MM+M, 202</w:t>
      </w:r>
      <w:r w:rsidR="00C83958" w:rsidRPr="00ED2529">
        <w:t>2</w:t>
      </w:r>
      <w:r w:rsidR="005B47B5" w:rsidRPr="00ED2529">
        <w:t>)</w:t>
      </w:r>
      <w:r w:rsidR="009756F3">
        <w:t xml:space="preserve">, quality, and safety, </w:t>
      </w:r>
      <w:r w:rsidR="001633B4">
        <w:t>t</w:t>
      </w:r>
      <w:r w:rsidR="009756F3">
        <w:t xml:space="preserve">his trust is a critical differentiator in a </w:t>
      </w:r>
      <w:r w:rsidR="0062499F">
        <w:t>consumer health market often crowded with unvalidated gadgets.</w:t>
      </w:r>
    </w:p>
    <w:p w14:paraId="392AFC45" w14:textId="525BA203" w:rsidR="00C70D62" w:rsidRDefault="0062499F" w:rsidP="00685262">
      <w:pPr>
        <w:spacing w:line="360" w:lineRule="auto"/>
      </w:pPr>
      <w:r>
        <w:t>Clinical &amp; Regulatory Expertise: Decades of conducting clinical tr</w:t>
      </w:r>
      <w:r w:rsidR="00C3607D">
        <w:t>ials and navigating stringent regulatory bodies (FDA,</w:t>
      </w:r>
      <w:r w:rsidR="008F1B91">
        <w:t xml:space="preserve"> </w:t>
      </w:r>
      <w:r w:rsidR="00C3607D">
        <w:t>EMA,</w:t>
      </w:r>
      <w:r w:rsidR="008F1B91">
        <w:t xml:space="preserve"> </w:t>
      </w:r>
      <w:r w:rsidR="00C3607D">
        <w:t>MHRA) p</w:t>
      </w:r>
      <w:r w:rsidR="007562A0">
        <w:t>r</w:t>
      </w:r>
      <w:r w:rsidR="00C3607D">
        <w:t>ovide</w:t>
      </w:r>
      <w:r w:rsidR="00C46A37">
        <w:t xml:space="preserve"> a formidable advantage in ensuring device efficacy, data integrity, and achieving </w:t>
      </w:r>
      <w:r w:rsidR="008F1B91">
        <w:t>necessary certifications (e.g., CE mark, FDA Class</w:t>
      </w:r>
      <w:r w:rsidR="00C70D62">
        <w:t xml:space="preserve"> II device approval)</w:t>
      </w:r>
      <w:r w:rsidR="0040125D">
        <w:t xml:space="preserve"> </w:t>
      </w:r>
      <w:r w:rsidR="00851F5C">
        <w:t>as p</w:t>
      </w:r>
      <w:r w:rsidR="00FB0464">
        <w:t>er</w:t>
      </w:r>
      <w:r w:rsidR="00851F5C">
        <w:t xml:space="preserve"> </w:t>
      </w:r>
      <w:r w:rsidR="00851F5C" w:rsidRPr="00ED2529">
        <w:t>Pfizer</w:t>
      </w:r>
      <w:r w:rsidR="00FB0464" w:rsidRPr="00ED2529">
        <w:t xml:space="preserve"> (2024)</w:t>
      </w:r>
      <w:r w:rsidR="00C70D62" w:rsidRPr="00ED2529">
        <w:t>.</w:t>
      </w:r>
    </w:p>
    <w:p w14:paraId="3F457D13" w14:textId="326011EB" w:rsidR="00A27E54" w:rsidRDefault="00026260" w:rsidP="00685262">
      <w:pPr>
        <w:spacing w:line="360" w:lineRule="auto"/>
      </w:pPr>
      <w:r>
        <w:t xml:space="preserve">Established Healthcare Ecosystems: Pfizer has deep-existing relationships with healthcare professionals </w:t>
      </w:r>
      <w:r w:rsidR="00050D15">
        <w:t xml:space="preserve">(HCPs), hospitals, </w:t>
      </w:r>
      <w:r w:rsidR="009A0628">
        <w:t>pharmacies</w:t>
      </w:r>
      <w:r w:rsidR="00A27E54">
        <w:t xml:space="preserve">, and prayers, </w:t>
      </w:r>
      <w:r w:rsidR="00E179D3">
        <w:t>t</w:t>
      </w:r>
      <w:r w:rsidR="00A27E54">
        <w:t>his allows for potential integration of device data into professional healthcare pathways</w:t>
      </w:r>
      <w:r w:rsidR="00260942">
        <w:t xml:space="preserve"> </w:t>
      </w:r>
      <w:r w:rsidR="00260942" w:rsidRPr="00460356">
        <w:t>(Pfizer, 20</w:t>
      </w:r>
      <w:r w:rsidR="00460356" w:rsidRPr="00460356">
        <w:t>24</w:t>
      </w:r>
      <w:r w:rsidR="00260942" w:rsidRPr="00460356">
        <w:t>)</w:t>
      </w:r>
      <w:r w:rsidR="00A27E54">
        <w:t>, moving beyond consumer wellness into disease management.</w:t>
      </w:r>
    </w:p>
    <w:p w14:paraId="02BEFFF0" w14:textId="29CDF076" w:rsidR="00A27E54" w:rsidRDefault="00525046" w:rsidP="00685262">
      <w:pPr>
        <w:spacing w:line="360" w:lineRule="auto"/>
      </w:pPr>
      <w:r>
        <w:t>Financial</w:t>
      </w:r>
      <w:r w:rsidR="00933BB6">
        <w:t xml:space="preserve"> Resources</w:t>
      </w:r>
      <w:r w:rsidR="00654F6E">
        <w:t>: Significant R&amp;D and marketing budgets enable substantial investment in the device’s development, sophisticated data security, and high-impact launch campaigns.</w:t>
      </w:r>
    </w:p>
    <w:p w14:paraId="70C0E16B" w14:textId="0C8046B1" w:rsidR="00EE0D5E" w:rsidRDefault="004627E0" w:rsidP="00E956FD">
      <w:pPr>
        <w:pStyle w:val="Heading3"/>
      </w:pPr>
      <w:bookmarkStart w:id="5" w:name="_Toc217035618"/>
      <w:r>
        <w:t>Weakn</w:t>
      </w:r>
      <w:r w:rsidR="008B7339">
        <w:t>esses</w:t>
      </w:r>
      <w:bookmarkEnd w:id="5"/>
    </w:p>
    <w:p w14:paraId="1EE336A7" w14:textId="7B546C04" w:rsidR="004627E0" w:rsidRDefault="008B7339" w:rsidP="00685262">
      <w:pPr>
        <w:spacing w:line="360" w:lineRule="auto"/>
      </w:pPr>
      <w:r>
        <w:t xml:space="preserve">This is a departure from Pfizer’s core competency of drug development into fast moving </w:t>
      </w:r>
      <w:r w:rsidR="00033C4E">
        <w:t>consumer electronics, an area with shorter product cycles and different consumer engagement models. Internal culture may be less agile than tech startups</w:t>
      </w:r>
      <w:r w:rsidR="00D127AE">
        <w:t>. Lack of direct experience in consumer retail logistics and digital user experience design could pose challenge</w:t>
      </w:r>
      <w:r w:rsidR="00EE0D5E">
        <w:t>s.</w:t>
      </w:r>
    </w:p>
    <w:p w14:paraId="289904BE" w14:textId="3024B796" w:rsidR="00654F6E" w:rsidRDefault="00227D9B" w:rsidP="00E956FD">
      <w:pPr>
        <w:pStyle w:val="Heading3"/>
      </w:pPr>
      <w:bookmarkStart w:id="6" w:name="_Toc217035619"/>
      <w:r>
        <w:t>Opportunities</w:t>
      </w:r>
      <w:bookmarkEnd w:id="6"/>
    </w:p>
    <w:p w14:paraId="1AB6F9C1" w14:textId="27591A39" w:rsidR="00227D9B" w:rsidRDefault="00227D9B" w:rsidP="00685262">
      <w:pPr>
        <w:spacing w:line="360" w:lineRule="auto"/>
      </w:pPr>
      <w:r>
        <w:t>Data-Driven Th</w:t>
      </w:r>
      <w:r w:rsidR="0060557E">
        <w:t>erapeutic Development: Aggregated, anonymised data from devices can provide real-world evidence (RWE) to inform future R&amp;D in cardio</w:t>
      </w:r>
      <w:r w:rsidR="00B034F9">
        <w:t>logy, sleep disorders, and respiratory</w:t>
      </w:r>
      <w:r w:rsidR="00E77416">
        <w:t xml:space="preserve"> diseases, creating</w:t>
      </w:r>
      <w:r w:rsidR="00187E5D">
        <w:t xml:space="preserve"> a powerful feedback loop.</w:t>
      </w:r>
    </w:p>
    <w:p w14:paraId="46AF8936" w14:textId="55C81BFE" w:rsidR="00187E5D" w:rsidRDefault="00187E5D" w:rsidP="00685262">
      <w:pPr>
        <w:spacing w:line="360" w:lineRule="auto"/>
      </w:pPr>
      <w:r>
        <w:t xml:space="preserve">Expansion into Digital Therapeutics (DTx): The device could be </w:t>
      </w:r>
      <w:r w:rsidR="00AC4063">
        <w:t>the hardware platform for future FDA-approved DTx, where the device it</w:t>
      </w:r>
      <w:r w:rsidR="006E7191">
        <w:t>self becomes part of a treatment protocol, opening new revenue</w:t>
      </w:r>
      <w:r w:rsidR="00D802FE">
        <w:t xml:space="preserve"> streams and treatment models.</w:t>
      </w:r>
    </w:p>
    <w:p w14:paraId="4A68F064" w14:textId="20702943" w:rsidR="00D802FE" w:rsidRDefault="00D802FE" w:rsidP="00685262">
      <w:pPr>
        <w:spacing w:line="360" w:lineRule="auto"/>
      </w:pPr>
      <w:r>
        <w:lastRenderedPageBreak/>
        <w:t>Strengthening Patient Outcomes: By providing</w:t>
      </w:r>
      <w:r w:rsidR="00DB3A67">
        <w:t xml:space="preserve"> patients and HCPs with </w:t>
      </w:r>
      <w:r w:rsidR="00BE088C">
        <w:t>cont</w:t>
      </w:r>
      <w:r w:rsidR="00555336">
        <w:t>inuous physiological data, Pfiz</w:t>
      </w:r>
      <w:r w:rsidR="00E10752">
        <w:t>er can improve medication adherence monitoring and chronic disease management, enhancing therapeutic value and patient loyalty</w:t>
      </w:r>
      <w:r w:rsidR="003366F4">
        <w:t xml:space="preserve"> (</w:t>
      </w:r>
      <w:r w:rsidR="00144AFF" w:rsidRPr="00460356">
        <w:t xml:space="preserve">The Octalysis Group, </w:t>
      </w:r>
      <w:proofErr w:type="spellStart"/>
      <w:proofErr w:type="gramStart"/>
      <w:r w:rsidR="00560095" w:rsidRPr="00460356">
        <w:t>n,d</w:t>
      </w:r>
      <w:proofErr w:type="spellEnd"/>
      <w:r w:rsidR="00560095" w:rsidRPr="0075325F">
        <w:rPr>
          <w:color w:val="EE0000"/>
        </w:rPr>
        <w:t>.</w:t>
      </w:r>
      <w:proofErr w:type="gramEnd"/>
      <w:r w:rsidR="00144AFF">
        <w:t>)</w:t>
      </w:r>
    </w:p>
    <w:p w14:paraId="3D65DEF2" w14:textId="3A751E61" w:rsidR="001D2105" w:rsidRDefault="00665B4B" w:rsidP="00685262">
      <w:pPr>
        <w:spacing w:line="360" w:lineRule="auto"/>
      </w:pPr>
      <w:r>
        <w:t xml:space="preserve">Entry into the Booming </w:t>
      </w:r>
      <w:r w:rsidR="00F527D1">
        <w:t xml:space="preserve">Digital Health Market: This diversifies </w:t>
      </w:r>
      <w:r w:rsidR="00140FB9">
        <w:t>Pfizer’s revenue streams and positions it at the forefront of the convergence of tech and healthcare.</w:t>
      </w:r>
    </w:p>
    <w:p w14:paraId="3FB957A1" w14:textId="44638A3D" w:rsidR="00EE0D5E" w:rsidRDefault="00140FB9" w:rsidP="00E956FD">
      <w:pPr>
        <w:pStyle w:val="Heading3"/>
      </w:pPr>
      <w:bookmarkStart w:id="7" w:name="_Toc217035620"/>
      <w:r>
        <w:t>Threats</w:t>
      </w:r>
      <w:bookmarkEnd w:id="7"/>
    </w:p>
    <w:p w14:paraId="28BD6245" w14:textId="6C7E2E0B" w:rsidR="001D2105" w:rsidRDefault="001D2105" w:rsidP="00685262">
      <w:pPr>
        <w:spacing w:line="360" w:lineRule="auto"/>
      </w:pPr>
      <w:r>
        <w:t xml:space="preserve">Intense Competition: The market is saturated with well-established players (Apple, Samsung, Garmin, </w:t>
      </w:r>
      <w:proofErr w:type="spellStart"/>
      <w:r>
        <w:t>Withing</w:t>
      </w:r>
      <w:r w:rsidR="00C428C3">
        <w:t>s</w:t>
      </w:r>
      <w:proofErr w:type="spellEnd"/>
      <w:r w:rsidR="00C428C3">
        <w:t xml:space="preserve">) possessing superior tech design, brand loyalty in </w:t>
      </w:r>
      <w:r w:rsidR="00485AE2">
        <w:t>consumer</w:t>
      </w:r>
      <w:r w:rsidR="00C428C3">
        <w:t xml:space="preserve"> electronics, and existing retail channels.</w:t>
      </w:r>
    </w:p>
    <w:p w14:paraId="61F5ABC5" w14:textId="6D180B7E" w:rsidR="00485AE2" w:rsidRDefault="001B07C6" w:rsidP="00685262">
      <w:pPr>
        <w:spacing w:line="360" w:lineRule="auto"/>
      </w:pPr>
      <w:r>
        <w:t>Rapid Technological</w:t>
      </w:r>
      <w:r w:rsidR="00D046E7">
        <w:t xml:space="preserve"> Obsolescence: The tech lifecycle is a short. Pfizer risks launching a device that is quickly</w:t>
      </w:r>
      <w:r w:rsidR="0035622D">
        <w:t xml:space="preserve"> outmoded unless it commits to continuous, rapid hardware and software updates</w:t>
      </w:r>
      <w:r w:rsidR="0013069D">
        <w:t>.</w:t>
      </w:r>
    </w:p>
    <w:p w14:paraId="4A2D569B" w14:textId="478650F5" w:rsidR="0013069D" w:rsidRDefault="0013069D" w:rsidP="00685262">
      <w:pPr>
        <w:spacing w:line="360" w:lineRule="auto"/>
      </w:pPr>
      <w:r>
        <w:t>Data Privacy and Security Concerns: Handling sensitive health data (heart rate, sleep patterns</w:t>
      </w:r>
      <w:r w:rsidR="007B15A8">
        <w:t>) attracts intense regulatory scrutiny (GDPR, HIPAA) and consumer anxiety, A data breach would be catastrophic for Pfizer’s reputation.</w:t>
      </w:r>
    </w:p>
    <w:p w14:paraId="0BAB560A" w14:textId="77777777" w:rsidR="00E956FD" w:rsidRDefault="009856A8" w:rsidP="00E956FD">
      <w:pPr>
        <w:spacing w:line="360" w:lineRule="auto"/>
      </w:pPr>
      <w:r>
        <w:t>Channel Conflict: Determining sales channels (online DTC, retail pharmacies, specialist medical suppliers) without cannibalising sales or confusing the brand proposition is a complex challenge.</w:t>
      </w:r>
    </w:p>
    <w:p w14:paraId="265F1085" w14:textId="04A59F26" w:rsidR="00F1486C" w:rsidRDefault="00F1486C" w:rsidP="00E956FD">
      <w:pPr>
        <w:pStyle w:val="Heading2"/>
      </w:pPr>
      <w:bookmarkStart w:id="8" w:name="_Toc217035621"/>
      <w:r>
        <w:t>Pes</w:t>
      </w:r>
      <w:r w:rsidR="00E956FD">
        <w:t>t</w:t>
      </w:r>
      <w:r>
        <w:t>le Analysis</w:t>
      </w:r>
      <w:bookmarkEnd w:id="8"/>
    </w:p>
    <w:p w14:paraId="409B3AD7" w14:textId="0B649D49" w:rsidR="00E130D1" w:rsidRDefault="00F1486C" w:rsidP="00685262">
      <w:pPr>
        <w:spacing w:line="360" w:lineRule="auto"/>
      </w:pPr>
      <w:bookmarkStart w:id="9" w:name="_Toc217035622"/>
      <w:r w:rsidRPr="00E956FD">
        <w:rPr>
          <w:rStyle w:val="Heading3Char"/>
        </w:rPr>
        <w:t>Political:</w:t>
      </w:r>
      <w:bookmarkEnd w:id="9"/>
      <w:r>
        <w:t xml:space="preserve"> </w:t>
      </w:r>
      <w:r w:rsidR="00E130D1">
        <w:t>Government initiatives promoting digital health and preven</w:t>
      </w:r>
      <w:r w:rsidR="000552B9">
        <w:t>tive</w:t>
      </w:r>
      <w:r w:rsidR="00FC00B3">
        <w:t xml:space="preserve"> care in the UK (NHS Long Term Plan) create a favourable environment</w:t>
      </w:r>
      <w:r w:rsidR="00DD0B01">
        <w:t xml:space="preserve"> </w:t>
      </w:r>
      <w:r w:rsidR="00DD0B01" w:rsidRPr="00950FE8">
        <w:t>(</w:t>
      </w:r>
      <w:r w:rsidR="00950FE8" w:rsidRPr="00950FE8">
        <w:t>Hakim, Wheatland, Inch</w:t>
      </w:r>
      <w:r w:rsidR="001C1A0D" w:rsidRPr="00950FE8">
        <w:t>, 2025)</w:t>
      </w:r>
      <w:r w:rsidR="00FC00B3" w:rsidRPr="00950FE8">
        <w:t xml:space="preserve">. </w:t>
      </w:r>
      <w:r w:rsidR="00FC00B3">
        <w:t>However</w:t>
      </w:r>
      <w:r w:rsidR="003F763B">
        <w:t>, post Brexit regulatory divergence (UKCA vs CE marking) adds complexity</w:t>
      </w:r>
      <w:r w:rsidR="00F11FE7">
        <w:t>.</w:t>
      </w:r>
    </w:p>
    <w:p w14:paraId="310A0544" w14:textId="7E465750" w:rsidR="00F11FE7" w:rsidRDefault="00F11FE7" w:rsidP="00685262">
      <w:pPr>
        <w:spacing w:line="360" w:lineRule="auto"/>
      </w:pPr>
      <w:bookmarkStart w:id="10" w:name="_Toc217035623"/>
      <w:r w:rsidRPr="00E956FD">
        <w:rPr>
          <w:rStyle w:val="Heading3Char"/>
        </w:rPr>
        <w:t>Economic:</w:t>
      </w:r>
      <w:bookmarkEnd w:id="10"/>
      <w:r>
        <w:t xml:space="preserve"> High inflation may </w:t>
      </w:r>
      <w:r w:rsidR="003844C1">
        <w:t>affect</w:t>
      </w:r>
      <w:r>
        <w:t xml:space="preserve"> consumer discretionary spending on non-essential health gadgets</w:t>
      </w:r>
      <w:r w:rsidR="00A01A26">
        <w:t xml:space="preserve"> </w:t>
      </w:r>
      <w:r w:rsidR="00A01A26" w:rsidRPr="00950FE8">
        <w:t>(Clusters, 2023)</w:t>
      </w:r>
      <w:r w:rsidRPr="00950FE8">
        <w:t xml:space="preserve">. </w:t>
      </w:r>
      <w:r>
        <w:t xml:space="preserve">Conversely, a growing focus on personal health may make such devices </w:t>
      </w:r>
      <w:r w:rsidR="00BF437E">
        <w:t>a priority purchase for some demographics.</w:t>
      </w:r>
    </w:p>
    <w:p w14:paraId="530C579F" w14:textId="2045CFF2" w:rsidR="00BF437E" w:rsidRDefault="00BF437E" w:rsidP="00685262">
      <w:pPr>
        <w:spacing w:line="360" w:lineRule="auto"/>
      </w:pPr>
      <w:r>
        <w:t xml:space="preserve">Social: Increased health consciousness </w:t>
      </w:r>
      <w:r w:rsidR="00AB7DF3">
        <w:t>post COVID-19 and an ageing population seeking ageing in place</w:t>
      </w:r>
      <w:r w:rsidR="002B60BC">
        <w:t xml:space="preserve"> solutions drive demand. Societal trust in medical grade data from a pharmaceutical brand is high, but data privacy concerns persist</w:t>
      </w:r>
      <w:r w:rsidR="00DB2B55">
        <w:t>.</w:t>
      </w:r>
    </w:p>
    <w:p w14:paraId="1587C998" w14:textId="2D267BA0" w:rsidR="00DB2B55" w:rsidRDefault="00DB2B55" w:rsidP="00685262">
      <w:pPr>
        <w:spacing w:line="360" w:lineRule="auto"/>
      </w:pPr>
      <w:bookmarkStart w:id="11" w:name="_Toc217035624"/>
      <w:r w:rsidRPr="00E956FD">
        <w:rPr>
          <w:rStyle w:val="Heading3Char"/>
        </w:rPr>
        <w:lastRenderedPageBreak/>
        <w:t>Technolo</w:t>
      </w:r>
      <w:r w:rsidR="00E956FD">
        <w:rPr>
          <w:rStyle w:val="Heading3Char"/>
        </w:rPr>
        <w:t>g</w:t>
      </w:r>
      <w:r w:rsidRPr="00E956FD">
        <w:rPr>
          <w:rStyle w:val="Heading3Char"/>
        </w:rPr>
        <w:t>ical:</w:t>
      </w:r>
      <w:bookmarkEnd w:id="11"/>
      <w:r>
        <w:t xml:space="preserve"> Advances in sensor mini</w:t>
      </w:r>
      <w:r w:rsidR="003844C1">
        <w:t>aturisation, battery life</w:t>
      </w:r>
      <w:r w:rsidR="00CC6C5F">
        <w:t>, and AI driven analytics enable sophisticated, user-friendly devices. However, the need for robust cybersecurity for health data is paramount</w:t>
      </w:r>
      <w:r w:rsidR="00464FB0">
        <w:t>.</w:t>
      </w:r>
    </w:p>
    <w:p w14:paraId="19802184" w14:textId="14227822" w:rsidR="00464FB0" w:rsidRDefault="00464FB0" w:rsidP="00685262">
      <w:pPr>
        <w:spacing w:line="360" w:lineRule="auto"/>
      </w:pPr>
      <w:bookmarkStart w:id="12" w:name="_Toc217035625"/>
      <w:r w:rsidRPr="00E956FD">
        <w:rPr>
          <w:rStyle w:val="Heading3Char"/>
        </w:rPr>
        <w:t>Legal:</w:t>
      </w:r>
      <w:bookmarkEnd w:id="12"/>
      <w:r>
        <w:t xml:space="preserve"> Compliance with the Medical Device Regulation (MDR) in Europe and the UK Medical Devices Regulations is mandatory</w:t>
      </w:r>
      <w:r w:rsidR="001A4EF7">
        <w:t xml:space="preserve"> (</w:t>
      </w:r>
      <w:r w:rsidR="005758DB" w:rsidRPr="00B159F3">
        <w:t>EMA, 2025</w:t>
      </w:r>
      <w:r w:rsidR="005758DB">
        <w:t>)</w:t>
      </w:r>
      <w:r>
        <w:t>. Adherence to UK GDPR, the Data Protection Act 2018, and potential future AI is critical.</w:t>
      </w:r>
    </w:p>
    <w:p w14:paraId="6AAFBC68" w14:textId="018ABE04" w:rsidR="00464FB0" w:rsidRDefault="00464FB0" w:rsidP="00685262">
      <w:pPr>
        <w:spacing w:line="360" w:lineRule="auto"/>
      </w:pPr>
      <w:bookmarkStart w:id="13" w:name="_Toc217035626"/>
      <w:r w:rsidRPr="00E956FD">
        <w:rPr>
          <w:rStyle w:val="Heading3Char"/>
        </w:rPr>
        <w:t>Environmental</w:t>
      </w:r>
      <w:r w:rsidR="00AF4CA0" w:rsidRPr="00E956FD">
        <w:rPr>
          <w:rStyle w:val="Heading3Char"/>
        </w:rPr>
        <w:t>:</w:t>
      </w:r>
      <w:bookmarkEnd w:id="13"/>
      <w:r w:rsidR="00AF4CA0">
        <w:t xml:space="preserve"> Pressure to consider the environmental footprint of electronic devices, from sustainable so</w:t>
      </w:r>
      <w:r w:rsidR="00444DFD">
        <w:t>urcing and manufacturing to end-of-life recycling programs.</w:t>
      </w:r>
    </w:p>
    <w:p w14:paraId="4C885CE5" w14:textId="56379D96" w:rsidR="00444DFD" w:rsidRDefault="00E44D2D" w:rsidP="00685262">
      <w:pPr>
        <w:pStyle w:val="Heading1"/>
        <w:spacing w:line="360" w:lineRule="auto"/>
      </w:pPr>
      <w:bookmarkStart w:id="14" w:name="_Toc217035627"/>
      <w:r>
        <w:t>SMART</w:t>
      </w:r>
      <w:bookmarkEnd w:id="14"/>
    </w:p>
    <w:p w14:paraId="5AB54A2F" w14:textId="30218019" w:rsidR="00691726" w:rsidRPr="00691726" w:rsidRDefault="00691726" w:rsidP="00691726">
      <w:r>
        <w:t>Specific, Measurable, Achievable, Relevant, Time-bound</w:t>
      </w:r>
    </w:p>
    <w:p w14:paraId="5D0C7D42" w14:textId="07B19AF8" w:rsidR="00A26570" w:rsidRDefault="00A26570" w:rsidP="00685262">
      <w:pPr>
        <w:spacing w:line="360" w:lineRule="auto"/>
      </w:pPr>
      <w:r>
        <w:t>Secure UKCA marking for VitaTrack as a Class</w:t>
      </w:r>
      <w:r w:rsidR="003436FB">
        <w:t xml:space="preserve"> II medical device within 4 months</w:t>
      </w:r>
    </w:p>
    <w:p w14:paraId="0EDB8A7E" w14:textId="77EE6309" w:rsidR="003436FB" w:rsidRDefault="003436FB" w:rsidP="00685262">
      <w:pPr>
        <w:spacing w:line="360" w:lineRule="auto"/>
      </w:pPr>
      <w:r>
        <w:t xml:space="preserve">To achieve a minimum pre-order count of 50,000 units via the </w:t>
      </w:r>
      <w:proofErr w:type="gramStart"/>
      <w:r>
        <w:t xml:space="preserve">direct </w:t>
      </w:r>
      <w:r w:rsidR="00313CCB">
        <w:t>to consumer</w:t>
      </w:r>
      <w:proofErr w:type="gramEnd"/>
      <w:r w:rsidR="00313CCB">
        <w:t xml:space="preserve"> website and selected retail partners within 1 month of launch announcement.</w:t>
      </w:r>
    </w:p>
    <w:p w14:paraId="59B9899C" w14:textId="3681FE6A" w:rsidR="006E784F" w:rsidRDefault="006E784F" w:rsidP="00685262">
      <w:pPr>
        <w:spacing w:line="360" w:lineRule="auto"/>
      </w:pPr>
      <w:r>
        <w:t>To develop and launch a fully functional secure mobile application (iOS and</w:t>
      </w:r>
      <w:r w:rsidR="00544829">
        <w:t xml:space="preserve"> Android) with a user satisfaction rating of &gt;4.5/5 within 6 months.</w:t>
      </w:r>
    </w:p>
    <w:p w14:paraId="2BB8A232" w14:textId="4FCD9089" w:rsidR="00356BCD" w:rsidRDefault="00D2323C" w:rsidP="00685262">
      <w:pPr>
        <w:spacing w:line="360" w:lineRule="auto"/>
      </w:pPr>
      <w:r>
        <w:t>Establish partnerships with at least three major UK retail pharmacy chains for in store distribution prior to launch day</w:t>
      </w:r>
    </w:p>
    <w:p w14:paraId="115A2E7C" w14:textId="77777777" w:rsidR="00356BCD" w:rsidRDefault="00356BCD" w:rsidP="00685262">
      <w:pPr>
        <w:spacing w:line="360" w:lineRule="auto"/>
      </w:pPr>
    </w:p>
    <w:p w14:paraId="6FF6CF4E" w14:textId="77777777" w:rsidR="00F97976" w:rsidRDefault="00F97976" w:rsidP="00685262">
      <w:pPr>
        <w:spacing w:line="360" w:lineRule="auto"/>
      </w:pPr>
    </w:p>
    <w:p w14:paraId="78DA0457" w14:textId="77777777" w:rsidR="00F97976" w:rsidRDefault="00F97976" w:rsidP="00685262">
      <w:pPr>
        <w:pStyle w:val="Heading1"/>
        <w:spacing w:line="360" w:lineRule="auto"/>
      </w:pPr>
    </w:p>
    <w:p w14:paraId="7C7B1C74" w14:textId="77777777" w:rsidR="00F97976" w:rsidRDefault="00F97976" w:rsidP="00F97976"/>
    <w:p w14:paraId="3CE0E4E0" w14:textId="77777777" w:rsidR="00F97976" w:rsidRDefault="00F97976" w:rsidP="00685262">
      <w:pPr>
        <w:pStyle w:val="Heading1"/>
        <w:spacing w:line="360" w:lineRule="auto"/>
      </w:pPr>
    </w:p>
    <w:p w14:paraId="5180210E" w14:textId="77777777" w:rsidR="00F97976" w:rsidRPr="00F97976" w:rsidRDefault="00F97976" w:rsidP="00F97976"/>
    <w:p w14:paraId="6C6A46A9" w14:textId="467CCD68" w:rsidR="00824A1F" w:rsidRDefault="00CC4925" w:rsidP="00685262">
      <w:pPr>
        <w:pStyle w:val="Heading1"/>
        <w:spacing w:line="360" w:lineRule="auto"/>
      </w:pPr>
      <w:bookmarkStart w:id="15" w:name="_Toc217035628"/>
      <w:r>
        <w:lastRenderedPageBreak/>
        <w:t>Stakeholder Identification and Analysis</w:t>
      </w:r>
      <w:bookmarkEnd w:id="15"/>
    </w:p>
    <w:p w14:paraId="3B696A3C" w14:textId="02D3EC16" w:rsidR="00F627EE" w:rsidRDefault="00F627EE" w:rsidP="00685262">
      <w:pPr>
        <w:spacing w:line="360" w:lineRule="auto"/>
      </w:pPr>
      <w:r>
        <w:t>Successful launch necessitates engaging a complex matrix of stakeholders.</w:t>
      </w:r>
    </w:p>
    <w:p w14:paraId="1CDE9EC1" w14:textId="20846243" w:rsidR="00F627EE" w:rsidRDefault="00F627EE" w:rsidP="00685262">
      <w:pPr>
        <w:pStyle w:val="Heading2"/>
        <w:spacing w:line="360" w:lineRule="auto"/>
      </w:pPr>
      <w:bookmarkStart w:id="16" w:name="_Toc217035629"/>
      <w:r>
        <w:t>Internal Stakeholders:</w:t>
      </w:r>
      <w:bookmarkEnd w:id="16"/>
    </w:p>
    <w:p w14:paraId="37430204" w14:textId="395B5AB3" w:rsidR="00F627EE" w:rsidRDefault="00F627EE" w:rsidP="00685262">
      <w:pPr>
        <w:spacing w:line="360" w:lineRule="auto"/>
      </w:pPr>
      <w:r>
        <w:t>Executive Leadership: Provide strategic direction, approve funding, and are ultimately accountable for the project’s success and alignment with Pfizer’s corporate strategy.</w:t>
      </w:r>
    </w:p>
    <w:p w14:paraId="78600974" w14:textId="48649990" w:rsidR="00F627EE" w:rsidRDefault="00F627EE" w:rsidP="00685262">
      <w:pPr>
        <w:spacing w:line="360" w:lineRule="auto"/>
      </w:pPr>
      <w:r>
        <w:t>New Product Development</w:t>
      </w:r>
      <w:r w:rsidR="00C92BEF">
        <w:t>: Core team of engineers, software developers, and designers are responsible for the technical design, prototyping, and development</w:t>
      </w:r>
      <w:r w:rsidR="0033613D">
        <w:t xml:space="preserve"> of the device and its companion app.</w:t>
      </w:r>
    </w:p>
    <w:p w14:paraId="589FC0E5" w14:textId="1FDE1207" w:rsidR="0033613D" w:rsidRDefault="0033613D" w:rsidP="00685262">
      <w:pPr>
        <w:spacing w:line="360" w:lineRule="auto"/>
      </w:pPr>
      <w:r>
        <w:t>Medical &amp; Clinical Affairs: Ensure the device’s measurements are clinically valid, oversee an</w:t>
      </w:r>
      <w:r w:rsidR="000013E8">
        <w:t>y necessary clinical trials for regulatory claims, and define the medical utility of the data.</w:t>
      </w:r>
    </w:p>
    <w:p w14:paraId="61D060DD" w14:textId="2F352A49" w:rsidR="000013E8" w:rsidRDefault="000013E8" w:rsidP="00685262">
      <w:pPr>
        <w:spacing w:line="360" w:lineRule="auto"/>
      </w:pPr>
      <w:r>
        <w:t>Regulatory Affairs: Navigate the complex landscape of medical device regulations across key markets</w:t>
      </w:r>
      <w:r w:rsidR="00904A91">
        <w:t xml:space="preserve"> </w:t>
      </w:r>
      <w:r>
        <w:t xml:space="preserve">(UK, US, EU) to secure </w:t>
      </w:r>
      <w:r w:rsidR="00904A91">
        <w:t>approvals and ensure ongoing compliance.</w:t>
      </w:r>
    </w:p>
    <w:p w14:paraId="418D59E4" w14:textId="491BDFB1" w:rsidR="00904A91" w:rsidRDefault="00904A91" w:rsidP="00685262">
      <w:pPr>
        <w:spacing w:line="360" w:lineRule="auto"/>
      </w:pPr>
      <w:r>
        <w:t xml:space="preserve">Marketing </w:t>
      </w:r>
      <w:r w:rsidR="00956E81">
        <w:t>&amp; Commercial Teams</w:t>
      </w:r>
      <w:r w:rsidR="0079348D">
        <w:t>: Develop</w:t>
      </w:r>
      <w:r w:rsidR="00D4415F">
        <w:t xml:space="preserve"> brand positioning, pricing, promotional, strategies, and </w:t>
      </w:r>
      <w:r w:rsidR="002B749D">
        <w:t>go-to market plans for both consumer and professional audiences.</w:t>
      </w:r>
    </w:p>
    <w:p w14:paraId="2D10E326" w14:textId="00EA1B6C" w:rsidR="002B749D" w:rsidRDefault="002B749D" w:rsidP="00685262">
      <w:pPr>
        <w:spacing w:line="360" w:lineRule="auto"/>
      </w:pPr>
      <w:r>
        <w:t>Legal &amp; Compliance: Adress data privacy laws (</w:t>
      </w:r>
      <w:r w:rsidR="009B7096">
        <w:t>GDPR), intellectual property, liability issues, and advertising compliance.</w:t>
      </w:r>
    </w:p>
    <w:p w14:paraId="6FD6B176" w14:textId="10FB7901" w:rsidR="009B7096" w:rsidRDefault="009B7096" w:rsidP="00685262">
      <w:pPr>
        <w:spacing w:line="360" w:lineRule="auto"/>
      </w:pPr>
      <w:r>
        <w:t xml:space="preserve">IT &amp; Data Security: Architect the secure cloud </w:t>
      </w:r>
      <w:r w:rsidR="00E135AA">
        <w:t>infrastructure for data storage, transmission, and analysis, ensuring robustness against cyber threats.</w:t>
      </w:r>
    </w:p>
    <w:p w14:paraId="1DD1A8E4" w14:textId="674C7CEC" w:rsidR="00E135AA" w:rsidRDefault="00E135AA" w:rsidP="00685262">
      <w:pPr>
        <w:spacing w:line="360" w:lineRule="auto"/>
      </w:pPr>
      <w:r>
        <w:t>Supply Chain &amp; Operations: Manage the end</w:t>
      </w:r>
      <w:r w:rsidR="008B5139">
        <w:t>-</w:t>
      </w:r>
      <w:r>
        <w:t>to</w:t>
      </w:r>
      <w:r w:rsidR="008B5139">
        <w:t>-</w:t>
      </w:r>
      <w:r>
        <w:t xml:space="preserve">end </w:t>
      </w:r>
      <w:r w:rsidR="006D4116">
        <w:t>hardware lifecycle from manufacturer selection to global distribution and reverse logistics.</w:t>
      </w:r>
    </w:p>
    <w:p w14:paraId="26E9126B" w14:textId="34F425D9" w:rsidR="006D4116" w:rsidRDefault="00B0137A" w:rsidP="00685262">
      <w:pPr>
        <w:pStyle w:val="Heading2"/>
        <w:spacing w:line="360" w:lineRule="auto"/>
      </w:pPr>
      <w:bookmarkStart w:id="17" w:name="_Toc217035630"/>
      <w:r>
        <w:t>External Stakeholders:</w:t>
      </w:r>
      <w:bookmarkEnd w:id="17"/>
    </w:p>
    <w:p w14:paraId="20A3F8AE" w14:textId="068B5B10" w:rsidR="00B0137A" w:rsidRDefault="00B0137A" w:rsidP="00685262">
      <w:pPr>
        <w:spacing w:line="360" w:lineRule="auto"/>
      </w:pPr>
      <w:r>
        <w:t>Patients &amp; Consumers: End users whose adoption, satisfaction, and engagement are critical for commercial success and data generation.</w:t>
      </w:r>
    </w:p>
    <w:p w14:paraId="15C708DF" w14:textId="54F6290C" w:rsidR="00B0137A" w:rsidRDefault="00B0137A" w:rsidP="00685262">
      <w:pPr>
        <w:spacing w:line="360" w:lineRule="auto"/>
      </w:pPr>
      <w:r>
        <w:t xml:space="preserve">Healthcare Professionals (HCPs): Cardiologists, GPs, sleep specialists. Their recommendation of the </w:t>
      </w:r>
      <w:r w:rsidR="0027322C">
        <w:t>device legitimises it as a medical tool, not just a wellness gadget.</w:t>
      </w:r>
    </w:p>
    <w:p w14:paraId="281F6C77" w14:textId="14946404" w:rsidR="0027322C" w:rsidRDefault="0027322C" w:rsidP="00685262">
      <w:pPr>
        <w:spacing w:line="360" w:lineRule="auto"/>
      </w:pPr>
      <w:r>
        <w:t>Regulatory Bodies (MHRA, FDA, EMA): Gatekeepers who must approve the device for market. Their requirements dictate the development timeline and evidence needed.</w:t>
      </w:r>
    </w:p>
    <w:p w14:paraId="3D809B28" w14:textId="767D1FF7" w:rsidR="0027322C" w:rsidRDefault="0027322C" w:rsidP="00685262">
      <w:pPr>
        <w:spacing w:line="360" w:lineRule="auto"/>
      </w:pPr>
      <w:r>
        <w:lastRenderedPageBreak/>
        <w:t>Suppliers &amp; Manufacturing Partners: Contract manufacturers and component suppliers whose performance directly affects product quality, cost, and launch timelines.</w:t>
      </w:r>
    </w:p>
    <w:p w14:paraId="59CCFB0D" w14:textId="751F5DEA" w:rsidR="0063576D" w:rsidRDefault="0027322C" w:rsidP="00685262">
      <w:pPr>
        <w:spacing w:line="360" w:lineRule="auto"/>
      </w:pPr>
      <w:r>
        <w:t>Payers &amp; Insurers</w:t>
      </w:r>
      <w:r w:rsidR="0063576D">
        <w:t xml:space="preserve"> (NHS, Private Insurers): Their decision to reimburse or prescribe </w:t>
      </w:r>
      <w:r w:rsidR="00FA4640">
        <w:t>the device can dramatically accelerate market penetration.</w:t>
      </w:r>
    </w:p>
    <w:p w14:paraId="52B3507D" w14:textId="37463851" w:rsidR="005458D6" w:rsidRDefault="00FA4640" w:rsidP="00685262">
      <w:pPr>
        <w:spacing w:line="360" w:lineRule="auto"/>
      </w:pPr>
      <w:r>
        <w:t>Technology &amp; Retail Partners: Potential collaborators (e.g., telehealth platforms) and sales channels (e.g., pharmacy chains, electronics retailers).</w:t>
      </w:r>
    </w:p>
    <w:p w14:paraId="2CC5D3CD" w14:textId="44AF7500" w:rsidR="005458D6" w:rsidRDefault="005458D6" w:rsidP="00685262">
      <w:pPr>
        <w:spacing w:line="360" w:lineRule="auto"/>
      </w:pPr>
      <w:r>
        <w:t>Role</w:t>
      </w:r>
      <w:r w:rsidR="003B3637">
        <w:t>s, Respon</w:t>
      </w:r>
      <w:r w:rsidR="00533477">
        <w:t>sibilities, Benefits, and Challenges of Key Stakeholders</w:t>
      </w:r>
    </w:p>
    <w:p w14:paraId="41ECCB06" w14:textId="64D51C86" w:rsidR="00F97976" w:rsidRDefault="003964A1" w:rsidP="00353068">
      <w:pPr>
        <w:spacing w:line="360" w:lineRule="auto"/>
      </w:pPr>
      <w:r>
        <w:t>Data Protection Authority (ICO): Overseas compliance with data protection law</w:t>
      </w:r>
    </w:p>
    <w:p w14:paraId="67CE8082" w14:textId="717573EA" w:rsidR="00156852" w:rsidRDefault="00156852" w:rsidP="00685262">
      <w:pPr>
        <w:pStyle w:val="Heading1"/>
        <w:spacing w:line="360" w:lineRule="auto"/>
      </w:pPr>
      <w:bookmarkStart w:id="18" w:name="_Toc217035631"/>
      <w:r>
        <w:t>Roles, Responsibilities, Benefits, and Challenges</w:t>
      </w:r>
      <w:bookmarkEnd w:id="18"/>
    </w:p>
    <w:p w14:paraId="66260A22" w14:textId="1536209D" w:rsidR="006D3F02" w:rsidRDefault="006D3F02" w:rsidP="00685262">
      <w:pPr>
        <w:spacing w:line="360" w:lineRule="auto"/>
      </w:pPr>
      <w:r>
        <w:t>Applying Freeman’s (1984) Stakeholder Theory, which asserts that organisations should create value for all stakeholders, not just shareholders</w:t>
      </w:r>
      <w:r w:rsidR="00C82283">
        <w:t xml:space="preserve"> (</w:t>
      </w:r>
      <w:r w:rsidR="005121BD" w:rsidRPr="00B159F3">
        <w:t>McCance, 2024</w:t>
      </w:r>
      <w:r w:rsidR="005121BD">
        <w:t>)</w:t>
      </w:r>
      <w:r w:rsidR="007F11ED">
        <w:t>, it is essential to understand each group’s stake.</w:t>
      </w:r>
    </w:p>
    <w:p w14:paraId="7AE0F057" w14:textId="3E71CC17" w:rsidR="007F11ED" w:rsidRDefault="007F11ED" w:rsidP="00685262">
      <w:pPr>
        <w:spacing w:line="360" w:lineRule="auto"/>
      </w:pPr>
      <w:r>
        <w:t>Product Development Team</w:t>
      </w:r>
      <w:r w:rsidR="00C93710">
        <w:t>: Their role is to deliver a safe, effective, and reliable device. They benefit from working on an innovative, high-profile project that diversifies their skills</w:t>
      </w:r>
      <w:r w:rsidR="004E6E35">
        <w:t xml:space="preserve"> (</w:t>
      </w:r>
      <w:r w:rsidR="001442B4" w:rsidRPr="007B3C0B">
        <w:t>Comella-Dorda</w:t>
      </w:r>
      <w:r w:rsidR="0024483D">
        <w:t>,</w:t>
      </w:r>
      <w:r w:rsidR="001442B4" w:rsidRPr="007B3C0B">
        <w:t xml:space="preserve"> et</w:t>
      </w:r>
      <w:r w:rsidR="0024483D">
        <w:t xml:space="preserve"> </w:t>
      </w:r>
      <w:r w:rsidR="001442B4" w:rsidRPr="007B3C0B">
        <w:t>al</w:t>
      </w:r>
      <w:r w:rsidR="0024483D">
        <w:t xml:space="preserve">. </w:t>
      </w:r>
      <w:r w:rsidR="001442B4" w:rsidRPr="007B3C0B">
        <w:t>2024</w:t>
      </w:r>
      <w:r w:rsidR="001442B4">
        <w:t>)</w:t>
      </w:r>
      <w:r w:rsidR="00C93710">
        <w:t xml:space="preserve">. The challenge </w:t>
      </w:r>
      <w:r w:rsidR="00C7073D">
        <w:t xml:space="preserve">lies in balancing medical-grade accuracy with consumer design aesthetics and </w:t>
      </w:r>
      <w:r w:rsidR="003B3532">
        <w:t>cost constraints, potentially leading to conflict with Marketing (on design) and Finance (on cost).</w:t>
      </w:r>
    </w:p>
    <w:p w14:paraId="42AB6B6A" w14:textId="76E65819" w:rsidR="003B3532" w:rsidRPr="005567F9" w:rsidRDefault="003B3532" w:rsidP="00685262">
      <w:pPr>
        <w:spacing w:line="360" w:lineRule="auto"/>
      </w:pPr>
      <w:r>
        <w:t xml:space="preserve">Regulatory Affairs Team: Their responsibility is navigating the complex </w:t>
      </w:r>
      <w:r w:rsidR="005576B9">
        <w:t xml:space="preserve">MHRA pathway. They benefit the project by ensuring market access </w:t>
      </w:r>
      <w:r w:rsidR="00F46673">
        <w:t>and mitigating legal risk. Their challenge is the inherent uncertainty and potential delays in regulatory reviews, which can create tension with the fixed six-month launch timeline, pressuring the project manager</w:t>
      </w:r>
      <w:r w:rsidR="00A16958">
        <w:t xml:space="preserve"> (</w:t>
      </w:r>
      <w:r w:rsidR="00CA6A03" w:rsidRPr="005567F9">
        <w:t>BusinessCaseStudies, 2025)</w:t>
      </w:r>
      <w:r w:rsidR="00F46673" w:rsidRPr="005567F9">
        <w:t>.</w:t>
      </w:r>
    </w:p>
    <w:p w14:paraId="17BB7E10" w14:textId="2C2AE8B9" w:rsidR="00F46673" w:rsidRDefault="00F46673" w:rsidP="00685262">
      <w:pPr>
        <w:spacing w:line="360" w:lineRule="auto"/>
      </w:pPr>
      <w:r>
        <w:t>Customers: Their role is to adopt and use the product, providing feedback and data. They benefit from improved health insights</w:t>
      </w:r>
      <w:r w:rsidR="00B3268A">
        <w:t xml:space="preserve"> (</w:t>
      </w:r>
      <w:r w:rsidR="00B3268A" w:rsidRPr="005D563D">
        <w:t>P</w:t>
      </w:r>
      <w:r w:rsidR="008F4E15" w:rsidRPr="005D563D">
        <w:t>w</w:t>
      </w:r>
      <w:r w:rsidR="00B3268A" w:rsidRPr="005D563D">
        <w:t>C, 2025</w:t>
      </w:r>
      <w:r w:rsidR="00B3268A">
        <w:t>)</w:t>
      </w:r>
      <w:r>
        <w:t>. The challeng</w:t>
      </w:r>
      <w:r w:rsidR="00522978">
        <w:t>e is building trust regarding data privacy, requiring transparent communication from Pfizer, a challenge theorised by Mitchell et al.’s (1997) Stakeholder Salience Model, where their power (to buy) and legitimacy (as users) are high, but their urgency may be diffuse.</w:t>
      </w:r>
    </w:p>
    <w:p w14:paraId="7443E221" w14:textId="6B480F19" w:rsidR="00032E88" w:rsidRPr="00032E88" w:rsidRDefault="00522978" w:rsidP="00685262">
      <w:pPr>
        <w:spacing w:line="360" w:lineRule="auto"/>
      </w:pPr>
      <w:r>
        <w:t>Healthcare Professionals (HCPs): As expert influencers, their responsibility (from Pfizer’s perspective</w:t>
      </w:r>
      <w:r w:rsidR="00F544C7">
        <w:t xml:space="preserve">) is to provide credible validation. They benefit from having a trusted tool to </w:t>
      </w:r>
      <w:r w:rsidR="00F544C7">
        <w:lastRenderedPageBreak/>
        <w:t xml:space="preserve">recommend for patient monitoring. The challenge is engaging </w:t>
      </w:r>
      <w:r w:rsidR="009E46AF">
        <w:t>time lacking professionals with compelling clinical evidence, requiring tailored communication and engagement strategies</w:t>
      </w:r>
    </w:p>
    <w:p w14:paraId="2DDC26E0" w14:textId="6595B1C5" w:rsidR="00B07A3B" w:rsidRDefault="00B07A3B" w:rsidP="00685262">
      <w:pPr>
        <w:pStyle w:val="Heading1"/>
        <w:spacing w:line="360" w:lineRule="auto"/>
      </w:pPr>
      <w:bookmarkStart w:id="19" w:name="_Toc217035632"/>
      <w:r>
        <w:t>Stakeholder Engagement Framework and Plans</w:t>
      </w:r>
      <w:bookmarkEnd w:id="19"/>
    </w:p>
    <w:p w14:paraId="7142583B" w14:textId="4A8C4D45" w:rsidR="00B07A3B" w:rsidRDefault="00294175" w:rsidP="00685262">
      <w:pPr>
        <w:pStyle w:val="Heading2"/>
        <w:spacing w:line="360" w:lineRule="auto"/>
      </w:pPr>
      <w:bookmarkStart w:id="20" w:name="_Toc217035633"/>
      <w:r>
        <w:t>Stakeholder Power-Interest Matrix</w:t>
      </w:r>
      <w:bookmarkEnd w:id="20"/>
    </w:p>
    <w:p w14:paraId="72534B3F" w14:textId="2A61E9A3" w:rsidR="00294175" w:rsidRDefault="00294175" w:rsidP="00685262">
      <w:pPr>
        <w:spacing w:line="360" w:lineRule="auto"/>
      </w:pPr>
      <w:r>
        <w:t>This matric classifies stakeholders based on their power to influence the project and their interest in its outcome</w:t>
      </w:r>
      <w:r w:rsidR="00AC46C7">
        <w:t xml:space="preserve"> (</w:t>
      </w:r>
      <w:r w:rsidR="0005381A">
        <w:t>Project Management</w:t>
      </w:r>
      <w:r w:rsidR="00CD7787" w:rsidRPr="005D563D">
        <w:t>, 2023</w:t>
      </w:r>
      <w:r w:rsidR="00CD7787">
        <w:t>).</w:t>
      </w:r>
    </w:p>
    <w:tbl>
      <w:tblPr>
        <w:tblStyle w:val="TableGrid"/>
        <w:tblpPr w:leftFromText="180" w:rightFromText="180" w:vertAnchor="text" w:horzAnchor="margin" w:tblpY="-55"/>
        <w:tblW w:w="0" w:type="auto"/>
        <w:tblLook w:val="04A0" w:firstRow="1" w:lastRow="0" w:firstColumn="1" w:lastColumn="0" w:noHBand="0" w:noVBand="1"/>
      </w:tblPr>
      <w:tblGrid>
        <w:gridCol w:w="4508"/>
        <w:gridCol w:w="4508"/>
      </w:tblGrid>
      <w:tr w:rsidR="00032E88" w14:paraId="7ED9C1BC" w14:textId="77777777" w:rsidTr="00032E88">
        <w:tc>
          <w:tcPr>
            <w:tcW w:w="4508" w:type="dxa"/>
          </w:tcPr>
          <w:p w14:paraId="22C578FD" w14:textId="0A4774B5" w:rsidR="00032E88" w:rsidRDefault="00032E88" w:rsidP="00685262">
            <w:pPr>
              <w:spacing w:line="360" w:lineRule="auto"/>
            </w:pPr>
            <w:r>
              <w:t>High Power, High Interest (Manage Closely): Senior Leadership, Regulatory Affairs, Key Suppliers. Requires frequent, detailed engagement</w:t>
            </w:r>
          </w:p>
          <w:p w14:paraId="0CBF492C" w14:textId="77777777" w:rsidR="00032E88" w:rsidRDefault="00032E88" w:rsidP="00685262">
            <w:pPr>
              <w:spacing w:line="360" w:lineRule="auto"/>
            </w:pPr>
          </w:p>
        </w:tc>
        <w:tc>
          <w:tcPr>
            <w:tcW w:w="4508" w:type="dxa"/>
          </w:tcPr>
          <w:p w14:paraId="6FE2B646" w14:textId="7254F32E" w:rsidR="000A7917" w:rsidRDefault="000A7917" w:rsidP="00685262">
            <w:pPr>
              <w:spacing w:line="360" w:lineRule="auto"/>
            </w:pPr>
            <w:r>
              <w:t>Low Power, High Interest (Keep Informed): Product Development Team, HCPs (individually), patient advocacy groups. Consult with them, show their input matters</w:t>
            </w:r>
          </w:p>
          <w:p w14:paraId="2166C67F" w14:textId="77777777" w:rsidR="00032E88" w:rsidRDefault="00032E88" w:rsidP="00685262">
            <w:pPr>
              <w:spacing w:line="360" w:lineRule="auto"/>
            </w:pPr>
          </w:p>
        </w:tc>
      </w:tr>
      <w:tr w:rsidR="00032E88" w14:paraId="2B5414F6" w14:textId="77777777" w:rsidTr="00032E88">
        <w:tc>
          <w:tcPr>
            <w:tcW w:w="4508" w:type="dxa"/>
          </w:tcPr>
          <w:p w14:paraId="02EA5411" w14:textId="5C06C1D8" w:rsidR="00032E88" w:rsidRDefault="00032E88" w:rsidP="00685262">
            <w:pPr>
              <w:spacing w:line="360" w:lineRule="auto"/>
            </w:pPr>
            <w:r>
              <w:t>High Power, Low interest (Keep Satisfied): Board of Directors, Major Retail Partners. Keep informed at a high level, ensure needs are met without overwhelming them</w:t>
            </w:r>
          </w:p>
        </w:tc>
        <w:tc>
          <w:tcPr>
            <w:tcW w:w="4508" w:type="dxa"/>
          </w:tcPr>
          <w:p w14:paraId="73C87211" w14:textId="40022B17" w:rsidR="000A7917" w:rsidRDefault="000A7917" w:rsidP="00685262">
            <w:pPr>
              <w:spacing w:line="360" w:lineRule="auto"/>
            </w:pPr>
            <w:r>
              <w:t>Low Power, Low Interest (Monitor): General media, some internal support functions, Minimal effort, monitor for changes in position</w:t>
            </w:r>
          </w:p>
          <w:p w14:paraId="72A7D2EF" w14:textId="77777777" w:rsidR="00032E88" w:rsidRDefault="00032E88" w:rsidP="00685262">
            <w:pPr>
              <w:spacing w:line="360" w:lineRule="auto"/>
            </w:pPr>
          </w:p>
        </w:tc>
      </w:tr>
    </w:tbl>
    <w:p w14:paraId="4D999F74" w14:textId="53B4EEC4" w:rsidR="00357C31" w:rsidRDefault="00357C31" w:rsidP="00685262">
      <w:pPr>
        <w:spacing w:line="360" w:lineRule="auto"/>
      </w:pPr>
    </w:p>
    <w:p w14:paraId="4C54481D" w14:textId="77777777" w:rsidR="00D4726B" w:rsidRPr="00B07A3B" w:rsidRDefault="00FD12D1" w:rsidP="00685262">
      <w:pPr>
        <w:pStyle w:val="Heading2"/>
        <w:spacing w:line="360" w:lineRule="auto"/>
      </w:pPr>
      <w:bookmarkStart w:id="21" w:name="_Toc217035634"/>
      <w:r>
        <w:t>RACI Matrix (Responsible, Accountable, Consulted, Informed)</w:t>
      </w:r>
      <w:bookmarkEnd w:id="21"/>
    </w:p>
    <w:tbl>
      <w:tblPr>
        <w:tblStyle w:val="TableGrid"/>
        <w:tblW w:w="8632" w:type="dxa"/>
        <w:tblLayout w:type="fixed"/>
        <w:tblLook w:val="04A0" w:firstRow="1" w:lastRow="0" w:firstColumn="1" w:lastColumn="0" w:noHBand="0" w:noVBand="1"/>
      </w:tblPr>
      <w:tblGrid>
        <w:gridCol w:w="1931"/>
        <w:gridCol w:w="1042"/>
        <w:gridCol w:w="1043"/>
        <w:gridCol w:w="1340"/>
        <w:gridCol w:w="1191"/>
        <w:gridCol w:w="1043"/>
        <w:gridCol w:w="1042"/>
      </w:tblGrid>
      <w:tr w:rsidR="00892AA0" w14:paraId="48572893" w14:textId="4D467289" w:rsidTr="0047085F">
        <w:trPr>
          <w:trHeight w:val="833"/>
        </w:trPr>
        <w:tc>
          <w:tcPr>
            <w:tcW w:w="1931" w:type="dxa"/>
          </w:tcPr>
          <w:p w14:paraId="4914A046" w14:textId="411F73A7" w:rsidR="00892AA0" w:rsidRDefault="00892AA0" w:rsidP="00685262">
            <w:pPr>
              <w:spacing w:line="360" w:lineRule="auto"/>
            </w:pPr>
            <w:r>
              <w:t>Task/Deliverable</w:t>
            </w:r>
          </w:p>
        </w:tc>
        <w:tc>
          <w:tcPr>
            <w:tcW w:w="1042" w:type="dxa"/>
          </w:tcPr>
          <w:p w14:paraId="37557D6A" w14:textId="4E949DC7" w:rsidR="0047085F" w:rsidRDefault="00892AA0" w:rsidP="00685262">
            <w:pPr>
              <w:spacing w:line="360" w:lineRule="auto"/>
            </w:pPr>
            <w:r>
              <w:t>Projec</w:t>
            </w:r>
            <w:r w:rsidR="0047085F">
              <w:t xml:space="preserve">t </w:t>
            </w:r>
            <w:r>
              <w:t>Manager</w:t>
            </w:r>
          </w:p>
        </w:tc>
        <w:tc>
          <w:tcPr>
            <w:tcW w:w="1043" w:type="dxa"/>
          </w:tcPr>
          <w:p w14:paraId="65B91922" w14:textId="3F96EB35" w:rsidR="00892AA0" w:rsidRDefault="00892AA0" w:rsidP="00685262">
            <w:pPr>
              <w:spacing w:line="360" w:lineRule="auto"/>
            </w:pPr>
            <w:r>
              <w:t>Product Dev.</w:t>
            </w:r>
          </w:p>
        </w:tc>
        <w:tc>
          <w:tcPr>
            <w:tcW w:w="1340" w:type="dxa"/>
          </w:tcPr>
          <w:p w14:paraId="09060E16" w14:textId="4713A582" w:rsidR="00892AA0" w:rsidRDefault="00892AA0" w:rsidP="00685262">
            <w:pPr>
              <w:spacing w:line="360" w:lineRule="auto"/>
            </w:pPr>
            <w:r>
              <w:t>Regulatory</w:t>
            </w:r>
          </w:p>
        </w:tc>
        <w:tc>
          <w:tcPr>
            <w:tcW w:w="1191" w:type="dxa"/>
          </w:tcPr>
          <w:p w14:paraId="34A70991" w14:textId="16D3E28B" w:rsidR="00892AA0" w:rsidRDefault="00892AA0" w:rsidP="00685262">
            <w:pPr>
              <w:spacing w:line="360" w:lineRule="auto"/>
            </w:pPr>
            <w:r>
              <w:t>Marketing</w:t>
            </w:r>
          </w:p>
        </w:tc>
        <w:tc>
          <w:tcPr>
            <w:tcW w:w="1043" w:type="dxa"/>
          </w:tcPr>
          <w:p w14:paraId="0726C417" w14:textId="2F4F8B4B" w:rsidR="00892AA0" w:rsidRDefault="00892AA0" w:rsidP="00685262">
            <w:pPr>
              <w:spacing w:line="360" w:lineRule="auto"/>
            </w:pPr>
            <w:r>
              <w:t>Senior Leader</w:t>
            </w:r>
          </w:p>
        </w:tc>
        <w:tc>
          <w:tcPr>
            <w:tcW w:w="1042" w:type="dxa"/>
          </w:tcPr>
          <w:p w14:paraId="753D539C" w14:textId="580BCC66" w:rsidR="00892AA0" w:rsidRDefault="00892AA0" w:rsidP="00685262">
            <w:pPr>
              <w:spacing w:line="360" w:lineRule="auto"/>
            </w:pPr>
            <w:r>
              <w:t>Supplier</w:t>
            </w:r>
          </w:p>
        </w:tc>
      </w:tr>
      <w:tr w:rsidR="00892AA0" w14:paraId="772B9A3D" w14:textId="10D8E1B1" w:rsidTr="0047085F">
        <w:trPr>
          <w:trHeight w:val="559"/>
        </w:trPr>
        <w:tc>
          <w:tcPr>
            <w:tcW w:w="1931" w:type="dxa"/>
          </w:tcPr>
          <w:p w14:paraId="52BC6D49" w14:textId="42D7A0AA" w:rsidR="00892AA0" w:rsidRDefault="00892AA0" w:rsidP="00685262">
            <w:pPr>
              <w:spacing w:line="360" w:lineRule="auto"/>
            </w:pPr>
            <w:r>
              <w:t>Finalise Device Design</w:t>
            </w:r>
          </w:p>
        </w:tc>
        <w:tc>
          <w:tcPr>
            <w:tcW w:w="1042" w:type="dxa"/>
          </w:tcPr>
          <w:p w14:paraId="21B97A37" w14:textId="723D43D5" w:rsidR="00892AA0" w:rsidRDefault="00892AA0" w:rsidP="00685262">
            <w:pPr>
              <w:spacing w:line="360" w:lineRule="auto"/>
            </w:pPr>
            <w:r>
              <w:t>A</w:t>
            </w:r>
          </w:p>
        </w:tc>
        <w:tc>
          <w:tcPr>
            <w:tcW w:w="1043" w:type="dxa"/>
          </w:tcPr>
          <w:p w14:paraId="63924AA6" w14:textId="33602DC1" w:rsidR="00892AA0" w:rsidRDefault="00892AA0" w:rsidP="00685262">
            <w:pPr>
              <w:spacing w:line="360" w:lineRule="auto"/>
            </w:pPr>
            <w:r>
              <w:t>R</w:t>
            </w:r>
          </w:p>
        </w:tc>
        <w:tc>
          <w:tcPr>
            <w:tcW w:w="1340" w:type="dxa"/>
          </w:tcPr>
          <w:p w14:paraId="7E46A4C2" w14:textId="0BC803D5" w:rsidR="00892AA0" w:rsidRDefault="00892AA0" w:rsidP="00685262">
            <w:pPr>
              <w:spacing w:line="360" w:lineRule="auto"/>
            </w:pPr>
            <w:r>
              <w:t>C</w:t>
            </w:r>
          </w:p>
        </w:tc>
        <w:tc>
          <w:tcPr>
            <w:tcW w:w="1191" w:type="dxa"/>
          </w:tcPr>
          <w:p w14:paraId="230B2A2B" w14:textId="63BA4EA6" w:rsidR="00892AA0" w:rsidRDefault="0047085F" w:rsidP="00685262">
            <w:pPr>
              <w:spacing w:line="360" w:lineRule="auto"/>
            </w:pPr>
            <w:r>
              <w:t>C</w:t>
            </w:r>
          </w:p>
        </w:tc>
        <w:tc>
          <w:tcPr>
            <w:tcW w:w="1043" w:type="dxa"/>
          </w:tcPr>
          <w:p w14:paraId="7E5D6898" w14:textId="58A8BE1F" w:rsidR="00892AA0" w:rsidRDefault="0047085F" w:rsidP="00685262">
            <w:pPr>
              <w:spacing w:line="360" w:lineRule="auto"/>
            </w:pPr>
            <w:r>
              <w:t>I</w:t>
            </w:r>
          </w:p>
        </w:tc>
        <w:tc>
          <w:tcPr>
            <w:tcW w:w="1042" w:type="dxa"/>
          </w:tcPr>
          <w:p w14:paraId="6082792A" w14:textId="05312BC0" w:rsidR="00892AA0" w:rsidRDefault="0047085F" w:rsidP="00685262">
            <w:pPr>
              <w:spacing w:line="360" w:lineRule="auto"/>
            </w:pPr>
            <w:r>
              <w:t>C</w:t>
            </w:r>
          </w:p>
        </w:tc>
      </w:tr>
      <w:tr w:rsidR="00892AA0" w14:paraId="4F0ED131" w14:textId="23598077" w:rsidTr="0047085F">
        <w:trPr>
          <w:trHeight w:val="547"/>
        </w:trPr>
        <w:tc>
          <w:tcPr>
            <w:tcW w:w="1931" w:type="dxa"/>
          </w:tcPr>
          <w:p w14:paraId="5EC9086D" w14:textId="4FC31779" w:rsidR="00892AA0" w:rsidRDefault="00892AA0" w:rsidP="00685262">
            <w:pPr>
              <w:spacing w:line="360" w:lineRule="auto"/>
            </w:pPr>
            <w:r>
              <w:t>Submit MHRA Application</w:t>
            </w:r>
          </w:p>
        </w:tc>
        <w:tc>
          <w:tcPr>
            <w:tcW w:w="1042" w:type="dxa"/>
          </w:tcPr>
          <w:p w14:paraId="61551796" w14:textId="1347B722" w:rsidR="00892AA0" w:rsidRDefault="00892AA0" w:rsidP="00685262">
            <w:pPr>
              <w:spacing w:line="360" w:lineRule="auto"/>
            </w:pPr>
            <w:r>
              <w:t>A</w:t>
            </w:r>
          </w:p>
        </w:tc>
        <w:tc>
          <w:tcPr>
            <w:tcW w:w="1043" w:type="dxa"/>
          </w:tcPr>
          <w:p w14:paraId="1876B51A" w14:textId="41494208" w:rsidR="00892AA0" w:rsidRDefault="00892AA0" w:rsidP="00685262">
            <w:pPr>
              <w:spacing w:line="360" w:lineRule="auto"/>
            </w:pPr>
            <w:r>
              <w:t>C</w:t>
            </w:r>
          </w:p>
        </w:tc>
        <w:tc>
          <w:tcPr>
            <w:tcW w:w="1340" w:type="dxa"/>
          </w:tcPr>
          <w:p w14:paraId="1D0E7798" w14:textId="32770CF7" w:rsidR="00892AA0" w:rsidRDefault="00892AA0" w:rsidP="00685262">
            <w:pPr>
              <w:spacing w:line="360" w:lineRule="auto"/>
            </w:pPr>
            <w:r>
              <w:t>R</w:t>
            </w:r>
          </w:p>
        </w:tc>
        <w:tc>
          <w:tcPr>
            <w:tcW w:w="1191" w:type="dxa"/>
          </w:tcPr>
          <w:p w14:paraId="0D941B84" w14:textId="7D683169" w:rsidR="00892AA0" w:rsidRDefault="0047085F" w:rsidP="00685262">
            <w:pPr>
              <w:spacing w:line="360" w:lineRule="auto"/>
            </w:pPr>
            <w:r>
              <w:t>I</w:t>
            </w:r>
          </w:p>
        </w:tc>
        <w:tc>
          <w:tcPr>
            <w:tcW w:w="1043" w:type="dxa"/>
          </w:tcPr>
          <w:p w14:paraId="05F061BC" w14:textId="5C929F2D" w:rsidR="00892AA0" w:rsidRDefault="0047085F" w:rsidP="00685262">
            <w:pPr>
              <w:spacing w:line="360" w:lineRule="auto"/>
            </w:pPr>
            <w:r>
              <w:t>I</w:t>
            </w:r>
          </w:p>
        </w:tc>
        <w:tc>
          <w:tcPr>
            <w:tcW w:w="1042" w:type="dxa"/>
          </w:tcPr>
          <w:p w14:paraId="71E22769" w14:textId="4A681335" w:rsidR="00892AA0" w:rsidRDefault="0047085F" w:rsidP="00685262">
            <w:pPr>
              <w:spacing w:line="360" w:lineRule="auto"/>
            </w:pPr>
            <w:r>
              <w:t>I</w:t>
            </w:r>
          </w:p>
        </w:tc>
      </w:tr>
      <w:tr w:rsidR="00892AA0" w14:paraId="56FECD75" w14:textId="64736E50" w:rsidTr="0047085F">
        <w:trPr>
          <w:trHeight w:val="833"/>
        </w:trPr>
        <w:tc>
          <w:tcPr>
            <w:tcW w:w="1931" w:type="dxa"/>
          </w:tcPr>
          <w:p w14:paraId="067C2FE1" w14:textId="70EC21FA" w:rsidR="00892AA0" w:rsidRDefault="00892AA0" w:rsidP="00685262">
            <w:pPr>
              <w:spacing w:line="360" w:lineRule="auto"/>
            </w:pPr>
            <w:r>
              <w:t>Develop Marketing Campaign</w:t>
            </w:r>
          </w:p>
        </w:tc>
        <w:tc>
          <w:tcPr>
            <w:tcW w:w="1042" w:type="dxa"/>
          </w:tcPr>
          <w:p w14:paraId="65456D81" w14:textId="1C393454" w:rsidR="00892AA0" w:rsidRDefault="00892AA0" w:rsidP="00685262">
            <w:pPr>
              <w:spacing w:line="360" w:lineRule="auto"/>
            </w:pPr>
            <w:r>
              <w:t>A</w:t>
            </w:r>
          </w:p>
        </w:tc>
        <w:tc>
          <w:tcPr>
            <w:tcW w:w="1043" w:type="dxa"/>
          </w:tcPr>
          <w:p w14:paraId="3386D27E" w14:textId="7CBD7D41" w:rsidR="00892AA0" w:rsidRDefault="00892AA0" w:rsidP="00685262">
            <w:pPr>
              <w:spacing w:line="360" w:lineRule="auto"/>
            </w:pPr>
            <w:r>
              <w:t>I</w:t>
            </w:r>
          </w:p>
        </w:tc>
        <w:tc>
          <w:tcPr>
            <w:tcW w:w="1340" w:type="dxa"/>
          </w:tcPr>
          <w:p w14:paraId="56460370" w14:textId="0C7B2911" w:rsidR="00892AA0" w:rsidRDefault="00892AA0" w:rsidP="00685262">
            <w:pPr>
              <w:spacing w:line="360" w:lineRule="auto"/>
            </w:pPr>
            <w:r>
              <w:t>I</w:t>
            </w:r>
          </w:p>
        </w:tc>
        <w:tc>
          <w:tcPr>
            <w:tcW w:w="1191" w:type="dxa"/>
          </w:tcPr>
          <w:p w14:paraId="561F1D06" w14:textId="213C73B2" w:rsidR="00892AA0" w:rsidRDefault="0047085F" w:rsidP="00685262">
            <w:pPr>
              <w:spacing w:line="360" w:lineRule="auto"/>
            </w:pPr>
            <w:r>
              <w:t>R</w:t>
            </w:r>
          </w:p>
        </w:tc>
        <w:tc>
          <w:tcPr>
            <w:tcW w:w="1043" w:type="dxa"/>
          </w:tcPr>
          <w:p w14:paraId="02A94D85" w14:textId="7FF15B1C" w:rsidR="00892AA0" w:rsidRDefault="0047085F" w:rsidP="00685262">
            <w:pPr>
              <w:spacing w:line="360" w:lineRule="auto"/>
            </w:pPr>
            <w:r>
              <w:t>C</w:t>
            </w:r>
          </w:p>
        </w:tc>
        <w:tc>
          <w:tcPr>
            <w:tcW w:w="1042" w:type="dxa"/>
          </w:tcPr>
          <w:p w14:paraId="340F8EBB" w14:textId="15B5A369" w:rsidR="00892AA0" w:rsidRDefault="0047085F" w:rsidP="00685262">
            <w:pPr>
              <w:spacing w:line="360" w:lineRule="auto"/>
            </w:pPr>
            <w:r>
              <w:t>I</w:t>
            </w:r>
          </w:p>
        </w:tc>
      </w:tr>
      <w:tr w:rsidR="00892AA0" w14:paraId="1270601A" w14:textId="2AD1DA51" w:rsidTr="0047085F">
        <w:trPr>
          <w:trHeight w:val="559"/>
        </w:trPr>
        <w:tc>
          <w:tcPr>
            <w:tcW w:w="1931" w:type="dxa"/>
          </w:tcPr>
          <w:p w14:paraId="081CDF51" w14:textId="72CE557E" w:rsidR="00892AA0" w:rsidRDefault="00892AA0" w:rsidP="00685262">
            <w:pPr>
              <w:spacing w:line="360" w:lineRule="auto"/>
            </w:pPr>
            <w:r>
              <w:t>Approve Launch Budget</w:t>
            </w:r>
          </w:p>
        </w:tc>
        <w:tc>
          <w:tcPr>
            <w:tcW w:w="1042" w:type="dxa"/>
          </w:tcPr>
          <w:p w14:paraId="56AFE9C9" w14:textId="6BE32DCA" w:rsidR="00892AA0" w:rsidRDefault="00892AA0" w:rsidP="00685262">
            <w:pPr>
              <w:spacing w:line="360" w:lineRule="auto"/>
            </w:pPr>
            <w:r>
              <w:t>R</w:t>
            </w:r>
          </w:p>
        </w:tc>
        <w:tc>
          <w:tcPr>
            <w:tcW w:w="1043" w:type="dxa"/>
          </w:tcPr>
          <w:p w14:paraId="35A8A92C" w14:textId="05609C91" w:rsidR="00892AA0" w:rsidRDefault="00892AA0" w:rsidP="00685262">
            <w:pPr>
              <w:spacing w:line="360" w:lineRule="auto"/>
            </w:pPr>
            <w:r>
              <w:t>I</w:t>
            </w:r>
          </w:p>
        </w:tc>
        <w:tc>
          <w:tcPr>
            <w:tcW w:w="1340" w:type="dxa"/>
          </w:tcPr>
          <w:p w14:paraId="226EDF11" w14:textId="666315A7" w:rsidR="00892AA0" w:rsidRDefault="00892AA0" w:rsidP="00685262">
            <w:pPr>
              <w:spacing w:line="360" w:lineRule="auto"/>
            </w:pPr>
            <w:r>
              <w:t>I</w:t>
            </w:r>
          </w:p>
        </w:tc>
        <w:tc>
          <w:tcPr>
            <w:tcW w:w="1191" w:type="dxa"/>
          </w:tcPr>
          <w:p w14:paraId="32A97140" w14:textId="272F3288" w:rsidR="00892AA0" w:rsidRDefault="0047085F" w:rsidP="00685262">
            <w:pPr>
              <w:spacing w:line="360" w:lineRule="auto"/>
            </w:pPr>
            <w:r>
              <w:t>I</w:t>
            </w:r>
          </w:p>
        </w:tc>
        <w:tc>
          <w:tcPr>
            <w:tcW w:w="1043" w:type="dxa"/>
          </w:tcPr>
          <w:p w14:paraId="296A837C" w14:textId="6941323D" w:rsidR="00892AA0" w:rsidRDefault="0047085F" w:rsidP="00685262">
            <w:pPr>
              <w:spacing w:line="360" w:lineRule="auto"/>
            </w:pPr>
            <w:r>
              <w:t>A</w:t>
            </w:r>
          </w:p>
        </w:tc>
        <w:tc>
          <w:tcPr>
            <w:tcW w:w="1042" w:type="dxa"/>
          </w:tcPr>
          <w:p w14:paraId="764300B6" w14:textId="744AADBC" w:rsidR="00892AA0" w:rsidRDefault="0047085F" w:rsidP="00685262">
            <w:pPr>
              <w:spacing w:line="360" w:lineRule="auto"/>
            </w:pPr>
            <w:r>
              <w:t>I</w:t>
            </w:r>
          </w:p>
        </w:tc>
      </w:tr>
    </w:tbl>
    <w:p w14:paraId="0803311E" w14:textId="03401438" w:rsidR="003A282B" w:rsidRPr="00B07A3B" w:rsidRDefault="003A282B" w:rsidP="00685262">
      <w:pPr>
        <w:spacing w:line="360" w:lineRule="auto"/>
      </w:pPr>
    </w:p>
    <w:p w14:paraId="32996838" w14:textId="1C94D8F8" w:rsidR="00045722" w:rsidRDefault="00613C5F" w:rsidP="00685262">
      <w:pPr>
        <w:pStyle w:val="Heading2"/>
        <w:spacing w:line="360" w:lineRule="auto"/>
      </w:pPr>
      <w:bookmarkStart w:id="22" w:name="_Toc217035635"/>
      <w:r>
        <w:lastRenderedPageBreak/>
        <w:t>Stakeholder Engagement Plan</w:t>
      </w:r>
      <w:bookmarkEnd w:id="22"/>
    </w:p>
    <w:p w14:paraId="29CA83E8" w14:textId="408DB863" w:rsidR="00613C5F" w:rsidRDefault="00613C5F" w:rsidP="00685262">
      <w:pPr>
        <w:spacing w:line="360" w:lineRule="auto"/>
      </w:pPr>
      <w:r>
        <w:t>This plan defines how to move stakeholders from their current to desired level of engagement</w:t>
      </w:r>
      <w:r w:rsidR="005B2174">
        <w:t xml:space="preserve"> (</w:t>
      </w:r>
      <w:r w:rsidR="005B2174" w:rsidRPr="00922B83">
        <w:t>Singh, n.d</w:t>
      </w:r>
      <w:r w:rsidR="005B2174">
        <w:t>)</w:t>
      </w:r>
      <w:r>
        <w:t>.</w:t>
      </w:r>
    </w:p>
    <w:tbl>
      <w:tblPr>
        <w:tblStyle w:val="TableGrid"/>
        <w:tblW w:w="0" w:type="auto"/>
        <w:tblLook w:val="04A0" w:firstRow="1" w:lastRow="0" w:firstColumn="1" w:lastColumn="0" w:noHBand="0" w:noVBand="1"/>
      </w:tblPr>
      <w:tblGrid>
        <w:gridCol w:w="2254"/>
        <w:gridCol w:w="2254"/>
        <w:gridCol w:w="2254"/>
        <w:gridCol w:w="2254"/>
      </w:tblGrid>
      <w:tr w:rsidR="008032E3" w14:paraId="7A06BDBF" w14:textId="77777777" w:rsidTr="008032E3">
        <w:tc>
          <w:tcPr>
            <w:tcW w:w="2254" w:type="dxa"/>
          </w:tcPr>
          <w:p w14:paraId="0B36C1B7" w14:textId="785BCCC0" w:rsidR="008032E3" w:rsidRDefault="008032E3" w:rsidP="00685262">
            <w:pPr>
              <w:spacing w:line="360" w:lineRule="auto"/>
            </w:pPr>
            <w:r>
              <w:t>Stakeholder Group</w:t>
            </w:r>
          </w:p>
        </w:tc>
        <w:tc>
          <w:tcPr>
            <w:tcW w:w="2254" w:type="dxa"/>
          </w:tcPr>
          <w:p w14:paraId="4EB24C3E" w14:textId="1BC82E56" w:rsidR="008032E3" w:rsidRDefault="002D71E8" w:rsidP="00685262">
            <w:pPr>
              <w:spacing w:line="360" w:lineRule="auto"/>
            </w:pPr>
            <w:r>
              <w:t>Current Engagement</w:t>
            </w:r>
          </w:p>
        </w:tc>
        <w:tc>
          <w:tcPr>
            <w:tcW w:w="2254" w:type="dxa"/>
          </w:tcPr>
          <w:p w14:paraId="2923BA4C" w14:textId="58FA29F1" w:rsidR="008032E3" w:rsidRDefault="002D71E8" w:rsidP="00685262">
            <w:pPr>
              <w:spacing w:line="360" w:lineRule="auto"/>
            </w:pPr>
            <w:r>
              <w:t>Desired Engagement</w:t>
            </w:r>
          </w:p>
        </w:tc>
        <w:tc>
          <w:tcPr>
            <w:tcW w:w="2254" w:type="dxa"/>
          </w:tcPr>
          <w:p w14:paraId="5AAEABEE" w14:textId="2743DDE6" w:rsidR="008032E3" w:rsidRDefault="002D71E8" w:rsidP="00685262">
            <w:pPr>
              <w:spacing w:line="360" w:lineRule="auto"/>
            </w:pPr>
            <w:r>
              <w:t>Engagement Strategy/ Tactic</w:t>
            </w:r>
          </w:p>
        </w:tc>
      </w:tr>
      <w:tr w:rsidR="008032E3" w14:paraId="075B8B3B" w14:textId="77777777" w:rsidTr="008032E3">
        <w:tc>
          <w:tcPr>
            <w:tcW w:w="2254" w:type="dxa"/>
          </w:tcPr>
          <w:p w14:paraId="6FAA44FD" w14:textId="6AE85E6E" w:rsidR="008032E3" w:rsidRDefault="002D71E8" w:rsidP="00685262">
            <w:pPr>
              <w:spacing w:line="360" w:lineRule="auto"/>
            </w:pPr>
            <w:r>
              <w:t>Regulatory Affairs (MHRA)</w:t>
            </w:r>
          </w:p>
        </w:tc>
        <w:tc>
          <w:tcPr>
            <w:tcW w:w="2254" w:type="dxa"/>
          </w:tcPr>
          <w:p w14:paraId="7225A0CF" w14:textId="30761DB3" w:rsidR="008032E3" w:rsidRDefault="008735B1" w:rsidP="00685262">
            <w:pPr>
              <w:spacing w:line="360" w:lineRule="auto"/>
            </w:pPr>
            <w:r>
              <w:t>Neutral/ Resistant</w:t>
            </w:r>
          </w:p>
        </w:tc>
        <w:tc>
          <w:tcPr>
            <w:tcW w:w="2254" w:type="dxa"/>
          </w:tcPr>
          <w:p w14:paraId="28970BA1" w14:textId="332B5933" w:rsidR="008032E3" w:rsidRDefault="0098042F" w:rsidP="00685262">
            <w:pPr>
              <w:spacing w:line="360" w:lineRule="auto"/>
            </w:pPr>
            <w:r>
              <w:t>Supportive</w:t>
            </w:r>
          </w:p>
        </w:tc>
        <w:tc>
          <w:tcPr>
            <w:tcW w:w="2254" w:type="dxa"/>
          </w:tcPr>
          <w:p w14:paraId="45A5DEA7" w14:textId="0A913BB8" w:rsidR="008032E3" w:rsidRDefault="00484CB7" w:rsidP="00685262">
            <w:pPr>
              <w:spacing w:line="360" w:lineRule="auto"/>
            </w:pPr>
            <w:r>
              <w:t>Proactive, transparent consultations; early dialogue on trial design</w:t>
            </w:r>
          </w:p>
        </w:tc>
      </w:tr>
      <w:tr w:rsidR="008032E3" w14:paraId="23656A77" w14:textId="77777777" w:rsidTr="008032E3">
        <w:tc>
          <w:tcPr>
            <w:tcW w:w="2254" w:type="dxa"/>
          </w:tcPr>
          <w:p w14:paraId="5DF912C0" w14:textId="2156700A" w:rsidR="008032E3" w:rsidRDefault="002D71E8" w:rsidP="00685262">
            <w:pPr>
              <w:spacing w:line="360" w:lineRule="auto"/>
            </w:pPr>
            <w:r>
              <w:t>HCPs</w:t>
            </w:r>
          </w:p>
        </w:tc>
        <w:tc>
          <w:tcPr>
            <w:tcW w:w="2254" w:type="dxa"/>
          </w:tcPr>
          <w:p w14:paraId="3751320F" w14:textId="599E8990" w:rsidR="008032E3" w:rsidRDefault="008735B1" w:rsidP="00685262">
            <w:pPr>
              <w:spacing w:line="360" w:lineRule="auto"/>
            </w:pPr>
            <w:r>
              <w:t>Unaware</w:t>
            </w:r>
          </w:p>
        </w:tc>
        <w:tc>
          <w:tcPr>
            <w:tcW w:w="2254" w:type="dxa"/>
          </w:tcPr>
          <w:p w14:paraId="40FA28EA" w14:textId="259A0650" w:rsidR="008032E3" w:rsidRDefault="0098042F" w:rsidP="00685262">
            <w:pPr>
              <w:spacing w:line="360" w:lineRule="auto"/>
            </w:pPr>
            <w:r>
              <w:t>Leading</w:t>
            </w:r>
          </w:p>
        </w:tc>
        <w:tc>
          <w:tcPr>
            <w:tcW w:w="2254" w:type="dxa"/>
          </w:tcPr>
          <w:p w14:paraId="58006D14" w14:textId="130038D7" w:rsidR="008032E3" w:rsidRDefault="00484CB7" w:rsidP="00685262">
            <w:pPr>
              <w:spacing w:line="360" w:lineRule="auto"/>
            </w:pPr>
            <w:r>
              <w:t>Advisory board formation; exclusive previews with clinical data packs</w:t>
            </w:r>
          </w:p>
        </w:tc>
      </w:tr>
      <w:tr w:rsidR="008032E3" w14:paraId="32ADC38B" w14:textId="77777777" w:rsidTr="008032E3">
        <w:tc>
          <w:tcPr>
            <w:tcW w:w="2254" w:type="dxa"/>
          </w:tcPr>
          <w:p w14:paraId="04B214AD" w14:textId="70277665" w:rsidR="008032E3" w:rsidRDefault="008735B1" w:rsidP="00685262">
            <w:pPr>
              <w:spacing w:line="360" w:lineRule="auto"/>
            </w:pPr>
            <w:r>
              <w:t>Customers</w:t>
            </w:r>
          </w:p>
        </w:tc>
        <w:tc>
          <w:tcPr>
            <w:tcW w:w="2254" w:type="dxa"/>
          </w:tcPr>
          <w:p w14:paraId="3ECFE23A" w14:textId="0BDD59E9" w:rsidR="008032E3" w:rsidRDefault="0098042F" w:rsidP="00685262">
            <w:pPr>
              <w:spacing w:line="360" w:lineRule="auto"/>
            </w:pPr>
            <w:r>
              <w:t>Unaware</w:t>
            </w:r>
          </w:p>
        </w:tc>
        <w:tc>
          <w:tcPr>
            <w:tcW w:w="2254" w:type="dxa"/>
          </w:tcPr>
          <w:p w14:paraId="48269972" w14:textId="2194DEF0" w:rsidR="008032E3" w:rsidRDefault="0098042F" w:rsidP="00685262">
            <w:pPr>
              <w:spacing w:line="360" w:lineRule="auto"/>
            </w:pPr>
            <w:r>
              <w:t>Supportive</w:t>
            </w:r>
          </w:p>
        </w:tc>
        <w:tc>
          <w:tcPr>
            <w:tcW w:w="2254" w:type="dxa"/>
          </w:tcPr>
          <w:p w14:paraId="0BD9841B" w14:textId="1CB2D0C8" w:rsidR="008032E3" w:rsidRDefault="00D70D71" w:rsidP="00685262">
            <w:pPr>
              <w:spacing w:line="360" w:lineRule="auto"/>
            </w:pPr>
            <w:r>
              <w:t>Beta testing program; social media teasers; clear privacy pledge</w:t>
            </w:r>
          </w:p>
        </w:tc>
      </w:tr>
      <w:tr w:rsidR="008032E3" w14:paraId="1B214249" w14:textId="77777777" w:rsidTr="008032E3">
        <w:tc>
          <w:tcPr>
            <w:tcW w:w="2254" w:type="dxa"/>
          </w:tcPr>
          <w:p w14:paraId="4F338D21" w14:textId="4C1EB15A" w:rsidR="008032E3" w:rsidRDefault="008735B1" w:rsidP="00685262">
            <w:pPr>
              <w:spacing w:line="360" w:lineRule="auto"/>
            </w:pPr>
            <w:r>
              <w:t>Product Dev. Team</w:t>
            </w:r>
          </w:p>
        </w:tc>
        <w:tc>
          <w:tcPr>
            <w:tcW w:w="2254" w:type="dxa"/>
          </w:tcPr>
          <w:p w14:paraId="07B9F878" w14:textId="282FB964" w:rsidR="008032E3" w:rsidRDefault="0098042F" w:rsidP="00685262">
            <w:pPr>
              <w:spacing w:line="360" w:lineRule="auto"/>
            </w:pPr>
            <w:r>
              <w:t>Supportive</w:t>
            </w:r>
          </w:p>
        </w:tc>
        <w:tc>
          <w:tcPr>
            <w:tcW w:w="2254" w:type="dxa"/>
          </w:tcPr>
          <w:p w14:paraId="047DC008" w14:textId="3A70E228" w:rsidR="008032E3" w:rsidRDefault="0098042F" w:rsidP="00685262">
            <w:pPr>
              <w:spacing w:line="360" w:lineRule="auto"/>
            </w:pPr>
            <w:r>
              <w:t>Leading</w:t>
            </w:r>
          </w:p>
        </w:tc>
        <w:tc>
          <w:tcPr>
            <w:tcW w:w="2254" w:type="dxa"/>
          </w:tcPr>
          <w:p w14:paraId="673C9B5E" w14:textId="3BD7747D" w:rsidR="008032E3" w:rsidRDefault="00D70D71" w:rsidP="00685262">
            <w:pPr>
              <w:spacing w:line="360" w:lineRule="auto"/>
            </w:pPr>
            <w:r>
              <w:t>Empower with Agile methodo</w:t>
            </w:r>
            <w:r w:rsidR="008D1123">
              <w:t>logies; include in key decision forums</w:t>
            </w:r>
          </w:p>
        </w:tc>
      </w:tr>
    </w:tbl>
    <w:p w14:paraId="7B10A16C" w14:textId="77777777" w:rsidR="00613C5F" w:rsidRDefault="00613C5F" w:rsidP="00685262">
      <w:pPr>
        <w:spacing w:line="360" w:lineRule="auto"/>
      </w:pPr>
    </w:p>
    <w:p w14:paraId="2A57483F" w14:textId="79D83B6F" w:rsidR="00FB3380" w:rsidRDefault="00FB3380" w:rsidP="00685262">
      <w:pPr>
        <w:spacing w:line="360" w:lineRule="auto"/>
      </w:pPr>
      <w:r>
        <w:t>Project Communication Plan</w:t>
      </w:r>
    </w:p>
    <w:tbl>
      <w:tblPr>
        <w:tblStyle w:val="TableGrid"/>
        <w:tblW w:w="0" w:type="auto"/>
        <w:tblLook w:val="04A0" w:firstRow="1" w:lastRow="0" w:firstColumn="1" w:lastColumn="0" w:noHBand="0" w:noVBand="1"/>
      </w:tblPr>
      <w:tblGrid>
        <w:gridCol w:w="1789"/>
        <w:gridCol w:w="1833"/>
        <w:gridCol w:w="1823"/>
        <w:gridCol w:w="1787"/>
        <w:gridCol w:w="1784"/>
      </w:tblGrid>
      <w:tr w:rsidR="00827D65" w14:paraId="487D95F2" w14:textId="77777777" w:rsidTr="00827D65">
        <w:tc>
          <w:tcPr>
            <w:tcW w:w="1803" w:type="dxa"/>
          </w:tcPr>
          <w:p w14:paraId="1308DFE2" w14:textId="6F445C34" w:rsidR="00827D65" w:rsidRDefault="00827D65" w:rsidP="00685262">
            <w:pPr>
              <w:spacing w:line="360" w:lineRule="auto"/>
            </w:pPr>
            <w:r>
              <w:t>Stakeholder</w:t>
            </w:r>
          </w:p>
        </w:tc>
        <w:tc>
          <w:tcPr>
            <w:tcW w:w="1803" w:type="dxa"/>
          </w:tcPr>
          <w:p w14:paraId="5681A210" w14:textId="39DB8900" w:rsidR="00827D65" w:rsidRDefault="00827D65" w:rsidP="00685262">
            <w:pPr>
              <w:spacing w:line="360" w:lineRule="auto"/>
            </w:pPr>
            <w:r>
              <w:t>Information Need</w:t>
            </w:r>
          </w:p>
        </w:tc>
        <w:tc>
          <w:tcPr>
            <w:tcW w:w="1803" w:type="dxa"/>
          </w:tcPr>
          <w:p w14:paraId="46332C29" w14:textId="7FBACC70" w:rsidR="00827D65" w:rsidRDefault="00827D65" w:rsidP="00685262">
            <w:pPr>
              <w:spacing w:line="360" w:lineRule="auto"/>
            </w:pPr>
            <w:r>
              <w:t>Method/Channel</w:t>
            </w:r>
          </w:p>
        </w:tc>
        <w:tc>
          <w:tcPr>
            <w:tcW w:w="1803" w:type="dxa"/>
          </w:tcPr>
          <w:p w14:paraId="3431ED66" w14:textId="66E5E1F5" w:rsidR="00827D65" w:rsidRDefault="00827D65" w:rsidP="00685262">
            <w:pPr>
              <w:spacing w:line="360" w:lineRule="auto"/>
            </w:pPr>
            <w:r>
              <w:t>Frequency</w:t>
            </w:r>
          </w:p>
        </w:tc>
        <w:tc>
          <w:tcPr>
            <w:tcW w:w="1804" w:type="dxa"/>
          </w:tcPr>
          <w:p w14:paraId="7A6D26FC" w14:textId="02307783" w:rsidR="00827D65" w:rsidRDefault="00827D65" w:rsidP="00685262">
            <w:pPr>
              <w:spacing w:line="360" w:lineRule="auto"/>
            </w:pPr>
            <w:r>
              <w:t>Owner</w:t>
            </w:r>
          </w:p>
        </w:tc>
      </w:tr>
      <w:tr w:rsidR="00827D65" w14:paraId="34328F8D" w14:textId="77777777" w:rsidTr="00827D65">
        <w:tc>
          <w:tcPr>
            <w:tcW w:w="1803" w:type="dxa"/>
          </w:tcPr>
          <w:p w14:paraId="14EE3D42" w14:textId="10A1BFF2" w:rsidR="00827D65" w:rsidRDefault="005776C0" w:rsidP="00685262">
            <w:pPr>
              <w:spacing w:line="360" w:lineRule="auto"/>
            </w:pPr>
            <w:r>
              <w:t>Senior Leadership</w:t>
            </w:r>
          </w:p>
        </w:tc>
        <w:tc>
          <w:tcPr>
            <w:tcW w:w="1803" w:type="dxa"/>
          </w:tcPr>
          <w:p w14:paraId="12B0C660" w14:textId="7CC8C657" w:rsidR="00827D65" w:rsidRDefault="00F365C8" w:rsidP="00685262">
            <w:pPr>
              <w:spacing w:line="360" w:lineRule="auto"/>
            </w:pPr>
            <w:r>
              <w:t>High-level progress</w:t>
            </w:r>
            <w:r w:rsidR="00B53765">
              <w:t>, risks, budget status</w:t>
            </w:r>
          </w:p>
        </w:tc>
        <w:tc>
          <w:tcPr>
            <w:tcW w:w="1803" w:type="dxa"/>
          </w:tcPr>
          <w:p w14:paraId="22B70999" w14:textId="27E33B3A" w:rsidR="00827D65" w:rsidRDefault="00E07AC8" w:rsidP="00685262">
            <w:pPr>
              <w:spacing w:line="360" w:lineRule="auto"/>
            </w:pPr>
            <w:r>
              <w:t>Formal Steering Committee Report</w:t>
            </w:r>
          </w:p>
        </w:tc>
        <w:tc>
          <w:tcPr>
            <w:tcW w:w="1803" w:type="dxa"/>
          </w:tcPr>
          <w:p w14:paraId="62F7F950" w14:textId="0551E8CB" w:rsidR="00827D65" w:rsidRDefault="005636AA" w:rsidP="00685262">
            <w:pPr>
              <w:spacing w:line="360" w:lineRule="auto"/>
            </w:pPr>
            <w:r>
              <w:t>Bi-weekly</w:t>
            </w:r>
          </w:p>
        </w:tc>
        <w:tc>
          <w:tcPr>
            <w:tcW w:w="1804" w:type="dxa"/>
          </w:tcPr>
          <w:p w14:paraId="5E245DE2" w14:textId="043518A4" w:rsidR="00827D65" w:rsidRDefault="00827D65" w:rsidP="00685262">
            <w:pPr>
              <w:spacing w:line="360" w:lineRule="auto"/>
            </w:pPr>
            <w:r>
              <w:t>Project Manager</w:t>
            </w:r>
          </w:p>
        </w:tc>
      </w:tr>
      <w:tr w:rsidR="00827D65" w14:paraId="1AFB4633" w14:textId="77777777" w:rsidTr="00827D65">
        <w:tc>
          <w:tcPr>
            <w:tcW w:w="1803" w:type="dxa"/>
          </w:tcPr>
          <w:p w14:paraId="12B9F602" w14:textId="0CC68A2D" w:rsidR="005776C0" w:rsidRDefault="005776C0" w:rsidP="00685262">
            <w:pPr>
              <w:spacing w:line="360" w:lineRule="auto"/>
            </w:pPr>
            <w:r>
              <w:t>Product Dev. Team</w:t>
            </w:r>
          </w:p>
        </w:tc>
        <w:tc>
          <w:tcPr>
            <w:tcW w:w="1803" w:type="dxa"/>
          </w:tcPr>
          <w:p w14:paraId="031F5FC8" w14:textId="2B860093" w:rsidR="00827D65" w:rsidRDefault="00B53765" w:rsidP="00685262">
            <w:pPr>
              <w:spacing w:line="360" w:lineRule="auto"/>
            </w:pPr>
            <w:r>
              <w:t>Technical specs, sprint goals, issue resolution</w:t>
            </w:r>
          </w:p>
        </w:tc>
        <w:tc>
          <w:tcPr>
            <w:tcW w:w="1803" w:type="dxa"/>
          </w:tcPr>
          <w:p w14:paraId="65AA1FD8" w14:textId="6CA52B2B" w:rsidR="00827D65" w:rsidRDefault="00E07AC8" w:rsidP="00685262">
            <w:pPr>
              <w:spacing w:line="360" w:lineRule="auto"/>
            </w:pPr>
            <w:r>
              <w:t>Daily Stand-up; Slack channel</w:t>
            </w:r>
          </w:p>
        </w:tc>
        <w:tc>
          <w:tcPr>
            <w:tcW w:w="1803" w:type="dxa"/>
          </w:tcPr>
          <w:p w14:paraId="4A949768" w14:textId="29A3F564" w:rsidR="00827D65" w:rsidRDefault="005636AA" w:rsidP="00685262">
            <w:pPr>
              <w:spacing w:line="360" w:lineRule="auto"/>
            </w:pPr>
            <w:r>
              <w:t>Daily</w:t>
            </w:r>
            <w:r w:rsidR="00E91993">
              <w:t>, a</w:t>
            </w:r>
            <w:r>
              <w:t>s needed</w:t>
            </w:r>
          </w:p>
        </w:tc>
        <w:tc>
          <w:tcPr>
            <w:tcW w:w="1804" w:type="dxa"/>
          </w:tcPr>
          <w:p w14:paraId="41815DE1" w14:textId="11E35FFF" w:rsidR="00827D65" w:rsidRDefault="00827D65" w:rsidP="00685262">
            <w:pPr>
              <w:spacing w:line="360" w:lineRule="auto"/>
            </w:pPr>
            <w:r>
              <w:t xml:space="preserve">Tech </w:t>
            </w:r>
            <w:proofErr w:type="gramStart"/>
            <w:r>
              <w:t>Lead</w:t>
            </w:r>
            <w:proofErr w:type="gramEnd"/>
          </w:p>
        </w:tc>
      </w:tr>
      <w:tr w:rsidR="00827D65" w14:paraId="40CEF6B0" w14:textId="77777777" w:rsidTr="00827D65">
        <w:tc>
          <w:tcPr>
            <w:tcW w:w="1803" w:type="dxa"/>
          </w:tcPr>
          <w:p w14:paraId="34C0D49D" w14:textId="24B9B67D" w:rsidR="00827D65" w:rsidRDefault="005776C0" w:rsidP="00685262">
            <w:pPr>
              <w:spacing w:line="360" w:lineRule="auto"/>
            </w:pPr>
            <w:r>
              <w:lastRenderedPageBreak/>
              <w:t>All employees</w:t>
            </w:r>
          </w:p>
        </w:tc>
        <w:tc>
          <w:tcPr>
            <w:tcW w:w="1803" w:type="dxa"/>
          </w:tcPr>
          <w:p w14:paraId="64A96CD1" w14:textId="26957570" w:rsidR="00827D65" w:rsidRDefault="00022E7A" w:rsidP="00685262">
            <w:pPr>
              <w:spacing w:line="360" w:lineRule="auto"/>
            </w:pPr>
            <w:r>
              <w:t>General project updates, boost morale</w:t>
            </w:r>
          </w:p>
        </w:tc>
        <w:tc>
          <w:tcPr>
            <w:tcW w:w="1803" w:type="dxa"/>
          </w:tcPr>
          <w:p w14:paraId="52C06956" w14:textId="3CBC59B9" w:rsidR="00827D65" w:rsidRDefault="00E07AC8" w:rsidP="00685262">
            <w:pPr>
              <w:spacing w:line="360" w:lineRule="auto"/>
            </w:pPr>
            <w:r>
              <w:t>Internal Newsletter; Intranet post</w:t>
            </w:r>
          </w:p>
        </w:tc>
        <w:tc>
          <w:tcPr>
            <w:tcW w:w="1803" w:type="dxa"/>
          </w:tcPr>
          <w:p w14:paraId="3A95F929" w14:textId="4054E28F" w:rsidR="00827D65" w:rsidRDefault="005636AA" w:rsidP="00685262">
            <w:pPr>
              <w:spacing w:line="360" w:lineRule="auto"/>
            </w:pPr>
            <w:r>
              <w:t>Monthly</w:t>
            </w:r>
          </w:p>
        </w:tc>
        <w:tc>
          <w:tcPr>
            <w:tcW w:w="1804" w:type="dxa"/>
          </w:tcPr>
          <w:p w14:paraId="26846978" w14:textId="746EEF6C" w:rsidR="00827D65" w:rsidRDefault="00827D65" w:rsidP="00685262">
            <w:pPr>
              <w:spacing w:line="360" w:lineRule="auto"/>
            </w:pPr>
            <w:r>
              <w:t>Comms Team</w:t>
            </w:r>
          </w:p>
        </w:tc>
      </w:tr>
      <w:tr w:rsidR="00827D65" w14:paraId="32D8F1A7" w14:textId="77777777" w:rsidTr="00827D65">
        <w:tc>
          <w:tcPr>
            <w:tcW w:w="1803" w:type="dxa"/>
          </w:tcPr>
          <w:p w14:paraId="5EDA8C76" w14:textId="1426A600" w:rsidR="00827D65" w:rsidRDefault="005776C0" w:rsidP="00685262">
            <w:pPr>
              <w:spacing w:line="360" w:lineRule="auto"/>
            </w:pPr>
            <w:r>
              <w:t>Media &amp; Pu</w:t>
            </w:r>
            <w:r w:rsidR="009E1BEA">
              <w:t>blic</w:t>
            </w:r>
          </w:p>
        </w:tc>
        <w:tc>
          <w:tcPr>
            <w:tcW w:w="1803" w:type="dxa"/>
          </w:tcPr>
          <w:p w14:paraId="014B727F" w14:textId="70B29A67" w:rsidR="00827D65" w:rsidRDefault="00022E7A" w:rsidP="00685262">
            <w:pPr>
              <w:spacing w:line="360" w:lineRule="auto"/>
            </w:pPr>
            <w:r>
              <w:t>Launch announcements, products</w:t>
            </w:r>
          </w:p>
        </w:tc>
        <w:tc>
          <w:tcPr>
            <w:tcW w:w="1803" w:type="dxa"/>
          </w:tcPr>
          <w:p w14:paraId="46742DA1" w14:textId="70355D3D" w:rsidR="00827D65" w:rsidRDefault="00E07AC8" w:rsidP="00685262">
            <w:pPr>
              <w:spacing w:line="360" w:lineRule="auto"/>
            </w:pPr>
            <w:r>
              <w:t xml:space="preserve">Press Release; </w:t>
            </w:r>
            <w:r w:rsidR="00313445">
              <w:t>s</w:t>
            </w:r>
            <w:r>
              <w:t xml:space="preserve">ocial </w:t>
            </w:r>
            <w:r w:rsidR="00313445">
              <w:t>m</w:t>
            </w:r>
            <w:r>
              <w:t>edia</w:t>
            </w:r>
          </w:p>
        </w:tc>
        <w:tc>
          <w:tcPr>
            <w:tcW w:w="1803" w:type="dxa"/>
          </w:tcPr>
          <w:p w14:paraId="72075BDE" w14:textId="2CF3D701" w:rsidR="00827D65" w:rsidRDefault="005636AA" w:rsidP="00685262">
            <w:pPr>
              <w:spacing w:line="360" w:lineRule="auto"/>
            </w:pPr>
            <w:r>
              <w:t>At milestones</w:t>
            </w:r>
          </w:p>
        </w:tc>
        <w:tc>
          <w:tcPr>
            <w:tcW w:w="1804" w:type="dxa"/>
          </w:tcPr>
          <w:p w14:paraId="1F5C4BE9" w14:textId="1AFBAD96" w:rsidR="00827D65" w:rsidRDefault="00DA0DEA" w:rsidP="00685262">
            <w:pPr>
              <w:spacing w:line="360" w:lineRule="auto"/>
            </w:pPr>
            <w:r>
              <w:t>Marketing</w:t>
            </w:r>
          </w:p>
        </w:tc>
      </w:tr>
    </w:tbl>
    <w:p w14:paraId="2D3AE5E5" w14:textId="77777777" w:rsidR="00827D65" w:rsidRDefault="00827D65" w:rsidP="00685262">
      <w:pPr>
        <w:spacing w:line="360" w:lineRule="auto"/>
      </w:pPr>
    </w:p>
    <w:p w14:paraId="097051C0" w14:textId="0B701E77" w:rsidR="009E1BEA" w:rsidRDefault="009E1BEA" w:rsidP="00685262">
      <w:pPr>
        <w:spacing w:line="360" w:lineRule="auto"/>
      </w:pPr>
      <w:r>
        <w:t>Critical Process of Stakeholder Engagement and Conflict Management</w:t>
      </w:r>
    </w:p>
    <w:p w14:paraId="4E958DC2" w14:textId="77777777" w:rsidR="00F32C7F" w:rsidRDefault="00F32C7F" w:rsidP="00685262">
      <w:pPr>
        <w:pStyle w:val="Heading1"/>
        <w:spacing w:line="360" w:lineRule="auto"/>
      </w:pPr>
    </w:p>
    <w:p w14:paraId="04056D66" w14:textId="77777777" w:rsidR="00F32C7F" w:rsidRDefault="00F32C7F" w:rsidP="00685262">
      <w:pPr>
        <w:pStyle w:val="Heading1"/>
        <w:spacing w:line="360" w:lineRule="auto"/>
      </w:pPr>
    </w:p>
    <w:p w14:paraId="1B2414EA" w14:textId="77777777" w:rsidR="00F32C7F" w:rsidRDefault="00F32C7F" w:rsidP="00685262">
      <w:pPr>
        <w:pStyle w:val="Heading1"/>
        <w:spacing w:line="360" w:lineRule="auto"/>
      </w:pPr>
    </w:p>
    <w:p w14:paraId="713BE81F" w14:textId="77777777" w:rsidR="00F32C7F" w:rsidRDefault="00F32C7F" w:rsidP="00685262">
      <w:pPr>
        <w:pStyle w:val="Heading1"/>
        <w:spacing w:line="360" w:lineRule="auto"/>
      </w:pPr>
    </w:p>
    <w:p w14:paraId="4685405D" w14:textId="77777777" w:rsidR="00F32C7F" w:rsidRDefault="00F32C7F" w:rsidP="00685262">
      <w:pPr>
        <w:pStyle w:val="Heading1"/>
        <w:spacing w:line="360" w:lineRule="auto"/>
      </w:pPr>
    </w:p>
    <w:p w14:paraId="22C27BA3" w14:textId="77777777" w:rsidR="00F32C7F" w:rsidRDefault="00F32C7F" w:rsidP="00685262">
      <w:pPr>
        <w:spacing w:line="360" w:lineRule="auto"/>
      </w:pPr>
    </w:p>
    <w:p w14:paraId="438D6938" w14:textId="77777777" w:rsidR="00F32C7F" w:rsidRDefault="00F32C7F" w:rsidP="00685262">
      <w:pPr>
        <w:spacing w:line="360" w:lineRule="auto"/>
      </w:pPr>
    </w:p>
    <w:p w14:paraId="0C7E68A6" w14:textId="77777777" w:rsidR="00353068" w:rsidRDefault="00353068" w:rsidP="00685262">
      <w:pPr>
        <w:pStyle w:val="Heading1"/>
        <w:spacing w:line="360" w:lineRule="auto"/>
      </w:pPr>
    </w:p>
    <w:p w14:paraId="3F9C7E65" w14:textId="77777777" w:rsidR="00353068" w:rsidRDefault="00353068" w:rsidP="00353068"/>
    <w:p w14:paraId="46996E98" w14:textId="77777777" w:rsidR="00353068" w:rsidRDefault="00353068" w:rsidP="00685262">
      <w:pPr>
        <w:pStyle w:val="Heading1"/>
        <w:spacing w:line="360" w:lineRule="auto"/>
      </w:pPr>
    </w:p>
    <w:p w14:paraId="3E72DCDE" w14:textId="77777777" w:rsidR="00353068" w:rsidRPr="00353068" w:rsidRDefault="00353068" w:rsidP="00353068"/>
    <w:p w14:paraId="229F7047" w14:textId="688161FF" w:rsidR="009E1BEA" w:rsidRDefault="000741E2" w:rsidP="00685262">
      <w:pPr>
        <w:pStyle w:val="Heading1"/>
        <w:spacing w:line="360" w:lineRule="auto"/>
      </w:pPr>
      <w:bookmarkStart w:id="23" w:name="_Toc217035636"/>
      <w:r>
        <w:lastRenderedPageBreak/>
        <w:t>4C’s Model for Engagement</w:t>
      </w:r>
      <w:bookmarkEnd w:id="23"/>
    </w:p>
    <w:p w14:paraId="63D1FFC7" w14:textId="24AA8B64" w:rsidR="000741E2" w:rsidRDefault="000741E2" w:rsidP="00685262">
      <w:pPr>
        <w:spacing w:line="360" w:lineRule="auto"/>
      </w:pPr>
      <w:r>
        <w:t>A critical and proactive engagement process will be guided by the 4C’s model</w:t>
      </w:r>
    </w:p>
    <w:p w14:paraId="23BA7154" w14:textId="4AD0105C" w:rsidR="006050CE" w:rsidRDefault="00C93282" w:rsidP="00685262">
      <w:pPr>
        <w:spacing w:line="360" w:lineRule="auto"/>
      </w:pPr>
      <w:r>
        <w:t>Communication: This is the foundational ‘C’. It must be two-way, tailored, and transparent</w:t>
      </w:r>
      <w:r w:rsidR="006050CE">
        <w:t>. For the Regulatory Affairs team, communication will be highly formal, documented, and precise, using official submission portals and meetings. For the Product Development team, it will be more informal, frequent, and collaborative, using Agile tools like Jira and daily scrums. The theory of Communicative Action</w:t>
      </w:r>
      <w:r w:rsidR="006E0027">
        <w:t xml:space="preserve"> underpins this, aiming for understanding and consensus rather than just information transfer. A challenge is information overload; the Communication Plan mitigates this by specifying channels</w:t>
      </w:r>
      <w:r w:rsidR="00BD6AB4">
        <w:t xml:space="preserve"> and frequency</w:t>
      </w:r>
      <w:r w:rsidR="00FB05EE">
        <w:t xml:space="preserve"> (</w:t>
      </w:r>
      <w:r w:rsidR="00FB05EE" w:rsidRPr="00922B83">
        <w:t xml:space="preserve">Swift, </w:t>
      </w:r>
      <w:r w:rsidR="00624975">
        <w:t>n.d.</w:t>
      </w:r>
      <w:r w:rsidR="00FB05EE">
        <w:t>)</w:t>
      </w:r>
      <w:r w:rsidR="00BD6AB4">
        <w:t>.</w:t>
      </w:r>
    </w:p>
    <w:p w14:paraId="7581ED30" w14:textId="34477ECD" w:rsidR="00BD6AB4" w:rsidRDefault="00BD6AB4" w:rsidP="00685262">
      <w:pPr>
        <w:spacing w:line="360" w:lineRule="auto"/>
      </w:pPr>
      <w:r>
        <w:t>Co-ordination: This involves organising stakeholder activities to avoid duplication and conflict</w:t>
      </w:r>
      <w:r w:rsidR="00720665">
        <w:t xml:space="preserve"> (</w:t>
      </w:r>
      <w:r w:rsidR="00720665" w:rsidRPr="00922B83">
        <w:t>GeeksForGeeks, 2023</w:t>
      </w:r>
      <w:r w:rsidR="00720665">
        <w:t>)</w:t>
      </w:r>
      <w:r>
        <w:t>. The RACI matrix is the key tool here. For instance</w:t>
      </w:r>
      <w:r w:rsidR="00B7459E">
        <w:t xml:space="preserve">, coordinating the Marketing team’s pre-launch campaign with the </w:t>
      </w:r>
      <w:r w:rsidR="000506CF">
        <w:t>R</w:t>
      </w:r>
      <w:r w:rsidR="00B7459E">
        <w:t xml:space="preserve">egulatory team’s </w:t>
      </w:r>
      <w:r w:rsidR="000506CF">
        <w:t>approval timelines is critical to avoid premature claims. The project manager acts as the central orchestrator, using integrated project management software</w:t>
      </w:r>
      <w:r w:rsidR="00C85182">
        <w:t xml:space="preserve"> (e.g., MS Project, Asana) to visualise dependencies and align timelines across all stakeholder groups</w:t>
      </w:r>
      <w:r w:rsidR="00624975">
        <w:t>.</w:t>
      </w:r>
    </w:p>
    <w:p w14:paraId="31C3DC81" w14:textId="5C5BDAF5" w:rsidR="00C85182" w:rsidRDefault="00FA1BC0" w:rsidP="00685262">
      <w:pPr>
        <w:spacing w:line="360" w:lineRule="auto"/>
      </w:pPr>
      <w:r>
        <w:t>Co</w:t>
      </w:r>
      <w:r w:rsidR="00DE1577">
        <w:t>-operation: This moves beyond mere co-ordination to willing participation towards a shared sub-goal</w:t>
      </w:r>
      <w:r w:rsidR="00363286">
        <w:t xml:space="preserve"> (</w:t>
      </w:r>
      <w:r w:rsidR="00363286" w:rsidRPr="00922B83">
        <w:t>Killman, n.d</w:t>
      </w:r>
      <w:r w:rsidR="00E53E18" w:rsidRPr="00922B83">
        <w:t>.</w:t>
      </w:r>
      <w:r w:rsidR="003B2B2A">
        <w:t>)</w:t>
      </w:r>
      <w:r w:rsidR="00DE1577">
        <w:t>. To foster co-operation between the Digital Team (focused on app features) and the Legal Team (focused on</w:t>
      </w:r>
      <w:r w:rsidR="00653FE9">
        <w:t xml:space="preserve"> GDPR compliance), joint workshops will be held early in the design phase. Applying </w:t>
      </w:r>
      <w:r w:rsidR="00812241">
        <w:t>Thomas Killmann’s Conflict Mode Instrument a collaborating approach will be encouraged to find solutions that satisfy both security/legal requirements and user experience. Recognising and rewarding co-operative behaviour is key.</w:t>
      </w:r>
    </w:p>
    <w:p w14:paraId="059E4273" w14:textId="1D2DE82B" w:rsidR="00677AB7" w:rsidRDefault="00812241" w:rsidP="00685262">
      <w:pPr>
        <w:spacing w:line="360" w:lineRule="auto"/>
      </w:pPr>
      <w:r>
        <w:t>Collaboration: The highest level, where stakeholder</w:t>
      </w:r>
      <w:r w:rsidR="005E6FC0">
        <w:t>s actively cultivated with key HCPs through a formal ‘VitaTrack Medical</w:t>
      </w:r>
      <w:r w:rsidR="00570095">
        <w:t xml:space="preserve"> Advisory Board’</w:t>
      </w:r>
      <w:r w:rsidR="005D626B">
        <w:t xml:space="preserve"> (</w:t>
      </w:r>
      <w:r w:rsidR="00E22752" w:rsidRPr="00922B83">
        <w:t>B</w:t>
      </w:r>
      <w:r w:rsidR="005B78A2" w:rsidRPr="00922B83">
        <w:t>ü</w:t>
      </w:r>
      <w:r w:rsidR="00E22752" w:rsidRPr="00922B83">
        <w:t>hrmann, et al</w:t>
      </w:r>
      <w:r w:rsidR="00922B83">
        <w:t>.</w:t>
      </w:r>
      <w:r w:rsidR="00E22752" w:rsidRPr="00922B83">
        <w:t xml:space="preserve"> 202</w:t>
      </w:r>
      <w:r w:rsidR="00571521" w:rsidRPr="00922B83">
        <w:t>3</w:t>
      </w:r>
      <w:r w:rsidR="00E22752">
        <w:t>)</w:t>
      </w:r>
      <w:r w:rsidR="00570095">
        <w:t>. They will not just be consulted but will collaborate on defining key health metrics and interpreting clinical validation data. Similarly, beta testing customers will collaborate</w:t>
      </w:r>
      <w:r w:rsidR="00677AB7">
        <w:t xml:space="preserve"> with the collaborate on defining</w:t>
      </w:r>
      <w:r w:rsidR="005C3B18">
        <w:t xml:space="preserve"> key health metrics and interpreting clinical validation data. Similarly, beta tes</w:t>
      </w:r>
      <w:r w:rsidR="00276D59">
        <w:t>ting customers will collaborate with the product team by co-shaping</w:t>
      </w:r>
      <w:r w:rsidR="004B1ADF">
        <w:t xml:space="preserve"> features via feedback loops. This leverages the Principles of Co-creation</w:t>
      </w:r>
      <w:r w:rsidR="00C64246">
        <w:t>, transforming stakeholders from passive recipients to active partners, thereby increasing commitment and innovation.</w:t>
      </w:r>
    </w:p>
    <w:p w14:paraId="5CAAC54E" w14:textId="77777777" w:rsidR="00175CE2" w:rsidRDefault="00175CE2" w:rsidP="00685262">
      <w:pPr>
        <w:spacing w:line="360" w:lineRule="auto"/>
      </w:pPr>
    </w:p>
    <w:p w14:paraId="676CC59D" w14:textId="77777777" w:rsidR="00175CE2" w:rsidRDefault="00175CE2" w:rsidP="00685262">
      <w:pPr>
        <w:spacing w:line="360" w:lineRule="auto"/>
      </w:pPr>
    </w:p>
    <w:p w14:paraId="61672D47" w14:textId="7AB12426" w:rsidR="00C64246" w:rsidRDefault="00C64246" w:rsidP="009F3784">
      <w:pPr>
        <w:pStyle w:val="Heading2"/>
      </w:pPr>
      <w:bookmarkStart w:id="24" w:name="_Toc217035637"/>
      <w:r>
        <w:lastRenderedPageBreak/>
        <w:t>The Project Manager’s Role and Conflict Management Strategies</w:t>
      </w:r>
      <w:bookmarkEnd w:id="24"/>
    </w:p>
    <w:p w14:paraId="31670B81" w14:textId="718AAD74" w:rsidR="00C64246" w:rsidRDefault="00C64246" w:rsidP="00685262">
      <w:pPr>
        <w:spacing w:line="360" w:lineRule="auto"/>
      </w:pPr>
      <w:r>
        <w:t xml:space="preserve">As project manager, </w:t>
      </w:r>
      <w:r w:rsidR="002D20F4">
        <w:t>the primary role is that of an integrator, facilitator, and negotiator</w:t>
      </w:r>
      <w:r w:rsidR="009E1560">
        <w:t xml:space="preserve"> (</w:t>
      </w:r>
      <w:r w:rsidR="00922B83" w:rsidRPr="00922B83">
        <w:t>Siles</w:t>
      </w:r>
      <w:r w:rsidR="009E1560" w:rsidRPr="00922B83">
        <w:t>, n.d.</w:t>
      </w:r>
      <w:r w:rsidR="00CF2AE2">
        <w:t>)</w:t>
      </w:r>
      <w:r w:rsidR="002D20F4">
        <w:t xml:space="preserve"> My responsibilities include maintaining the stakeholder engagement and communication</w:t>
      </w:r>
      <w:r w:rsidR="0043705E">
        <w:t xml:space="preserve"> plans, facilitating meetings, mediating conflicts, and ensuring alignment with project objectives.</w:t>
      </w:r>
    </w:p>
    <w:p w14:paraId="34A5C2F9" w14:textId="4BB514BF" w:rsidR="0043705E" w:rsidRDefault="0043705E" w:rsidP="00685262">
      <w:pPr>
        <w:spacing w:line="360" w:lineRule="auto"/>
      </w:pPr>
      <w:r>
        <w:t xml:space="preserve">Conflicts are inevitable. For </w:t>
      </w:r>
      <w:r w:rsidR="008F1697">
        <w:t xml:space="preserve">example, a likely conflict is between Marketing (wanting an aggressive launch date and expansive </w:t>
      </w:r>
      <w:r w:rsidR="00DB3403">
        <w:t xml:space="preserve">feature claims) and Regulatory/Legal (advocating </w:t>
      </w:r>
      <w:r w:rsidR="00BE0394">
        <w:t>for a cautious timeline and restrictive claims language). To manage this:</w:t>
      </w:r>
    </w:p>
    <w:p w14:paraId="2CA01C2B" w14:textId="461018E9" w:rsidR="00BE0394" w:rsidRDefault="00BE0394" w:rsidP="00685262">
      <w:pPr>
        <w:spacing w:line="360" w:lineRule="auto"/>
      </w:pPr>
      <w:r>
        <w:t>Pre-empt Conflict: Use the stakeholder</w:t>
      </w:r>
      <w:r w:rsidR="00C72FAF">
        <w:t xml:space="preserve"> analysis to predict this clash</w:t>
      </w:r>
      <w:r w:rsidR="008B0F0B">
        <w:t xml:space="preserve"> (</w:t>
      </w:r>
      <w:r w:rsidR="003A2CB1">
        <w:t xml:space="preserve">Toegel, Barsoux, </w:t>
      </w:r>
      <w:r w:rsidR="00382F64">
        <w:t>2016)</w:t>
      </w:r>
      <w:r w:rsidR="00C72FAF">
        <w:t>. Bring both parties together early to jointly review draft marketing materials against regulatory guidelines.</w:t>
      </w:r>
    </w:p>
    <w:p w14:paraId="3503DCD6" w14:textId="369EAC3F" w:rsidR="00C72FAF" w:rsidRDefault="00C72FAF" w:rsidP="00685262">
      <w:pPr>
        <w:spacing w:line="360" w:lineRule="auto"/>
      </w:pPr>
      <w:r>
        <w:t>Apply Resolu</w:t>
      </w:r>
      <w:r w:rsidR="008827B8">
        <w:t xml:space="preserve">tion Models: Use the Interest-Based Relational (IBR) approach. Separate the people </w:t>
      </w:r>
      <w:r w:rsidR="00D84DBB">
        <w:t xml:space="preserve">from the problem; focus on the shared interest (a successful </w:t>
      </w:r>
      <w:r w:rsidR="00C17AE4">
        <w:t>compliant launch). Encourage active listening. Generate options for mutual gai</w:t>
      </w:r>
      <w:r w:rsidR="00F7015B">
        <w:t xml:space="preserve">n, for example, </w:t>
      </w:r>
      <w:r w:rsidR="00DF48CD">
        <w:t xml:space="preserve">a phased </w:t>
      </w:r>
      <w:r w:rsidR="00C53ECE">
        <w:t>marketing</w:t>
      </w:r>
      <w:r w:rsidR="00DF48CD">
        <w:t xml:space="preserve"> rollout, starting with approved claims and adding others post-approval.</w:t>
      </w:r>
    </w:p>
    <w:p w14:paraId="69D0350D" w14:textId="16E2DC6C" w:rsidR="00045F21" w:rsidRDefault="00DF48CD" w:rsidP="00685262">
      <w:pPr>
        <w:spacing w:line="360" w:lineRule="auto"/>
      </w:pPr>
      <w:r>
        <w:t xml:space="preserve">Leverage the 4C’s: Communicate the rationale </w:t>
      </w:r>
      <w:r w:rsidR="009D0362">
        <w:t>behind each team’s position. Co</w:t>
      </w:r>
      <w:r w:rsidR="0006687B">
        <w:t>-</w:t>
      </w:r>
      <w:r w:rsidR="009D0362">
        <w:t>ordinate a joint review schedule. Foster co-operation by creating a small cross</w:t>
      </w:r>
      <w:r w:rsidR="00332BFD">
        <w:t>-functional task force. Aim for collaboration on a unified regulatory marketing strategy document</w:t>
      </w:r>
      <w:r w:rsidR="00045F21">
        <w:t>.</w:t>
      </w:r>
    </w:p>
    <w:p w14:paraId="40979F72" w14:textId="3103472E" w:rsidR="00045F21" w:rsidRDefault="00045F21" w:rsidP="00685262">
      <w:pPr>
        <w:spacing w:line="360" w:lineRule="auto"/>
      </w:pPr>
      <w:r>
        <w:t>Escalation Path: If unresolved, the conflict will be escalated to the project sponsor (a constructively, using them as a source of innovation rather than a project derailment.</w:t>
      </w:r>
    </w:p>
    <w:p w14:paraId="04A2143B" w14:textId="01F78546" w:rsidR="008E1101" w:rsidRDefault="00106273" w:rsidP="00685262">
      <w:pPr>
        <w:spacing w:line="360" w:lineRule="auto"/>
      </w:pPr>
      <w:r>
        <w:t>The effectiveness of each ‘C’ can be measured to ensure the process remains dynamic and results oriented. For Communication, metric include stakeholder feedback survey scores on clarity and usefulness of updates, and the reduction in queries based on misinformation. For Coordination, key indicators are the decrease in schedule conflicts and the timely completion of interdependent tasks as per the project plan</w:t>
      </w:r>
      <w:r w:rsidR="005B41FF">
        <w:t>. Co-operation can be gauged through the number of cross functional initiatives proposed and the frequency</w:t>
      </w:r>
      <w:r w:rsidR="00C55AF2">
        <w:t xml:space="preserve"> of unsolicited collaborative problem solving between teams. Finally, </w:t>
      </w:r>
      <w:r w:rsidR="000C1BD0">
        <w:t>C</w:t>
      </w:r>
      <w:r w:rsidR="00C55AF2">
        <w:t xml:space="preserve">ollaboration success is evident in the quality of </w:t>
      </w:r>
      <w:r w:rsidR="000C1BD0">
        <w:t>co-</w:t>
      </w:r>
      <w:r w:rsidR="00C55AF2">
        <w:t>created outp</w:t>
      </w:r>
      <w:r w:rsidR="00C53ECE">
        <w:t>u</w:t>
      </w:r>
      <w:r w:rsidR="00C55AF2">
        <w:t>ts, such as the advisory board’s contribution to the product feature set, and the depth of shared ownership expressed by external partners</w:t>
      </w:r>
    </w:p>
    <w:p w14:paraId="63B9880B" w14:textId="3D5506ED" w:rsidR="00C55AF2" w:rsidRDefault="00F2233B" w:rsidP="00685262">
      <w:pPr>
        <w:spacing w:line="360" w:lineRule="auto"/>
      </w:pPr>
      <w:r>
        <w:t>Applying this model requires recognising that stakeholders move through the 4C’s at differe</w:t>
      </w:r>
      <w:r w:rsidR="00166897">
        <w:t xml:space="preserve">nt paces. Internal </w:t>
      </w:r>
      <w:r w:rsidR="000C1BD0">
        <w:t>technical teams may achieve Collaboration swiftly</w:t>
      </w:r>
      <w:r w:rsidR="00154113">
        <w:t xml:space="preserve">, while external regulators </w:t>
      </w:r>
      <w:r w:rsidR="00154113">
        <w:lastRenderedPageBreak/>
        <w:t>may require sustained Communication and Co</w:t>
      </w:r>
      <w:r w:rsidR="008A7BCC">
        <w:t xml:space="preserve">-operation before reaching a Collaborative partnership. The project manager must tailor the </w:t>
      </w:r>
      <w:r w:rsidR="00C53ECE">
        <w:t>approach,</w:t>
      </w:r>
      <w:r w:rsidR="008A7BCC">
        <w:t xml:space="preserve"> accordingly, investing more time in building </w:t>
      </w:r>
      <w:r w:rsidR="00C12798">
        <w:t>trust with high power, low trust stakeholders. It is also vital to reinforce positive behaviours. Publicly</w:t>
      </w:r>
      <w:r w:rsidR="00C64D92">
        <w:t xml:space="preserve"> acknowledging examples of excellent cross team Co-operation or successful </w:t>
      </w:r>
      <w:r w:rsidR="006A569F">
        <w:t>Collaboration in steering meetings reinforces the desired culture. This encourages replication and signals that stakeholder synergy is a valued project outcome, not just a procedural step.</w:t>
      </w:r>
    </w:p>
    <w:p w14:paraId="2820699E" w14:textId="39B31505" w:rsidR="00402F51" w:rsidRDefault="00402F51" w:rsidP="00685262">
      <w:pPr>
        <w:spacing w:line="360" w:lineRule="auto"/>
      </w:pPr>
      <w:r>
        <w:t xml:space="preserve">Furthermore, the 4C model serves as a conflict prevention framework. By design, it promotes early and frequent interaction, surfacing differing </w:t>
      </w:r>
      <w:r w:rsidR="00E13C18">
        <w:t>perspectives in controlled settings rather than during crisis points. For instance, regular coordinated meetings</w:t>
      </w:r>
      <w:r w:rsidR="00DD50AD">
        <w:t xml:space="preserve"> between marketing and legal force a dialogue on claims language early on, preventing a </w:t>
      </w:r>
      <w:r w:rsidR="00C53ECE">
        <w:t>last-minute</w:t>
      </w:r>
      <w:r w:rsidR="00DD50AD">
        <w:t xml:space="preserve"> dispute. The model fosters a shared language and common purpose, making </w:t>
      </w:r>
      <w:r w:rsidR="00C53ECE">
        <w:t>it</w:t>
      </w:r>
      <w:r w:rsidR="00DD50AD">
        <w:t xml:space="preserve"> easier to frame conflicts as shared problems</w:t>
      </w:r>
      <w:r w:rsidR="00DA62DF">
        <w:t xml:space="preserve"> to be solved co-operatively, rather than battles to be won. This proactive stance is crucial in a </w:t>
      </w:r>
      <w:r w:rsidR="00C53ECE">
        <w:t>high stake</w:t>
      </w:r>
      <w:r w:rsidR="00DA62DF">
        <w:t>, fast paced launch environment where</w:t>
      </w:r>
      <w:r w:rsidR="00E445D1">
        <w:t xml:space="preserve"> unresolved conflict can derail timelines and erode team morale.</w:t>
      </w:r>
    </w:p>
    <w:p w14:paraId="2D4BE386" w14:textId="77777777" w:rsidR="00C821B5" w:rsidRDefault="00C821B5" w:rsidP="00685262">
      <w:pPr>
        <w:pStyle w:val="Heading1"/>
        <w:spacing w:line="360" w:lineRule="auto"/>
      </w:pPr>
    </w:p>
    <w:p w14:paraId="1B54945A" w14:textId="77777777" w:rsidR="00C821B5" w:rsidRDefault="00C821B5" w:rsidP="00685262">
      <w:pPr>
        <w:pStyle w:val="Heading1"/>
        <w:spacing w:line="360" w:lineRule="auto"/>
      </w:pPr>
    </w:p>
    <w:p w14:paraId="60B513EC" w14:textId="77777777" w:rsidR="00C821B5" w:rsidRDefault="00C821B5" w:rsidP="00685262">
      <w:pPr>
        <w:spacing w:line="360" w:lineRule="auto"/>
      </w:pPr>
    </w:p>
    <w:p w14:paraId="36A97ACB" w14:textId="77777777" w:rsidR="00C821B5" w:rsidRDefault="00C821B5" w:rsidP="00685262">
      <w:pPr>
        <w:spacing w:line="360" w:lineRule="auto"/>
      </w:pPr>
    </w:p>
    <w:p w14:paraId="543C64D9" w14:textId="77777777" w:rsidR="00C821B5" w:rsidRDefault="00C821B5" w:rsidP="00685262">
      <w:pPr>
        <w:spacing w:line="360" w:lineRule="auto"/>
      </w:pPr>
    </w:p>
    <w:p w14:paraId="6D257022" w14:textId="77777777" w:rsidR="00353068" w:rsidRDefault="00353068" w:rsidP="00353068"/>
    <w:p w14:paraId="2DA4691D" w14:textId="77777777" w:rsidR="0090015D" w:rsidRDefault="0090015D" w:rsidP="00353068"/>
    <w:p w14:paraId="7ABBD199" w14:textId="77777777" w:rsidR="00353068" w:rsidRDefault="00353068" w:rsidP="00685262">
      <w:pPr>
        <w:pStyle w:val="Heading1"/>
        <w:spacing w:line="360" w:lineRule="auto"/>
      </w:pPr>
    </w:p>
    <w:p w14:paraId="1AF7BD34" w14:textId="77777777" w:rsidR="0090015D" w:rsidRDefault="0090015D" w:rsidP="0090015D"/>
    <w:p w14:paraId="16B3E021" w14:textId="77777777" w:rsidR="0090015D" w:rsidRPr="0090015D" w:rsidRDefault="0090015D" w:rsidP="0090015D"/>
    <w:p w14:paraId="3D356948" w14:textId="2C1347F2" w:rsidR="00045F21" w:rsidRDefault="00C821B5" w:rsidP="00685262">
      <w:pPr>
        <w:pStyle w:val="Heading1"/>
        <w:spacing w:line="360" w:lineRule="auto"/>
      </w:pPr>
      <w:bookmarkStart w:id="25" w:name="_Toc217035638"/>
      <w:r>
        <w:lastRenderedPageBreak/>
        <w:t>Evaluation of Impact and Recommendations</w:t>
      </w:r>
      <w:bookmarkEnd w:id="25"/>
      <w:r>
        <w:t xml:space="preserve"> </w:t>
      </w:r>
    </w:p>
    <w:p w14:paraId="1D959BA4" w14:textId="3F357BCB" w:rsidR="00C821B5" w:rsidRDefault="005C0690" w:rsidP="00685262">
      <w:pPr>
        <w:pStyle w:val="Heading2"/>
        <w:spacing w:line="360" w:lineRule="auto"/>
      </w:pPr>
      <w:bookmarkStart w:id="26" w:name="_Toc217035639"/>
      <w:r>
        <w:t>Evaluation of Stakeholder Engagement Impact on Business Performance</w:t>
      </w:r>
      <w:bookmarkEnd w:id="26"/>
    </w:p>
    <w:p w14:paraId="1B61067E" w14:textId="1DE6BC77" w:rsidR="00971571" w:rsidRDefault="00971571" w:rsidP="00685262">
      <w:pPr>
        <w:spacing w:line="360" w:lineRule="auto"/>
      </w:pPr>
      <w:r>
        <w:t>Effective stakeholder engagement, as outlined, will directly and positively impact Pfizer’s business performance across several domains:</w:t>
      </w:r>
    </w:p>
    <w:p w14:paraId="17B7CF26" w14:textId="12A98FC1" w:rsidR="00971571" w:rsidRDefault="00971571" w:rsidP="00685262">
      <w:pPr>
        <w:spacing w:line="360" w:lineRule="auto"/>
      </w:pPr>
      <w:r>
        <w:t>Financial Performance: Proactive engagement with Regulatory Bodies reduces the risk of costly launch delays or rejection. Engaging Sales &amp; Retail Partners</w:t>
      </w:r>
      <w:r w:rsidR="00836875">
        <w:t xml:space="preserve"> early ensures robust channel readiness, directly driving initial sales volume</w:t>
      </w:r>
      <w:r w:rsidR="00F05672">
        <w:t>. Collaborative input from Customers (beta testers) improves product market fit, reducing post launch returns and negative reviews, protecting revenue and brand value.</w:t>
      </w:r>
    </w:p>
    <w:p w14:paraId="31730FC8" w14:textId="19E1AC26" w:rsidR="00F05672" w:rsidRDefault="009F4D4A" w:rsidP="00685262">
      <w:pPr>
        <w:spacing w:line="360" w:lineRule="auto"/>
      </w:pPr>
      <w:r>
        <w:t>Operational Performance: Coordinating Internal Teams (R&amp;D, Digital, Supply Chain) thr</w:t>
      </w:r>
      <w:r w:rsidR="006D619D">
        <w:t>ough clear RACI and communication plans enhances efficiency, reduces rework, and increases the likelihood of on</w:t>
      </w:r>
      <w:r w:rsidR="0057479F">
        <w:t xml:space="preserve"> time launch (meeting all SMART objectives)</w:t>
      </w:r>
      <w:r w:rsidR="00087F52">
        <w:t>. This demonstrates operational excellence in a new business domain.</w:t>
      </w:r>
    </w:p>
    <w:p w14:paraId="5327CE3E" w14:textId="01FD564B" w:rsidR="00087F52" w:rsidRDefault="00087F52" w:rsidP="00685262">
      <w:pPr>
        <w:spacing w:line="360" w:lineRule="auto"/>
      </w:pPr>
      <w:r>
        <w:t>Innovation &amp; Strategic Positioning: Collaborative engagement with HCPs and end-users provides direct insights that can feed into future product iterations, fostering a culture of open innovation. Succe</w:t>
      </w:r>
      <w:r w:rsidR="007B4D22">
        <w:t>s</w:t>
      </w:r>
      <w:r>
        <w:t xml:space="preserve">sfully launching </w:t>
      </w:r>
      <w:r w:rsidR="007B4D22">
        <w:t>VitaTrack positio</w:t>
      </w:r>
      <w:r w:rsidR="008B53FC">
        <w:t>ning Pfizer not just as a pharmaceutical company, but as an integrated health solutions partner, enhancing its strategic positioning in the market.</w:t>
      </w:r>
    </w:p>
    <w:p w14:paraId="43A797F5" w14:textId="03C7496D" w:rsidR="008B53FC" w:rsidRDefault="00353B04" w:rsidP="00685262">
      <w:pPr>
        <w:spacing w:line="360" w:lineRule="auto"/>
      </w:pPr>
      <w:r>
        <w:t>Reputational C</w:t>
      </w:r>
      <w:r w:rsidR="006E1ABB">
        <w:t xml:space="preserve">apital &amp; Risk Mitigation: Transparent communication and co-operation with the Legal Team and Data Protection authorities build trust and mitigate the severe reputational and financial risks associated with data breaches. Engaging ethically with al stakeholders, </w:t>
      </w:r>
      <w:r w:rsidR="00CD2E25">
        <w:t>per Freeman’s theory, builds social capital, which is invaluable for a healthcare company</w:t>
      </w:r>
      <w:r w:rsidR="007C00F6">
        <w:t>.</w:t>
      </w:r>
    </w:p>
    <w:p w14:paraId="53100EEA" w14:textId="358B1C98" w:rsidR="007C00F6" w:rsidRDefault="007C00F6" w:rsidP="00685262">
      <w:pPr>
        <w:spacing w:line="360" w:lineRule="auto"/>
      </w:pPr>
      <w:r>
        <w:t xml:space="preserve">Measurement: Impact will be measured via KPIs linked to the SMART objectives (e.g., time to regulatory approval, pre-order numbers, app store rating), supplemented by stakeholder satisfaction surveys (e.g., Net Promoter Score from beta testers, </w:t>
      </w:r>
      <w:r w:rsidR="003F2E32">
        <w:t>feedback from the HCP advisory board).</w:t>
      </w:r>
    </w:p>
    <w:p w14:paraId="6D9712FF" w14:textId="19544B64" w:rsidR="001A37BA" w:rsidRDefault="001A37BA" w:rsidP="00685262">
      <w:pPr>
        <w:spacing w:line="360" w:lineRule="auto"/>
      </w:pPr>
      <w:r>
        <w:t>Furthermore, the strategic integration of stakeholders into the project lifecycles</w:t>
      </w:r>
      <w:r w:rsidR="00DF7F75">
        <w:t xml:space="preserve"> can profoundly enhance Pfizer’s agility and market responsiveness. By establishing </w:t>
      </w:r>
      <w:r w:rsidR="00513D25">
        <w:t xml:space="preserve">direct feedback channels with end users and healthcare professionals, the company can pivot more rapidly based on real </w:t>
      </w:r>
      <w:r w:rsidR="00513D25">
        <w:lastRenderedPageBreak/>
        <w:t>world evidence and user experience data. This creates a dynamic feedback loop where post-launch performance directly informs iterative</w:t>
      </w:r>
      <w:r w:rsidR="00746513">
        <w:t xml:space="preserve"> development for future versions or companion digital therapies</w:t>
      </w:r>
      <w:r w:rsidR="00A94A1F">
        <w:t>.</w:t>
      </w:r>
    </w:p>
    <w:p w14:paraId="2770FC17" w14:textId="40454B7A" w:rsidR="00A94A1F" w:rsidRDefault="00A94A1F" w:rsidP="00685262">
      <w:pPr>
        <w:spacing w:line="360" w:lineRule="auto"/>
      </w:pPr>
      <w:r>
        <w:t>This capability transforms a one-time product launch into an ongoing service relationship, significantly</w:t>
      </w:r>
      <w:r w:rsidR="00446496">
        <w:t xml:space="preserve"> enhancing customer lifetime value and fostering brand loyalty in a competitive market. From an organisational learning perspective, this project serves as a critical case study</w:t>
      </w:r>
      <w:r w:rsidR="003253F4">
        <w:t>. The lessons earned in managing non-traditional partners, such as retail distributors</w:t>
      </w:r>
      <w:r w:rsidR="00EA45BA">
        <w:t xml:space="preserve"> and software developers, will build internal capabilities for future cross-functional</w:t>
      </w:r>
      <w:r w:rsidR="002A6926">
        <w:t xml:space="preserve"> ventures. This knowledge transfer is a key intangible asset, reducing the learning curve for subsequent digital health initiatives</w:t>
      </w:r>
      <w:r w:rsidR="00E547B8">
        <w:t xml:space="preserve"> and accelerating time to market. The internal cultural shift towards greater external collaboration and openness can also enhance employee engagement, as teams see their</w:t>
      </w:r>
      <w:r w:rsidR="0083112E">
        <w:t xml:space="preserve"> work having a direct and visible impact on patient wellness beyond the pill. The impact on regulatory strategy is equally significant. A proactive, transparent relationship with bodies</w:t>
      </w:r>
      <w:r w:rsidR="004A56F6">
        <w:t xml:space="preserve"> like the MHRA, build during this project, establishes Pfizer as a credible and compliant partner in the digital space. </w:t>
      </w:r>
    </w:p>
    <w:p w14:paraId="01ABDC8A" w14:textId="3A52FA2B" w:rsidR="00B73BE1" w:rsidRDefault="004A56F6" w:rsidP="00685262">
      <w:pPr>
        <w:spacing w:line="360" w:lineRule="auto"/>
      </w:pPr>
      <w:r>
        <w:t>This reputation for regulatory</w:t>
      </w:r>
      <w:r w:rsidR="009D1EB1">
        <w:t xml:space="preserve"> excellence can expedite reviews for future digital products, creating a competitive advantage. It also positions the company as a constructive voice in </w:t>
      </w:r>
      <w:r w:rsidR="0078581A">
        <w:t>shaping future digital health regulations, allowing it to advocate for sensible frameworks that support innovation while protecting patients. Regarding risk management</w:t>
      </w:r>
      <w:r w:rsidR="00881921">
        <w:t xml:space="preserve">, </w:t>
      </w:r>
      <w:r w:rsidR="006D155A">
        <w:t xml:space="preserve">comprehensive stakeholder engagement </w:t>
      </w:r>
      <w:r w:rsidR="00EA6085">
        <w:t>acts as an early warning system. Suppliers may flag component shortages. Healthcare professionals might raise usability concerns that could affect adoption. Legal advisors can highlight emerging data privacy jurisprudence.</w:t>
      </w:r>
    </w:p>
    <w:p w14:paraId="1EF7D049" w14:textId="3317FD08" w:rsidR="00B73BE1" w:rsidRDefault="00B73BE1" w:rsidP="00685262">
      <w:pPr>
        <w:spacing w:line="360" w:lineRule="auto"/>
      </w:pPr>
      <w:r>
        <w:t>Finally</w:t>
      </w:r>
      <w:r w:rsidR="00086291">
        <w:t>,</w:t>
      </w:r>
      <w:r>
        <w:t xml:space="preserve"> the societal impact should be evaluated. Successfully launching a trusted, medical grade device from a pharmaceutical leader can raise industry standards for data accuracy and privacy, benefiting all consumers. It can also demonstrate a viable model for how large, establishes healthcare companies can responsibly innovate, contributing to a more diverse and resilient health tech </w:t>
      </w:r>
      <w:r w:rsidR="00086291">
        <w:t>ecosystem.</w:t>
      </w:r>
    </w:p>
    <w:p w14:paraId="6153970B" w14:textId="77777777" w:rsidR="00382F64" w:rsidRDefault="00382F64" w:rsidP="00685262">
      <w:pPr>
        <w:spacing w:line="360" w:lineRule="auto"/>
      </w:pPr>
    </w:p>
    <w:p w14:paraId="6067956A" w14:textId="77777777" w:rsidR="00382F64" w:rsidRDefault="00382F64" w:rsidP="00685262">
      <w:pPr>
        <w:spacing w:line="360" w:lineRule="auto"/>
      </w:pPr>
    </w:p>
    <w:p w14:paraId="62195223" w14:textId="55216416" w:rsidR="003F2E32" w:rsidRDefault="003F2E32" w:rsidP="00685262">
      <w:pPr>
        <w:pStyle w:val="Heading2"/>
        <w:spacing w:line="360" w:lineRule="auto"/>
      </w:pPr>
      <w:bookmarkStart w:id="27" w:name="_Toc217035640"/>
      <w:r>
        <w:lastRenderedPageBreak/>
        <w:t>Recommendations for Future Stakeholder Engagement</w:t>
      </w:r>
      <w:bookmarkEnd w:id="27"/>
    </w:p>
    <w:p w14:paraId="2576F253" w14:textId="702D2D67" w:rsidR="0038492E" w:rsidRDefault="0038492E" w:rsidP="00685262">
      <w:pPr>
        <w:spacing w:line="360" w:lineRule="auto"/>
      </w:pPr>
      <w:r>
        <w:t>Institutionalise the Engagement Process: Formalise the stakeholder analysis, mapping, and planning steps used in this project into a standard operating procedure (SOP) for all f</w:t>
      </w:r>
      <w:r w:rsidR="00922B83">
        <w:t>u</w:t>
      </w:r>
      <w:r>
        <w:t>ture digital health initiatives at Pfizer. This embeds best practice.</w:t>
      </w:r>
    </w:p>
    <w:p w14:paraId="457010C7" w14:textId="2DAA0D40" w:rsidR="008B3BDE" w:rsidRDefault="0038492E" w:rsidP="00685262">
      <w:pPr>
        <w:spacing w:line="360" w:lineRule="auto"/>
      </w:pPr>
      <w:r>
        <w:t>Invest in a Centralised Stakeholder Relationship Management</w:t>
      </w:r>
      <w:r w:rsidR="008B3BDE">
        <w:t xml:space="preserve"> System: Move beyond spreadsheets to a dedicated software platform to track all interactions, commitments, and sentiment</w:t>
      </w:r>
      <w:r w:rsidR="00A61BFC">
        <w:t xml:space="preserve"> analysis across stakeholder groups, providing a 360</w:t>
      </w:r>
      <w:r w:rsidR="00922B83">
        <w:t>-</w:t>
      </w:r>
      <w:r w:rsidR="00A61BFC">
        <w:t>degree view.</w:t>
      </w:r>
    </w:p>
    <w:p w14:paraId="0FDC9EA1" w14:textId="2796AE9B" w:rsidR="00A61BFC" w:rsidRDefault="00A61BFC" w:rsidP="00685262">
      <w:pPr>
        <w:spacing w:line="360" w:lineRule="auto"/>
      </w:pPr>
      <w:r>
        <w:t xml:space="preserve">Develop Internal Capabilities in ‘Ambidexterity’: Train middle managers and project leaders in </w:t>
      </w:r>
      <w:r w:rsidR="0043490F">
        <w:t>managing the tension between the core pharmaceutical business (exploitation) and new ventures like digital health</w:t>
      </w:r>
      <w:r w:rsidR="00C10C9E">
        <w:t xml:space="preserve"> (exploration). This will improve internal stakeholder management during innovation projects.</w:t>
      </w:r>
    </w:p>
    <w:p w14:paraId="74FF0719" w14:textId="6A4DF086" w:rsidR="00C10C9E" w:rsidRDefault="00C10C9E" w:rsidP="00685262">
      <w:pPr>
        <w:spacing w:line="360" w:lineRule="auto"/>
      </w:pPr>
      <w:r>
        <w:t>Establish a Permanent Patient &amp; Public Advisory Group: For future consumer facing projects, mov</w:t>
      </w:r>
      <w:r w:rsidR="0011793C">
        <w:t>e beyond ad-hoc beta testing to a standing panel of engaged patients and citizens. This ensures the patient voice is consistently integrated into development, aligning with the NHS’s focus on patient involvement.</w:t>
      </w:r>
    </w:p>
    <w:p w14:paraId="6DC0A3F9" w14:textId="5FD86900" w:rsidR="0011793C" w:rsidRDefault="0011793C" w:rsidP="00685262">
      <w:pPr>
        <w:spacing w:line="360" w:lineRule="auto"/>
      </w:pPr>
      <w:r>
        <w:t>Conduct Post-Project Relationship Audits: After project closure, formally</w:t>
      </w:r>
      <w:r w:rsidR="00C82A37">
        <w:t xml:space="preserve"> review the state of key relationships (e.g., with the MHRA, key suppliers). Assess what worked and identify any relationship repair needed, turning project</w:t>
      </w:r>
      <w:r w:rsidR="00922B83">
        <w:t>-</w:t>
      </w:r>
      <w:r w:rsidR="00C82A37">
        <w:t xml:space="preserve">based </w:t>
      </w:r>
      <w:r w:rsidR="005A5BA4">
        <w:t>engagement</w:t>
      </w:r>
      <w:r w:rsidR="00C82A37">
        <w:t xml:space="preserve"> into </w:t>
      </w:r>
      <w:r w:rsidR="00C14089">
        <w:t>a</w:t>
      </w:r>
      <w:r w:rsidR="00C82A37">
        <w:t xml:space="preserve"> </w:t>
      </w:r>
      <w:proofErr w:type="gramStart"/>
      <w:r w:rsidR="00C82A37">
        <w:t>long term</w:t>
      </w:r>
      <w:proofErr w:type="gramEnd"/>
      <w:r w:rsidR="00C82A37">
        <w:t xml:space="preserve"> par</w:t>
      </w:r>
      <w:r w:rsidR="00C14089">
        <w:t>t</w:t>
      </w:r>
      <w:r w:rsidR="00C82A37">
        <w:t>nership asse</w:t>
      </w:r>
      <w:r w:rsidR="00C14089">
        <w:t>t.</w:t>
      </w:r>
    </w:p>
    <w:p w14:paraId="118F428A" w14:textId="4917B984" w:rsidR="00C14089" w:rsidRDefault="00C14089" w:rsidP="00685262">
      <w:pPr>
        <w:spacing w:line="360" w:lineRule="auto"/>
      </w:pPr>
    </w:p>
    <w:p w14:paraId="39D695CD" w14:textId="77777777" w:rsidR="00C14089" w:rsidRDefault="00C14089" w:rsidP="00685262">
      <w:pPr>
        <w:spacing w:line="360" w:lineRule="auto"/>
      </w:pPr>
    </w:p>
    <w:p w14:paraId="6DEB978D" w14:textId="77777777" w:rsidR="0090015D" w:rsidRDefault="0090015D" w:rsidP="0090015D"/>
    <w:p w14:paraId="375DE25B" w14:textId="77777777" w:rsidR="0090015D" w:rsidRDefault="0090015D" w:rsidP="00685262">
      <w:pPr>
        <w:pStyle w:val="Heading1"/>
        <w:spacing w:line="360" w:lineRule="auto"/>
      </w:pPr>
    </w:p>
    <w:p w14:paraId="07481CAE" w14:textId="77777777" w:rsidR="0090015D" w:rsidRDefault="0090015D" w:rsidP="0090015D"/>
    <w:p w14:paraId="77A10D6B" w14:textId="77777777" w:rsidR="00382F64" w:rsidRDefault="00382F64" w:rsidP="0090015D"/>
    <w:p w14:paraId="4746AF62" w14:textId="77777777" w:rsidR="00382F64" w:rsidRDefault="00382F64" w:rsidP="0090015D"/>
    <w:p w14:paraId="2B169B38" w14:textId="77777777" w:rsidR="00382F64" w:rsidRPr="0090015D" w:rsidRDefault="00382F64" w:rsidP="0090015D"/>
    <w:p w14:paraId="4255DD60" w14:textId="01AAB74B" w:rsidR="00C14089" w:rsidRDefault="00C14089" w:rsidP="00685262">
      <w:pPr>
        <w:pStyle w:val="Heading1"/>
        <w:spacing w:line="360" w:lineRule="auto"/>
      </w:pPr>
      <w:bookmarkStart w:id="28" w:name="_Toc217035641"/>
      <w:r>
        <w:lastRenderedPageBreak/>
        <w:t>Conclusion</w:t>
      </w:r>
      <w:bookmarkEnd w:id="28"/>
    </w:p>
    <w:p w14:paraId="77DD8F03" w14:textId="77777777" w:rsidR="00C14089" w:rsidRPr="0038492E" w:rsidRDefault="00C14089" w:rsidP="00685262">
      <w:pPr>
        <w:spacing w:line="360" w:lineRule="auto"/>
      </w:pPr>
    </w:p>
    <w:p w14:paraId="55BE2997" w14:textId="67E57212" w:rsidR="00C821B5" w:rsidRDefault="00C14089" w:rsidP="00685262">
      <w:pPr>
        <w:spacing w:line="360" w:lineRule="auto"/>
      </w:pPr>
      <w:r>
        <w:t>This report has provided a comprehensive strategic framework for managing stakeholder engagement throughout</w:t>
      </w:r>
      <w:r w:rsidR="00B54E97">
        <w:t xml:space="preserve"> the six</w:t>
      </w:r>
      <w:r w:rsidR="007240C9">
        <w:t>-</w:t>
      </w:r>
      <w:r w:rsidR="00B54E97">
        <w:t xml:space="preserve">month VitaTrack launch project at Pfizer. By commencing with a rigorous situational analysis </w:t>
      </w:r>
      <w:r w:rsidR="00AC0B55">
        <w:t>SWOT &amp; PESTLE and setting clear SMART objectives, the project is strategically grounded. The systematic</w:t>
      </w:r>
      <w:r w:rsidR="005E6C92">
        <w:t xml:space="preserve"> identification and analysis of key internal and external stakeholders, supported</w:t>
      </w:r>
      <w:r w:rsidR="00223060">
        <w:t xml:space="preserve"> by theoretical models like Freeman’s Stakeholder Theory and Mitchell’s Salience Model, ensure no critical voice is overlooked. The practical application of a stakeholder Map. RACI Matrix, Engagement Plan, and Communication Plan translates theory into actionable management tools.</w:t>
      </w:r>
    </w:p>
    <w:p w14:paraId="6D8C0BE2" w14:textId="30E03425" w:rsidR="00A4084A" w:rsidRDefault="00223060" w:rsidP="00685262">
      <w:pPr>
        <w:spacing w:line="360" w:lineRule="auto"/>
      </w:pPr>
      <w:r>
        <w:t>Critically, the engagement process</w:t>
      </w:r>
      <w:r w:rsidR="00D528EA">
        <w:t>. Structured around the 4C’s model, progresses from basic communication to genuine collaboration, with the project manager actively facilitating this progress</w:t>
      </w:r>
      <w:r w:rsidR="00901773">
        <w:t>ion and employing conflict resolution strategies to maintain project harmony. The anticipated impact of this diligent approach is significant, driving financial suc</w:t>
      </w:r>
      <w:r w:rsidR="00BC7E05">
        <w:t>cess, operational efficiency, innovation, and risk mitigation. The provided recommendations aim to embed these practices into Pfizer’s organisational fabric. Ultimately, the successful launch of VitaTrack hinges</w:t>
      </w:r>
      <w:r w:rsidR="00672554">
        <w:t xml:space="preserve"> not merely on technical excellence but on the ability to effectively engage, align, and create value with and for a </w:t>
      </w:r>
      <w:r w:rsidR="00AE7C0D">
        <w:t>diverse ecosystem of stakeholders, thereby securing Pfizer’s successful foray into the future of digital health</w:t>
      </w:r>
      <w:r w:rsidR="00A4084A">
        <w:t>.</w:t>
      </w:r>
    </w:p>
    <w:p w14:paraId="094C9ABE" w14:textId="56D03690" w:rsidR="00C821B5" w:rsidRDefault="00A4084A" w:rsidP="00685262">
      <w:pPr>
        <w:spacing w:line="360" w:lineRule="auto"/>
      </w:pPr>
      <w:r>
        <w:t>In summary this holistic framework ens</w:t>
      </w:r>
      <w:r w:rsidR="00DE62A9">
        <w:t xml:space="preserve">ures that stakeholder management is not a peripheral administrative task but a core strategic driver. It transforms potential obstacles into collaborative partnerships, leveraging collective expertise to mitigate risks and capitalise on opportunities. This approach is essential for navigating the complexities of a new market sector. Ultimately, cultivating these strong, </w:t>
      </w:r>
      <w:r w:rsidR="00BA53EB">
        <w:t>trust-based</w:t>
      </w:r>
      <w:r w:rsidR="00DE62A9">
        <w:t xml:space="preserve"> relationships establish a formidable foundation for </w:t>
      </w:r>
      <w:proofErr w:type="spellStart"/>
      <w:r w:rsidR="00F160E0">
        <w:t>VitaTrack’s</w:t>
      </w:r>
      <w:proofErr w:type="spellEnd"/>
      <w:r w:rsidR="00F160E0">
        <w:t xml:space="preserve"> market entry and </w:t>
      </w:r>
      <w:r w:rsidR="00BA53EB">
        <w:t>long-term</w:t>
      </w:r>
      <w:r w:rsidR="00F160E0">
        <w:t xml:space="preserve"> adoption. It signals Pfizer’s commitment to being a responsible and innovative leader in the evolving responsible and innovative leader in the digit</w:t>
      </w:r>
      <w:r w:rsidR="00E80402">
        <w:t>al health landscape, where success is co-created with stakeholders.</w:t>
      </w:r>
    </w:p>
    <w:p w14:paraId="5D34CB11" w14:textId="77777777" w:rsidR="00C821B5" w:rsidRDefault="00C821B5" w:rsidP="00685262">
      <w:pPr>
        <w:spacing w:line="360" w:lineRule="auto"/>
      </w:pPr>
    </w:p>
    <w:p w14:paraId="5965044A" w14:textId="77777777" w:rsidR="00C821B5" w:rsidRDefault="00C821B5" w:rsidP="00685262">
      <w:pPr>
        <w:spacing w:line="360" w:lineRule="auto"/>
      </w:pPr>
    </w:p>
    <w:p w14:paraId="3FD8E93A" w14:textId="77777777" w:rsidR="00C821B5" w:rsidRDefault="00C821B5" w:rsidP="00685262">
      <w:pPr>
        <w:spacing w:line="360" w:lineRule="auto"/>
      </w:pPr>
    </w:p>
    <w:p w14:paraId="3E6BAAFE" w14:textId="77777777" w:rsidR="00C821B5" w:rsidRDefault="00C821B5" w:rsidP="00685262">
      <w:pPr>
        <w:spacing w:line="360" w:lineRule="auto"/>
      </w:pPr>
    </w:p>
    <w:p w14:paraId="603427C2" w14:textId="53D8D742" w:rsidR="00C821B5" w:rsidRDefault="000D7B1F" w:rsidP="000D7B1F">
      <w:pPr>
        <w:pStyle w:val="Heading1"/>
      </w:pPr>
      <w:bookmarkStart w:id="29" w:name="_Toc217035642"/>
      <w:r>
        <w:lastRenderedPageBreak/>
        <w:t>References</w:t>
      </w:r>
      <w:bookmarkEnd w:id="29"/>
    </w:p>
    <w:p w14:paraId="218042A5" w14:textId="77777777" w:rsidR="000C08D1" w:rsidRDefault="00CE667E" w:rsidP="000C08D1">
      <w:pPr>
        <w:spacing w:line="360" w:lineRule="auto"/>
      </w:pPr>
      <w:r>
        <w:t>BusinessCaseStudies (2025) ‘</w:t>
      </w:r>
      <w:r w:rsidRPr="00FA1B70">
        <w:rPr>
          <w:i/>
          <w:iCs/>
        </w:rPr>
        <w:t>What is Regulatory Affairs in Pharma</w:t>
      </w:r>
      <w:r>
        <w:rPr>
          <w:i/>
          <w:iCs/>
        </w:rPr>
        <w:t>’</w:t>
      </w:r>
      <w:r>
        <w:t xml:space="preserve">, Available at: </w:t>
      </w:r>
      <w:hyperlink r:id="rId7" w:history="1">
        <w:r w:rsidRPr="00B94911">
          <w:rPr>
            <w:rStyle w:val="Hyperlink"/>
          </w:rPr>
          <w:t>https://businesscasestudies.co.uk/what-is-regulatory-affairs-in-pharma/</w:t>
        </w:r>
      </w:hyperlink>
      <w:r>
        <w:t>. Accessed: 17/12/2025</w:t>
      </w:r>
    </w:p>
    <w:p w14:paraId="43F050DC" w14:textId="5AE32EAD" w:rsidR="00CE667E" w:rsidRDefault="000C08D1" w:rsidP="00CE667E">
      <w:pPr>
        <w:spacing w:line="360" w:lineRule="auto"/>
      </w:pPr>
      <w:r>
        <w:t xml:space="preserve">Clusters (2023) </w:t>
      </w:r>
      <w:r w:rsidRPr="00AA5C10">
        <w:rPr>
          <w:i/>
          <w:iCs/>
        </w:rPr>
        <w:t>‘The Impact of Inflation on Consumer Health &amp; Fitness’</w:t>
      </w:r>
      <w:r>
        <w:t xml:space="preserve">. Available at: </w:t>
      </w:r>
      <w:hyperlink r:id="rId8" w:history="1">
        <w:r w:rsidRPr="00B94911">
          <w:rPr>
            <w:rStyle w:val="Hyperlink"/>
          </w:rPr>
          <w:t>https://clusters.uk.com/articles/the-impact-of-inflation-on-health-fitness/</w:t>
        </w:r>
      </w:hyperlink>
      <w:r>
        <w:t>. Accessed: 17/12/2025</w:t>
      </w:r>
    </w:p>
    <w:p w14:paraId="216915B1" w14:textId="0EE1FB94" w:rsidR="00CE667E" w:rsidRDefault="00CE667E" w:rsidP="00CE667E">
      <w:pPr>
        <w:spacing w:line="360" w:lineRule="auto"/>
      </w:pPr>
      <w:r>
        <w:t>Comella-Dorda,</w:t>
      </w:r>
      <w:r w:rsidR="002138F3">
        <w:t xml:space="preserve"> et al. </w:t>
      </w:r>
      <w:r>
        <w:t>(2024) ‘</w:t>
      </w:r>
      <w:r w:rsidRPr="006B744C">
        <w:rPr>
          <w:i/>
          <w:iCs/>
        </w:rPr>
        <w:t>What Makes Product Teams Effective</w:t>
      </w:r>
      <w:r>
        <w:rPr>
          <w:i/>
          <w:iCs/>
        </w:rPr>
        <w:t xml:space="preserve">’, </w:t>
      </w:r>
      <w:r>
        <w:t xml:space="preserve">McKinsey &amp; Company, Available at: </w:t>
      </w:r>
      <w:hyperlink r:id="rId9" w:history="1">
        <w:r w:rsidRPr="00B94911">
          <w:rPr>
            <w:rStyle w:val="Hyperlink"/>
          </w:rPr>
          <w:t>https://www.mckinsey.com/capabilities/tech-and-ai/our-insights/what-makes-product-teams-effective</w:t>
        </w:r>
      </w:hyperlink>
      <w:r>
        <w:t>. Accessed: 17/12/2025</w:t>
      </w:r>
    </w:p>
    <w:p w14:paraId="34DB8E75" w14:textId="4A78BAD9" w:rsidR="00CA51CF" w:rsidRDefault="00CA51CF" w:rsidP="00CA51CF">
      <w:pPr>
        <w:spacing w:line="360" w:lineRule="auto"/>
        <w:rPr>
          <w:i/>
          <w:iCs/>
        </w:rPr>
      </w:pPr>
      <w:r>
        <w:t>European Medicines Agency (2025) ‘</w:t>
      </w:r>
      <w:r w:rsidRPr="00BB10AA">
        <w:rPr>
          <w:i/>
          <w:iCs/>
        </w:rPr>
        <w:t>Medical Devices</w:t>
      </w:r>
      <w:r>
        <w:rPr>
          <w:i/>
          <w:iCs/>
        </w:rPr>
        <w:t xml:space="preserve">’, </w:t>
      </w:r>
      <w:r w:rsidRPr="0037397F">
        <w:t>Available at:</w:t>
      </w:r>
      <w:r>
        <w:rPr>
          <w:i/>
          <w:iCs/>
        </w:rPr>
        <w:t xml:space="preserve"> </w:t>
      </w:r>
      <w:hyperlink r:id="rId10" w:history="1">
        <w:r w:rsidRPr="0037397F">
          <w:rPr>
            <w:rStyle w:val="Hyperlink"/>
          </w:rPr>
          <w:t>https://www.ema.europa.eu/en/human-regulatory-overview/medical-devices</w:t>
        </w:r>
      </w:hyperlink>
      <w:r w:rsidRPr="0037397F">
        <w:t>. Accessed: 17/12/202</w:t>
      </w:r>
      <w:r>
        <w:t>5</w:t>
      </w:r>
    </w:p>
    <w:p w14:paraId="17ACE8D8" w14:textId="631BE5D0" w:rsidR="00CA51CF" w:rsidRDefault="00CA51CF" w:rsidP="00CA51CF">
      <w:pPr>
        <w:spacing w:line="360" w:lineRule="auto"/>
      </w:pPr>
      <w:r>
        <w:t xml:space="preserve">GeeksForGeeks (2023) </w:t>
      </w:r>
      <w:r w:rsidRPr="006B47DA">
        <w:rPr>
          <w:i/>
          <w:iCs/>
        </w:rPr>
        <w:t>‘Coordination- Nature, Criteria, Objectives and Purpose’</w:t>
      </w:r>
      <w:r>
        <w:t xml:space="preserve">, Available at: </w:t>
      </w:r>
      <w:hyperlink r:id="rId11" w:history="1">
        <w:r w:rsidRPr="00B94911">
          <w:rPr>
            <w:rStyle w:val="Hyperlink"/>
          </w:rPr>
          <w:t>https://www.geeksforgeeks.org/business-studies/coordination-nature-criteria-objectives-and-purpose/</w:t>
        </w:r>
      </w:hyperlink>
      <w:r>
        <w:t>. Accessed: 17/12/2025</w:t>
      </w:r>
    </w:p>
    <w:p w14:paraId="4DA6626D" w14:textId="75D3E17E" w:rsidR="00CA51CF" w:rsidRDefault="00CA51CF" w:rsidP="00CA51CF">
      <w:pPr>
        <w:spacing w:line="360" w:lineRule="auto"/>
      </w:pPr>
      <w:r>
        <w:t>GSK (n.d.) ‘</w:t>
      </w:r>
      <w:r w:rsidRPr="0012057F">
        <w:rPr>
          <w:i/>
          <w:iCs/>
        </w:rPr>
        <w:t>Consumer Healthcare Demerger</w:t>
      </w:r>
      <w:r>
        <w:rPr>
          <w:i/>
          <w:iCs/>
        </w:rPr>
        <w:t>’</w:t>
      </w:r>
      <w:r>
        <w:t xml:space="preserve">, Available at: </w:t>
      </w:r>
      <w:hyperlink r:id="rId12" w:history="1">
        <w:r w:rsidRPr="00B94911">
          <w:rPr>
            <w:rStyle w:val="Hyperlink"/>
          </w:rPr>
          <w:t>https://www.gsk.com/en-gb/investors/corporate-actions/consumer-healthcare-demerger</w:t>
        </w:r>
      </w:hyperlink>
      <w:r>
        <w:t>. Accessed: 17/12/2025</w:t>
      </w:r>
    </w:p>
    <w:p w14:paraId="7416BF3B" w14:textId="01E95449" w:rsidR="00CA51CF" w:rsidRDefault="00CA51CF" w:rsidP="00CA51CF">
      <w:pPr>
        <w:spacing w:line="360" w:lineRule="auto"/>
      </w:pPr>
      <w:r>
        <w:t>Hakim, Wheatland, Inch (2025) ‘</w:t>
      </w:r>
      <w:r w:rsidRPr="0012057F">
        <w:rPr>
          <w:i/>
          <w:iCs/>
        </w:rPr>
        <w:t>Digital transformation in the NHS: a reference guide</w:t>
      </w:r>
      <w:r>
        <w:rPr>
          <w:i/>
          <w:iCs/>
        </w:rPr>
        <w:t xml:space="preserve">’, </w:t>
      </w:r>
      <w:r w:rsidRPr="00C633AE">
        <w:t>NHS Confederation</w:t>
      </w:r>
      <w:r>
        <w:rPr>
          <w:i/>
          <w:iCs/>
        </w:rPr>
        <w:t>.</w:t>
      </w:r>
      <w:r>
        <w:t xml:space="preserve"> Available at: </w:t>
      </w:r>
      <w:hyperlink r:id="rId13" w:history="1">
        <w:r w:rsidRPr="00B94911">
          <w:rPr>
            <w:rStyle w:val="Hyperlink"/>
          </w:rPr>
          <w:t>https://www.nhsconfed.org/publications/digital-transformation-nhs-reference-guide</w:t>
        </w:r>
      </w:hyperlink>
      <w:r>
        <w:t>. Accessed: 17/12/2025</w:t>
      </w:r>
    </w:p>
    <w:p w14:paraId="1A761A84" w14:textId="27C4B35D" w:rsidR="00CA51CF" w:rsidRDefault="00CA51CF" w:rsidP="00CA51CF">
      <w:pPr>
        <w:spacing w:line="360" w:lineRule="auto"/>
      </w:pPr>
      <w:r>
        <w:t xml:space="preserve">Kauff, et al. (2023) </w:t>
      </w:r>
      <w:r w:rsidRPr="000D3D74">
        <w:rPr>
          <w:i/>
          <w:iCs/>
        </w:rPr>
        <w:t>‘Teaching Interprofessional Collaboration among Future Healthcare Professionals’</w:t>
      </w:r>
      <w:r>
        <w:t xml:space="preserve"> frontiers in Psychology, vol. 14, no.1185730, Available at: </w:t>
      </w:r>
      <w:hyperlink r:id="rId14" w:history="1">
        <w:r w:rsidRPr="00B94911">
          <w:rPr>
            <w:rStyle w:val="Hyperlink"/>
          </w:rPr>
          <w:t>https://pmc.ncbi.nlm.nih.gov/articles/PMC10250594/.</w:t>
        </w:r>
      </w:hyperlink>
      <w:r>
        <w:t xml:space="preserve"> Accessed: 17/12/2025</w:t>
      </w:r>
    </w:p>
    <w:p w14:paraId="100F93E4" w14:textId="0BA4E7E8" w:rsidR="00692199" w:rsidRDefault="00692199" w:rsidP="00692199">
      <w:pPr>
        <w:spacing w:line="360" w:lineRule="auto"/>
      </w:pPr>
      <w:r>
        <w:t xml:space="preserve">Kilmann (n.d.) </w:t>
      </w:r>
      <w:r w:rsidRPr="000D3D74">
        <w:rPr>
          <w:i/>
          <w:iCs/>
        </w:rPr>
        <w:t>‘Collaborating: The Most Complex and Least Understood Conflict Mode’</w:t>
      </w:r>
      <w:r>
        <w:t xml:space="preserve">, Killman Diagnostics. Available at: </w:t>
      </w:r>
      <w:hyperlink r:id="rId15" w:history="1">
        <w:r w:rsidRPr="00B94911">
          <w:rPr>
            <w:rStyle w:val="Hyperlink"/>
          </w:rPr>
          <w:t>https://kilmanndiagnostics.com/the-most-complex-and-least-understood-mode-collaborating/</w:t>
        </w:r>
      </w:hyperlink>
      <w:r>
        <w:t>. Accessed: 17/12/2025</w:t>
      </w:r>
    </w:p>
    <w:p w14:paraId="5892CFC4" w14:textId="08F39471" w:rsidR="00692199" w:rsidRDefault="00692199" w:rsidP="00692199">
      <w:pPr>
        <w:spacing w:line="360" w:lineRule="auto"/>
      </w:pPr>
      <w:r>
        <w:t xml:space="preserve">McCance (2024) </w:t>
      </w:r>
      <w:r w:rsidRPr="00DA72BB">
        <w:rPr>
          <w:i/>
          <w:iCs/>
        </w:rPr>
        <w:t xml:space="preserve">‘Stakeholder: How Ed Freeman’s Vision for Responsible Business Moved </w:t>
      </w:r>
      <w:r>
        <w:rPr>
          <w:i/>
          <w:iCs/>
        </w:rPr>
        <w:t>f</w:t>
      </w:r>
      <w:r w:rsidRPr="00DA72BB">
        <w:rPr>
          <w:i/>
          <w:iCs/>
        </w:rPr>
        <w:t>rom Theory to Reality’</w:t>
      </w:r>
      <w:r>
        <w:t xml:space="preserve"> The Darden Report. Available at: </w:t>
      </w:r>
      <w:hyperlink r:id="rId16" w:history="1">
        <w:r w:rsidRPr="00B94911">
          <w:rPr>
            <w:rStyle w:val="Hyperlink"/>
          </w:rPr>
          <w:t>https://news.darden.virginia.edu/2024/05/16/stakeholder-how-ed-freemans-vision-for-responsible-business-moved-from-theory-to-reality/</w:t>
        </w:r>
      </w:hyperlink>
      <w:r>
        <w:t>. Accessed: 17/12/2025</w:t>
      </w:r>
    </w:p>
    <w:p w14:paraId="3C61049E" w14:textId="2BB3C1CF" w:rsidR="00692199" w:rsidRDefault="00692199" w:rsidP="00692199">
      <w:pPr>
        <w:spacing w:line="360" w:lineRule="auto"/>
      </w:pPr>
      <w:r>
        <w:t xml:space="preserve">MM+M (2022) </w:t>
      </w:r>
      <w:r w:rsidRPr="00390A6D">
        <w:rPr>
          <w:i/>
          <w:iCs/>
        </w:rPr>
        <w:t>‘Pfizer tops pharma reputation rankings’</w:t>
      </w:r>
      <w:r>
        <w:t xml:space="preserve">, Available at: </w:t>
      </w:r>
      <w:hyperlink r:id="rId17" w:history="1">
        <w:r w:rsidRPr="00B94911">
          <w:rPr>
            <w:rStyle w:val="Hyperlink"/>
          </w:rPr>
          <w:t>https://www.mmm-online.com/home/channel/pfizer-tops-pharma-reputation-rankings/</w:t>
        </w:r>
      </w:hyperlink>
      <w:r>
        <w:t>. Accessed: 17/12/2025</w:t>
      </w:r>
    </w:p>
    <w:p w14:paraId="26F7416B" w14:textId="1715C451" w:rsidR="000D7B1F" w:rsidRDefault="00B03904" w:rsidP="00685262">
      <w:pPr>
        <w:spacing w:line="360" w:lineRule="auto"/>
      </w:pPr>
      <w:r>
        <w:t>Pfizer</w:t>
      </w:r>
      <w:r w:rsidR="00BA1D1C">
        <w:t xml:space="preserve"> </w:t>
      </w:r>
      <w:r w:rsidR="00FA1B70">
        <w:t>(</w:t>
      </w:r>
      <w:r w:rsidR="00BA1D1C">
        <w:t>2024</w:t>
      </w:r>
      <w:r w:rsidR="00FA1B70">
        <w:t>)</w:t>
      </w:r>
      <w:r w:rsidR="00BA1D1C">
        <w:t xml:space="preserve"> </w:t>
      </w:r>
      <w:r w:rsidR="00B61F0F">
        <w:t>‘</w:t>
      </w:r>
      <w:r w:rsidR="00D45016" w:rsidRPr="00FA1B70">
        <w:rPr>
          <w:i/>
          <w:iCs/>
        </w:rPr>
        <w:t>History</w:t>
      </w:r>
      <w:r w:rsidR="00B61F0F">
        <w:rPr>
          <w:i/>
          <w:iCs/>
        </w:rPr>
        <w:t>’</w:t>
      </w:r>
      <w:r w:rsidR="00D45016">
        <w:t>, Available at:</w:t>
      </w:r>
      <w:r w:rsidR="00715F1D">
        <w:t xml:space="preserve"> </w:t>
      </w:r>
      <w:hyperlink r:id="rId18" w:history="1">
        <w:r w:rsidR="00715F1D" w:rsidRPr="00B94911">
          <w:rPr>
            <w:rStyle w:val="Hyperlink"/>
          </w:rPr>
          <w:t>www.pfizer.com/about/history</w:t>
        </w:r>
      </w:hyperlink>
      <w:r w:rsidR="00715F1D">
        <w:t>. Accessed: 17/12/2025</w:t>
      </w:r>
    </w:p>
    <w:p w14:paraId="39886E95" w14:textId="20C653EE" w:rsidR="00E87615" w:rsidRDefault="00E87615" w:rsidP="00685262">
      <w:pPr>
        <w:spacing w:line="360" w:lineRule="auto"/>
      </w:pPr>
      <w:r>
        <w:t>Pfizer (2024)</w:t>
      </w:r>
      <w:r w:rsidR="00FA1B70">
        <w:t xml:space="preserve"> </w:t>
      </w:r>
      <w:r w:rsidR="00B61F0F">
        <w:t>‘</w:t>
      </w:r>
      <w:r w:rsidR="00FA1B70" w:rsidRPr="0012057F">
        <w:rPr>
          <w:i/>
          <w:iCs/>
        </w:rPr>
        <w:t>Clinical Trials</w:t>
      </w:r>
      <w:r w:rsidR="00B61F0F">
        <w:rPr>
          <w:i/>
          <w:iCs/>
        </w:rPr>
        <w:t>’</w:t>
      </w:r>
      <w:r w:rsidR="00480C37">
        <w:t>,</w:t>
      </w:r>
      <w:r w:rsidR="007D7762">
        <w:t xml:space="preserve"> Available at: </w:t>
      </w:r>
      <w:hyperlink r:id="rId19" w:history="1">
        <w:r w:rsidR="00D2669F" w:rsidRPr="00B94911">
          <w:rPr>
            <w:rStyle w:val="Hyperlink"/>
          </w:rPr>
          <w:t>https://www.pfizer.co.uk/science/developing-new-medicines/clinical-trials</w:t>
        </w:r>
      </w:hyperlink>
      <w:r w:rsidR="00D2669F">
        <w:t>. Accessed: 17/12/2025</w:t>
      </w:r>
    </w:p>
    <w:p w14:paraId="525F2FB9" w14:textId="47B6A9C2" w:rsidR="0037397F" w:rsidRDefault="0037397F" w:rsidP="00685262">
      <w:pPr>
        <w:spacing w:line="360" w:lineRule="auto"/>
      </w:pPr>
      <w:r w:rsidRPr="0037397F">
        <w:t>Pfizer</w:t>
      </w:r>
      <w:r w:rsidR="003F7BE9">
        <w:t xml:space="preserve"> (</w:t>
      </w:r>
      <w:r w:rsidR="008802E4">
        <w:t>2024</w:t>
      </w:r>
      <w:r w:rsidR="003F7BE9">
        <w:t xml:space="preserve">) </w:t>
      </w:r>
      <w:r w:rsidR="003F7BE9" w:rsidRPr="003F7BE9">
        <w:rPr>
          <w:i/>
          <w:iCs/>
        </w:rPr>
        <w:t>‘FAQs: Working with Healthcare Professionals and Healthcare Organisations’</w:t>
      </w:r>
      <w:r w:rsidR="003F7BE9">
        <w:t xml:space="preserve">, </w:t>
      </w:r>
      <w:r w:rsidR="004059D1">
        <w:t xml:space="preserve">Available at: </w:t>
      </w:r>
      <w:hyperlink r:id="rId20" w:history="1">
        <w:r w:rsidR="00257047" w:rsidRPr="00B94911">
          <w:rPr>
            <w:rStyle w:val="Hyperlink"/>
          </w:rPr>
          <w:t>https://www.pfizer.co.uk/partnerships/working-with-healthcare-professionals/faqs-working-with-hcps-hcos</w:t>
        </w:r>
      </w:hyperlink>
      <w:r w:rsidR="00257047">
        <w:t>. Accessed</w:t>
      </w:r>
      <w:r w:rsidR="00537854">
        <w:t>: 17/12/2025</w:t>
      </w:r>
    </w:p>
    <w:p w14:paraId="0A96419E" w14:textId="4E1623E6" w:rsidR="00887D62" w:rsidRDefault="00887D62" w:rsidP="00887D62">
      <w:pPr>
        <w:spacing w:line="360" w:lineRule="auto"/>
      </w:pPr>
      <w:r>
        <w:t xml:space="preserve">ProjectManagement (2023) </w:t>
      </w:r>
      <w:r w:rsidRPr="009D3653">
        <w:rPr>
          <w:i/>
          <w:iCs/>
        </w:rPr>
        <w:t xml:space="preserve">‘Stakeholder Analysis Using </w:t>
      </w:r>
      <w:r>
        <w:rPr>
          <w:i/>
          <w:iCs/>
        </w:rPr>
        <w:t>t</w:t>
      </w:r>
      <w:r w:rsidRPr="009D3653">
        <w:rPr>
          <w:i/>
          <w:iCs/>
        </w:rPr>
        <w:t>he Power Interest Grid’</w:t>
      </w:r>
      <w:r>
        <w:rPr>
          <w:i/>
          <w:iCs/>
        </w:rPr>
        <w:t xml:space="preserve">, </w:t>
      </w:r>
      <w:r>
        <w:t xml:space="preserve">Available at: </w:t>
      </w:r>
      <w:hyperlink r:id="rId21" w:anchor="_" w:history="1">
        <w:r w:rsidRPr="00B94911">
          <w:rPr>
            <w:rStyle w:val="Hyperlink"/>
          </w:rPr>
          <w:t>https://www.projectmanagement.com/wikis/368897/stakeholder-analysis--using-the-power-interest-grid#_</w:t>
        </w:r>
      </w:hyperlink>
      <w:r>
        <w:t>. Accessed: 17/12/2025</w:t>
      </w:r>
    </w:p>
    <w:p w14:paraId="0AF13418" w14:textId="385BC682" w:rsidR="00887D62" w:rsidRDefault="00887D62" w:rsidP="00887D62">
      <w:pPr>
        <w:spacing w:line="360" w:lineRule="auto"/>
      </w:pPr>
      <w:r>
        <w:t>PwC (2025) ‘</w:t>
      </w:r>
      <w:r w:rsidRPr="008D425B">
        <w:rPr>
          <w:i/>
          <w:iCs/>
        </w:rPr>
        <w:t>Voice of the Consumer Survey 2025’</w:t>
      </w:r>
      <w:r>
        <w:t xml:space="preserve">, Available at: </w:t>
      </w:r>
      <w:hyperlink r:id="rId22" w:history="1">
        <w:r w:rsidRPr="00B94911">
          <w:rPr>
            <w:rStyle w:val="Hyperlink"/>
          </w:rPr>
          <w:t>https://www.pwc.com/gx/en/issues/c-suite-insights/voice-of-the-consumer-survey.html</w:t>
        </w:r>
      </w:hyperlink>
      <w:r>
        <w:t>. Accessed:17/12/2025</w:t>
      </w:r>
    </w:p>
    <w:p w14:paraId="314278AC" w14:textId="7B7B9BE4" w:rsidR="00887D62" w:rsidRDefault="00887D62" w:rsidP="00887D62">
      <w:pPr>
        <w:spacing w:line="360" w:lineRule="auto"/>
      </w:pPr>
      <w:r>
        <w:t xml:space="preserve">Siles (n.d.) </w:t>
      </w:r>
      <w:r w:rsidRPr="00AA5C10">
        <w:rPr>
          <w:i/>
          <w:iCs/>
        </w:rPr>
        <w:t>‘The Roles of the Project Manager’,</w:t>
      </w:r>
      <w:r>
        <w:rPr>
          <w:i/>
          <w:iCs/>
        </w:rPr>
        <w:t xml:space="preserve"> PM4DEV.</w:t>
      </w:r>
      <w:r w:rsidRPr="00AA5C10">
        <w:rPr>
          <w:i/>
          <w:iCs/>
        </w:rPr>
        <w:t xml:space="preserve"> </w:t>
      </w:r>
      <w:r>
        <w:t xml:space="preserve">Available at: </w:t>
      </w:r>
      <w:hyperlink r:id="rId23" w:history="1">
        <w:r w:rsidRPr="00B94911">
          <w:rPr>
            <w:rStyle w:val="Hyperlink"/>
          </w:rPr>
          <w:t>https://www.pm4dev.com/pm4dev-blog/entry/the-role-of-the-project-manager.html</w:t>
        </w:r>
      </w:hyperlink>
      <w:r>
        <w:t>. Accessed: 17/12/2025</w:t>
      </w:r>
    </w:p>
    <w:p w14:paraId="618C3C05" w14:textId="4E72DA5E" w:rsidR="00887D62" w:rsidRDefault="00887D62" w:rsidP="00887D62">
      <w:pPr>
        <w:spacing w:line="360" w:lineRule="auto"/>
      </w:pPr>
      <w:r>
        <w:t xml:space="preserve">Singh (n.d.) </w:t>
      </w:r>
      <w:r w:rsidRPr="002E49AC">
        <w:rPr>
          <w:i/>
          <w:iCs/>
        </w:rPr>
        <w:t>‘Stakeholder Engagement Assessment Matrix’</w:t>
      </w:r>
      <w:r>
        <w:t xml:space="preserve">, Project Management Pathways. Available at: </w:t>
      </w:r>
      <w:hyperlink r:id="rId24" w:history="1">
        <w:r w:rsidRPr="00B94911">
          <w:rPr>
            <w:rStyle w:val="Hyperlink"/>
          </w:rPr>
          <w:t>https://www.projectmanagementpathways.com/project-management-articles/stakeholder-engagement-assessment-matrix</w:t>
        </w:r>
      </w:hyperlink>
      <w:r>
        <w:t>. Accessed: 17/12/2025</w:t>
      </w:r>
    </w:p>
    <w:p w14:paraId="7CDF0964" w14:textId="34CBFED3" w:rsidR="00F76BFF" w:rsidRDefault="00F76BFF" w:rsidP="00F76BFF">
      <w:pPr>
        <w:spacing w:line="360" w:lineRule="auto"/>
      </w:pPr>
      <w:r>
        <w:t xml:space="preserve">Swift (n.d.) </w:t>
      </w:r>
      <w:r w:rsidRPr="00AA5C10">
        <w:rPr>
          <w:i/>
          <w:iCs/>
        </w:rPr>
        <w:t>‘8 Strategies to Reduce Communication Overload in the Workplace’</w:t>
      </w:r>
      <w:r>
        <w:t xml:space="preserve">, Cerkl. Available at: </w:t>
      </w:r>
      <w:hyperlink r:id="rId25" w:history="1">
        <w:r w:rsidRPr="00B94911">
          <w:rPr>
            <w:rStyle w:val="Hyperlink"/>
          </w:rPr>
          <w:t>https://cerkl.com/blog/communication-overload</w:t>
        </w:r>
      </w:hyperlink>
      <w:r>
        <w:t>. Accessed: 17/12/2025</w:t>
      </w:r>
    </w:p>
    <w:p w14:paraId="1CD0F89D" w14:textId="6FF5305C" w:rsidR="009059F4" w:rsidRDefault="00DA72BB" w:rsidP="00685262">
      <w:pPr>
        <w:spacing w:line="360" w:lineRule="auto"/>
      </w:pPr>
      <w:r>
        <w:t xml:space="preserve">TheOctalysisGroup (n.d.) </w:t>
      </w:r>
      <w:r w:rsidRPr="00DA72BB">
        <w:rPr>
          <w:i/>
          <w:iCs/>
        </w:rPr>
        <w:t>‘Pfizer Case Study: Gamified Patient Medication Adherence &amp; Habit Formation Solutions’</w:t>
      </w:r>
      <w:r>
        <w:t xml:space="preserve">, </w:t>
      </w:r>
      <w:r w:rsidR="00944116">
        <w:t xml:space="preserve">Available at: </w:t>
      </w:r>
      <w:hyperlink r:id="rId26" w:history="1">
        <w:r w:rsidR="00B51995" w:rsidRPr="00B94911">
          <w:rPr>
            <w:rStyle w:val="Hyperlink"/>
          </w:rPr>
          <w:t>https://octalysisgroup.com/pfizer-patient-adherence-and-habit-formation/</w:t>
        </w:r>
      </w:hyperlink>
      <w:r w:rsidR="00B51995">
        <w:t>. Accessed: 17/12/2025</w:t>
      </w:r>
    </w:p>
    <w:p w14:paraId="4524DECB" w14:textId="1A5DE46A" w:rsidR="00DD2153" w:rsidRDefault="00AD5CD2" w:rsidP="00685262">
      <w:pPr>
        <w:spacing w:line="360" w:lineRule="auto"/>
      </w:pPr>
      <w:r>
        <w:t xml:space="preserve">Toegei, Barsoux (2016) </w:t>
      </w:r>
      <w:r w:rsidR="007D7DC6" w:rsidRPr="00AA5C10">
        <w:rPr>
          <w:i/>
          <w:iCs/>
        </w:rPr>
        <w:t>‘</w:t>
      </w:r>
      <w:r w:rsidRPr="00AA5C10">
        <w:rPr>
          <w:i/>
          <w:iCs/>
        </w:rPr>
        <w:t>How to Preempt Team Conflict’</w:t>
      </w:r>
      <w:r>
        <w:t>, HBR. Available at:</w:t>
      </w:r>
      <w:r w:rsidR="00F76BFF">
        <w:t xml:space="preserve"> </w:t>
      </w:r>
      <w:hyperlink r:id="rId27" w:history="1">
        <w:r w:rsidR="00F76BFF" w:rsidRPr="00B94911">
          <w:rPr>
            <w:rStyle w:val="Hyperlink"/>
          </w:rPr>
          <w:t>https://hbr.org/2016/06/how-to-preempt-team-conflict</w:t>
        </w:r>
      </w:hyperlink>
      <w:r w:rsidR="007D7DC6">
        <w:t>. Accessed: 17/12/2025</w:t>
      </w:r>
    </w:p>
    <w:p w14:paraId="429743B6" w14:textId="64096DB8" w:rsidR="00C821B5" w:rsidRPr="00C821B5" w:rsidRDefault="00C821B5" w:rsidP="00685262">
      <w:pPr>
        <w:spacing w:line="360" w:lineRule="auto"/>
      </w:pPr>
    </w:p>
    <w:sectPr w:rsidR="00C821B5" w:rsidRPr="00C821B5" w:rsidSect="001E3A10">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46DDF" w14:textId="77777777" w:rsidR="006A63F2" w:rsidRDefault="006A63F2" w:rsidP="00BA53EB">
      <w:pPr>
        <w:spacing w:after="0" w:line="240" w:lineRule="auto"/>
      </w:pPr>
      <w:r>
        <w:separator/>
      </w:r>
    </w:p>
  </w:endnote>
  <w:endnote w:type="continuationSeparator" w:id="0">
    <w:p w14:paraId="3760496F" w14:textId="77777777" w:rsidR="006A63F2" w:rsidRDefault="006A63F2" w:rsidP="00BA5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041244"/>
      <w:docPartObj>
        <w:docPartGallery w:val="Page Numbers (Bottom of Page)"/>
        <w:docPartUnique/>
      </w:docPartObj>
    </w:sdtPr>
    <w:sdtEndPr>
      <w:rPr>
        <w:noProof/>
      </w:rPr>
    </w:sdtEndPr>
    <w:sdtContent>
      <w:p w14:paraId="1B1901E2" w14:textId="628797B1" w:rsidR="00BA53EB" w:rsidRDefault="00BA53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3189E" w14:textId="77777777" w:rsidR="00BA53EB" w:rsidRDefault="00BA5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94E25" w14:textId="77777777" w:rsidR="006A63F2" w:rsidRDefault="006A63F2" w:rsidP="00BA53EB">
      <w:pPr>
        <w:spacing w:after="0" w:line="240" w:lineRule="auto"/>
      </w:pPr>
      <w:r>
        <w:separator/>
      </w:r>
    </w:p>
  </w:footnote>
  <w:footnote w:type="continuationSeparator" w:id="0">
    <w:p w14:paraId="23B81D1B" w14:textId="77777777" w:rsidR="006A63F2" w:rsidRDefault="006A63F2" w:rsidP="00BA53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97"/>
    <w:rsid w:val="000013E8"/>
    <w:rsid w:val="0001000A"/>
    <w:rsid w:val="000155AA"/>
    <w:rsid w:val="00022E7A"/>
    <w:rsid w:val="00026260"/>
    <w:rsid w:val="000327B6"/>
    <w:rsid w:val="00032E88"/>
    <w:rsid w:val="00033C4E"/>
    <w:rsid w:val="00045722"/>
    <w:rsid w:val="00045F21"/>
    <w:rsid w:val="000506CF"/>
    <w:rsid w:val="00050D15"/>
    <w:rsid w:val="000537BE"/>
    <w:rsid w:val="0005381A"/>
    <w:rsid w:val="000552B9"/>
    <w:rsid w:val="0006687B"/>
    <w:rsid w:val="000669DB"/>
    <w:rsid w:val="000741E2"/>
    <w:rsid w:val="00081CEA"/>
    <w:rsid w:val="00086291"/>
    <w:rsid w:val="00087F52"/>
    <w:rsid w:val="0009532B"/>
    <w:rsid w:val="000A48A8"/>
    <w:rsid w:val="000A577C"/>
    <w:rsid w:val="000A7917"/>
    <w:rsid w:val="000B0D2B"/>
    <w:rsid w:val="000C08D1"/>
    <w:rsid w:val="000C1BD0"/>
    <w:rsid w:val="000C24D2"/>
    <w:rsid w:val="000C3188"/>
    <w:rsid w:val="000D3D74"/>
    <w:rsid w:val="000D7B1F"/>
    <w:rsid w:val="000F0050"/>
    <w:rsid w:val="00106273"/>
    <w:rsid w:val="001108F3"/>
    <w:rsid w:val="00113C1A"/>
    <w:rsid w:val="0011793C"/>
    <w:rsid w:val="0012057F"/>
    <w:rsid w:val="00120DC9"/>
    <w:rsid w:val="00122465"/>
    <w:rsid w:val="00124CF9"/>
    <w:rsid w:val="00127BA1"/>
    <w:rsid w:val="0013069D"/>
    <w:rsid w:val="00132F80"/>
    <w:rsid w:val="00140FB9"/>
    <w:rsid w:val="001442B4"/>
    <w:rsid w:val="00144AFF"/>
    <w:rsid w:val="00145E3F"/>
    <w:rsid w:val="00154113"/>
    <w:rsid w:val="00156852"/>
    <w:rsid w:val="00156CD5"/>
    <w:rsid w:val="00162BD7"/>
    <w:rsid w:val="001633B4"/>
    <w:rsid w:val="00166897"/>
    <w:rsid w:val="00166A40"/>
    <w:rsid w:val="001724F2"/>
    <w:rsid w:val="00175CE2"/>
    <w:rsid w:val="00187E5D"/>
    <w:rsid w:val="001A37BA"/>
    <w:rsid w:val="001A3A61"/>
    <w:rsid w:val="001A4EF7"/>
    <w:rsid w:val="001B07C6"/>
    <w:rsid w:val="001B089A"/>
    <w:rsid w:val="001B3016"/>
    <w:rsid w:val="001C0583"/>
    <w:rsid w:val="001C1A0D"/>
    <w:rsid w:val="001C2AFE"/>
    <w:rsid w:val="001C2F8E"/>
    <w:rsid w:val="001D2105"/>
    <w:rsid w:val="001E0E2E"/>
    <w:rsid w:val="001E1D9F"/>
    <w:rsid w:val="001E3A10"/>
    <w:rsid w:val="001E5584"/>
    <w:rsid w:val="00203A49"/>
    <w:rsid w:val="002138F3"/>
    <w:rsid w:val="00223060"/>
    <w:rsid w:val="00227D9B"/>
    <w:rsid w:val="00230B75"/>
    <w:rsid w:val="002321D2"/>
    <w:rsid w:val="0024483D"/>
    <w:rsid w:val="00245E06"/>
    <w:rsid w:val="00257047"/>
    <w:rsid w:val="00260942"/>
    <w:rsid w:val="002643E9"/>
    <w:rsid w:val="0027322C"/>
    <w:rsid w:val="00276D59"/>
    <w:rsid w:val="00291382"/>
    <w:rsid w:val="00294175"/>
    <w:rsid w:val="002A3D97"/>
    <w:rsid w:val="002A5982"/>
    <w:rsid w:val="002A6926"/>
    <w:rsid w:val="002B4B87"/>
    <w:rsid w:val="002B60BC"/>
    <w:rsid w:val="002B749D"/>
    <w:rsid w:val="002D20F4"/>
    <w:rsid w:val="002D71E8"/>
    <w:rsid w:val="002E49AC"/>
    <w:rsid w:val="002E6094"/>
    <w:rsid w:val="002F2A55"/>
    <w:rsid w:val="002F644C"/>
    <w:rsid w:val="003007A0"/>
    <w:rsid w:val="00307693"/>
    <w:rsid w:val="00313445"/>
    <w:rsid w:val="00313CCB"/>
    <w:rsid w:val="003253F4"/>
    <w:rsid w:val="003269B3"/>
    <w:rsid w:val="00332BFD"/>
    <w:rsid w:val="0033613D"/>
    <w:rsid w:val="003366F4"/>
    <w:rsid w:val="003436FB"/>
    <w:rsid w:val="00344C7E"/>
    <w:rsid w:val="00353068"/>
    <w:rsid w:val="00353B04"/>
    <w:rsid w:val="0035451D"/>
    <w:rsid w:val="0035622D"/>
    <w:rsid w:val="00356BCD"/>
    <w:rsid w:val="00357C07"/>
    <w:rsid w:val="00357C31"/>
    <w:rsid w:val="0036082F"/>
    <w:rsid w:val="003613DF"/>
    <w:rsid w:val="00363286"/>
    <w:rsid w:val="0037397F"/>
    <w:rsid w:val="00376F80"/>
    <w:rsid w:val="0038106D"/>
    <w:rsid w:val="00382F64"/>
    <w:rsid w:val="003844C1"/>
    <w:rsid w:val="0038492E"/>
    <w:rsid w:val="00390A6D"/>
    <w:rsid w:val="00392343"/>
    <w:rsid w:val="003964A1"/>
    <w:rsid w:val="00396966"/>
    <w:rsid w:val="003A282B"/>
    <w:rsid w:val="003A2CB1"/>
    <w:rsid w:val="003A2CDC"/>
    <w:rsid w:val="003B2B2A"/>
    <w:rsid w:val="003B3532"/>
    <w:rsid w:val="003B3637"/>
    <w:rsid w:val="003B468A"/>
    <w:rsid w:val="003F0FDF"/>
    <w:rsid w:val="003F2E32"/>
    <w:rsid w:val="003F763B"/>
    <w:rsid w:val="003F7BE9"/>
    <w:rsid w:val="0040125D"/>
    <w:rsid w:val="00402F51"/>
    <w:rsid w:val="004059D1"/>
    <w:rsid w:val="00407B23"/>
    <w:rsid w:val="0043490F"/>
    <w:rsid w:val="0043705E"/>
    <w:rsid w:val="00444DFD"/>
    <w:rsid w:val="00446496"/>
    <w:rsid w:val="00460356"/>
    <w:rsid w:val="004627E0"/>
    <w:rsid w:val="00464FB0"/>
    <w:rsid w:val="0047085F"/>
    <w:rsid w:val="00475E42"/>
    <w:rsid w:val="00480C37"/>
    <w:rsid w:val="00484CB7"/>
    <w:rsid w:val="00485AE2"/>
    <w:rsid w:val="00494B14"/>
    <w:rsid w:val="004A56F6"/>
    <w:rsid w:val="004A6ED7"/>
    <w:rsid w:val="004B1ADF"/>
    <w:rsid w:val="004C6206"/>
    <w:rsid w:val="004E6E35"/>
    <w:rsid w:val="004E6F43"/>
    <w:rsid w:val="00505C44"/>
    <w:rsid w:val="005121BD"/>
    <w:rsid w:val="00513D25"/>
    <w:rsid w:val="0051585C"/>
    <w:rsid w:val="00522978"/>
    <w:rsid w:val="00525046"/>
    <w:rsid w:val="00533477"/>
    <w:rsid w:val="00537854"/>
    <w:rsid w:val="00544829"/>
    <w:rsid w:val="0054489E"/>
    <w:rsid w:val="005458D6"/>
    <w:rsid w:val="00550021"/>
    <w:rsid w:val="00555336"/>
    <w:rsid w:val="005567F9"/>
    <w:rsid w:val="005576B9"/>
    <w:rsid w:val="00560095"/>
    <w:rsid w:val="005636AA"/>
    <w:rsid w:val="00570095"/>
    <w:rsid w:val="00571521"/>
    <w:rsid w:val="00571D23"/>
    <w:rsid w:val="00572E6D"/>
    <w:rsid w:val="0057479F"/>
    <w:rsid w:val="005758DB"/>
    <w:rsid w:val="005776C0"/>
    <w:rsid w:val="00585874"/>
    <w:rsid w:val="005A5BA4"/>
    <w:rsid w:val="005A6A0B"/>
    <w:rsid w:val="005B2174"/>
    <w:rsid w:val="005B41FF"/>
    <w:rsid w:val="005B47B5"/>
    <w:rsid w:val="005B4FD3"/>
    <w:rsid w:val="005B78A2"/>
    <w:rsid w:val="005C0690"/>
    <w:rsid w:val="005C3B18"/>
    <w:rsid w:val="005D563D"/>
    <w:rsid w:val="005D626B"/>
    <w:rsid w:val="005E6C92"/>
    <w:rsid w:val="005E6FC0"/>
    <w:rsid w:val="005F6006"/>
    <w:rsid w:val="006050CE"/>
    <w:rsid w:val="0060557E"/>
    <w:rsid w:val="006126F6"/>
    <w:rsid w:val="00613136"/>
    <w:rsid w:val="00613C5F"/>
    <w:rsid w:val="00624975"/>
    <w:rsid w:val="0062499F"/>
    <w:rsid w:val="0063576D"/>
    <w:rsid w:val="00653FE9"/>
    <w:rsid w:val="00654F6E"/>
    <w:rsid w:val="00657DB1"/>
    <w:rsid w:val="00662C34"/>
    <w:rsid w:val="00665B4B"/>
    <w:rsid w:val="00666364"/>
    <w:rsid w:val="00672554"/>
    <w:rsid w:val="00675C6A"/>
    <w:rsid w:val="00677AB7"/>
    <w:rsid w:val="00685262"/>
    <w:rsid w:val="00685550"/>
    <w:rsid w:val="00687ECB"/>
    <w:rsid w:val="00691726"/>
    <w:rsid w:val="00692199"/>
    <w:rsid w:val="00696B24"/>
    <w:rsid w:val="006A569F"/>
    <w:rsid w:val="006A63F2"/>
    <w:rsid w:val="006B47DA"/>
    <w:rsid w:val="006B4B60"/>
    <w:rsid w:val="006B744C"/>
    <w:rsid w:val="006D155A"/>
    <w:rsid w:val="006D3F02"/>
    <w:rsid w:val="006D4116"/>
    <w:rsid w:val="006D619D"/>
    <w:rsid w:val="006D61F1"/>
    <w:rsid w:val="006E0027"/>
    <w:rsid w:val="006E1ABB"/>
    <w:rsid w:val="006E7191"/>
    <w:rsid w:val="006E784F"/>
    <w:rsid w:val="00715F1D"/>
    <w:rsid w:val="00720665"/>
    <w:rsid w:val="00721638"/>
    <w:rsid w:val="007230EE"/>
    <w:rsid w:val="00723F4D"/>
    <w:rsid w:val="007240C9"/>
    <w:rsid w:val="0072666C"/>
    <w:rsid w:val="007339BD"/>
    <w:rsid w:val="00746513"/>
    <w:rsid w:val="0075325F"/>
    <w:rsid w:val="007562A0"/>
    <w:rsid w:val="00774874"/>
    <w:rsid w:val="00780503"/>
    <w:rsid w:val="0078581A"/>
    <w:rsid w:val="0079348D"/>
    <w:rsid w:val="007A0C45"/>
    <w:rsid w:val="007B15A8"/>
    <w:rsid w:val="007B3C0B"/>
    <w:rsid w:val="007B4D22"/>
    <w:rsid w:val="007C00F6"/>
    <w:rsid w:val="007C1073"/>
    <w:rsid w:val="007D5237"/>
    <w:rsid w:val="007D6208"/>
    <w:rsid w:val="007D7762"/>
    <w:rsid w:val="007D7DC6"/>
    <w:rsid w:val="007E4969"/>
    <w:rsid w:val="007E5722"/>
    <w:rsid w:val="007F11ED"/>
    <w:rsid w:val="008032E3"/>
    <w:rsid w:val="00812241"/>
    <w:rsid w:val="00824A1F"/>
    <w:rsid w:val="00827D65"/>
    <w:rsid w:val="0083112E"/>
    <w:rsid w:val="008327CC"/>
    <w:rsid w:val="00836875"/>
    <w:rsid w:val="0085078E"/>
    <w:rsid w:val="00851F5C"/>
    <w:rsid w:val="008735B1"/>
    <w:rsid w:val="0087435B"/>
    <w:rsid w:val="008802E4"/>
    <w:rsid w:val="00881921"/>
    <w:rsid w:val="008827B8"/>
    <w:rsid w:val="00887D62"/>
    <w:rsid w:val="00892AA0"/>
    <w:rsid w:val="00895B17"/>
    <w:rsid w:val="008A7BCC"/>
    <w:rsid w:val="008B0F0B"/>
    <w:rsid w:val="008B3BDE"/>
    <w:rsid w:val="008B5139"/>
    <w:rsid w:val="008B53FC"/>
    <w:rsid w:val="008B7339"/>
    <w:rsid w:val="008D1123"/>
    <w:rsid w:val="008D40A0"/>
    <w:rsid w:val="008D425B"/>
    <w:rsid w:val="008E1101"/>
    <w:rsid w:val="008F1697"/>
    <w:rsid w:val="008F1B91"/>
    <w:rsid w:val="008F1BE3"/>
    <w:rsid w:val="008F4E15"/>
    <w:rsid w:val="008F67D9"/>
    <w:rsid w:val="0090015D"/>
    <w:rsid w:val="00901773"/>
    <w:rsid w:val="00904A91"/>
    <w:rsid w:val="009059F4"/>
    <w:rsid w:val="00922B83"/>
    <w:rsid w:val="00924933"/>
    <w:rsid w:val="00924A1F"/>
    <w:rsid w:val="0092603A"/>
    <w:rsid w:val="00933BB6"/>
    <w:rsid w:val="00935ABA"/>
    <w:rsid w:val="0093767E"/>
    <w:rsid w:val="00944116"/>
    <w:rsid w:val="00944B49"/>
    <w:rsid w:val="00950FE8"/>
    <w:rsid w:val="009527B4"/>
    <w:rsid w:val="00956E81"/>
    <w:rsid w:val="00967ABB"/>
    <w:rsid w:val="00971571"/>
    <w:rsid w:val="009756F3"/>
    <w:rsid w:val="00976E0D"/>
    <w:rsid w:val="0097721F"/>
    <w:rsid w:val="0098042F"/>
    <w:rsid w:val="009856A8"/>
    <w:rsid w:val="009869CB"/>
    <w:rsid w:val="009A0628"/>
    <w:rsid w:val="009B7096"/>
    <w:rsid w:val="009C2216"/>
    <w:rsid w:val="009D0362"/>
    <w:rsid w:val="009D0B60"/>
    <w:rsid w:val="009D1EB1"/>
    <w:rsid w:val="009D3653"/>
    <w:rsid w:val="009E1560"/>
    <w:rsid w:val="009E1BEA"/>
    <w:rsid w:val="009E46AF"/>
    <w:rsid w:val="009E6AAE"/>
    <w:rsid w:val="009F3784"/>
    <w:rsid w:val="009F4D4A"/>
    <w:rsid w:val="00A01A26"/>
    <w:rsid w:val="00A02A20"/>
    <w:rsid w:val="00A16958"/>
    <w:rsid w:val="00A246BE"/>
    <w:rsid w:val="00A26570"/>
    <w:rsid w:val="00A27E54"/>
    <w:rsid w:val="00A30980"/>
    <w:rsid w:val="00A3415D"/>
    <w:rsid w:val="00A4084A"/>
    <w:rsid w:val="00A460EC"/>
    <w:rsid w:val="00A61BFC"/>
    <w:rsid w:val="00A70589"/>
    <w:rsid w:val="00A870D8"/>
    <w:rsid w:val="00A94A1F"/>
    <w:rsid w:val="00AA12A8"/>
    <w:rsid w:val="00AA5C10"/>
    <w:rsid w:val="00AB5654"/>
    <w:rsid w:val="00AB7DF3"/>
    <w:rsid w:val="00AC0B55"/>
    <w:rsid w:val="00AC4063"/>
    <w:rsid w:val="00AC46C7"/>
    <w:rsid w:val="00AD5CD2"/>
    <w:rsid w:val="00AE3F81"/>
    <w:rsid w:val="00AE7C0D"/>
    <w:rsid w:val="00AF4CA0"/>
    <w:rsid w:val="00B0137A"/>
    <w:rsid w:val="00B034F9"/>
    <w:rsid w:val="00B03904"/>
    <w:rsid w:val="00B0495F"/>
    <w:rsid w:val="00B07A3B"/>
    <w:rsid w:val="00B159F3"/>
    <w:rsid w:val="00B20D14"/>
    <w:rsid w:val="00B320E8"/>
    <w:rsid w:val="00B3268A"/>
    <w:rsid w:val="00B335AD"/>
    <w:rsid w:val="00B33993"/>
    <w:rsid w:val="00B51995"/>
    <w:rsid w:val="00B53765"/>
    <w:rsid w:val="00B54E97"/>
    <w:rsid w:val="00B61F0F"/>
    <w:rsid w:val="00B73BE1"/>
    <w:rsid w:val="00B7459E"/>
    <w:rsid w:val="00B84521"/>
    <w:rsid w:val="00BA1D1C"/>
    <w:rsid w:val="00BA402C"/>
    <w:rsid w:val="00BA53EB"/>
    <w:rsid w:val="00BA621B"/>
    <w:rsid w:val="00BB10AA"/>
    <w:rsid w:val="00BC7E05"/>
    <w:rsid w:val="00BD6AB4"/>
    <w:rsid w:val="00BE0394"/>
    <w:rsid w:val="00BE088C"/>
    <w:rsid w:val="00BE23AF"/>
    <w:rsid w:val="00BF437E"/>
    <w:rsid w:val="00C10C9E"/>
    <w:rsid w:val="00C12798"/>
    <w:rsid w:val="00C14089"/>
    <w:rsid w:val="00C17AE4"/>
    <w:rsid w:val="00C3607D"/>
    <w:rsid w:val="00C428C3"/>
    <w:rsid w:val="00C46A37"/>
    <w:rsid w:val="00C53ECE"/>
    <w:rsid w:val="00C55AF2"/>
    <w:rsid w:val="00C61AB4"/>
    <w:rsid w:val="00C633AE"/>
    <w:rsid w:val="00C64246"/>
    <w:rsid w:val="00C64D92"/>
    <w:rsid w:val="00C7073D"/>
    <w:rsid w:val="00C70D62"/>
    <w:rsid w:val="00C72FAF"/>
    <w:rsid w:val="00C821B5"/>
    <w:rsid w:val="00C82283"/>
    <w:rsid w:val="00C82A37"/>
    <w:rsid w:val="00C83958"/>
    <w:rsid w:val="00C85182"/>
    <w:rsid w:val="00C87FA0"/>
    <w:rsid w:val="00C9158E"/>
    <w:rsid w:val="00C92BEF"/>
    <w:rsid w:val="00C93282"/>
    <w:rsid w:val="00C93710"/>
    <w:rsid w:val="00C93D0C"/>
    <w:rsid w:val="00C9711B"/>
    <w:rsid w:val="00CA51CF"/>
    <w:rsid w:val="00CA6A03"/>
    <w:rsid w:val="00CB3E02"/>
    <w:rsid w:val="00CC4925"/>
    <w:rsid w:val="00CC6C5F"/>
    <w:rsid w:val="00CD2E25"/>
    <w:rsid w:val="00CD7787"/>
    <w:rsid w:val="00CE667E"/>
    <w:rsid w:val="00CF2AE2"/>
    <w:rsid w:val="00CF7681"/>
    <w:rsid w:val="00D046E7"/>
    <w:rsid w:val="00D127AE"/>
    <w:rsid w:val="00D2323C"/>
    <w:rsid w:val="00D2669F"/>
    <w:rsid w:val="00D37543"/>
    <w:rsid w:val="00D4415F"/>
    <w:rsid w:val="00D45016"/>
    <w:rsid w:val="00D4726B"/>
    <w:rsid w:val="00D528EA"/>
    <w:rsid w:val="00D66FE7"/>
    <w:rsid w:val="00D70D71"/>
    <w:rsid w:val="00D73923"/>
    <w:rsid w:val="00D77BDA"/>
    <w:rsid w:val="00D802FE"/>
    <w:rsid w:val="00D84DBB"/>
    <w:rsid w:val="00DA0DEA"/>
    <w:rsid w:val="00DA62DF"/>
    <w:rsid w:val="00DA72BB"/>
    <w:rsid w:val="00DB2B55"/>
    <w:rsid w:val="00DB3403"/>
    <w:rsid w:val="00DB3A67"/>
    <w:rsid w:val="00DB746A"/>
    <w:rsid w:val="00DC52A0"/>
    <w:rsid w:val="00DC7856"/>
    <w:rsid w:val="00DD0B01"/>
    <w:rsid w:val="00DD2153"/>
    <w:rsid w:val="00DD50AD"/>
    <w:rsid w:val="00DE1577"/>
    <w:rsid w:val="00DE2C56"/>
    <w:rsid w:val="00DE62A9"/>
    <w:rsid w:val="00DF48CD"/>
    <w:rsid w:val="00DF79CB"/>
    <w:rsid w:val="00DF7F75"/>
    <w:rsid w:val="00E0439C"/>
    <w:rsid w:val="00E07AC8"/>
    <w:rsid w:val="00E10752"/>
    <w:rsid w:val="00E130D1"/>
    <w:rsid w:val="00E135AA"/>
    <w:rsid w:val="00E13C18"/>
    <w:rsid w:val="00E179D3"/>
    <w:rsid w:val="00E22752"/>
    <w:rsid w:val="00E445D1"/>
    <w:rsid w:val="00E44D2D"/>
    <w:rsid w:val="00E53E18"/>
    <w:rsid w:val="00E547B8"/>
    <w:rsid w:val="00E6490E"/>
    <w:rsid w:val="00E72277"/>
    <w:rsid w:val="00E77416"/>
    <w:rsid w:val="00E80402"/>
    <w:rsid w:val="00E865F3"/>
    <w:rsid w:val="00E87615"/>
    <w:rsid w:val="00E91993"/>
    <w:rsid w:val="00E956FD"/>
    <w:rsid w:val="00EA45BA"/>
    <w:rsid w:val="00EA490C"/>
    <w:rsid w:val="00EA5332"/>
    <w:rsid w:val="00EA6085"/>
    <w:rsid w:val="00ED2529"/>
    <w:rsid w:val="00EE0D5E"/>
    <w:rsid w:val="00EF38A8"/>
    <w:rsid w:val="00F008B6"/>
    <w:rsid w:val="00F033BA"/>
    <w:rsid w:val="00F05672"/>
    <w:rsid w:val="00F06564"/>
    <w:rsid w:val="00F11FE7"/>
    <w:rsid w:val="00F1486C"/>
    <w:rsid w:val="00F160E0"/>
    <w:rsid w:val="00F2021B"/>
    <w:rsid w:val="00F2233B"/>
    <w:rsid w:val="00F31EDE"/>
    <w:rsid w:val="00F32C7F"/>
    <w:rsid w:val="00F3391E"/>
    <w:rsid w:val="00F365C8"/>
    <w:rsid w:val="00F46673"/>
    <w:rsid w:val="00F527D1"/>
    <w:rsid w:val="00F544C7"/>
    <w:rsid w:val="00F56E1C"/>
    <w:rsid w:val="00F627EE"/>
    <w:rsid w:val="00F7015B"/>
    <w:rsid w:val="00F76BFF"/>
    <w:rsid w:val="00F91EEA"/>
    <w:rsid w:val="00F97976"/>
    <w:rsid w:val="00FA1B70"/>
    <w:rsid w:val="00FA1BC0"/>
    <w:rsid w:val="00FA4640"/>
    <w:rsid w:val="00FA7140"/>
    <w:rsid w:val="00FB0464"/>
    <w:rsid w:val="00FB05EE"/>
    <w:rsid w:val="00FB3380"/>
    <w:rsid w:val="00FB7DD0"/>
    <w:rsid w:val="00FC00B3"/>
    <w:rsid w:val="00FD1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F046"/>
  <w15:chartTrackingRefBased/>
  <w15:docId w15:val="{8FCD44AB-C50F-4EF4-9223-FDDC01F4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D97"/>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2A3D97"/>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2A3D97"/>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2A3D97"/>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2A3D97"/>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2A3D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D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D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D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D97"/>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2A3D97"/>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2A3D97"/>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2A3D97"/>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2A3D97"/>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2A3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D97"/>
    <w:rPr>
      <w:rFonts w:eastAsiaTheme="majorEastAsia" w:cstheme="majorBidi"/>
      <w:color w:val="272727" w:themeColor="text1" w:themeTint="D8"/>
    </w:rPr>
  </w:style>
  <w:style w:type="paragraph" w:styleId="Title">
    <w:name w:val="Title"/>
    <w:basedOn w:val="Normal"/>
    <w:next w:val="Normal"/>
    <w:link w:val="TitleChar"/>
    <w:uiPriority w:val="10"/>
    <w:qFormat/>
    <w:rsid w:val="002A3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D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D97"/>
    <w:pPr>
      <w:spacing w:before="160"/>
      <w:jc w:val="center"/>
    </w:pPr>
    <w:rPr>
      <w:i/>
      <w:iCs/>
      <w:color w:val="404040" w:themeColor="text1" w:themeTint="BF"/>
    </w:rPr>
  </w:style>
  <w:style w:type="character" w:customStyle="1" w:styleId="QuoteChar">
    <w:name w:val="Quote Char"/>
    <w:basedOn w:val="DefaultParagraphFont"/>
    <w:link w:val="Quote"/>
    <w:uiPriority w:val="29"/>
    <w:rsid w:val="002A3D97"/>
    <w:rPr>
      <w:i/>
      <w:iCs/>
      <w:color w:val="404040" w:themeColor="text1" w:themeTint="BF"/>
    </w:rPr>
  </w:style>
  <w:style w:type="paragraph" w:styleId="ListParagraph">
    <w:name w:val="List Paragraph"/>
    <w:basedOn w:val="Normal"/>
    <w:uiPriority w:val="34"/>
    <w:qFormat/>
    <w:rsid w:val="002A3D97"/>
    <w:pPr>
      <w:ind w:left="720"/>
      <w:contextualSpacing/>
    </w:pPr>
  </w:style>
  <w:style w:type="character" w:styleId="IntenseEmphasis">
    <w:name w:val="Intense Emphasis"/>
    <w:basedOn w:val="DefaultParagraphFont"/>
    <w:uiPriority w:val="21"/>
    <w:qFormat/>
    <w:rsid w:val="002A3D97"/>
    <w:rPr>
      <w:i/>
      <w:iCs/>
      <w:color w:val="3E762A" w:themeColor="accent1" w:themeShade="BF"/>
    </w:rPr>
  </w:style>
  <w:style w:type="paragraph" w:styleId="IntenseQuote">
    <w:name w:val="Intense Quote"/>
    <w:basedOn w:val="Normal"/>
    <w:next w:val="Normal"/>
    <w:link w:val="IntenseQuoteChar"/>
    <w:uiPriority w:val="30"/>
    <w:qFormat/>
    <w:rsid w:val="002A3D97"/>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2A3D97"/>
    <w:rPr>
      <w:i/>
      <w:iCs/>
      <w:color w:val="3E762A" w:themeColor="accent1" w:themeShade="BF"/>
    </w:rPr>
  </w:style>
  <w:style w:type="character" w:styleId="IntenseReference">
    <w:name w:val="Intense Reference"/>
    <w:basedOn w:val="DefaultParagraphFont"/>
    <w:uiPriority w:val="32"/>
    <w:qFormat/>
    <w:rsid w:val="002A3D97"/>
    <w:rPr>
      <w:b/>
      <w:bCs/>
      <w:smallCaps/>
      <w:color w:val="3E762A" w:themeColor="accent1" w:themeShade="BF"/>
      <w:spacing w:val="5"/>
    </w:rPr>
  </w:style>
  <w:style w:type="table" w:styleId="TableGrid">
    <w:name w:val="Table Grid"/>
    <w:basedOn w:val="TableNormal"/>
    <w:uiPriority w:val="39"/>
    <w:rsid w:val="00FB7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5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3EB"/>
  </w:style>
  <w:style w:type="paragraph" w:styleId="Footer">
    <w:name w:val="footer"/>
    <w:basedOn w:val="Normal"/>
    <w:link w:val="FooterChar"/>
    <w:uiPriority w:val="99"/>
    <w:unhideWhenUsed/>
    <w:rsid w:val="00BA5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3EB"/>
  </w:style>
  <w:style w:type="paragraph" w:styleId="TOCHeading">
    <w:name w:val="TOC Heading"/>
    <w:basedOn w:val="Heading1"/>
    <w:next w:val="Normal"/>
    <w:uiPriority w:val="39"/>
    <w:unhideWhenUsed/>
    <w:qFormat/>
    <w:rsid w:val="008327C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327CC"/>
    <w:pPr>
      <w:spacing w:after="100"/>
    </w:pPr>
  </w:style>
  <w:style w:type="paragraph" w:styleId="TOC2">
    <w:name w:val="toc 2"/>
    <w:basedOn w:val="Normal"/>
    <w:next w:val="Normal"/>
    <w:autoRedefine/>
    <w:uiPriority w:val="39"/>
    <w:unhideWhenUsed/>
    <w:rsid w:val="008327CC"/>
    <w:pPr>
      <w:spacing w:after="100"/>
      <w:ind w:left="220"/>
    </w:pPr>
  </w:style>
  <w:style w:type="character" w:styleId="Hyperlink">
    <w:name w:val="Hyperlink"/>
    <w:basedOn w:val="DefaultParagraphFont"/>
    <w:uiPriority w:val="99"/>
    <w:unhideWhenUsed/>
    <w:rsid w:val="008327CC"/>
    <w:rPr>
      <w:color w:val="6B9F25" w:themeColor="hyperlink"/>
      <w:u w:val="single"/>
    </w:rPr>
  </w:style>
  <w:style w:type="paragraph" w:styleId="TOC3">
    <w:name w:val="toc 3"/>
    <w:basedOn w:val="Normal"/>
    <w:next w:val="Normal"/>
    <w:autoRedefine/>
    <w:uiPriority w:val="39"/>
    <w:unhideWhenUsed/>
    <w:rsid w:val="00132F80"/>
    <w:pPr>
      <w:spacing w:after="100"/>
      <w:ind w:left="440"/>
    </w:pPr>
  </w:style>
  <w:style w:type="paragraph" w:styleId="NoSpacing">
    <w:name w:val="No Spacing"/>
    <w:link w:val="NoSpacingChar"/>
    <w:uiPriority w:val="1"/>
    <w:qFormat/>
    <w:rsid w:val="001E3A1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E3A10"/>
    <w:rPr>
      <w:rFonts w:eastAsiaTheme="minorEastAsia"/>
      <w:kern w:val="0"/>
      <w:lang w:val="en-US"/>
      <w14:ligatures w14:val="none"/>
    </w:rPr>
  </w:style>
  <w:style w:type="character" w:styleId="UnresolvedMention">
    <w:name w:val="Unresolved Mention"/>
    <w:basedOn w:val="DefaultParagraphFont"/>
    <w:uiPriority w:val="99"/>
    <w:semiHidden/>
    <w:unhideWhenUsed/>
    <w:rsid w:val="00715F1D"/>
    <w:rPr>
      <w:color w:val="605E5C"/>
      <w:shd w:val="clear" w:color="auto" w:fill="E1DFDD"/>
    </w:rPr>
  </w:style>
  <w:style w:type="character" w:styleId="FollowedHyperlink">
    <w:name w:val="FollowedHyperlink"/>
    <w:basedOn w:val="DefaultParagraphFont"/>
    <w:uiPriority w:val="99"/>
    <w:semiHidden/>
    <w:unhideWhenUsed/>
    <w:rsid w:val="001A3A61"/>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usters.uk.com/articles/the-impact-of-inflation-on-health-fitness/" TargetMode="External"/><Relationship Id="rId13" Type="http://schemas.openxmlformats.org/officeDocument/2006/relationships/hyperlink" Target="https://www.nhsconfed.org/publications/digital-transformation-nhs-reference-guide" TargetMode="External"/><Relationship Id="rId18" Type="http://schemas.openxmlformats.org/officeDocument/2006/relationships/hyperlink" Target="http://www.pfizer.com/about/history" TargetMode="External"/><Relationship Id="rId26" Type="http://schemas.openxmlformats.org/officeDocument/2006/relationships/hyperlink" Target="https://octalysisgroup.com/pfizer-patient-adherence-and-habit-formation/" TargetMode="External"/><Relationship Id="rId3" Type="http://schemas.openxmlformats.org/officeDocument/2006/relationships/settings" Target="settings.xml"/><Relationship Id="rId21" Type="http://schemas.openxmlformats.org/officeDocument/2006/relationships/hyperlink" Target="https://www.projectmanagement.com/wikis/368897/stakeholder-analysis--using-the-power-interest-grid" TargetMode="External"/><Relationship Id="rId7" Type="http://schemas.openxmlformats.org/officeDocument/2006/relationships/hyperlink" Target="https://businesscasestudies.co.uk/what-is-regulatory-affairs-in-pharma/" TargetMode="External"/><Relationship Id="rId12" Type="http://schemas.openxmlformats.org/officeDocument/2006/relationships/hyperlink" Target="https://www.gsk.com/en-gb/investors/corporate-actions/consumer-healthcare-demerger" TargetMode="External"/><Relationship Id="rId17" Type="http://schemas.openxmlformats.org/officeDocument/2006/relationships/hyperlink" Target="https://www.mmm-online.com/home/channel/pfizer-tops-pharma-reputation-rankings/" TargetMode="External"/><Relationship Id="rId25" Type="http://schemas.openxmlformats.org/officeDocument/2006/relationships/hyperlink" Target="https://cerkl.com/blog/communication-overload" TargetMode="External"/><Relationship Id="rId2" Type="http://schemas.openxmlformats.org/officeDocument/2006/relationships/styles" Target="styles.xml"/><Relationship Id="rId16" Type="http://schemas.openxmlformats.org/officeDocument/2006/relationships/hyperlink" Target="https://news.darden.virginia.edu/2024/05/16/stakeholder-how-ed-freemans-vision-for-responsible-business-moved-from-theory-to-reality/" TargetMode="External"/><Relationship Id="rId20" Type="http://schemas.openxmlformats.org/officeDocument/2006/relationships/hyperlink" Target="https://www.pfizer.co.uk/partnerships/working-with-healthcare-professionals/faqs-working-with-hcps-hco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eeksforgeeks.org/business-studies/coordination-nature-criteria-objectives-and-purpose/" TargetMode="External"/><Relationship Id="rId24" Type="http://schemas.openxmlformats.org/officeDocument/2006/relationships/hyperlink" Target="https://www.projectmanagementpathways.com/project-management-articles/stakeholder-engagement-assessment-matrix" TargetMode="External"/><Relationship Id="rId5" Type="http://schemas.openxmlformats.org/officeDocument/2006/relationships/footnotes" Target="footnotes.xml"/><Relationship Id="rId15" Type="http://schemas.openxmlformats.org/officeDocument/2006/relationships/hyperlink" Target="https://kilmanndiagnostics.com/the-most-complex-and-least-understood-mode-collaborating/" TargetMode="External"/><Relationship Id="rId23" Type="http://schemas.openxmlformats.org/officeDocument/2006/relationships/hyperlink" Target="https://www.pm4dev.com/pm4dev-blog/entry/the-role-of-the-project-manager.html" TargetMode="External"/><Relationship Id="rId28" Type="http://schemas.openxmlformats.org/officeDocument/2006/relationships/footer" Target="footer1.xml"/><Relationship Id="rId10" Type="http://schemas.openxmlformats.org/officeDocument/2006/relationships/hyperlink" Target="https://www.ema.europa.eu/en/human-regulatory-overview/medical-devices" TargetMode="External"/><Relationship Id="rId19" Type="http://schemas.openxmlformats.org/officeDocument/2006/relationships/hyperlink" Target="https://www.pfizer.co.uk/science/developing-new-medicines/clinical-trials" TargetMode="External"/><Relationship Id="rId4" Type="http://schemas.openxmlformats.org/officeDocument/2006/relationships/webSettings" Target="webSettings.xml"/><Relationship Id="rId9" Type="http://schemas.openxmlformats.org/officeDocument/2006/relationships/hyperlink" Target="https://www.mckinsey.com/capabilities/tech-and-ai/our-insights/what-makes-product-teams-effective" TargetMode="External"/><Relationship Id="rId14" Type="http://schemas.openxmlformats.org/officeDocument/2006/relationships/hyperlink" Target="https://pmc.ncbi.nlm.nih.gov/articles/PMC10250594/." TargetMode="External"/><Relationship Id="rId22" Type="http://schemas.openxmlformats.org/officeDocument/2006/relationships/hyperlink" Target="https://www.pwc.com/gx/en/issues/c-suite-insights/voice-of-the-consumer-survey.html" TargetMode="External"/><Relationship Id="rId27" Type="http://schemas.openxmlformats.org/officeDocument/2006/relationships/hyperlink" Target="https://hbr.org/2016/06/how-to-preempt-team-conflic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55C19-3B4C-4480-9B09-AA5B33751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21</Pages>
  <Words>5555</Words>
  <Characters>31670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dRAGOS rADUCANU</dc:title>
  <dc:subject>Dragos Raducanu</dc:subject>
  <dc:creator>dragos raducanu</dc:creator>
  <cp:keywords/>
  <dc:description/>
  <cp:lastModifiedBy>dragos raducanu</cp:lastModifiedBy>
  <cp:revision>513</cp:revision>
  <dcterms:created xsi:type="dcterms:W3CDTF">2025-12-09T21:40:00Z</dcterms:created>
  <dcterms:modified xsi:type="dcterms:W3CDTF">2025-12-19T11:21:00Z</dcterms:modified>
</cp:coreProperties>
</file>