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67EF53" w14:textId="17CC3396" w:rsidR="00D078E4" w:rsidRDefault="00EF3F21">
      <w:r>
        <w:t xml:space="preserve">                                                             Title page</w:t>
      </w:r>
    </w:p>
    <w:p w14:paraId="2E09DB1C" w14:textId="19EB5769" w:rsidR="00EF3F21" w:rsidRDefault="00EF3F21">
      <w:r>
        <w:t>Student name……………………Mohammad Shabir</w:t>
      </w:r>
    </w:p>
    <w:p w14:paraId="2F908074" w14:textId="022FEDAB" w:rsidR="00EF3F21" w:rsidRDefault="00EF3F21">
      <w:r>
        <w:t>Student number………………..</w:t>
      </w:r>
      <w:r w:rsidR="00CF0E8F">
        <w:t>.2420435</w:t>
      </w:r>
    </w:p>
    <w:p w14:paraId="30549A48" w14:textId="2173D893" w:rsidR="00CF0E8F" w:rsidRDefault="00CF0E8F">
      <w:r>
        <w:t>Module title……………………….Protecting and Supporting Families in Health and Care</w:t>
      </w:r>
    </w:p>
    <w:p w14:paraId="13D15103" w14:textId="11EC3E09" w:rsidR="00CF0E8F" w:rsidRDefault="00CF0E8F">
      <w:r>
        <w:t>Module code……………………..BMHP5021</w:t>
      </w:r>
    </w:p>
    <w:p w14:paraId="4348BB51" w14:textId="4E8A9236" w:rsidR="00CF0E8F" w:rsidRDefault="00CF0E8F">
      <w:r>
        <w:t>Assignment title…………………Presentation (Round-the-table group discussion)</w:t>
      </w:r>
    </w:p>
    <w:p w14:paraId="2DE94AE6" w14:textId="2DAFD1B1" w:rsidR="00CF0E8F" w:rsidRDefault="00CF0E8F">
      <w:r>
        <w:t>Lecturer……………………………</w:t>
      </w:r>
      <w:r w:rsidR="00C02FBA">
        <w:t xml:space="preserve">Precious </w:t>
      </w:r>
      <w:proofErr w:type="spellStart"/>
      <w:r w:rsidR="00C02FBA">
        <w:t>Igbinigie</w:t>
      </w:r>
      <w:proofErr w:type="spellEnd"/>
    </w:p>
    <w:p w14:paraId="757AF923" w14:textId="1C1C23E1" w:rsidR="00CF0E8F" w:rsidRDefault="00CF0E8F">
      <w:r>
        <w:t>Group………………………………3</w:t>
      </w:r>
    </w:p>
    <w:p w14:paraId="53B6EA2B" w14:textId="114C3A4D" w:rsidR="00CF0E8F" w:rsidRDefault="00CF0E8F">
      <w:r>
        <w:t>Case………………………………..First Case, Child A</w:t>
      </w:r>
      <w:r w:rsidR="00C02FBA">
        <w:t xml:space="preserve"> – 2023 Birmingham</w:t>
      </w:r>
    </w:p>
    <w:p w14:paraId="00E6D3EF" w14:textId="1DC154A0" w:rsidR="00CF0E8F" w:rsidRDefault="00CF0E8F">
      <w:r>
        <w:t>Role…………………………………Youth Offending Officer</w:t>
      </w:r>
    </w:p>
    <w:p w14:paraId="7BD7F616" w14:textId="77777777" w:rsidR="00F34AED" w:rsidRDefault="00F34AED"/>
    <w:p w14:paraId="1167DE12" w14:textId="77777777" w:rsidR="00F34AED" w:rsidRDefault="00F34AED"/>
    <w:p w14:paraId="35C69569" w14:textId="77777777" w:rsidR="00F34AED" w:rsidRDefault="00F34AED"/>
    <w:p w14:paraId="2E6E8375" w14:textId="77777777" w:rsidR="00F34AED" w:rsidRDefault="00F34AED"/>
    <w:p w14:paraId="407ED2E4" w14:textId="77777777" w:rsidR="00F34AED" w:rsidRDefault="00F34AED"/>
    <w:p w14:paraId="67B4F032" w14:textId="77777777" w:rsidR="00F34AED" w:rsidRDefault="00F34AED"/>
    <w:p w14:paraId="0E55FFC3" w14:textId="77777777" w:rsidR="00F34AED" w:rsidRDefault="00F34AED"/>
    <w:p w14:paraId="35966065" w14:textId="77777777" w:rsidR="00F34AED" w:rsidRDefault="00F34AED"/>
    <w:p w14:paraId="53B37E6E" w14:textId="77777777" w:rsidR="00F34AED" w:rsidRDefault="00F34AED"/>
    <w:p w14:paraId="0FFD5B46" w14:textId="77777777" w:rsidR="00F34AED" w:rsidRDefault="00F34AED"/>
    <w:p w14:paraId="63D74D71" w14:textId="77777777" w:rsidR="00F34AED" w:rsidRDefault="00F34AED"/>
    <w:p w14:paraId="2E0A9D2E" w14:textId="77777777" w:rsidR="00F34AED" w:rsidRDefault="00F34AED"/>
    <w:p w14:paraId="7BA9C175" w14:textId="77777777" w:rsidR="00F34AED" w:rsidRDefault="00F34AED"/>
    <w:p w14:paraId="658021BE" w14:textId="77777777" w:rsidR="00F34AED" w:rsidRDefault="00F34AED"/>
    <w:p w14:paraId="05B5330E" w14:textId="77777777" w:rsidR="00F34AED" w:rsidRDefault="00F34AED"/>
    <w:p w14:paraId="6F6EDBBA" w14:textId="77777777" w:rsidR="00F34AED" w:rsidRDefault="00F34AED"/>
    <w:p w14:paraId="406FA65F" w14:textId="77777777" w:rsidR="00F34AED" w:rsidRDefault="00F34AED"/>
    <w:p w14:paraId="5A07AFDF" w14:textId="77777777" w:rsidR="00F34AED" w:rsidRDefault="00F34AED"/>
    <w:p w14:paraId="49EA4E5A" w14:textId="6FC3DBAF" w:rsidR="00F34AED" w:rsidRPr="00D223BE" w:rsidRDefault="00F34AED">
      <w:pPr>
        <w:rPr>
          <w:rFonts w:ascii="Arial" w:hAnsi="Arial" w:cs="Arial"/>
          <w:sz w:val="22"/>
          <w:szCs w:val="22"/>
          <w:u w:val="single"/>
        </w:rPr>
      </w:pPr>
      <w:r w:rsidRPr="00D223BE">
        <w:rPr>
          <w:rFonts w:ascii="Arial" w:hAnsi="Arial" w:cs="Arial"/>
          <w:sz w:val="22"/>
          <w:szCs w:val="22"/>
        </w:rPr>
        <w:lastRenderedPageBreak/>
        <w:t xml:space="preserve">                                                               </w:t>
      </w:r>
      <w:r w:rsidRPr="00D223BE">
        <w:rPr>
          <w:rFonts w:ascii="Arial" w:hAnsi="Arial" w:cs="Arial"/>
          <w:sz w:val="22"/>
          <w:szCs w:val="22"/>
          <w:u w:val="single"/>
        </w:rPr>
        <w:t>Referencing</w:t>
      </w:r>
    </w:p>
    <w:p w14:paraId="61F73BB3" w14:textId="04C91C31" w:rsidR="00D223BE" w:rsidRPr="00D223BE" w:rsidRDefault="00D223BE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Andresen, S., Bradshaw, J. and Kosher, H. (2019) ‘Young children’s perceptions of their lives and well-being’, </w:t>
      </w:r>
      <w:r w:rsidRPr="00D223BE">
        <w:rPr>
          <w:rStyle w:val="Emphasis"/>
          <w:rFonts w:ascii="Arial" w:hAnsi="Arial" w:cs="Arial"/>
          <w:sz w:val="22"/>
          <w:szCs w:val="22"/>
        </w:rPr>
        <w:t>Child Indicators Research</w:t>
      </w:r>
      <w:r w:rsidRPr="00D223BE">
        <w:rPr>
          <w:rFonts w:ascii="Arial" w:hAnsi="Arial" w:cs="Arial"/>
          <w:sz w:val="22"/>
          <w:szCs w:val="22"/>
        </w:rPr>
        <w:t>, 12(1), pp. 1–7.</w:t>
      </w:r>
      <w:r w:rsidRPr="00D223BE">
        <w:rPr>
          <w:rFonts w:ascii="Arial" w:hAnsi="Arial" w:cs="Arial"/>
          <w:sz w:val="22"/>
          <w:szCs w:val="22"/>
        </w:rPr>
        <w:t xml:space="preserve"> Available at: </w:t>
      </w:r>
      <w:hyperlink r:id="rId7" w:history="1">
        <w:r w:rsidRPr="00D223BE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https://doi.org/10.1007/s12187-018-9551-6</w:t>
        </w:r>
      </w:hyperlink>
      <w:r w:rsidRPr="00D223B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)Accessed on: 19/06/2026)</w:t>
      </w:r>
    </w:p>
    <w:p w14:paraId="15EF33D2" w14:textId="4EAD1B25" w:rsidR="00F34AED" w:rsidRPr="00D223BE" w:rsidRDefault="003554A9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Appleton, J. (2015) ‘Vulnerable children’, in Glasper, A. and Richardson, J. (eds.) </w:t>
      </w:r>
      <w:r w:rsidRPr="00D223BE">
        <w:rPr>
          <w:rStyle w:val="Emphasis"/>
          <w:rFonts w:ascii="Arial" w:hAnsi="Arial" w:cs="Arial"/>
          <w:sz w:val="22"/>
          <w:szCs w:val="22"/>
        </w:rPr>
        <w:t>A Textbook of Children's and Young People's Nursing</w:t>
      </w:r>
      <w:r w:rsidRPr="00D223BE">
        <w:rPr>
          <w:rFonts w:ascii="Arial" w:hAnsi="Arial" w:cs="Arial"/>
          <w:sz w:val="22"/>
          <w:szCs w:val="22"/>
        </w:rPr>
        <w:t>. 2nd edn. Boca Raton, FL: CRC Press. Available at:</w:t>
      </w:r>
      <w:r w:rsidRPr="00D223BE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Pr="00D223BE">
          <w:rPr>
            <w:rStyle w:val="Hyperlink"/>
            <w:rFonts w:ascii="Arial" w:hAnsi="Arial" w:cs="Arial"/>
            <w:sz w:val="22"/>
            <w:szCs w:val="22"/>
          </w:rPr>
          <w:t>Vulnerable children | 17 | v2 | Public Health for Children | Jane V. A</w:t>
        </w:r>
      </w:hyperlink>
      <w:r w:rsidRPr="00D223BE">
        <w:rPr>
          <w:rFonts w:ascii="Arial" w:hAnsi="Arial" w:cs="Arial"/>
          <w:sz w:val="22"/>
          <w:szCs w:val="22"/>
        </w:rPr>
        <w:t xml:space="preserve"> (Accessed on: 18/06/2026). </w:t>
      </w:r>
    </w:p>
    <w:p w14:paraId="0CA8388B" w14:textId="71FD0C35" w:rsidR="00D223BE" w:rsidRPr="00D223BE" w:rsidRDefault="00D223BE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Day, A.-M. (2023) ‘“It’s a hard balance to find”: the perspectives of youth justice practitioners in England on the place of “risk” in an emerging “child-first” world’, </w:t>
      </w:r>
      <w:r w:rsidRPr="00D223BE">
        <w:rPr>
          <w:rStyle w:val="Emphasis"/>
          <w:rFonts w:ascii="Arial" w:hAnsi="Arial" w:cs="Arial"/>
          <w:sz w:val="22"/>
          <w:szCs w:val="22"/>
        </w:rPr>
        <w:t>Youth Justice</w:t>
      </w:r>
      <w:r w:rsidRPr="00D223BE">
        <w:rPr>
          <w:rFonts w:ascii="Arial" w:hAnsi="Arial" w:cs="Arial"/>
          <w:sz w:val="22"/>
          <w:szCs w:val="22"/>
        </w:rPr>
        <w:t>, 23(1), pp. 58–75. Available at:</w:t>
      </w:r>
      <w:r w:rsidRPr="00D223BE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Pr="00D223BE">
          <w:rPr>
            <w:rStyle w:val="Hyperlink"/>
            <w:rFonts w:ascii="Arial" w:hAnsi="Arial" w:cs="Arial"/>
            <w:sz w:val="22"/>
            <w:szCs w:val="22"/>
            <w:u w:val="none"/>
            <w:shd w:val="clear" w:color="auto" w:fill="FFFFFF"/>
          </w:rPr>
          <w:t>https://doi.org/10.1177/14732254221075205</w:t>
        </w:r>
      </w:hyperlink>
      <w:r w:rsidRPr="00D223BE">
        <w:rPr>
          <w:rFonts w:ascii="Arial" w:hAnsi="Arial" w:cs="Arial"/>
          <w:sz w:val="22"/>
          <w:szCs w:val="22"/>
        </w:rPr>
        <w:t xml:space="preserve"> (Accessed on: 19/06/2026) </w:t>
      </w:r>
    </w:p>
    <w:p w14:paraId="2D556E39" w14:textId="1C589726" w:rsidR="00F34AED" w:rsidRPr="00D223BE" w:rsidRDefault="003554A9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Featherstone, B., Gupta, A. and Morris, K. (2021) ‘Post-pandemic: moving on from “child protection”’, </w:t>
      </w:r>
      <w:r w:rsidRPr="00D223BE">
        <w:rPr>
          <w:rStyle w:val="Emphasis"/>
          <w:rFonts w:ascii="Arial" w:hAnsi="Arial" w:cs="Arial"/>
          <w:sz w:val="22"/>
          <w:szCs w:val="22"/>
        </w:rPr>
        <w:t>Critical and Radical Social Work</w:t>
      </w:r>
      <w:r w:rsidRPr="00D223BE">
        <w:rPr>
          <w:rFonts w:ascii="Arial" w:hAnsi="Arial" w:cs="Arial"/>
          <w:sz w:val="22"/>
          <w:szCs w:val="22"/>
        </w:rPr>
        <w:t>, 9(2), pp. 151–165. Available at:</w:t>
      </w:r>
      <w:r w:rsidRPr="00D223BE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Pr="00D223BE">
          <w:rPr>
            <w:rStyle w:val="Hyperlink"/>
            <w:rFonts w:ascii="Arial" w:hAnsi="Arial" w:cs="Arial"/>
            <w:sz w:val="22"/>
            <w:szCs w:val="22"/>
          </w:rPr>
          <w:t>Theorising anti-racism in health and social care in: Critical and Radical Social Work Volume 9 Issue 2 (2021)</w:t>
        </w:r>
      </w:hyperlink>
      <w:r w:rsidRPr="00D223BE">
        <w:rPr>
          <w:rFonts w:ascii="Arial" w:hAnsi="Arial" w:cs="Arial"/>
          <w:sz w:val="22"/>
          <w:szCs w:val="22"/>
        </w:rPr>
        <w:t xml:space="preserve"> (Accessed on:17/06/2026) </w:t>
      </w:r>
    </w:p>
    <w:p w14:paraId="155D3EC2" w14:textId="026097D3" w:rsidR="003554A9" w:rsidRPr="00D223BE" w:rsidRDefault="003554A9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Gray, P. (2016) ‘“Child friendly” international human rights standards and youth offending team partnerships’, </w:t>
      </w:r>
      <w:r w:rsidRPr="00D223BE">
        <w:rPr>
          <w:rStyle w:val="Emphasis"/>
          <w:rFonts w:ascii="Arial" w:hAnsi="Arial" w:cs="Arial"/>
          <w:sz w:val="22"/>
          <w:szCs w:val="22"/>
        </w:rPr>
        <w:t>International Journal of Law, Crime and Justice</w:t>
      </w:r>
      <w:r w:rsidRPr="00D223BE">
        <w:rPr>
          <w:rFonts w:ascii="Arial" w:hAnsi="Arial" w:cs="Arial"/>
          <w:sz w:val="22"/>
          <w:szCs w:val="22"/>
        </w:rPr>
        <w:t>, 45, pp. 59–74. Available at:</w:t>
      </w:r>
      <w:r w:rsidRPr="00D223BE">
        <w:rPr>
          <w:rFonts w:ascii="Arial" w:hAnsi="Arial" w:cs="Arial"/>
          <w:sz w:val="22"/>
          <w:szCs w:val="22"/>
        </w:rPr>
        <w:t xml:space="preserve"> </w:t>
      </w:r>
      <w:hyperlink r:id="rId11" w:tgtFrame="_blank" w:tooltip="Persistent link using digital object identifier" w:history="1">
        <w:r w:rsidR="00D223BE" w:rsidRPr="00D223BE">
          <w:rPr>
            <w:rStyle w:val="anchor-text"/>
            <w:rFonts w:ascii="Arial" w:hAnsi="Arial" w:cs="Arial"/>
            <w:color w:val="0272B1"/>
            <w:sz w:val="22"/>
            <w:szCs w:val="22"/>
          </w:rPr>
          <w:t>https://doi.org/10.1016/j.ijlcj.2015.11.001</w:t>
        </w:r>
      </w:hyperlink>
      <w:r w:rsidR="00D223BE" w:rsidRPr="00D223BE">
        <w:rPr>
          <w:rFonts w:ascii="Arial" w:hAnsi="Arial" w:cs="Arial"/>
          <w:sz w:val="22"/>
          <w:szCs w:val="22"/>
        </w:rPr>
        <w:t xml:space="preserve"> (Accessed on:18/06/2026)</w:t>
      </w:r>
    </w:p>
    <w:p w14:paraId="07EB45E9" w14:textId="3089CB88" w:rsidR="003554A9" w:rsidRPr="00D223BE" w:rsidRDefault="003554A9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King, S. (2026) ‘“It’s just misunderstood kids”: school exclusion, SEND and the reproduction of inequality’, </w:t>
      </w:r>
      <w:r w:rsidRPr="00D223BE">
        <w:rPr>
          <w:rStyle w:val="Emphasis"/>
          <w:rFonts w:ascii="Arial" w:hAnsi="Arial" w:cs="Arial"/>
          <w:sz w:val="22"/>
          <w:szCs w:val="22"/>
        </w:rPr>
        <w:t>Emotional and Behavioural Difficulties</w:t>
      </w:r>
      <w:r w:rsidRPr="00D223BE">
        <w:rPr>
          <w:rFonts w:ascii="Arial" w:hAnsi="Arial" w:cs="Arial"/>
          <w:sz w:val="22"/>
          <w:szCs w:val="22"/>
        </w:rPr>
        <w:t>, 31(1), pp. 56–71. Available at:</w:t>
      </w:r>
      <w:r w:rsidRPr="00D223BE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Pr="00D223BE">
          <w:rPr>
            <w:rStyle w:val="Hyperlink"/>
            <w:rFonts w:ascii="Arial" w:hAnsi="Arial" w:cs="Arial"/>
            <w:sz w:val="22"/>
            <w:szCs w:val="22"/>
          </w:rPr>
          <w:t>https://doi.org/10.1080/13632752.2025.2546768</w:t>
        </w:r>
      </w:hyperlink>
      <w:r w:rsidRPr="00D223BE">
        <w:rPr>
          <w:rFonts w:ascii="Arial" w:hAnsi="Arial" w:cs="Arial"/>
          <w:sz w:val="22"/>
          <w:szCs w:val="22"/>
        </w:rPr>
        <w:t xml:space="preserve"> (Accessed on:18/06/2026). </w:t>
      </w:r>
    </w:p>
    <w:p w14:paraId="04E22701" w14:textId="77777777" w:rsidR="003554A9" w:rsidRPr="00D223BE" w:rsidRDefault="003554A9" w:rsidP="003554A9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Padden-Denmead, M.L. (2025) ‘Children’s rights’, in Tang, C.M., Girgis, H. and Padden-Denmead, M.L. (eds.) </w:t>
      </w:r>
      <w:r w:rsidRPr="00D223BE">
        <w:rPr>
          <w:rStyle w:val="Emphasis"/>
          <w:rFonts w:ascii="Arial" w:hAnsi="Arial" w:cs="Arial"/>
          <w:sz w:val="22"/>
          <w:szCs w:val="22"/>
        </w:rPr>
        <w:t>Perspectives on Childhood: An Interdisciplinary Approach</w:t>
      </w:r>
      <w:r w:rsidRPr="00D223BE">
        <w:rPr>
          <w:rFonts w:ascii="Arial" w:hAnsi="Arial" w:cs="Arial"/>
          <w:sz w:val="22"/>
          <w:szCs w:val="22"/>
        </w:rPr>
        <w:t xml:space="preserve">. Abingdon: Routledge, Available at: </w:t>
      </w:r>
      <w:hyperlink r:id="rId13" w:history="1">
        <w:r w:rsidRPr="00D223BE">
          <w:rPr>
            <w:rStyle w:val="Hyperlink"/>
            <w:rFonts w:ascii="Arial" w:hAnsi="Arial" w:cs="Arial"/>
            <w:sz w:val="22"/>
            <w:szCs w:val="22"/>
          </w:rPr>
          <w:t>Children's Rights | 13 | Perspectives on Childhood | Mary L. Padden-De</w:t>
        </w:r>
      </w:hyperlink>
      <w:r w:rsidRPr="00D223BE">
        <w:rPr>
          <w:rFonts w:ascii="Arial" w:hAnsi="Arial" w:cs="Arial"/>
          <w:sz w:val="22"/>
          <w:szCs w:val="22"/>
        </w:rPr>
        <w:t xml:space="preserve"> (Accessed on: 17/06/2026).</w:t>
      </w:r>
    </w:p>
    <w:p w14:paraId="11A271AA" w14:textId="4A85B67C" w:rsidR="003554A9" w:rsidRPr="00D223BE" w:rsidRDefault="003554A9" w:rsidP="003554A9">
      <w:pPr>
        <w:rPr>
          <w:rFonts w:ascii="Arial" w:hAnsi="Arial" w:cs="Arial"/>
          <w:sz w:val="22"/>
          <w:szCs w:val="22"/>
        </w:rPr>
      </w:pPr>
      <w:r w:rsidRPr="00D223BE">
        <w:rPr>
          <w:rFonts w:ascii="Arial" w:hAnsi="Arial" w:cs="Arial"/>
          <w:sz w:val="22"/>
          <w:szCs w:val="22"/>
        </w:rPr>
        <w:t xml:space="preserve">Yardley, E. (2008) ‘Teenage mothers’ experiences of stigma’, </w:t>
      </w:r>
      <w:r w:rsidRPr="00D223BE">
        <w:rPr>
          <w:rStyle w:val="Emphasis"/>
          <w:rFonts w:ascii="Arial" w:hAnsi="Arial" w:cs="Arial"/>
          <w:sz w:val="22"/>
          <w:szCs w:val="22"/>
        </w:rPr>
        <w:t>Journal of Youth Studies</w:t>
      </w:r>
      <w:r w:rsidRPr="00D223BE">
        <w:rPr>
          <w:rFonts w:ascii="Arial" w:hAnsi="Arial" w:cs="Arial"/>
          <w:sz w:val="22"/>
          <w:szCs w:val="22"/>
        </w:rPr>
        <w:t>, 11(6), pp. 671–684.</w:t>
      </w:r>
      <w:r w:rsidRPr="00D223BE">
        <w:rPr>
          <w:rFonts w:ascii="Arial" w:hAnsi="Arial" w:cs="Arial"/>
          <w:sz w:val="22"/>
          <w:szCs w:val="22"/>
        </w:rPr>
        <w:t xml:space="preserve"> Available at: </w:t>
      </w:r>
      <w:hyperlink r:id="rId14" w:history="1">
        <w:r w:rsidRPr="00D223BE">
          <w:rPr>
            <w:rStyle w:val="Hyperlink"/>
            <w:rFonts w:ascii="Arial" w:hAnsi="Arial" w:cs="Arial"/>
            <w:sz w:val="22"/>
            <w:szCs w:val="22"/>
          </w:rPr>
          <w:t>https://doi.org/10.1080/13676260802392940</w:t>
        </w:r>
      </w:hyperlink>
      <w:r w:rsidRPr="00D223BE">
        <w:rPr>
          <w:rFonts w:ascii="Arial" w:hAnsi="Arial" w:cs="Arial"/>
          <w:color w:val="333333"/>
          <w:sz w:val="22"/>
          <w:szCs w:val="22"/>
        </w:rPr>
        <w:t xml:space="preserve"> (Accessed on 17/06/2026)</w:t>
      </w:r>
    </w:p>
    <w:p w14:paraId="442FDB65" w14:textId="77777777" w:rsidR="00F34AED" w:rsidRPr="00D223BE" w:rsidRDefault="00F34AED">
      <w:pPr>
        <w:rPr>
          <w:rFonts w:ascii="Arial" w:hAnsi="Arial" w:cs="Arial"/>
          <w:sz w:val="22"/>
          <w:szCs w:val="22"/>
        </w:rPr>
      </w:pPr>
    </w:p>
    <w:p w14:paraId="5E0FBC6C" w14:textId="77777777" w:rsidR="00F34AED" w:rsidRPr="00D223BE" w:rsidRDefault="00F34AED">
      <w:pPr>
        <w:rPr>
          <w:rFonts w:ascii="Arial" w:hAnsi="Arial" w:cs="Arial"/>
          <w:sz w:val="22"/>
          <w:szCs w:val="22"/>
        </w:rPr>
      </w:pPr>
    </w:p>
    <w:p w14:paraId="6868B9CD" w14:textId="77777777" w:rsidR="00F34AED" w:rsidRPr="00D223BE" w:rsidRDefault="00F34AED">
      <w:pPr>
        <w:rPr>
          <w:rFonts w:ascii="Arial" w:hAnsi="Arial" w:cs="Arial"/>
          <w:sz w:val="22"/>
          <w:szCs w:val="22"/>
        </w:rPr>
      </w:pPr>
    </w:p>
    <w:p w14:paraId="43F12A88" w14:textId="77777777" w:rsidR="00F34AED" w:rsidRPr="00D223BE" w:rsidRDefault="00F34AED">
      <w:pPr>
        <w:rPr>
          <w:rFonts w:ascii="Arial" w:hAnsi="Arial" w:cs="Arial"/>
          <w:sz w:val="22"/>
          <w:szCs w:val="22"/>
        </w:rPr>
      </w:pPr>
    </w:p>
    <w:p w14:paraId="67FB0653" w14:textId="77777777" w:rsidR="00F34AED" w:rsidRDefault="00F34AED"/>
    <w:p w14:paraId="771DD594" w14:textId="77777777" w:rsidR="00F34AED" w:rsidRDefault="00F34AED"/>
    <w:p w14:paraId="25FBA15D" w14:textId="77777777" w:rsidR="00F34AED" w:rsidRDefault="00F34AED"/>
    <w:p w14:paraId="48498BD1" w14:textId="77777777" w:rsidR="00F34AED" w:rsidRPr="00EF3F21" w:rsidRDefault="00F34AED">
      <w:pPr>
        <w:rPr>
          <w:rFonts w:ascii="Arial" w:hAnsi="Arial" w:cs="Arial"/>
          <w:sz w:val="22"/>
          <w:szCs w:val="22"/>
        </w:rPr>
      </w:pPr>
    </w:p>
    <w:sectPr w:rsidR="00F34AED" w:rsidRPr="00EF3F21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F1F58F" w14:textId="77777777" w:rsidR="00E55B8B" w:rsidRDefault="00E55B8B" w:rsidP="00EF3F21">
      <w:pPr>
        <w:spacing w:after="0" w:line="240" w:lineRule="auto"/>
      </w:pPr>
      <w:r>
        <w:separator/>
      </w:r>
    </w:p>
  </w:endnote>
  <w:endnote w:type="continuationSeparator" w:id="0">
    <w:p w14:paraId="535AABBE" w14:textId="77777777" w:rsidR="00E55B8B" w:rsidRDefault="00E55B8B" w:rsidP="00EF3F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BDE769" w14:textId="77777777" w:rsidR="00E55B8B" w:rsidRDefault="00E55B8B" w:rsidP="00EF3F21">
      <w:pPr>
        <w:spacing w:after="0" w:line="240" w:lineRule="auto"/>
      </w:pPr>
      <w:r>
        <w:separator/>
      </w:r>
    </w:p>
  </w:footnote>
  <w:footnote w:type="continuationSeparator" w:id="0">
    <w:p w14:paraId="6FD9C66B" w14:textId="77777777" w:rsidR="00E55B8B" w:rsidRDefault="00E55B8B" w:rsidP="00EF3F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60369189"/>
      <w:docPartObj>
        <w:docPartGallery w:val="Page Numbers (Top of Page)"/>
        <w:docPartUnique/>
      </w:docPartObj>
    </w:sdtPr>
    <w:sdtEndPr/>
    <w:sdtContent>
      <w:p w14:paraId="1E59D4F9" w14:textId="3AD93900" w:rsidR="00F34AED" w:rsidRDefault="00F34AED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923B1D2" w14:textId="4DB6930B" w:rsidR="00EF3F21" w:rsidRDefault="00EF3F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383012"/>
    <w:multiLevelType w:val="multilevel"/>
    <w:tmpl w:val="9F142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87501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3F21"/>
    <w:rsid w:val="003554A9"/>
    <w:rsid w:val="006049BB"/>
    <w:rsid w:val="006F31D6"/>
    <w:rsid w:val="007A5995"/>
    <w:rsid w:val="00935776"/>
    <w:rsid w:val="009C31DA"/>
    <w:rsid w:val="00B86C5A"/>
    <w:rsid w:val="00BF20DC"/>
    <w:rsid w:val="00C02FBA"/>
    <w:rsid w:val="00C64BD1"/>
    <w:rsid w:val="00CF0E8F"/>
    <w:rsid w:val="00D078E4"/>
    <w:rsid w:val="00D223BE"/>
    <w:rsid w:val="00E55B8B"/>
    <w:rsid w:val="00EF3F21"/>
    <w:rsid w:val="00F34AED"/>
    <w:rsid w:val="00FE4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2FBAD"/>
  <w15:chartTrackingRefBased/>
  <w15:docId w15:val="{81F35FE0-7F2D-4CB9-9228-FF6FBB262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3F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3F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3F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3F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3F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3F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3F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3F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3F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3F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3F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3F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3F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3F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3F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3F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3F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3F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3F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3F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3F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3F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3F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3F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3F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3F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3F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3F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3F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F3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3F21"/>
  </w:style>
  <w:style w:type="paragraph" w:styleId="Footer">
    <w:name w:val="footer"/>
    <w:basedOn w:val="Normal"/>
    <w:link w:val="FooterChar"/>
    <w:uiPriority w:val="99"/>
    <w:unhideWhenUsed/>
    <w:rsid w:val="00EF3F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3F21"/>
  </w:style>
  <w:style w:type="character" w:styleId="Emphasis">
    <w:name w:val="Emphasis"/>
    <w:basedOn w:val="DefaultParagraphFont"/>
    <w:uiPriority w:val="20"/>
    <w:qFormat/>
    <w:rsid w:val="003554A9"/>
    <w:rPr>
      <w:i/>
      <w:iCs/>
    </w:rPr>
  </w:style>
  <w:style w:type="character" w:styleId="Hyperlink">
    <w:name w:val="Hyperlink"/>
    <w:basedOn w:val="DefaultParagraphFont"/>
    <w:uiPriority w:val="99"/>
    <w:unhideWhenUsed/>
    <w:rsid w:val="003554A9"/>
    <w:rPr>
      <w:color w:val="0000FF"/>
      <w:u w:val="single"/>
    </w:rPr>
  </w:style>
  <w:style w:type="paragraph" w:customStyle="1" w:styleId="dx-doi">
    <w:name w:val="dx-doi"/>
    <w:basedOn w:val="Normal"/>
    <w:rsid w:val="003554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3554A9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D223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ylorfrancis.com/chapters/edit/10.1201/b19611-17/vulnerable-children-jane-appleton?context=ubx" TargetMode="External"/><Relationship Id="rId13" Type="http://schemas.openxmlformats.org/officeDocument/2006/relationships/hyperlink" Target="https://www.taylorfrancis.com/chapters/edit/10.4324/9781003416265-13/children-rights-mary-padden-denmea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07/s12187-018-9551-6" TargetMode="External"/><Relationship Id="rId12" Type="http://schemas.openxmlformats.org/officeDocument/2006/relationships/hyperlink" Target="https://doi.org/10.1080/13632752.2025.2546768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ijlcj.2015.11.001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bristoluniversitypressdigital.com/view/journals/crsw/9/2/article-p167.x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/14732254221075205" TargetMode="External"/><Relationship Id="rId14" Type="http://schemas.openxmlformats.org/officeDocument/2006/relationships/hyperlink" Target="https://doi.org/10.1080/1367626080239294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503</Words>
  <Characters>2871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Shabir (2420435)</dc:creator>
  <cp:keywords/>
  <dc:description/>
  <cp:lastModifiedBy>Mohammad Shabir (2420435)</cp:lastModifiedBy>
  <cp:revision>20</cp:revision>
  <dcterms:created xsi:type="dcterms:W3CDTF">2026-06-21T10:00:00Z</dcterms:created>
  <dcterms:modified xsi:type="dcterms:W3CDTF">2026-06-22T10:57:00Z</dcterms:modified>
</cp:coreProperties>
</file>