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E299F" w14:textId="77777777" w:rsidR="00EB0866" w:rsidRDefault="00EB0866" w:rsidP="00EB0866">
      <w:pPr>
        <w:jc w:val="center"/>
        <w:rPr>
          <w:b/>
          <w:bCs/>
          <w:sz w:val="28"/>
          <w:szCs w:val="28"/>
          <w:u w:val="single"/>
        </w:rPr>
      </w:pPr>
      <w:r w:rsidRPr="00086EA1">
        <w:rPr>
          <w:b/>
          <w:bCs/>
          <w:sz w:val="28"/>
          <w:szCs w:val="28"/>
          <w:u w:val="single"/>
        </w:rPr>
        <w:t>Zoe Gabrielle COOMBES 2029331</w:t>
      </w:r>
    </w:p>
    <w:p w14:paraId="60236310" w14:textId="67218487" w:rsidR="00EB0866" w:rsidRDefault="00EB0866">
      <w:pPr>
        <w:rPr>
          <w:b/>
          <w:bCs/>
        </w:rPr>
      </w:pPr>
      <w:r w:rsidRPr="00A2491F">
        <w:rPr>
          <w:b/>
          <w:bCs/>
        </w:rPr>
        <w:t xml:space="preserve">Essay two – Response Policing </w:t>
      </w:r>
    </w:p>
    <w:p w14:paraId="0987B0F2" w14:textId="5A0B9434" w:rsidR="00BF521B" w:rsidRPr="00BF521B" w:rsidRDefault="00BF521B">
      <w:pPr>
        <w:rPr>
          <w:b/>
          <w:bCs/>
        </w:rPr>
      </w:pPr>
      <w:r w:rsidRPr="00BF521B">
        <w:rPr>
          <w:b/>
          <w:bCs/>
        </w:rPr>
        <w:t>Response policing – Assess the extent of response officers’ role in dealing with critical and major incidents</w:t>
      </w:r>
    </w:p>
    <w:p w14:paraId="513F9626" w14:textId="0A95572E" w:rsidR="00EB0866" w:rsidRDefault="00EB0866">
      <w:r>
        <w:t>This essay will evaluate the role of response officers and their role in dealing with critical and major incidents.  ‘Initial police training is likely to cover the police role in handling emergencies, major incidents, and critical incidents, and emergencies’</w:t>
      </w:r>
      <w:r w:rsidR="00674862">
        <w:t xml:space="preserve"> (Bryant and Bryant, 2021).  </w:t>
      </w:r>
      <w:r>
        <w:rPr>
          <w:b/>
          <w:bCs/>
          <w:color w:val="FF0000"/>
        </w:rPr>
        <w:t xml:space="preserve"> </w:t>
      </w:r>
      <w:r>
        <w:t>A major incident is an event or situation requiring a response under one or more of the emergency services’ major incident plans.  This usually include</w:t>
      </w:r>
      <w:r w:rsidR="003B106A">
        <w:t>s</w:t>
      </w:r>
      <w:r>
        <w:t xml:space="preserve"> involving large numbers of people, either directly or indirectly</w:t>
      </w:r>
      <w:r w:rsidRPr="00A2491F">
        <w:t>, (College of Policing, 2018).</w:t>
      </w:r>
      <w:r w:rsidR="00674862">
        <w:t xml:space="preserve">  </w:t>
      </w:r>
      <w:r>
        <w:t>A critical incident can be defined as ‘any incident where the effectiveness of the police response is likely to have a significant impact on the confidence of the victim, their family, and/or community’</w:t>
      </w:r>
      <w:r w:rsidR="00A2491F">
        <w:t xml:space="preserve"> (Bryant and Bryant, 2021).  </w:t>
      </w:r>
      <w:r>
        <w:t xml:space="preserve"> </w:t>
      </w:r>
    </w:p>
    <w:p w14:paraId="245D9989" w14:textId="3F0F45D8" w:rsidR="00EB0866" w:rsidRPr="00EB0866" w:rsidRDefault="00EB0866">
      <w:r>
        <w:t xml:space="preserve">Response officers are essential in any incident, including major and critical incidents when responding as they are often first on scene, however when fulfilling their duty as an officer on response they face many challenges such as protecting the public, applying conflict management techniques, identify and obtain appropriate help and support for vulnerable people and more specifically is managing major or critical </w:t>
      </w:r>
      <w:r w:rsidRPr="00A2491F">
        <w:t>incidents (College of Policing, 2022).</w:t>
      </w:r>
      <w:r>
        <w:t xml:space="preserve">  </w:t>
      </w:r>
    </w:p>
    <w:p w14:paraId="355E646A" w14:textId="1CA5DFB2" w:rsidR="00EB0866" w:rsidRDefault="00EB0866">
      <w:r>
        <w:t xml:space="preserve">A critical or major incident can happen with no advance notice, and when it does happen the magnitude of the incident can determine what requirements are key in assisting with organisations cooperating and respond as fast and efficiently as possible.  Nonetheless, difficult to foresee the </w:t>
      </w:r>
      <w:r w:rsidRPr="00A2491F">
        <w:t>impact the critical or major incident may have on the community or more specifically an individual, (College of Policing, 2013). However</w:t>
      </w:r>
      <w:r>
        <w:t xml:space="preserve">, likely that the quality of the police response officers will be expected to be higher if an incident has a greater impact on those who are directly affected.  </w:t>
      </w:r>
    </w:p>
    <w:p w14:paraId="6E330C3A" w14:textId="3D7FAD63" w:rsidR="005E5BE5" w:rsidRDefault="005E5BE5">
      <w:r>
        <w:t xml:space="preserve">Major and critical incidents can devastatingly effect people in general and cause disruption to society being problematic.  This disruption and impacts can be minimised and reduced by an emergency response which is well-coordinated.   </w:t>
      </w:r>
      <w:r w:rsidRPr="005E5BE5">
        <w:t>However, research indicates that poor communication, inadequate information sharing, and ineffective coordination among emergency responders frequently impede emergency response (College of Policing, n.d</w:t>
      </w:r>
      <w:r>
        <w:t xml:space="preserve">).  </w:t>
      </w:r>
      <w:r w:rsidRPr="005E5BE5">
        <w:t xml:space="preserve"> Typically, re</w:t>
      </w:r>
      <w:r>
        <w:t>sponse officers</w:t>
      </w:r>
      <w:r w:rsidRPr="005E5BE5">
        <w:t xml:space="preserve"> are </w:t>
      </w:r>
      <w:r>
        <w:t>first</w:t>
      </w:r>
      <w:r w:rsidRPr="005E5BE5">
        <w:t xml:space="preserve"> </w:t>
      </w:r>
      <w:r>
        <w:t>at</w:t>
      </w:r>
      <w:r w:rsidRPr="005E5BE5">
        <w:t xml:space="preserve"> scene, </w:t>
      </w:r>
      <w:r>
        <w:t xml:space="preserve">therefore </w:t>
      </w:r>
      <w:r w:rsidRPr="005E5BE5">
        <w:t xml:space="preserve">significant for </w:t>
      </w:r>
      <w:r>
        <w:t>response officers</w:t>
      </w:r>
      <w:r w:rsidRPr="005E5BE5">
        <w:t xml:space="preserve"> to i</w:t>
      </w:r>
      <w:r>
        <w:t>nform</w:t>
      </w:r>
      <w:r w:rsidRPr="005E5BE5">
        <w:t xml:space="preserve"> the necessary d</w:t>
      </w:r>
      <w:r>
        <w:t>epartments within the force</w:t>
      </w:r>
      <w:r w:rsidRPr="005E5BE5">
        <w:t xml:space="preserve"> and different organizations. In any case, research proposes that crisis reaction is frequently upset because of variables, for example, unfortunate correspondence, unfortunate data dividing and incapable coordination among crisis responders. The </w:t>
      </w:r>
      <w:r w:rsidR="00202495">
        <w:t>Home Office</w:t>
      </w:r>
      <w:r w:rsidRPr="005E5BE5">
        <w:t xml:space="preserve"> </w:t>
      </w:r>
      <w:r w:rsidR="00202495">
        <w:t>developed</w:t>
      </w:r>
      <w:r w:rsidRPr="005E5BE5">
        <w:t xml:space="preserve"> the Joint </w:t>
      </w:r>
      <w:r w:rsidR="00202495">
        <w:t>Emergency Services Interoperability Programme</w:t>
      </w:r>
      <w:r w:rsidRPr="005E5BE5">
        <w:t xml:space="preserve"> (JESIP) in 2012</w:t>
      </w:r>
      <w:r w:rsidR="00202495">
        <w:t xml:space="preserve"> to improve emergency response to a major incident and promote successful joint working between agencies (</w:t>
      </w:r>
      <w:r w:rsidR="00202495" w:rsidRPr="005E5BE5">
        <w:t>College of Policing, n.d</w:t>
      </w:r>
      <w:r w:rsidR="00202495">
        <w:t xml:space="preserve">).  </w:t>
      </w:r>
    </w:p>
    <w:p w14:paraId="1D8AE2BD" w14:textId="4E0279A1" w:rsidR="00202495" w:rsidRDefault="00202495">
      <w:r>
        <w:t xml:space="preserve">When handling a major or critical incident, it is important for services and agencies to collaborate effectively as this can affect how the public perceives the police service and other agencies, as well as maintaining efficiency, intending to provide confidence within the police force.  Councils, the fire service, ambulance services, and specialist departments within the police service </w:t>
      </w:r>
      <w:r w:rsidR="00A2491F">
        <w:t xml:space="preserve">are </w:t>
      </w:r>
      <w:r>
        <w:t xml:space="preserve">among these agencies.  </w:t>
      </w:r>
      <w:r w:rsidRPr="00202495">
        <w:rPr>
          <w:rFonts w:ascii="Times New Roman" w:eastAsia="Times New Roman" w:hAnsi="Times New Roman" w:cs="Times New Roman"/>
          <w:sz w:val="24"/>
          <w:szCs w:val="24"/>
          <w:lang w:eastAsia="en-GB"/>
        </w:rPr>
        <w:t xml:space="preserve"> </w:t>
      </w:r>
    </w:p>
    <w:p w14:paraId="362D992C" w14:textId="676440E5" w:rsidR="00202495" w:rsidRDefault="00202495">
      <w:r>
        <w:t xml:space="preserve">Once a major or critical incident has occurred, it is crucial for police and other agencies to undertake Golden Hour Investigations.  The Golden Hour is the term used for the period immediately after an offence has been committed, when material is readily available in high volumes to the police </w:t>
      </w:r>
      <w:r>
        <w:lastRenderedPageBreak/>
        <w:t xml:space="preserve">(College of Policing, 2021).  Within the Golden Hour it is key to establish a perimeter and secure the scene and manage the incident correctly.  The principles for joint working should be used during all phases of an incident, these principles can also be applied during the recovery phase (JESIP, n.d.).  </w:t>
      </w:r>
    </w:p>
    <w:p w14:paraId="7CAB9E90" w14:textId="7500E956" w:rsidR="00202495" w:rsidRDefault="00202495">
      <w:r>
        <w:t xml:space="preserve">As a response officer, they use a three-phase approach to critical incident management, which is fundamental in the reassurance and maintaining public confidence; Phase 1 is preparing for critical incidents, Phase 2 is managing critical incidents and Phase 3 is restoring public confidence.  Phase 1 is preparing for critical incidents, this includes ensuring that police officers are trained appropriately and effectively, whereby resourcing is available, and that the police response reflects a competent and accountable standard of incident management.  Phase 2 is managing critical incidents, which is the consideration of identifying critical and major incidents early on, including procedures to ensure that the appropriate persons are notified and therefore effectively managed.  Phase 3 is restoring public confidence, which considers incidents that have had a significant impact on public confidence but were not identified when the incident was live, and how confidence may be rebuilt through community engagement, </w:t>
      </w:r>
      <w:r w:rsidR="00674862">
        <w:t>resolution,</w:t>
      </w:r>
      <w:r>
        <w:t xml:space="preserve"> or a public inquiry (College of Policing, 2021).  </w:t>
      </w:r>
    </w:p>
    <w:p w14:paraId="1E88285B" w14:textId="0031A57B" w:rsidR="00EB0866" w:rsidRDefault="00674862">
      <w:r>
        <w:t>When decision making in policing the use of ethical judgement is essential to the credibility and efficiency, indicating that decisions are based on a set of ethical standards rather than bias or an emotional reaction.  During an incident, especially a major or critical one, the role of a police officer is vital as the police officers routinely make challenging decisions in changing and difficult situations, often where key information is missing or unavailable. This links to the National Decision Model where in policing decisions are based on ethical decision making.  The model consists of several elements, with the Code of Ethics being in the centre (Bryant and Bryant, 2021).  When making decisions using the NDM the other points on the model are Information, Assessment, Powers and Policy, Options, Action and Review, this model assists with the actions made in different situations.</w:t>
      </w:r>
      <w:r w:rsidR="00A2491F">
        <w:t xml:space="preserve">  Officers experience many different and deep emotional reactions, as all human beings do to a critical or major incident (Soloman, 2011) and therefore focus on ensuring the incident is being dealt with correctly. </w:t>
      </w:r>
      <w:r>
        <w:t xml:space="preserve"> </w:t>
      </w:r>
    </w:p>
    <w:p w14:paraId="6AA29970" w14:textId="24E64767" w:rsidR="00202495" w:rsidRDefault="00674862">
      <w:r>
        <w:t>In conclusion the actions of a police officer in a major or critical incident are essential from the beginning, these actions can have a permanent impact on the outcome of the actual incident, often negative if not done correctly or mistakes made and a lasting affect on public perception.  These actions of officers ensure that the correct agencies are notified, using the multi-agency approach, and therefore assisting with the incident, the role of an officer is to use the NDM throughout, making sure that all golden hour is completed whilst concentrating on public perception.  This can be challenging for police officers due to the extent of seriousness and informing others involved the expectations on reactions and responses to the varied and different incidents.</w:t>
      </w:r>
      <w:r w:rsidR="00A2491F">
        <w:t xml:space="preserve">  </w:t>
      </w:r>
      <w:r w:rsidR="003B106A">
        <w:t xml:space="preserve">These critical and major incidents can have a huge impact on the responding officer, and therefore it is important to recognise the trauma, therefore forces have adapted TRiM which is Trauma Risk Management which is available for any officer that requires it.  The more prepared and supported response officers </w:t>
      </w:r>
      <w:r w:rsidR="00800E41">
        <w:t>will impact</w:t>
      </w:r>
      <w:r w:rsidR="003B106A">
        <w:t xml:space="preserve"> the incident outcome, therefore public perception.  </w:t>
      </w:r>
    </w:p>
    <w:p w14:paraId="2EA87485" w14:textId="20E9A7CF" w:rsidR="00202495" w:rsidRPr="00A2491F" w:rsidRDefault="00A2491F">
      <w:pPr>
        <w:rPr>
          <w:b/>
          <w:bCs/>
        </w:rPr>
      </w:pPr>
      <w:r w:rsidRPr="00A2491F">
        <w:rPr>
          <w:b/>
          <w:bCs/>
        </w:rPr>
        <w:t>Word Count: 108</w:t>
      </w:r>
      <w:r w:rsidR="00800E41">
        <w:rPr>
          <w:b/>
          <w:bCs/>
        </w:rPr>
        <w:t>7</w:t>
      </w:r>
    </w:p>
    <w:p w14:paraId="5D7064C6" w14:textId="77777777" w:rsidR="00202495" w:rsidRDefault="00202495"/>
    <w:p w14:paraId="3EB791DB" w14:textId="77777777" w:rsidR="00202495" w:rsidRDefault="00202495"/>
    <w:p w14:paraId="75ED894E" w14:textId="77777777" w:rsidR="00E2101C" w:rsidRDefault="00E2101C">
      <w:pPr>
        <w:sectPr w:rsidR="00E2101C">
          <w:pgSz w:w="11906" w:h="16838"/>
          <w:pgMar w:top="1440" w:right="1440" w:bottom="1440" w:left="1440" w:header="708" w:footer="708" w:gutter="0"/>
          <w:cols w:space="708"/>
          <w:docGrid w:linePitch="360"/>
        </w:sectPr>
      </w:pPr>
    </w:p>
    <w:p w14:paraId="34B96CFF" w14:textId="57663287" w:rsidR="00E2101C" w:rsidRDefault="00E2101C" w:rsidP="00E2101C">
      <w:r w:rsidRPr="00E2101C">
        <w:rPr>
          <w:b/>
          <w:bCs/>
        </w:rPr>
        <w:lastRenderedPageBreak/>
        <w:t xml:space="preserve">Essay three: </w:t>
      </w:r>
      <w:r w:rsidR="00F02E3C">
        <w:rPr>
          <w:b/>
          <w:bCs/>
        </w:rPr>
        <w:t xml:space="preserve">Cognitive Interviews for victims and witnesses. </w:t>
      </w:r>
    </w:p>
    <w:p w14:paraId="35B04DD0" w14:textId="41553F91" w:rsidR="00202495" w:rsidRDefault="00E2101C">
      <w:r>
        <w:t xml:space="preserve">This essay will discover the effectiveness of cognitive interview are as a means of obtaining initial accounts from victims and witnesses.  </w:t>
      </w:r>
    </w:p>
    <w:p w14:paraId="1A598127" w14:textId="3ED764A6" w:rsidR="00E72766" w:rsidRDefault="00E2101C">
      <w:r>
        <w:t>The Cognitive Interview (CI) is a formal interview process used primarily with victims and witnesses. It uses different retrieval techniques to prompt the interviewee to remember more detail about an event. The CI typically uses four memory retrieval cues and supplementary techniques. This review focused on evidence of which elements of the CI are effective, not the effectiveness of the full CI. Overall</w:t>
      </w:r>
      <w:r w:rsidR="00800E41">
        <w:t>,</w:t>
      </w:r>
      <w:r>
        <w:t xml:space="preserve"> results suggest that there is some evidence that ‘mental reinstatement of context’</w:t>
      </w:r>
      <w:r w:rsidR="00C3276D">
        <w:t xml:space="preserve"> (MRC) </w:t>
      </w:r>
      <w:r>
        <w:t xml:space="preserve">instructions, in conjunction with free recall, can increase the accuracy and amount of information when compared to standard interview practices. Combining MRC with a ‘report everything’ instruction can improve the amount of information elicited compared to a standard </w:t>
      </w:r>
      <w:r w:rsidR="00E72766">
        <w:t>interview but</w:t>
      </w:r>
      <w:r>
        <w:t xml:space="preserve"> has no effect on recall accuracy. There is mixed evidence on the effect of ‘change order’ and ‘change perspective’ instructions on accuracy and amount of information (Mcneil and Mclean, 2019)</w:t>
      </w:r>
      <w:r w:rsidR="00E72766">
        <w:t xml:space="preserve">.  </w:t>
      </w:r>
    </w:p>
    <w:p w14:paraId="4AF2E87E" w14:textId="0E6E8163" w:rsidR="008F686F" w:rsidRDefault="008F686F">
      <w:r>
        <w:t xml:space="preserve">The Cognitive Interview (CI) was created by Gieselman et al. (1985) as an alternate for the traditional interview.  It considers psychological research on cue-dependant forgetting and consists of four stages that are intended to trigger as many signals as possible to optimise the variety of retrieval pathways.  The four stages are Stage 1: Reinstate the context, Stage 2: Recall events in reverse order, Stage 3: Report everything they can remember, Stage 4: Describe events from someone else’s point of view (Mcleod, 2023).  Using the cognitive interview allow memories to be accessed by using multiple retrieval strategies. </w:t>
      </w:r>
      <w:r w:rsidR="00800E41">
        <w:t xml:space="preserve">Kebbell and Wagstaff (1999) discovered officers to not use CI as a technique due to time restraints and the victim/witness providing information which can be relevant to the incident.  </w:t>
      </w:r>
    </w:p>
    <w:p w14:paraId="38E7D6F8" w14:textId="75BC52B3" w:rsidR="00A50692" w:rsidRDefault="00E72766">
      <w:r>
        <w:t xml:space="preserve">When looking at cognitive interviewing techniques, it can be seen to offer a more effective approach for police officers when interacting with victims and witnessed of trauma.  By using cognitive interview techniques, it allows victims and witnesses to explain their experiences at their own pace, encouraging them to do so without pressure.  Open ended questions assist with the cognitive interview as this allows victims and witnesses to be relaxed enabling a comfortable environment.  By exploring sensory details can assist with recalling memories, for example asking about particular smells which can then trigger memory recall.  When interviewing witnesses and victims it is crucial to not cause further trauma and there for by providing choices and explaining processes clearly it can assist with regaining a sense of control.  Using cognitive interviewing techniques to retrieve details of the incident by reinstating the context may assist in better memory recall.  In cognitive interviewing retrieval ques are vital as these are stimuli that can enable a victim or witness to be able to remember more specific details clearly (Police1, 2023).  </w:t>
      </w:r>
      <w:r w:rsidR="00A50692">
        <w:t xml:space="preserve">The most important part of an investigation may be viewed as the cognitive interview with the victim or witness as they provide more thorough and detailed information (Alpert, Rojek and Noble, 2012).  As a result of more information about the incident can assist with a more accurate conclusion.  </w:t>
      </w:r>
    </w:p>
    <w:p w14:paraId="0F90E6A3" w14:textId="069591D0" w:rsidR="008F686F" w:rsidRDefault="00860C3E">
      <w:r>
        <w:t xml:space="preserve">Geiselman &amp; Fisher (1985) completed a laboratory experiment to test the cognitive interview technique where 240 participants watched a video of a store robbery, 120 were interviewed using standard police interview and 120 using cognitive interview technique.  The result of this experiment was that the cognitive interview participants recalled 35% more facts than the standard interview technique (Senecaleaning.com,n.d.).  This shows that the cognitive interview technique can be more effective, however a limitation of this experiment was that the individuals are participants and are not real victims or witnesses to a crime.  </w:t>
      </w:r>
      <w:r w:rsidR="004B5204">
        <w:t xml:space="preserve">The benefits of cognitive interview techniques in policing </w:t>
      </w:r>
      <w:r w:rsidR="00C3276D">
        <w:t>are</w:t>
      </w:r>
      <w:r w:rsidR="004B5204">
        <w:t xml:space="preserve"> that it has greater credibility, more accurate statements and a better experience for the victim or </w:t>
      </w:r>
      <w:r w:rsidR="004B5204">
        <w:lastRenderedPageBreak/>
        <w:t xml:space="preserve">witness, or those who are doing the interviewing themselves, this has been discovered repeatedly by different researchers (Geiselman &amp; Fisher, 2014) across a variety of individuals and environments.  </w:t>
      </w:r>
    </w:p>
    <w:p w14:paraId="7726E5E1" w14:textId="77777777" w:rsidR="00C3276D" w:rsidRDefault="00C3276D">
      <w:r>
        <w:t xml:space="preserve">Cognitive interview is shown to have potential to enhance victim and witness recall, it has been implemented by police forces in Wales and England.  Kebbell, Milne and Wagstaff, 1999 discovered that trained officers in cognitive interview were more useful than officers who were not, this was because they were able to develop a rapport, encourage concentration and mental reinstatement of context.  The cognitive interview is perceived to be beneficial as it increases correct recall.  It was discovered an issue with cognitive interview was that officers do not have the time to conduct full cognitive interviews.  </w:t>
      </w:r>
      <w:r w:rsidR="008F686F">
        <w:t>While interviewing victims and witnesses, rapport building, and trust is essential.  In addition to improving memory recall, an empathetic approach protects the victims honour and dignity, an ethical component of this is treating others with respect and care</w:t>
      </w:r>
      <w:r>
        <w:t xml:space="preserve"> (Aschermann, Mantwill and Kohnken, 1991)</w:t>
      </w:r>
      <w:r w:rsidR="008F686F">
        <w:t xml:space="preserve">.  </w:t>
      </w:r>
    </w:p>
    <w:p w14:paraId="2A0A989C" w14:textId="5AEF8932" w:rsidR="00C3276D" w:rsidRDefault="007F19DF">
      <w:r>
        <w:t xml:space="preserve">Cognitive Interviews are seen to be effective due to the victims and witnesses explaining and reconstructing their </w:t>
      </w:r>
      <w:r w:rsidR="00A50692">
        <w:t>perceptions and</w:t>
      </w:r>
      <w:r>
        <w:t xml:space="preserve"> explaining their emotional state that existed at the time of the incident</w:t>
      </w:r>
      <w:r w:rsidR="00A50692">
        <w:t xml:space="preserve"> to enable memory to explain as a story</w:t>
      </w:r>
      <w:r>
        <w:t xml:space="preserve">.  </w:t>
      </w:r>
      <w:r w:rsidR="00C3276D">
        <w:t xml:space="preserve">The effectiveness of cognitive interview is seen to be better than standard interview however training of CI is varied between forces, and not everyone is trained in it.  </w:t>
      </w:r>
      <w:r w:rsidR="00861A6E">
        <w:t>However, t</w:t>
      </w:r>
      <w:r w:rsidR="00C3276D">
        <w:t xml:space="preserve">here is limited evidence that cognitive interviews have an increased crime outcome rate compared to standard interviews, even though the interview itself achieves more information and therefore potential evidence, but it is not clear what of that evidence, which is useful in the investigation.  Also, there are benefits of building rapport with victims and witnesses to enable more evidence and information, however this takes time, and this is not always available for police officers as a lot of the time they are under time constraints of the investigation.  Kebbell and Wagstaff (1999) have discovered that police officers did not use cognitive interview in less serious crimes as they did not have the time, </w:t>
      </w:r>
      <w:r w:rsidR="00861A6E">
        <w:t>nevertheless</w:t>
      </w:r>
      <w:r w:rsidR="00C3276D">
        <w:t xml:space="preserve"> this can vary depending on the individual and what they define as a less serious crime.  Overall, the cognitive interview produced a 46% increase in recall and 90% in accuracy, evidencing that cognitive interview is more effective in increased mental reinstatement of context and recall with higher accuracy and the increase in information provided compared to the standard interview.  </w:t>
      </w:r>
      <w:r w:rsidR="00861A6E">
        <w:t xml:space="preserve">More evidence of CI will become available as time progresses as well as officers using CI more commonly which will improve the effectiveness of the interview. </w:t>
      </w:r>
    </w:p>
    <w:p w14:paraId="03010B20" w14:textId="4943269D" w:rsidR="00C10E32" w:rsidRDefault="00C3276D">
      <w:pPr>
        <w:rPr>
          <w:b/>
          <w:bCs/>
        </w:rPr>
      </w:pPr>
      <w:r w:rsidRPr="00C3276D">
        <w:rPr>
          <w:b/>
          <w:bCs/>
        </w:rPr>
        <w:t>Word Count: 10</w:t>
      </w:r>
      <w:r w:rsidR="00861A6E">
        <w:rPr>
          <w:b/>
          <w:bCs/>
        </w:rPr>
        <w:t>64</w:t>
      </w:r>
    </w:p>
    <w:p w14:paraId="6186A27A" w14:textId="77777777" w:rsidR="00C10E32" w:rsidRDefault="00C10E32">
      <w:pPr>
        <w:rPr>
          <w:b/>
          <w:bCs/>
        </w:rPr>
      </w:pPr>
      <w:r>
        <w:rPr>
          <w:b/>
          <w:bCs/>
        </w:rPr>
        <w:br w:type="page"/>
      </w:r>
    </w:p>
    <w:p w14:paraId="411DE009" w14:textId="5F610441" w:rsidR="00C10E32" w:rsidRDefault="00C10E32">
      <w:pPr>
        <w:rPr>
          <w:b/>
          <w:bCs/>
        </w:rPr>
      </w:pPr>
      <w:r w:rsidRPr="00C10E32">
        <w:rPr>
          <w:b/>
          <w:bCs/>
        </w:rPr>
        <w:lastRenderedPageBreak/>
        <w:t xml:space="preserve">Essay four: </w:t>
      </w:r>
      <w:r w:rsidR="00F02E3C">
        <w:rPr>
          <w:b/>
          <w:bCs/>
        </w:rPr>
        <w:t>Exploitation for vulnerable people by criminal gangs.</w:t>
      </w:r>
    </w:p>
    <w:p w14:paraId="59E287DE" w14:textId="05B266E9" w:rsidR="00C10E32" w:rsidRDefault="00C10E32">
      <w:r>
        <w:t xml:space="preserve">This essay will discuss various socio-economic and psychological characteristics which can make people vulnerable to exploitation by criminal gangs.  </w:t>
      </w:r>
    </w:p>
    <w:p w14:paraId="56011475" w14:textId="77777777" w:rsidR="00861A6E" w:rsidRDefault="008B7491">
      <w:r>
        <w:t>Vulnerability can be defined as needing special care, support, or protection because of age, disability, risk of abuse or neglect (Office for Health Improvement and Disparities, 2022).  The definition of vulnerability can differ depending on socio-economic and psychological characteristics.  People can be defined as vulnerable by one characteristic or many.  Leading onto vulnerable people being at risk of exploitation, the definition by the National Crime Agency</w:t>
      </w:r>
      <w:r w:rsidR="00222968">
        <w:t>, 2022</w:t>
      </w:r>
      <w:r>
        <w:t xml:space="preserve"> is that a ‘vulnerable adult is any person aged 18 years or over who is or may be in need of community services by reason of mental, physical or learning disability, age or illness and is or may be unable to take care of themselves or unable to protect themselves against significant harm or exploitation.  </w:t>
      </w:r>
    </w:p>
    <w:p w14:paraId="47BDF276" w14:textId="23EE02B3" w:rsidR="00644BD8" w:rsidRDefault="00644BD8">
      <w:r>
        <w:t xml:space="preserve">Defining gangs is ‘a relatively durable, predominantly street-based group of young people who see themselves (and are seen by others) as a discernible </w:t>
      </w:r>
      <w:r w:rsidR="00861A6E">
        <w:t>group and engage in a range of criminal activity and violence</w:t>
      </w:r>
      <w:r>
        <w:t>’</w:t>
      </w:r>
      <w:r w:rsidR="00861A6E">
        <w:t xml:space="preserve"> (Metropolitan Police, 2019)</w:t>
      </w:r>
      <w:r w:rsidR="00336F4A">
        <w:t>.</w:t>
      </w:r>
      <w:r>
        <w:t xml:space="preserve"> </w:t>
      </w:r>
    </w:p>
    <w:p w14:paraId="794B7FB3" w14:textId="127584E5" w:rsidR="00861A6E" w:rsidRDefault="00F32F0E">
      <w:r>
        <w:t xml:space="preserve">A person can be vulnerable to exploitation by criminal gangs as exploiters continue to adapt who they target </w:t>
      </w:r>
      <w:r w:rsidR="00861A6E">
        <w:t>to avoid</w:t>
      </w:r>
      <w:r>
        <w:t xml:space="preserve"> detection, examples of vulnerable people are influenced by age, sex/gender, ethnicity, and location.  Age can have an input on whether an individual is vulnerable as they can be targeted by criminal gangs, </w:t>
      </w:r>
      <w:r w:rsidR="00861A6E">
        <w:t>‘</w:t>
      </w:r>
      <w:r>
        <w:t>aged 15–17-year-olds make up most vulnerable people</w:t>
      </w:r>
      <w:r w:rsidR="00861A6E">
        <w:t>’ (Home Office, 2023)</w:t>
      </w:r>
      <w:r>
        <w:t xml:space="preserve">.  Factors </w:t>
      </w:r>
      <w:r w:rsidR="00861A6E">
        <w:t>increasing</w:t>
      </w:r>
      <w:r>
        <w:t xml:space="preserve"> an individual's vulnerability include people who have had previous contact with the criminal justice system, individuals who have experienced neglect, physical abuse, sexual abuse, domestic abuse and trauma, including adverse childhood experiences, social difficulties such as lack of a support network, economic vulnerability, homelessness or insecure accommodation status, connections with other people in gangs, having a psychical or learning disability, struggling with mental health issues, being excluded from mainstream education, or being in the care system, or insecure immigration status</w:t>
      </w:r>
      <w:r w:rsidR="00033041">
        <w:t xml:space="preserve"> (Home Office, 2023)</w:t>
      </w:r>
      <w:r>
        <w:t xml:space="preserve">. </w:t>
      </w:r>
      <w:r w:rsidR="00F916D0">
        <w:t xml:space="preserve">Individuals being vulnerable due to these factors </w:t>
      </w:r>
      <w:r w:rsidR="00861A6E">
        <w:t>can increase exploitation through association with other individuals who are involved with criminal gangs.  A vulnerable person having experienced one or many factors can therefore have an impact on the person’s ability</w:t>
      </w:r>
      <w:r w:rsidR="00D9153B">
        <w:t xml:space="preserve"> to develop trusted relationships or to simply access support services.  </w:t>
      </w:r>
      <w:r w:rsidR="00861A6E">
        <w:t>However, following</w:t>
      </w:r>
      <w:r w:rsidR="00D9153B">
        <w:t xml:space="preserve"> onto social isolation and difficulties as this may be due to the lack of support services or if a person has previously reached out for help but </w:t>
      </w:r>
      <w:r w:rsidR="00F916D0">
        <w:t>un</w:t>
      </w:r>
      <w:r w:rsidR="00D9153B">
        <w:t xml:space="preserve">able to get it, this can lead to the exploitation of criminal gangs.  </w:t>
      </w:r>
    </w:p>
    <w:p w14:paraId="23418F6A" w14:textId="23A88CB0" w:rsidR="00033041" w:rsidRDefault="00D9153B">
      <w:r>
        <w:t xml:space="preserve">Economic vulnerability can increase exploitation </w:t>
      </w:r>
      <w:r w:rsidR="00861A6E">
        <w:t xml:space="preserve">(Home Office, 2023) </w:t>
      </w:r>
      <w:r>
        <w:t xml:space="preserve">as </w:t>
      </w:r>
      <w:r w:rsidR="00861A6E">
        <w:t>a person</w:t>
      </w:r>
      <w:r>
        <w:t xml:space="preserve"> may have financial difficulties and therefore feel protected in a criminal gang as assist with a short-term fix of finances, this continues to homelessness as if they have a lack of safe environment then it can increase relationships and connections with other people in gangs, meaning some vulnerable people are targeted because of their associates or family.  Vulnerable people struggling with mental health or who have a physical or learning disability maybe more likely to be exploited as they may be unaware that they are, they may struggle to communicate or access support.  People who have substance misuse issues can often be exploited due to financial issues and therefore are in debt with criminal gangs, have previous involvement and therefore fear.  When looking at socio-economic characteristics of individuals, it can enable people to become vulnerable through being in care and excluded from mainstream education as they instantly become vulnerable through lack of support networks, insecurities and often unsupervised increasing the chances of exploitation from criminal gangs.  </w:t>
      </w:r>
      <w:r w:rsidR="00861A6E">
        <w:t>However, w</w:t>
      </w:r>
      <w:r w:rsidR="00033041">
        <w:t xml:space="preserve">hen looking at socio-economic and psychological characteristics </w:t>
      </w:r>
      <w:r w:rsidR="00861A6E">
        <w:t>causing</w:t>
      </w:r>
      <w:r w:rsidR="00033041">
        <w:t xml:space="preserve"> individuals to be vulnerable to exploitation to criminal gangs, specifically with young persons or </w:t>
      </w:r>
      <w:r w:rsidR="00033041">
        <w:lastRenderedPageBreak/>
        <w:t xml:space="preserve">children they may be exploited because of where they live or who their family is, this may be due to them not having support or influenced by associates who are already involved with gangs, therefore feeling like they have no choice or because they need protection.  With age as a factor leading to vulnerability it can be difficult to not comply with peer pressure, that want to feel respected and important, linking to being protected against other gangs, promised rewards and finances that they usually wouldn’t have access to, potential to gain status and therefore the feeling of power, or simply that they have been excluded from school and consequently do not see a future in anything else (NSPCC, 2019).  </w:t>
      </w:r>
    </w:p>
    <w:p w14:paraId="0D28C222" w14:textId="5B411F5D" w:rsidR="00033041" w:rsidRDefault="00644BD8">
      <w:r>
        <w:t>Within criminal gangs the characteristics vary depending on area, research shows that gangs are predominately young people, with 97% being under 30 years of age, with 98% being predominantly male with most having criminal histories</w:t>
      </w:r>
      <w:r w:rsidR="00604003">
        <w:t xml:space="preserve"> (Home Office, 2010)</w:t>
      </w:r>
      <w:r>
        <w:t xml:space="preserve">.  </w:t>
      </w:r>
      <w:r w:rsidR="00861A6E">
        <w:t xml:space="preserve">However, his can be seen to be reflected when identifying male compared to female individuals dealt with by the Criminal Justice System, there is a vast difference as 79% male and 21% female (Ministry of Justice, 2022).  </w:t>
      </w:r>
      <w:r w:rsidR="001366EF">
        <w:t>The exploitation of individuals can lead to not only them committing crimes but also using individuals for other aspects such as cuckooing which is when criminal gangs target the homes of vulnerable people, whereby the victims of this must cooperate</w:t>
      </w:r>
      <w:r w:rsidR="00861A6E">
        <w:t xml:space="preserve">.  From this it may be that people are vulnerable in different ways specific to the individual, depending on how they get exploited.  </w:t>
      </w:r>
    </w:p>
    <w:p w14:paraId="3CFA3EF7" w14:textId="3596F1C5" w:rsidR="00033041" w:rsidRDefault="00336F4A">
      <w:r>
        <w:t xml:space="preserve">In conclusion the various socio-economic and psychological characteristics which can make people vulnerable to criminal gangs are that the exploitation if vulnerable people can often occur without the individual knowing, they may have been exploited as if they were willing and do not see themselves as victims (Bell, 2024).  There are many characteristics which can define an individual as vulnerable and this can be dependent on the location lived as to how they are going to be exploited and who.  The factors of vulnerability imbalance then allow criminal gangs to then exploit individuals.  To help vulnerable people be less likely to be exploited by criminal gangs then communication and a better support network to be available, as well as collaboration and information sharing as a multi-agency approach.  It has been discovered that vulnerable people are more likely to be exploited by criminal gangs as they build relationships, trust, and emotional connections, this is done by the individual being vulnerable due to socio-economic and psychological characteristics.  Criminal exploitation happens when a gang takes advantage of an individual or group due to their vulnerabilities as there is an imbalance of power to coerce, control, manipulate or deceive a child or young person, or adult into criminal activity.  Exploitation can be done without any physical contact and without the individual being aware, it may even seem consensual. </w:t>
      </w:r>
    </w:p>
    <w:p w14:paraId="2FA6E6C4" w14:textId="6A6FE7E2" w:rsidR="00222968" w:rsidRDefault="00222968">
      <w:pPr>
        <w:rPr>
          <w:b/>
          <w:bCs/>
        </w:rPr>
      </w:pPr>
      <w:r w:rsidRPr="00222968">
        <w:rPr>
          <w:b/>
          <w:bCs/>
        </w:rPr>
        <w:t>Word Count: 10</w:t>
      </w:r>
      <w:r w:rsidR="00F916D0">
        <w:rPr>
          <w:b/>
          <w:bCs/>
        </w:rPr>
        <w:t xml:space="preserve">98 </w:t>
      </w:r>
    </w:p>
    <w:p w14:paraId="3CDD7024" w14:textId="1623F584" w:rsidR="00F02E3C" w:rsidRDefault="00F02E3C">
      <w:pPr>
        <w:rPr>
          <w:b/>
          <w:bCs/>
        </w:rPr>
      </w:pPr>
      <w:r>
        <w:rPr>
          <w:b/>
          <w:bCs/>
        </w:rPr>
        <w:br w:type="page"/>
      </w:r>
    </w:p>
    <w:p w14:paraId="7FF808C3" w14:textId="35D8D49F" w:rsidR="00F02E3C" w:rsidRPr="005F75EB" w:rsidRDefault="00F02E3C" w:rsidP="00F02E3C">
      <w:pPr>
        <w:rPr>
          <w:b/>
          <w:bCs/>
        </w:rPr>
      </w:pPr>
      <w:r w:rsidRPr="005F75EB">
        <w:rPr>
          <w:b/>
          <w:bCs/>
        </w:rPr>
        <w:lastRenderedPageBreak/>
        <w:t xml:space="preserve">Essay five: </w:t>
      </w:r>
      <w:r w:rsidR="00ED04F8">
        <w:rPr>
          <w:b/>
          <w:bCs/>
        </w:rPr>
        <w:t xml:space="preserve">Reoffending – domestic violence </w:t>
      </w:r>
    </w:p>
    <w:p w14:paraId="53E76B8E" w14:textId="580CA4EB" w:rsidR="00F916D0" w:rsidRDefault="005F75EB">
      <w:r>
        <w:t xml:space="preserve">This essay will assess the effectiveness of options reducing re-offending with domestic violence whilst looking at options available.  </w:t>
      </w:r>
      <w:r w:rsidR="00F916D0">
        <w:t>Domestic violence has a high reoffending rate of 38%, for the high risk offenders the reoffending rate is 98% (</w:t>
      </w:r>
      <w:hyperlink r:id="rId7" w:history="1">
        <w:r w:rsidR="00F916D0" w:rsidRPr="00D00D3B">
          <w:rPr>
            <w:rStyle w:val="Hyperlink"/>
          </w:rPr>
          <w:t>www.college.police.uk</w:t>
        </w:r>
      </w:hyperlink>
      <w:r w:rsidR="00F916D0">
        <w:t xml:space="preserve">, 2024), this leads onto identifying options to reduce reoffending. </w:t>
      </w:r>
    </w:p>
    <w:p w14:paraId="6604F2CF" w14:textId="54D920CE" w:rsidR="00F916D0" w:rsidRDefault="003467F8">
      <w:r>
        <w:t xml:space="preserve">When </w:t>
      </w:r>
      <w:r w:rsidR="00F916D0">
        <w:t xml:space="preserve">specifically </w:t>
      </w:r>
      <w:r>
        <w:t>looking at domestic violence reoffending and ways to reduce this</w:t>
      </w:r>
      <w:r w:rsidR="00F916D0">
        <w:t>, one of the options available is a Multi-Agency</w:t>
      </w:r>
      <w:r>
        <w:t xml:space="preserve"> Risk Assessment Conference (MARAC).</w:t>
      </w:r>
      <w:r w:rsidR="00F916D0">
        <w:t xml:space="preserve">  By partnership working and information sharing through MARAC, this is the cooperation with agencies in assisting with safeguarding and preventing domestic abuse at the beginning or stopping it completely.  Leading on to how MARAC is facilitated is early effective risk identification, improved information sharing, joint decision making, and coordinated action to assess, manage and reduce risk (College of Policing, 2015).  </w:t>
      </w:r>
      <w:r w:rsidR="00F51F2C">
        <w:t xml:space="preserve">However, this information sharing method is based on the information police officers get which is not always accurate, and therefore when making decisions on behalf of other agencies, it may not always be correct.  </w:t>
      </w:r>
    </w:p>
    <w:p w14:paraId="6A2A6327" w14:textId="578009CD" w:rsidR="005F75EB" w:rsidRDefault="003467F8">
      <w:r>
        <w:t xml:space="preserve"> Another is, </w:t>
      </w:r>
      <w:r w:rsidR="005F75EB">
        <w:t>offender management for domestic abuse, this entails working with other agencies to deliver interventions that address the behaviour of domestic abuse perpetrators (</w:t>
      </w:r>
      <w:hyperlink r:id="rId8" w:history="1">
        <w:r w:rsidR="005F75EB" w:rsidRPr="00F37F05">
          <w:rPr>
            <w:rStyle w:val="Hyperlink"/>
          </w:rPr>
          <w:t>www.college.police.uk</w:t>
        </w:r>
      </w:hyperlink>
      <w:r w:rsidR="005F75EB">
        <w:t xml:space="preserve">, 2024).  The aim of the initiative is to decrease the risk that domestic violence offenders pose to vulnerable individuals the wider community and specifically their victims.  In assisting with the reduction of reoffending in domestic violence incidents there is a multi-agency approach whereby police are specifically partnered with The Drive Partnership who challenge harmful behaviour by disrupting and changing the behaviour of perpetrators.  </w:t>
      </w:r>
      <w:r>
        <w:t xml:space="preserve">The intended outcome of offender management is to reduce the harm score which is calculated by the frequency, recency, and gravity of the offending, is to decrease the rates of the individuals reoffending who are participating in the management scheme, and to decrease the rates of the individuals reoffending who have previously completed the scheme.  Integrated Offender Management unit, specifically the domestic abuse team is a department within the police force that oversee reoffending perpetrators that are dangerous and persistent.   The domestic abuse team identifies the offender management principles to tackle the causes of the actions of the offender.   </w:t>
      </w:r>
    </w:p>
    <w:p w14:paraId="4C8C30D4" w14:textId="0D1F0E0D" w:rsidR="00F84081" w:rsidRDefault="003467F8">
      <w:r>
        <w:t xml:space="preserve">Identifying the effectiveness of reducing reoffending can be that DRIVE acts as an intervention of behaviours from the perpetrator, it also uses a multi-agency approach, therefore working closely with victim services, the police, probation, children’s local services, housing, substance misuse and mental health teams.  DRIVE aims to improve the safety of victims and from this reduce the level of risk.  </w:t>
      </w:r>
      <w:r w:rsidR="00F84081">
        <w:t>The effectiveness of DRIVE as an option which is available to reduce reoffending in domestic violence incidents across the population of the crime recording system there is a reoffending rate of 38</w:t>
      </w:r>
      <w:r w:rsidR="00F916D0">
        <w:t>%</w:t>
      </w:r>
      <w:r w:rsidR="00F84081">
        <w:t>, for post-selection of DRIVE case management there is a 44% domestic abuse reoffending rate, for engagement perpetrators there is a reoffending rate of 36%, therefore this is seen to be an effective method through reduction (</w:t>
      </w:r>
      <w:hyperlink r:id="rId9" w:history="1">
        <w:r w:rsidR="00F84081" w:rsidRPr="00F37F05">
          <w:rPr>
            <w:rStyle w:val="Hyperlink"/>
          </w:rPr>
          <w:t>www.college.police.uk</w:t>
        </w:r>
      </w:hyperlink>
      <w:r w:rsidR="00F84081">
        <w:t xml:space="preserve">, 2024).  </w:t>
      </w:r>
    </w:p>
    <w:p w14:paraId="3C384D60" w14:textId="26676E08" w:rsidR="003467F8" w:rsidRDefault="00F84081">
      <w:r>
        <w:t xml:space="preserve">Another option to reduce reoffending of domestic abuse perpetrators is Criminal Sanctions are used against perpetrators of domestic violence to prevent reoffending.  The Criminal Justice System delivers these sanctions through administering penalties consisting of convictions, prosecutions, custodial sentences, and the severity (College of Policing, n.d.).  There is evidence that criminal sanctions have had an impact on the intervention but there is no evidence that the intervention has influenced crime as no meta-analysis was recorded.  </w:t>
      </w:r>
    </w:p>
    <w:p w14:paraId="1835650E" w14:textId="1965E68D" w:rsidR="00F84081" w:rsidRDefault="00F84081">
      <w:r>
        <w:lastRenderedPageBreak/>
        <w:t xml:space="preserve">Integrated Domestic Abuse Programme (IDAP) and Community Domestic Violence Programme (CDVP) are domestic violence interventions which were provided by the National Probation Service.  When looking at the effectiveness of IDAP and CDVP, Bloomfield and Dixon 2015 evaluated the study in reducing three categories of reoffending which were any offence, core violence and domestic violence during a two-year period.  The results of this study show that IDAP and CDVP were both effective in reducing domestic violence and reoffending as there was a difference of 13% reduction of those who received treatment and those who didn’t.  </w:t>
      </w:r>
    </w:p>
    <w:p w14:paraId="6195D68F" w14:textId="77777777" w:rsidR="00DF7F08" w:rsidRDefault="00F84081">
      <w:r>
        <w:t xml:space="preserve">Integrated Offender Management is a framework which was introduced to facilitate a multi-agency approach with police, </w:t>
      </w:r>
      <w:r w:rsidR="000E4D96">
        <w:t>probation,</w:t>
      </w:r>
      <w:r>
        <w:t xml:space="preserve"> and other agencies</w:t>
      </w:r>
      <w:r w:rsidR="000E4D96">
        <w:t xml:space="preserve">, it is a proposal to reduce reoffending and address persistent and prolific domestic abuse perpetrators.  Wong et al, 2013 discovered that there was a 78% reduction in reoffending.  The overall idea of the IOM framework is to prevent crime and reduce reoffending via the use of multiagency approach, with the intentions of all agencies taking responsibility for the consequences and responsibilities.  </w:t>
      </w:r>
    </w:p>
    <w:p w14:paraId="514F6263" w14:textId="1457A618" w:rsidR="000E4D96" w:rsidRDefault="00DF7F08">
      <w:r>
        <w:t>In conclusion, f</w:t>
      </w:r>
      <w:r w:rsidR="000E4D96">
        <w:t xml:space="preserve">actors that can influence reoffending and therefore impact the effectiveness of options include substance misuse, health and mental health problems, financial problems including unemployment, and backgrounds.  Many of these factors are linked and can vary depending on the individual.  When evidencing on reducing reoffending it is difficult to provide evidence as there are many factors which can impact and influence outcomes. In terms of reoffending factors can be that can influence whether a perpetrator offends again can be due to financial reasons, mental health, for example if they don’t have a choice on living conditions and their accommodation then they may have to return to a negative environment which is where offending may occur again.  </w:t>
      </w:r>
      <w:r w:rsidR="00D17CEB">
        <w:t xml:space="preserve">It is obvious that factors associated with reoffending is emphasised with the importance of supervision and management, focusing on interventions.  Support services and multi-agencies can support with the rehabilitation process, these can assist with rebuilding relationships with family and routines to prevent reoffending.  Environment is a factor in terms of reoffending as alcohol and drugs can be easily accessible, which can then lead to domestic violence as they are not fully in control and cause escalation of behaviours and actions.  When having supportive relationships around a perpetrator this can help with successful rehabilitation as they may then ruin these relationships and therefore cause the individual to offend.  Looking at MARAC, DRIVE, criminal sanctions, IDAP and CDVP and IOM, these are all specific to domestic violence incidents and can positively affect perpetrations to stop reoffending, however evidence has improved but there is still a lot of evidence that can be data analysed to see which are the most effective methods which can then be implemented.  It is difficult for evidence to be gathered when identifying the effectiveness of methods for reoffending as there are so many agencies involved and therefore difficult to gather all the findings.  Another impact on reoffending can be how involved the partner agencies are involved and therefore how supported the individual is, evidence shows that the more supported they are less likely to reoffend.  </w:t>
      </w:r>
    </w:p>
    <w:p w14:paraId="7DD11C69" w14:textId="3A6280DC" w:rsidR="00F84081" w:rsidRPr="00F84081" w:rsidRDefault="00D17CEB" w:rsidP="00F84081">
      <w:pPr>
        <w:spacing w:after="0" w:line="240" w:lineRule="auto"/>
        <w:rPr>
          <w:rFonts w:ascii="Times New Roman" w:eastAsia="Times New Roman" w:hAnsi="Times New Roman" w:cs="Times New Roman"/>
          <w:b/>
          <w:bCs/>
          <w:sz w:val="24"/>
          <w:szCs w:val="24"/>
          <w:lang w:eastAsia="en-GB"/>
        </w:rPr>
      </w:pPr>
      <w:r w:rsidRPr="00D17CEB">
        <w:rPr>
          <w:b/>
          <w:bCs/>
        </w:rPr>
        <w:t xml:space="preserve">Word Count: </w:t>
      </w:r>
      <w:r w:rsidR="009501FE">
        <w:rPr>
          <w:b/>
          <w:bCs/>
        </w:rPr>
        <w:t>1074</w:t>
      </w:r>
      <w:r w:rsidR="00F84081" w:rsidRPr="00F84081">
        <w:rPr>
          <w:rFonts w:ascii="Times New Roman" w:eastAsia="Times New Roman" w:hAnsi="Times New Roman" w:cs="Times New Roman"/>
          <w:b/>
          <w:bCs/>
          <w:sz w:val="24"/>
          <w:szCs w:val="24"/>
          <w:lang w:eastAsia="en-GB"/>
        </w:rPr>
        <w:br/>
      </w:r>
      <w:r w:rsidR="00F84081" w:rsidRPr="00F84081">
        <w:rPr>
          <w:rFonts w:ascii="Times New Roman" w:eastAsia="Times New Roman" w:hAnsi="Times New Roman" w:cs="Times New Roman"/>
          <w:b/>
          <w:bCs/>
          <w:sz w:val="24"/>
          <w:szCs w:val="24"/>
          <w:lang w:eastAsia="en-GB"/>
        </w:rPr>
        <w:br/>
      </w:r>
    </w:p>
    <w:p w14:paraId="063A1030" w14:textId="77777777" w:rsidR="00F84081" w:rsidRDefault="00F84081"/>
    <w:p w14:paraId="76302961" w14:textId="77777777" w:rsidR="00F84081" w:rsidRPr="00222968" w:rsidRDefault="00F84081">
      <w:pPr>
        <w:rPr>
          <w:b/>
          <w:bCs/>
        </w:rPr>
      </w:pPr>
    </w:p>
    <w:p w14:paraId="16B192DB" w14:textId="11CB03DB" w:rsidR="00202495" w:rsidRPr="00C10E32" w:rsidRDefault="00C10E32">
      <w:pPr>
        <w:rPr>
          <w:b/>
          <w:bCs/>
        </w:rPr>
      </w:pPr>
      <w:r>
        <w:rPr>
          <w:b/>
          <w:bCs/>
        </w:rPr>
        <w:br w:type="page"/>
      </w:r>
      <w:r w:rsidR="00674862" w:rsidRPr="00674862">
        <w:rPr>
          <w:b/>
          <w:bCs/>
          <w:u w:val="single"/>
        </w:rPr>
        <w:lastRenderedPageBreak/>
        <w:t>Bibliography</w:t>
      </w:r>
    </w:p>
    <w:p w14:paraId="139F688D" w14:textId="68CE4B6C" w:rsidR="00202495" w:rsidRDefault="00A50692" w:rsidP="00ED04F8">
      <w:pPr>
        <w:spacing w:line="360" w:lineRule="auto"/>
      </w:pPr>
      <w:r w:rsidRPr="00A50692">
        <w:t>Alpert, G., Rojek, J. and Noble, J. (2012). </w:t>
      </w:r>
      <w:r w:rsidRPr="00A50692">
        <w:rPr>
          <w:i/>
          <w:iCs/>
        </w:rPr>
        <w:t>The Cognitive Interview in Policing: Negotiating Control</w:t>
      </w:r>
      <w:r w:rsidRPr="00A50692">
        <w:t>. [online] Available at: https://core.ac.uk/download/pdf/30678703.pdf.</w:t>
      </w:r>
    </w:p>
    <w:p w14:paraId="66114C73" w14:textId="0F89F9B0" w:rsidR="00202495" w:rsidRDefault="00C3276D" w:rsidP="00ED04F8">
      <w:pPr>
        <w:spacing w:line="360" w:lineRule="auto"/>
      </w:pPr>
      <w:r w:rsidRPr="00C3276D">
        <w:t>Aschermann, E., Mantwill, M. and Köhnken, G. (1991). An independent replication of the effectiveness of the cognitive interview. </w:t>
      </w:r>
      <w:r w:rsidRPr="00C3276D">
        <w:rPr>
          <w:i/>
          <w:iCs/>
        </w:rPr>
        <w:t>Applied Cognitive Psychology</w:t>
      </w:r>
      <w:r w:rsidRPr="00C3276D">
        <w:t>, 5(6), pp.489–495. doi:https://doi.org/10.1002/acp.2350050604.</w:t>
      </w:r>
    </w:p>
    <w:p w14:paraId="335CA08F" w14:textId="403B1A7C" w:rsidR="00336F4A" w:rsidRDefault="00336F4A" w:rsidP="00ED04F8">
      <w:pPr>
        <w:spacing w:line="360" w:lineRule="auto"/>
      </w:pPr>
      <w:r w:rsidRPr="00336F4A">
        <w:t>Bell, L. (2024). </w:t>
      </w:r>
      <w:r w:rsidRPr="00336F4A">
        <w:rPr>
          <w:i/>
          <w:iCs/>
        </w:rPr>
        <w:t>Unravelling the Dark World of Child Criminal Exploitation</w:t>
      </w:r>
      <w:r w:rsidRPr="00336F4A">
        <w:t>. [online] CPD Online College. Available at: https://cpdonline.co.uk/knowledge-base/safeguarding/unravelling-dark-world-child-criminal-exploitation/ [Accessed 2</w:t>
      </w:r>
      <w:r>
        <w:t>0</w:t>
      </w:r>
      <w:r w:rsidRPr="00336F4A">
        <w:t xml:space="preserve"> May 2024].</w:t>
      </w:r>
    </w:p>
    <w:p w14:paraId="20EB193A" w14:textId="39EA4BBF" w:rsidR="00F84081" w:rsidRDefault="00F84081" w:rsidP="00ED04F8">
      <w:pPr>
        <w:spacing w:line="360" w:lineRule="auto"/>
      </w:pPr>
      <w:r w:rsidRPr="00F84081">
        <w:t>Bloomfield, S. and Dixon, L. (2015). </w:t>
      </w:r>
      <w:r w:rsidRPr="00F84081">
        <w:rPr>
          <w:i/>
          <w:iCs/>
        </w:rPr>
        <w:t>An outcome evaluation of the Integrated Domestic Abuse Programme (IDAP) and Community Domestic Violence Programme (CDVP)</w:t>
      </w:r>
      <w:r w:rsidRPr="00F84081">
        <w:t>. [online] Available at: https://assets.publishing.service.gov.uk/media/5a74969f40f0b616bcb17b3d/outcome-evaluation-idap-cdvp.pdf.</w:t>
      </w:r>
    </w:p>
    <w:p w14:paraId="097C0517" w14:textId="27BFDCA9" w:rsidR="00202495" w:rsidRDefault="00A2491F" w:rsidP="00ED04F8">
      <w:pPr>
        <w:spacing w:line="360" w:lineRule="auto"/>
      </w:pPr>
      <w:r w:rsidRPr="00D46098">
        <w:t xml:space="preserve">College of Policing. (n.d.). Evaluation and review. [online] Available at: </w:t>
      </w:r>
      <w:hyperlink r:id="rId10" w:anchor=":~:text=The%20Maryland%20scale%20indicates%20the" w:history="1">
        <w:r w:rsidR="00033041" w:rsidRPr="006A5470">
          <w:rPr>
            <w:rStyle w:val="Hyperlink"/>
          </w:rPr>
          <w:t>https://www.college.police.uk/app/intelligence-management/analysis/evaluation-and-review#:~:text=The%20Maryland%20scale%20indicates%20the</w:t>
        </w:r>
      </w:hyperlink>
      <w:r w:rsidRPr="00D46098">
        <w:t>.</w:t>
      </w:r>
    </w:p>
    <w:p w14:paraId="247961CB" w14:textId="671155DF" w:rsidR="00033041" w:rsidRDefault="00033041" w:rsidP="00ED04F8">
      <w:pPr>
        <w:spacing w:line="360" w:lineRule="auto"/>
      </w:pPr>
      <w:r w:rsidRPr="00054A9F">
        <w:t xml:space="preserve">College of Policing. (n.d.). Working together during major incidents and emergencies – optimising interoperability during major incident management using the social identity approach. [online] Available at: </w:t>
      </w:r>
      <w:hyperlink r:id="rId11" w:history="1">
        <w:r w:rsidRPr="0062428B">
          <w:rPr>
            <w:rStyle w:val="Hyperlink"/>
          </w:rPr>
          <w:t>https://www.college.police.uk/research/projects/working-together-during-major-incidents-and-emergencies-optimising-interoperability-during-major-incident-management-using-social-identity-approach</w:t>
        </w:r>
      </w:hyperlink>
      <w:r>
        <w:t xml:space="preserve">.  </w:t>
      </w:r>
    </w:p>
    <w:p w14:paraId="6650D12E" w14:textId="576B4614" w:rsidR="00F916D0" w:rsidRDefault="00F916D0" w:rsidP="00ED04F8">
      <w:pPr>
        <w:spacing w:line="360" w:lineRule="auto"/>
      </w:pPr>
      <w:r w:rsidRPr="00F916D0">
        <w:t>College of Policing (2015). </w:t>
      </w:r>
      <w:r w:rsidRPr="00F916D0">
        <w:rPr>
          <w:i/>
          <w:iCs/>
        </w:rPr>
        <w:t>Partnership working and multi-agency responses/mechanisms</w:t>
      </w:r>
      <w:r w:rsidRPr="00F916D0">
        <w:t>. [online] College of Policing. Available at: https://www.college.police.uk/app/major-investigation-and-public-protection/domestic-abuse/partnership-working-and-multi-agency-responsesmechanisms.</w:t>
      </w:r>
    </w:p>
    <w:p w14:paraId="5C9F61E8" w14:textId="1C5B5B68" w:rsidR="004B5204" w:rsidRDefault="00A2491F" w:rsidP="00ED04F8">
      <w:pPr>
        <w:spacing w:line="360" w:lineRule="auto"/>
      </w:pPr>
      <w:r w:rsidRPr="00054A9F">
        <w:t xml:space="preserve">College of Policing (2018). Definitions. [online] College of Policing. Available at: </w:t>
      </w:r>
      <w:hyperlink r:id="rId12" w:history="1">
        <w:r w:rsidRPr="00815AC5">
          <w:rPr>
            <w:rStyle w:val="Hyperlink"/>
          </w:rPr>
          <w:t>https://www.college.police.uk/app/civil-emergencies/disaster-victim-identification/definitions</w:t>
        </w:r>
      </w:hyperlink>
      <w:r w:rsidRPr="00054A9F">
        <w:t>.</w:t>
      </w:r>
    </w:p>
    <w:p w14:paraId="2551CF1E" w14:textId="77777777" w:rsidR="00F916D0" w:rsidRDefault="00F84081" w:rsidP="00F916D0">
      <w:pPr>
        <w:spacing w:line="360" w:lineRule="auto"/>
      </w:pPr>
      <w:r w:rsidRPr="00F84081">
        <w:t>College of Policing. (n.d.). </w:t>
      </w:r>
      <w:r w:rsidRPr="00F84081">
        <w:rPr>
          <w:i/>
          <w:iCs/>
        </w:rPr>
        <w:t>Criminal sanctions to prevent domestic violence</w:t>
      </w:r>
      <w:r w:rsidRPr="00F84081">
        <w:t xml:space="preserve">. [online] Available at: </w:t>
      </w:r>
      <w:hyperlink r:id="rId13" w:history="1">
        <w:r w:rsidR="00F916D0" w:rsidRPr="00D00D3B">
          <w:rPr>
            <w:rStyle w:val="Hyperlink"/>
          </w:rPr>
          <w:t>https://www.college.police.uk/research/crime-reduction-toolkit/criminal-sanctions-prevent-domestic-violence</w:t>
        </w:r>
      </w:hyperlink>
      <w:r w:rsidRPr="00F84081">
        <w:t>.</w:t>
      </w:r>
    </w:p>
    <w:p w14:paraId="417BBFD1" w14:textId="4E838811" w:rsidR="00F916D0" w:rsidRDefault="00F916D0" w:rsidP="00ED04F8">
      <w:pPr>
        <w:spacing w:line="360" w:lineRule="auto"/>
      </w:pPr>
      <w:r w:rsidRPr="004B5204">
        <w:lastRenderedPageBreak/>
        <w:t xml:space="preserve">Exploring the use of the Cognitive Interview (and other Special Measures) in questioning Vulnerable Witnesses in preparation for court and in a court of law. (n.d.). Available at: </w:t>
      </w:r>
      <w:hyperlink r:id="rId14" w:history="1">
        <w:r w:rsidRPr="006A5470">
          <w:rPr>
            <w:rStyle w:val="Hyperlink"/>
          </w:rPr>
          <w:t>https://www.intermediaries-for-justice.org/sites/default/files/report.pdf</w:t>
        </w:r>
      </w:hyperlink>
      <w:r w:rsidRPr="004B5204">
        <w:t>.</w:t>
      </w:r>
    </w:p>
    <w:p w14:paraId="4A860728" w14:textId="0ED78B9C" w:rsidR="008B7491" w:rsidRDefault="008B7491" w:rsidP="00ED04F8">
      <w:pPr>
        <w:spacing w:line="360" w:lineRule="auto"/>
      </w:pPr>
      <w:r w:rsidRPr="008B7491">
        <w:t xml:space="preserve">Guidance on reporting routes relating to vulnerable persons. (n.d.). Available at: </w:t>
      </w:r>
      <w:hyperlink r:id="rId15" w:history="1">
        <w:r w:rsidR="00F916D0" w:rsidRPr="00D00D3B">
          <w:rPr>
            <w:rStyle w:val="Hyperlink"/>
          </w:rPr>
          <w:t>https://www.nationalcrimeagency.gov.uk/who-we-are/publications/626-guidance-on-reporting-routes-relating-to-vulnerable-persons-dec-2022/file</w:t>
        </w:r>
      </w:hyperlink>
      <w:r w:rsidRPr="008B7491">
        <w:t>.</w:t>
      </w:r>
    </w:p>
    <w:p w14:paraId="08163CD8" w14:textId="56B7A077" w:rsidR="00F916D0" w:rsidRDefault="00F916D0" w:rsidP="00ED04F8">
      <w:pPr>
        <w:spacing w:line="360" w:lineRule="auto"/>
      </w:pPr>
      <w:r w:rsidRPr="00F916D0">
        <w:t>Home Office (2023). </w:t>
      </w:r>
      <w:r w:rsidRPr="00F916D0">
        <w:rPr>
          <w:i/>
          <w:iCs/>
        </w:rPr>
        <w:t>Criminal exploitation of children and vulnerable adults: county lines</w:t>
      </w:r>
      <w:r w:rsidRPr="00F916D0">
        <w:t xml:space="preserve">. [online] Gov.uk. Available at: </w:t>
      </w:r>
      <w:hyperlink r:id="rId16" w:history="1">
        <w:r w:rsidRPr="00F916D0">
          <w:rPr>
            <w:rStyle w:val="Hyperlink"/>
          </w:rPr>
          <w:t>https://www.gov.uk/government/publications/criminal-exploitation-of-children-and-vulnerable-adults-county-lines/criminal-exploitation-of-children-and-vulnerable-adults-county-lines</w:t>
        </w:r>
      </w:hyperlink>
      <w:r w:rsidRPr="00F916D0">
        <w:t>.</w:t>
      </w:r>
    </w:p>
    <w:p w14:paraId="141A889D" w14:textId="3FC24D05" w:rsidR="00644BD8" w:rsidRDefault="00644BD8" w:rsidP="00ED04F8">
      <w:pPr>
        <w:spacing w:line="360" w:lineRule="auto"/>
      </w:pPr>
      <w:r>
        <w:t xml:space="preserve">Home Office (2010).  Safe guarding children and young people who may be affected by gang activity. </w:t>
      </w:r>
      <w:r w:rsidRPr="00033041">
        <w:t>[online]</w:t>
      </w:r>
      <w:r>
        <w:t xml:space="preserve"> </w:t>
      </w:r>
      <w:r w:rsidRPr="00033041">
        <w:t>Gov.uk. Available at:</w:t>
      </w:r>
      <w:r>
        <w:t xml:space="preserve"> </w:t>
      </w:r>
      <w:hyperlink r:id="rId17" w:history="1">
        <w:r>
          <w:rPr>
            <w:rStyle w:val="Hyperlink"/>
          </w:rPr>
          <w:t>DCSF-00064-2010.pdf.pdf (publishing.service.gov.uk)</w:t>
        </w:r>
      </w:hyperlink>
      <w:r>
        <w:t xml:space="preserve"> </w:t>
      </w:r>
    </w:p>
    <w:p w14:paraId="36123711" w14:textId="5BF6C21E" w:rsidR="00C3276D" w:rsidRPr="00C3276D" w:rsidRDefault="00682C49" w:rsidP="00ED04F8">
      <w:pPr>
        <w:spacing w:line="360" w:lineRule="auto"/>
      </w:pPr>
      <w:r>
        <w:t xml:space="preserve">JESIP (n.d.). Principles for joint working. [online] JESIP Website. Available at: </w:t>
      </w:r>
      <w:hyperlink r:id="rId18" w:history="1">
        <w:r w:rsidRPr="00815AC5">
          <w:rPr>
            <w:rStyle w:val="Hyperlink"/>
          </w:rPr>
          <w:t>https://www.jesip.org.uk/joint-doctrine/principles-for-joint-working/#</w:t>
        </w:r>
      </w:hyperlink>
    </w:p>
    <w:p w14:paraId="322453CB" w14:textId="3A9B0AAE" w:rsidR="00C3276D" w:rsidRDefault="00C3276D" w:rsidP="00ED04F8">
      <w:pPr>
        <w:spacing w:line="360" w:lineRule="auto"/>
      </w:pPr>
      <w:r>
        <w:t xml:space="preserve">Kebbell, M.R., Milne, R. and Wagstaff, G. F. (1999). The cognitive interview: A survey of its forensic effectiveness.  Psychology, Crime &amp; Law, 5(1-2), pp. 101-115.  Doi:https://doi.org/10.1080/10683169908414996.  </w:t>
      </w:r>
    </w:p>
    <w:p w14:paraId="4C95426E" w14:textId="720A7CD1" w:rsidR="008F686F" w:rsidRDefault="008F686F" w:rsidP="00ED04F8">
      <w:pPr>
        <w:spacing w:line="360" w:lineRule="auto"/>
        <w:rPr>
          <w:color w:val="0563C1" w:themeColor="hyperlink"/>
          <w:u w:val="single"/>
        </w:rPr>
      </w:pPr>
      <w:r w:rsidRPr="008F686F">
        <w:rPr>
          <w:color w:val="0563C1" w:themeColor="hyperlink"/>
          <w:u w:val="single"/>
        </w:rPr>
        <w:t>Mcleod, S. (2023). </w:t>
      </w:r>
      <w:r w:rsidRPr="008F686F">
        <w:rPr>
          <w:i/>
          <w:iCs/>
          <w:color w:val="0563C1" w:themeColor="hyperlink"/>
          <w:u w:val="single"/>
        </w:rPr>
        <w:t>Cognitive Interview Technique | Simply Psychology</w:t>
      </w:r>
      <w:r w:rsidRPr="008F686F">
        <w:rPr>
          <w:color w:val="0563C1" w:themeColor="hyperlink"/>
          <w:u w:val="single"/>
        </w:rPr>
        <w:t xml:space="preserve">. [online] Simplypsychology.org. Available at: </w:t>
      </w:r>
      <w:hyperlink r:id="rId19" w:history="1">
        <w:r w:rsidR="00861A6E" w:rsidRPr="00D2596F">
          <w:rPr>
            <w:rStyle w:val="Hyperlink"/>
          </w:rPr>
          <w:t>https://www.simplypsychology.org/cognitive-interview.html</w:t>
        </w:r>
      </w:hyperlink>
      <w:r w:rsidRPr="008F686F">
        <w:rPr>
          <w:color w:val="0563C1" w:themeColor="hyperlink"/>
          <w:u w:val="single"/>
        </w:rPr>
        <w:t>.</w:t>
      </w:r>
    </w:p>
    <w:p w14:paraId="5344DB03" w14:textId="02702A7F" w:rsidR="00861A6E" w:rsidRPr="00ED04F8" w:rsidRDefault="00861A6E" w:rsidP="00ED04F8">
      <w:pPr>
        <w:spacing w:line="360" w:lineRule="auto"/>
        <w:rPr>
          <w:color w:val="0563C1" w:themeColor="hyperlink"/>
          <w:u w:val="single"/>
        </w:rPr>
      </w:pPr>
      <w:r w:rsidRPr="00861A6E">
        <w:rPr>
          <w:color w:val="0563C1" w:themeColor="hyperlink"/>
          <w:u w:val="single"/>
        </w:rPr>
        <w:t>Metropolitan Police (2019). </w:t>
      </w:r>
      <w:r w:rsidRPr="00861A6E">
        <w:rPr>
          <w:i/>
          <w:iCs/>
          <w:color w:val="0563C1" w:themeColor="hyperlink"/>
          <w:u w:val="single"/>
        </w:rPr>
        <w:t>Home | The Met</w:t>
      </w:r>
      <w:r w:rsidRPr="00861A6E">
        <w:rPr>
          <w:color w:val="0563C1" w:themeColor="hyperlink"/>
          <w:u w:val="single"/>
        </w:rPr>
        <w:t>. [online] Police.uk. Available at: https://www.met.police.uk/</w:t>
      </w:r>
    </w:p>
    <w:p w14:paraId="2D5B8FBA" w14:textId="1F1827F3" w:rsidR="00033041" w:rsidRDefault="00E2101C" w:rsidP="00ED04F8">
      <w:pPr>
        <w:spacing w:line="360" w:lineRule="auto"/>
      </w:pPr>
      <w:r w:rsidRPr="00E2101C">
        <w:t>Mcneill, A. and Mclean, F. (2019). </w:t>
      </w:r>
      <w:r w:rsidRPr="00E2101C">
        <w:rPr>
          <w:i/>
          <w:iCs/>
        </w:rPr>
        <w:t>Obtaining initial accounts from victims and witnesses A Rapid Evidence Assessment to support the development of College guidelines on obtaining initial accounts from victims and witnesses Version 1.0 Will Finn</w:t>
      </w:r>
      <w:r w:rsidRPr="00E2101C">
        <w:t xml:space="preserve">. [online] Available at: </w:t>
      </w:r>
      <w:hyperlink r:id="rId20" w:history="1">
        <w:r w:rsidR="00033041" w:rsidRPr="006A5470">
          <w:rPr>
            <w:rStyle w:val="Hyperlink"/>
          </w:rPr>
          <w:t>https://assets.production.copweb.aws.college.police.uk/s3fs-public/2020-11/Initial_Accounts_REA.pdf</w:t>
        </w:r>
      </w:hyperlink>
      <w:r w:rsidRPr="00E2101C">
        <w:t>.</w:t>
      </w:r>
    </w:p>
    <w:p w14:paraId="4AE9BCD8" w14:textId="42C7F21C" w:rsidR="000E4D96" w:rsidRDefault="000E4D96" w:rsidP="00ED04F8">
      <w:pPr>
        <w:spacing w:line="360" w:lineRule="auto"/>
      </w:pPr>
      <w:r w:rsidRPr="000E4D96">
        <w:t>Neighbourhood Crime Integrated Offender Management Strategy A unified approach to offender supervision in the community. (2020). Available at: https://assets.publishing.service.gov.uk/media/5fcf94378fa8f54d6249e9b2/neighbourhood-crime-iom-strategy.pdf.</w:t>
      </w:r>
    </w:p>
    <w:p w14:paraId="3660FA53" w14:textId="6D41B033" w:rsidR="00033041" w:rsidRDefault="00033041" w:rsidP="00ED04F8">
      <w:pPr>
        <w:spacing w:line="360" w:lineRule="auto"/>
      </w:pPr>
      <w:r w:rsidRPr="00033041">
        <w:lastRenderedPageBreak/>
        <w:t>NSPCC (2019). </w:t>
      </w:r>
      <w:r w:rsidRPr="00033041">
        <w:rPr>
          <w:i/>
          <w:iCs/>
        </w:rPr>
        <w:t>Criminal Exploitation and Gangs</w:t>
      </w:r>
      <w:r w:rsidRPr="00033041">
        <w:t xml:space="preserve">. [online] NSPCC. Available at: </w:t>
      </w:r>
      <w:hyperlink r:id="rId21" w:history="1">
        <w:r w:rsidR="008B7491" w:rsidRPr="006A5470">
          <w:rPr>
            <w:rStyle w:val="Hyperlink"/>
          </w:rPr>
          <w:t>https://www.nspcc.org.uk/what-is-child-abuse/types-of-abuse/gangs-criminal-exploitation/</w:t>
        </w:r>
      </w:hyperlink>
      <w:r w:rsidRPr="00033041">
        <w:t>.</w:t>
      </w:r>
    </w:p>
    <w:p w14:paraId="00B010F5" w14:textId="10EDFAAD" w:rsidR="008B7491" w:rsidRDefault="008B7491" w:rsidP="00ED04F8">
      <w:pPr>
        <w:spacing w:line="360" w:lineRule="auto"/>
      </w:pPr>
      <w:r w:rsidRPr="008B7491">
        <w:t>Office for Health Improvement and Disparities (2022). </w:t>
      </w:r>
      <w:r w:rsidRPr="008B7491">
        <w:rPr>
          <w:i/>
          <w:iCs/>
        </w:rPr>
        <w:t>Vulnerabilities: Applying All Our Health</w:t>
      </w:r>
      <w:r w:rsidRPr="008B7491">
        <w:t>. [online] Gov.uk. Available at: https://www.gov.uk/government/publications/vulnerabilities-applying-all-our-health/vulnerabilities-applying-all-our-health.</w:t>
      </w:r>
    </w:p>
    <w:p w14:paraId="13B28E4F" w14:textId="2315CBFB" w:rsidR="00E72766" w:rsidRDefault="00E72766" w:rsidP="00ED04F8">
      <w:pPr>
        <w:spacing w:line="360" w:lineRule="auto"/>
      </w:pPr>
      <w:r w:rsidRPr="00E72766">
        <w:t>Police1. (2023). </w:t>
      </w:r>
      <w:r w:rsidRPr="00E72766">
        <w:rPr>
          <w:i/>
          <w:iCs/>
        </w:rPr>
        <w:t>Improving memory recall: The benefits of cognitive interviewing techniques</w:t>
      </w:r>
      <w:r w:rsidRPr="00E72766">
        <w:t>. [online] Available at: https://www.police1.com/investigations/improving-memory-recall-the-benefits-of-cognitive-interviewing-techniques#:~:text=The%20value%20of%20cognitive%20interviewing [Accessed 24 May 2024].</w:t>
      </w:r>
    </w:p>
    <w:p w14:paraId="10AC5F73" w14:textId="163F0E9D" w:rsidR="00860C3E" w:rsidRDefault="00860C3E" w:rsidP="00ED04F8">
      <w:pPr>
        <w:spacing w:line="360" w:lineRule="auto"/>
      </w:pPr>
      <w:r w:rsidRPr="00860C3E">
        <w:t>senecalearning.com. (n.d.). </w:t>
      </w:r>
      <w:r w:rsidRPr="00860C3E">
        <w:rPr>
          <w:i/>
          <w:iCs/>
        </w:rPr>
        <w:t>Cognitive Interview - Geiselman &amp; Fisher - Psychology: AQA A Level</w:t>
      </w:r>
      <w:r w:rsidRPr="00860C3E">
        <w:t>. [online] Available at: https://senecalearning.com/en-GB/revision-notes/a-level/psychology/aqa/2-1-19-cognitive-interview-geiselman-and-fisher.</w:t>
      </w:r>
    </w:p>
    <w:p w14:paraId="268539D3" w14:textId="7E10E021" w:rsidR="00682C49" w:rsidRDefault="00682C49" w:rsidP="00ED04F8">
      <w:pPr>
        <w:spacing w:line="360" w:lineRule="auto"/>
      </w:pPr>
      <w:r>
        <w:t xml:space="preserve">Solomon, Roger (2011), Critical incident trauma for law enforcement officers, retrieved </w:t>
      </w:r>
    </w:p>
    <w:p w14:paraId="60082AB8" w14:textId="77777777" w:rsidR="00682C49" w:rsidRDefault="00682C49" w:rsidP="00ED04F8">
      <w:pPr>
        <w:spacing w:line="360" w:lineRule="auto"/>
      </w:pPr>
      <w:r>
        <w:t xml:space="preserve">fromhttp://www.thecounselingteam.com/interactive/articles/Critical%20Incident </w:t>
      </w:r>
    </w:p>
    <w:p w14:paraId="345BB13B" w14:textId="77777777" w:rsidR="00682C49" w:rsidRDefault="00682C49" w:rsidP="00ED04F8">
      <w:pPr>
        <w:spacing w:line="360" w:lineRule="auto"/>
      </w:pPr>
      <w:r>
        <w:t>%20Trauma%20(R.%20Solomon).pdf</w:t>
      </w:r>
    </w:p>
    <w:p w14:paraId="59582B62" w14:textId="2993473A" w:rsidR="00682C49" w:rsidRDefault="001366EF" w:rsidP="00ED04F8">
      <w:pPr>
        <w:spacing w:line="360" w:lineRule="auto"/>
      </w:pPr>
      <w:r w:rsidRPr="001366EF">
        <w:t>www.shropshiresafeguardingcommunitypartnership.co.uk. (n.d.). </w:t>
      </w:r>
      <w:r w:rsidRPr="001366EF">
        <w:rPr>
          <w:i/>
          <w:iCs/>
        </w:rPr>
        <w:t>Criminal Exploitation — Shropshire Safeguarding Community Partnership</w:t>
      </w:r>
      <w:r w:rsidRPr="001366EF">
        <w:t>. [online] Available at: https://www.shropshiresafeguardingcommunitypartnership.co.uk/partnership-priority-areas/tackling-exploitation/criminal-exploitation/ [Accessed 2</w:t>
      </w:r>
      <w:r>
        <w:t>0</w:t>
      </w:r>
      <w:r w:rsidRPr="001366EF">
        <w:t xml:space="preserve"> May 2024].</w:t>
      </w:r>
    </w:p>
    <w:p w14:paraId="23A124F0" w14:textId="65BFD109" w:rsidR="0032720B" w:rsidRPr="00EB0866" w:rsidRDefault="005F75EB" w:rsidP="00ED04F8">
      <w:pPr>
        <w:spacing w:line="360" w:lineRule="auto"/>
      </w:pPr>
      <w:r w:rsidRPr="005F75EB">
        <w:t>www.college.police.uk. (2024). </w:t>
      </w:r>
      <w:r w:rsidRPr="005F75EB">
        <w:rPr>
          <w:i/>
          <w:iCs/>
        </w:rPr>
        <w:t>Offender management for domestic abuse | College of Policing</w:t>
      </w:r>
      <w:r w:rsidRPr="005F75EB">
        <w:t>. [online] Available at: https://www.college.police.uk/support-forces/practices/offender-management-domestic-abuse#:~:text=Currently%2C%20across%20the%20entire%20population.</w:t>
      </w:r>
    </w:p>
    <w:sectPr w:rsidR="0032720B" w:rsidRPr="00EB08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680B0" w14:textId="77777777" w:rsidR="00CC1108" w:rsidRDefault="00CC1108">
      <w:pPr>
        <w:spacing w:after="0" w:line="240" w:lineRule="auto"/>
      </w:pPr>
    </w:p>
  </w:endnote>
  <w:endnote w:type="continuationSeparator" w:id="0">
    <w:p w14:paraId="1638C058" w14:textId="77777777" w:rsidR="00CC1108" w:rsidRDefault="00CC11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3679C" w14:textId="77777777" w:rsidR="00CC1108" w:rsidRDefault="00CC1108">
      <w:pPr>
        <w:spacing w:after="0" w:line="240" w:lineRule="auto"/>
      </w:pPr>
    </w:p>
  </w:footnote>
  <w:footnote w:type="continuationSeparator" w:id="0">
    <w:p w14:paraId="6DFA57CA" w14:textId="77777777" w:rsidR="00CC1108" w:rsidRDefault="00CC110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0866"/>
    <w:rsid w:val="00033041"/>
    <w:rsid w:val="000E4D96"/>
    <w:rsid w:val="001366EF"/>
    <w:rsid w:val="0018579C"/>
    <w:rsid w:val="001D5F25"/>
    <w:rsid w:val="00202495"/>
    <w:rsid w:val="00212B49"/>
    <w:rsid w:val="00222968"/>
    <w:rsid w:val="00231F0A"/>
    <w:rsid w:val="0032720B"/>
    <w:rsid w:val="00336F4A"/>
    <w:rsid w:val="003467F8"/>
    <w:rsid w:val="003B106A"/>
    <w:rsid w:val="004B5204"/>
    <w:rsid w:val="005E5BE5"/>
    <w:rsid w:val="005F75EB"/>
    <w:rsid w:val="00604003"/>
    <w:rsid w:val="00644BD8"/>
    <w:rsid w:val="00674862"/>
    <w:rsid w:val="00682C49"/>
    <w:rsid w:val="007F19DF"/>
    <w:rsid w:val="00800E41"/>
    <w:rsid w:val="00860C3E"/>
    <w:rsid w:val="00861A6E"/>
    <w:rsid w:val="00894CF8"/>
    <w:rsid w:val="008B7491"/>
    <w:rsid w:val="008F686F"/>
    <w:rsid w:val="009501FE"/>
    <w:rsid w:val="00A2491F"/>
    <w:rsid w:val="00A50692"/>
    <w:rsid w:val="00BF521B"/>
    <w:rsid w:val="00C10E32"/>
    <w:rsid w:val="00C3276D"/>
    <w:rsid w:val="00CC1108"/>
    <w:rsid w:val="00D17CEB"/>
    <w:rsid w:val="00D9153B"/>
    <w:rsid w:val="00DF7F08"/>
    <w:rsid w:val="00E2101C"/>
    <w:rsid w:val="00E72766"/>
    <w:rsid w:val="00EB0866"/>
    <w:rsid w:val="00ED04F8"/>
    <w:rsid w:val="00F02E3C"/>
    <w:rsid w:val="00F32F0E"/>
    <w:rsid w:val="00F51F2C"/>
    <w:rsid w:val="00F84081"/>
    <w:rsid w:val="00F91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5E05"/>
  <w15:docId w15:val="{8D65FB25-D4C6-48B1-A47C-9A5F49269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866"/>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491F"/>
    <w:rPr>
      <w:color w:val="0563C1" w:themeColor="hyperlink"/>
      <w:u w:val="single"/>
    </w:rPr>
  </w:style>
  <w:style w:type="character" w:styleId="UnresolvedMention">
    <w:name w:val="Unresolved Mention"/>
    <w:basedOn w:val="DefaultParagraphFont"/>
    <w:uiPriority w:val="99"/>
    <w:semiHidden/>
    <w:unhideWhenUsed/>
    <w:rsid w:val="00A2491F"/>
    <w:rPr>
      <w:color w:val="605E5C"/>
      <w:shd w:val="clear" w:color="auto" w:fill="E1DFDD"/>
    </w:rPr>
  </w:style>
  <w:style w:type="paragraph" w:styleId="Header">
    <w:name w:val="header"/>
    <w:basedOn w:val="Normal"/>
    <w:link w:val="HeaderChar"/>
    <w:uiPriority w:val="99"/>
    <w:unhideWhenUsed/>
    <w:rsid w:val="00CC1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108"/>
    <w:rPr>
      <w:kern w:val="0"/>
      <w14:ligatures w14:val="none"/>
    </w:rPr>
  </w:style>
  <w:style w:type="paragraph" w:styleId="Footer">
    <w:name w:val="footer"/>
    <w:basedOn w:val="Normal"/>
    <w:link w:val="FooterChar"/>
    <w:uiPriority w:val="99"/>
    <w:unhideWhenUsed/>
    <w:rsid w:val="00CC1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108"/>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015607">
      <w:bodyDiv w:val="1"/>
      <w:marLeft w:val="0"/>
      <w:marRight w:val="0"/>
      <w:marTop w:val="0"/>
      <w:marBottom w:val="0"/>
      <w:divBdr>
        <w:top w:val="none" w:sz="0" w:space="0" w:color="auto"/>
        <w:left w:val="none" w:sz="0" w:space="0" w:color="auto"/>
        <w:bottom w:val="none" w:sz="0" w:space="0" w:color="auto"/>
        <w:right w:val="none" w:sz="0" w:space="0" w:color="auto"/>
      </w:divBdr>
    </w:div>
    <w:div w:id="357465684">
      <w:bodyDiv w:val="1"/>
      <w:marLeft w:val="0"/>
      <w:marRight w:val="0"/>
      <w:marTop w:val="0"/>
      <w:marBottom w:val="0"/>
      <w:divBdr>
        <w:top w:val="none" w:sz="0" w:space="0" w:color="auto"/>
        <w:left w:val="none" w:sz="0" w:space="0" w:color="auto"/>
        <w:bottom w:val="none" w:sz="0" w:space="0" w:color="auto"/>
        <w:right w:val="none" w:sz="0" w:space="0" w:color="auto"/>
      </w:divBdr>
    </w:div>
    <w:div w:id="1457213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 TargetMode="External"/><Relationship Id="rId13" Type="http://schemas.openxmlformats.org/officeDocument/2006/relationships/hyperlink" Target="https://www.college.police.uk/research/crime-reduction-toolkit/criminal-sanctions-prevent-domestic-violence" TargetMode="External"/><Relationship Id="rId18" Type="http://schemas.openxmlformats.org/officeDocument/2006/relationships/hyperlink" Target="https://www.jesip.org.uk/joint-doctrine/principles-for-joint-working/" TargetMode="External"/><Relationship Id="rId3" Type="http://schemas.openxmlformats.org/officeDocument/2006/relationships/settings" Target="settings.xml"/><Relationship Id="rId21" Type="http://schemas.openxmlformats.org/officeDocument/2006/relationships/hyperlink" Target="https://www.nspcc.org.uk/what-is-child-abuse/types-of-abuse/gangs-criminal-exploitation/" TargetMode="External"/><Relationship Id="rId7" Type="http://schemas.openxmlformats.org/officeDocument/2006/relationships/hyperlink" Target="http://www.college.police.uk" TargetMode="External"/><Relationship Id="rId12" Type="http://schemas.openxmlformats.org/officeDocument/2006/relationships/hyperlink" Target="https://www.college.police.uk/app/civil-emergencies/disaster-victim-identification/definitions" TargetMode="External"/><Relationship Id="rId17" Type="http://schemas.openxmlformats.org/officeDocument/2006/relationships/hyperlink" Target="https://assets.publishing.service.gov.uk/government/uploads/system/uploads/attachment_data/file/189392/DCSF-00064-2010.pdf.pdf" TargetMode="External"/><Relationship Id="rId2" Type="http://schemas.openxmlformats.org/officeDocument/2006/relationships/styles" Target="styles.xml"/><Relationship Id="rId16" Type="http://schemas.openxmlformats.org/officeDocument/2006/relationships/hyperlink" Target="https://www.gov.uk/government/publications/criminal-exploitation-of-children-and-vulnerable-adults-county-lines/criminal-exploitation-of-children-and-vulnerable-adults-county-lines" TargetMode="External"/><Relationship Id="rId20" Type="http://schemas.openxmlformats.org/officeDocument/2006/relationships/hyperlink" Target="https://assets.production.copweb.aws.college.police.uk/s3fs-public/2020-11/Initial_Accounts_REA.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ege.police.uk/research/projects/working-together-during-major-incidents-and-emergencies-optimising-interoperability-during-major-incident-management-using-social-identity-approach" TargetMode="External"/><Relationship Id="rId5" Type="http://schemas.openxmlformats.org/officeDocument/2006/relationships/footnotes" Target="footnotes.xml"/><Relationship Id="rId15" Type="http://schemas.openxmlformats.org/officeDocument/2006/relationships/hyperlink" Target="https://www.nationalcrimeagency.gov.uk/who-we-are/publications/626-guidance-on-reporting-routes-relating-to-vulnerable-persons-dec-2022/file" TargetMode="External"/><Relationship Id="rId23" Type="http://schemas.openxmlformats.org/officeDocument/2006/relationships/theme" Target="theme/theme1.xml"/><Relationship Id="rId10" Type="http://schemas.openxmlformats.org/officeDocument/2006/relationships/hyperlink" Target="https://www.college.police.uk/app/intelligence-management/analysis/evaluation-and-review" TargetMode="External"/><Relationship Id="rId19" Type="http://schemas.openxmlformats.org/officeDocument/2006/relationships/hyperlink" Target="https://www.simplypsychology.org/cognitive-interview.html" TargetMode="External"/><Relationship Id="rId4" Type="http://schemas.openxmlformats.org/officeDocument/2006/relationships/webSettings" Target="webSettings.xml"/><Relationship Id="rId9" Type="http://schemas.openxmlformats.org/officeDocument/2006/relationships/hyperlink" Target="http://www.college.police.uk" TargetMode="External"/><Relationship Id="rId14" Type="http://schemas.openxmlformats.org/officeDocument/2006/relationships/hyperlink" Target="https://www.intermediaries-for-justice.org/sites/default/files/repor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1873-F952-4E93-8599-8D74C6A07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8792</TotalTime>
  <Pages>11</Pages>
  <Words>5530</Words>
  <Characters>31523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Coombes,Zoe swp6940</dc:creator>
  <cp:keywords/>
  <dc:description/>
  <cp:lastModifiedBy>Coombes,Zoe swp6940</cp:lastModifiedBy>
  <cp:revision>13</cp:revision>
  <dcterms:created xsi:type="dcterms:W3CDTF">2024-05-23T16:43:00Z</dcterms:created>
  <dcterms:modified xsi:type="dcterms:W3CDTF">2024-06-30T22:01:00Z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2024-05-23T16:40:53Z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14d76692-24ff-4514-9e22-09b4d080bcf6</vt:lpwstr>
  </property>
  <property fmtid="{D5CDD505-2E9C-101B-9397-08002B2CF9AE}" pid="8" name="MSIP_Label_66cf8fe5-b7b7-4df7-b38d-1c61ac2f6639_ContentBits">
    <vt:lpwstr>0</vt:lpwstr>
  </property>
</Properties>
</file>