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E633E" w14:textId="77777777" w:rsidR="00700F92" w:rsidRPr="002F0A09" w:rsidRDefault="00700F92" w:rsidP="002F0A09">
      <w:pPr>
        <w:jc w:val="center"/>
        <w:rPr>
          <w:rFonts w:cs="Arial"/>
        </w:rPr>
      </w:pPr>
      <w:r w:rsidRPr="002F0A09">
        <w:rPr>
          <w:rFonts w:cs="Arial"/>
          <w:noProof/>
          <w:lang w:bidi="ar-SA"/>
        </w:rPr>
        <w:drawing>
          <wp:inline distT="0" distB="0" distL="0" distR="0" wp14:anchorId="270D085D" wp14:editId="3A069D05">
            <wp:extent cx="2133600" cy="1066800"/>
            <wp:effectExtent l="0" t="0" r="0" b="0"/>
            <wp:docPr id="3" name="Picture 3"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1066800"/>
                    </a:xfrm>
                    <a:prstGeom prst="rect">
                      <a:avLst/>
                    </a:prstGeom>
                    <a:noFill/>
                    <a:ln>
                      <a:noFill/>
                    </a:ln>
                  </pic:spPr>
                </pic:pic>
              </a:graphicData>
            </a:graphic>
          </wp:inline>
        </w:drawing>
      </w:r>
    </w:p>
    <w:p w14:paraId="5B71EEB4" w14:textId="77777777" w:rsidR="00700F92" w:rsidRPr="002F0A09" w:rsidRDefault="00700F92" w:rsidP="002F0A09">
      <w:pPr>
        <w:rPr>
          <w:rFonts w:cs="Arial"/>
        </w:rPr>
      </w:pPr>
    </w:p>
    <w:p w14:paraId="3CDF5D89" w14:textId="77777777" w:rsidR="00700F92" w:rsidRPr="002F0A09" w:rsidRDefault="00700F92" w:rsidP="002F0A09">
      <w:pPr>
        <w:jc w:val="center"/>
        <w:rPr>
          <w:rFonts w:cs="Arial"/>
          <w:b/>
          <w:sz w:val="28"/>
        </w:rPr>
      </w:pPr>
      <w:proofErr w:type="spellStart"/>
      <w:r w:rsidRPr="002F0A09">
        <w:rPr>
          <w:rFonts w:cs="Arial"/>
          <w:b/>
          <w:sz w:val="28"/>
        </w:rPr>
        <w:t>Programme</w:t>
      </w:r>
      <w:proofErr w:type="spellEnd"/>
      <w:r w:rsidRPr="002F0A09">
        <w:rPr>
          <w:rFonts w:cs="Arial"/>
          <w:b/>
          <w:sz w:val="28"/>
        </w:rPr>
        <w:t>: Master of Business Administration</w:t>
      </w:r>
    </w:p>
    <w:p w14:paraId="60142B0E" w14:textId="77777777" w:rsidR="00700F92" w:rsidRPr="002F0A09" w:rsidRDefault="00700F92" w:rsidP="002F0A09">
      <w:pPr>
        <w:jc w:val="center"/>
        <w:rPr>
          <w:rFonts w:cs="Arial"/>
          <w:b/>
          <w:sz w:val="28"/>
        </w:rPr>
      </w:pPr>
      <w:r w:rsidRPr="002F0A09">
        <w:rPr>
          <w:rFonts w:cs="Arial"/>
          <w:b/>
          <w:sz w:val="28"/>
        </w:rPr>
        <w:t>Module: International Business Concepts</w:t>
      </w:r>
    </w:p>
    <w:p w14:paraId="00C4B392" w14:textId="77777777" w:rsidR="00700F92" w:rsidRPr="002F0A09" w:rsidRDefault="00700F92" w:rsidP="002F0A09">
      <w:pPr>
        <w:jc w:val="center"/>
        <w:rPr>
          <w:rFonts w:cs="Arial"/>
          <w:b/>
          <w:sz w:val="28"/>
        </w:rPr>
      </w:pPr>
      <w:r w:rsidRPr="002F0A09">
        <w:rPr>
          <w:rFonts w:cs="Arial"/>
          <w:b/>
          <w:sz w:val="28"/>
        </w:rPr>
        <w:t>Module code: LCMB7034</w:t>
      </w:r>
    </w:p>
    <w:p w14:paraId="1529A8B5" w14:textId="0C77288B" w:rsidR="00700F92" w:rsidRPr="002F0A09" w:rsidRDefault="00700F92" w:rsidP="002F0A09">
      <w:pPr>
        <w:jc w:val="center"/>
        <w:rPr>
          <w:rFonts w:cs="Arial"/>
          <w:b/>
          <w:sz w:val="28"/>
        </w:rPr>
      </w:pPr>
      <w:r w:rsidRPr="002F0A09">
        <w:rPr>
          <w:rFonts w:cs="Arial"/>
          <w:b/>
          <w:sz w:val="28"/>
        </w:rPr>
        <w:t xml:space="preserve">Lecturer: </w:t>
      </w:r>
      <w:r w:rsidR="006F0F24" w:rsidRPr="006F0F24">
        <w:rPr>
          <w:rFonts w:cs="Arial"/>
          <w:b/>
          <w:sz w:val="28"/>
        </w:rPr>
        <w:t xml:space="preserve">Dr Robert </w:t>
      </w:r>
      <w:proofErr w:type="spellStart"/>
      <w:r w:rsidR="006F0F24" w:rsidRPr="006F0F24">
        <w:rPr>
          <w:rFonts w:cs="Arial"/>
          <w:b/>
          <w:sz w:val="28"/>
        </w:rPr>
        <w:t>Ejike</w:t>
      </w:r>
      <w:proofErr w:type="spellEnd"/>
      <w:r w:rsidR="006F0F24" w:rsidRPr="006F0F24">
        <w:rPr>
          <w:rFonts w:cs="Arial"/>
          <w:b/>
          <w:sz w:val="28"/>
        </w:rPr>
        <w:t xml:space="preserve"> Undeogu</w:t>
      </w:r>
    </w:p>
    <w:p w14:paraId="7A39D1DD" w14:textId="77777777" w:rsidR="00700F92" w:rsidRPr="002F0A09" w:rsidRDefault="00700F92" w:rsidP="002F0A09">
      <w:pPr>
        <w:jc w:val="center"/>
        <w:rPr>
          <w:rFonts w:cs="Arial"/>
          <w:b/>
          <w:sz w:val="28"/>
        </w:rPr>
      </w:pPr>
    </w:p>
    <w:p w14:paraId="1734F3C7" w14:textId="77777777" w:rsidR="00700F92" w:rsidRPr="002F0A09" w:rsidRDefault="00700F92" w:rsidP="002F0A09">
      <w:pPr>
        <w:jc w:val="center"/>
        <w:rPr>
          <w:rFonts w:cs="Arial"/>
          <w:b/>
          <w:sz w:val="28"/>
        </w:rPr>
      </w:pPr>
    </w:p>
    <w:p w14:paraId="6578C520" w14:textId="77777777" w:rsidR="00700F92" w:rsidRPr="002F0A09" w:rsidRDefault="00700F92" w:rsidP="002F0A09">
      <w:pPr>
        <w:jc w:val="center"/>
        <w:rPr>
          <w:rFonts w:cs="Arial"/>
          <w:b/>
          <w:sz w:val="28"/>
        </w:rPr>
      </w:pPr>
    </w:p>
    <w:p w14:paraId="652F406D" w14:textId="77777777" w:rsidR="00700F92" w:rsidRPr="002F0A09" w:rsidRDefault="00700F92" w:rsidP="002F0A09">
      <w:pPr>
        <w:jc w:val="center"/>
        <w:rPr>
          <w:rFonts w:cs="Arial"/>
          <w:b/>
          <w:sz w:val="28"/>
        </w:rPr>
      </w:pPr>
    </w:p>
    <w:p w14:paraId="101E7160" w14:textId="77777777" w:rsidR="00593717" w:rsidRPr="00593717" w:rsidRDefault="00593717" w:rsidP="00593717">
      <w:pPr>
        <w:jc w:val="center"/>
        <w:rPr>
          <w:rFonts w:cs="Arial"/>
          <w:b/>
          <w:sz w:val="28"/>
        </w:rPr>
      </w:pPr>
      <w:r w:rsidRPr="00593717">
        <w:rPr>
          <w:rFonts w:cs="Arial"/>
          <w:b/>
          <w:sz w:val="28"/>
        </w:rPr>
        <w:t>Student name: Md Abdur Roshid</w:t>
      </w:r>
    </w:p>
    <w:p w14:paraId="3B7B09DA" w14:textId="7E40D682" w:rsidR="00237234" w:rsidRDefault="00593717" w:rsidP="00593717">
      <w:pPr>
        <w:jc w:val="center"/>
        <w:rPr>
          <w:rFonts w:cs="Arial"/>
          <w:b/>
          <w:sz w:val="28"/>
        </w:rPr>
      </w:pPr>
      <w:r w:rsidRPr="00593717">
        <w:rPr>
          <w:rFonts w:cs="Arial"/>
          <w:b/>
          <w:sz w:val="28"/>
        </w:rPr>
        <w:t>Student ID: 2436449</w:t>
      </w:r>
    </w:p>
    <w:p w14:paraId="18723E4D" w14:textId="77777777" w:rsidR="00593717" w:rsidRPr="002F0A09" w:rsidRDefault="00593717" w:rsidP="00593717">
      <w:pPr>
        <w:jc w:val="center"/>
        <w:rPr>
          <w:rFonts w:cs="Arial"/>
          <w:b/>
          <w:sz w:val="28"/>
        </w:rPr>
      </w:pPr>
    </w:p>
    <w:p w14:paraId="0A28A850" w14:textId="68BB28C9" w:rsidR="00237234" w:rsidRPr="002F0A09" w:rsidRDefault="00237234" w:rsidP="002F0A09">
      <w:pPr>
        <w:jc w:val="center"/>
        <w:rPr>
          <w:rFonts w:cs="Arial"/>
          <w:b/>
          <w:sz w:val="28"/>
        </w:rPr>
      </w:pPr>
      <w:r w:rsidRPr="002F0A09">
        <w:rPr>
          <w:rFonts w:cs="Arial"/>
          <w:b/>
          <w:sz w:val="28"/>
        </w:rPr>
        <w:t xml:space="preserve">Word Count: </w:t>
      </w:r>
      <w:r w:rsidR="001D399F">
        <w:rPr>
          <w:rFonts w:cs="Arial"/>
          <w:b/>
          <w:sz w:val="28"/>
        </w:rPr>
        <w:t>5197</w:t>
      </w:r>
    </w:p>
    <w:p w14:paraId="7E497948" w14:textId="54CDC7D3" w:rsidR="00237234" w:rsidRPr="002F0A09" w:rsidRDefault="00237234" w:rsidP="002F0A09">
      <w:pPr>
        <w:jc w:val="center"/>
        <w:rPr>
          <w:rFonts w:cs="Arial"/>
          <w:b/>
          <w:sz w:val="28"/>
        </w:rPr>
      </w:pPr>
      <w:r w:rsidRPr="002F0A09">
        <w:rPr>
          <w:rFonts w:cs="Arial"/>
          <w:b/>
          <w:sz w:val="28"/>
        </w:rPr>
        <w:t>Submission Deadline: Friday 20/03/2026 by 2pm</w:t>
      </w:r>
    </w:p>
    <w:p w14:paraId="6160EEE4" w14:textId="77777777" w:rsidR="00700F92" w:rsidRPr="002F0A09" w:rsidRDefault="00700F92" w:rsidP="002F0A09">
      <w:pPr>
        <w:rPr>
          <w:rFonts w:cs="Arial"/>
        </w:rPr>
      </w:pPr>
    </w:p>
    <w:p w14:paraId="5EB98AED" w14:textId="77777777" w:rsidR="001249DC" w:rsidRPr="002F0A09" w:rsidRDefault="001249DC" w:rsidP="002F0A09">
      <w:pPr>
        <w:jc w:val="left"/>
        <w:rPr>
          <w:rFonts w:cs="Arial"/>
        </w:rPr>
      </w:pPr>
      <w:r w:rsidRPr="002F0A09">
        <w:rPr>
          <w:rFonts w:cs="Arial"/>
        </w:rPr>
        <w:br w:type="page"/>
      </w:r>
    </w:p>
    <w:sdt>
      <w:sdtPr>
        <w:rPr>
          <w:rFonts w:ascii="Arial" w:eastAsiaTheme="minorHAnsi" w:hAnsi="Arial" w:cs="Arial"/>
          <w:b w:val="0"/>
          <w:bCs w:val="0"/>
          <w:color w:val="auto"/>
          <w:sz w:val="24"/>
          <w:lang w:eastAsia="en-US" w:bidi="bn-IN"/>
        </w:rPr>
        <w:id w:val="1352531790"/>
        <w:docPartObj>
          <w:docPartGallery w:val="Table of Contents"/>
          <w:docPartUnique/>
        </w:docPartObj>
      </w:sdtPr>
      <w:sdtEndPr>
        <w:rPr>
          <w:noProof/>
        </w:rPr>
      </w:sdtEndPr>
      <w:sdtContent>
        <w:p w14:paraId="0F1387BC" w14:textId="77777777" w:rsidR="001249DC" w:rsidRPr="002F0A09" w:rsidRDefault="001249DC" w:rsidP="002F0A09">
          <w:pPr>
            <w:pStyle w:val="TOCHeading"/>
            <w:spacing w:line="360" w:lineRule="auto"/>
            <w:jc w:val="center"/>
            <w:rPr>
              <w:rFonts w:ascii="Arial" w:hAnsi="Arial" w:cs="Arial"/>
              <w:color w:val="auto"/>
              <w:sz w:val="32"/>
            </w:rPr>
          </w:pPr>
          <w:r w:rsidRPr="002F0A09">
            <w:rPr>
              <w:rFonts w:ascii="Arial" w:hAnsi="Arial" w:cs="Arial"/>
              <w:color w:val="auto"/>
              <w:sz w:val="32"/>
            </w:rPr>
            <w:t>Table of Contents</w:t>
          </w:r>
        </w:p>
        <w:p w14:paraId="7B4ADE68" w14:textId="08747E12" w:rsidR="001249DC" w:rsidRPr="002F0A09" w:rsidRDefault="001249DC" w:rsidP="002F0A09">
          <w:pPr>
            <w:pStyle w:val="TOC1"/>
            <w:tabs>
              <w:tab w:val="right" w:leader="dot" w:pos="9350"/>
            </w:tabs>
            <w:rPr>
              <w:rFonts w:eastAsiaTheme="minorEastAsia" w:cs="Arial"/>
              <w:noProof/>
              <w:sz w:val="22"/>
              <w:szCs w:val="22"/>
              <w:lang w:bidi="ar-SA"/>
            </w:rPr>
          </w:pPr>
          <w:r w:rsidRPr="002F0A09">
            <w:rPr>
              <w:rFonts w:cs="Arial"/>
            </w:rPr>
            <w:fldChar w:fldCharType="begin"/>
          </w:r>
          <w:r w:rsidRPr="002F0A09">
            <w:rPr>
              <w:rFonts w:cs="Arial"/>
            </w:rPr>
            <w:instrText xml:space="preserve"> TOC \o "1-3" \h \z \u </w:instrText>
          </w:r>
          <w:r w:rsidRPr="002F0A09">
            <w:rPr>
              <w:rFonts w:cs="Arial"/>
            </w:rPr>
            <w:fldChar w:fldCharType="separate"/>
          </w:r>
          <w:hyperlink w:anchor="_Toc223122480" w:history="1">
            <w:r w:rsidRPr="002F0A09">
              <w:rPr>
                <w:rStyle w:val="Hyperlink"/>
                <w:rFonts w:cs="Arial"/>
                <w:noProof/>
                <w:color w:val="auto"/>
              </w:rPr>
              <w:t>SECTION 1: International Industry/Business Report</w:t>
            </w:r>
            <w:r w:rsidRPr="002F0A09">
              <w:rPr>
                <w:rFonts w:cs="Arial"/>
                <w:noProof/>
                <w:webHidden/>
              </w:rPr>
              <w:tab/>
            </w:r>
            <w:r w:rsidRPr="002F0A09">
              <w:rPr>
                <w:rFonts w:cs="Arial"/>
                <w:noProof/>
                <w:webHidden/>
              </w:rPr>
              <w:fldChar w:fldCharType="begin"/>
            </w:r>
            <w:r w:rsidRPr="002F0A09">
              <w:rPr>
                <w:rFonts w:cs="Arial"/>
                <w:noProof/>
                <w:webHidden/>
              </w:rPr>
              <w:instrText xml:space="preserve"> PAGEREF _Toc223122480 \h </w:instrText>
            </w:r>
            <w:r w:rsidRPr="002F0A09">
              <w:rPr>
                <w:rFonts w:cs="Arial"/>
                <w:noProof/>
                <w:webHidden/>
              </w:rPr>
            </w:r>
            <w:r w:rsidRPr="002F0A09">
              <w:rPr>
                <w:rFonts w:cs="Arial"/>
                <w:noProof/>
                <w:webHidden/>
              </w:rPr>
              <w:fldChar w:fldCharType="separate"/>
            </w:r>
            <w:r w:rsidR="00DA58CC">
              <w:rPr>
                <w:rFonts w:cs="Arial"/>
                <w:noProof/>
                <w:webHidden/>
              </w:rPr>
              <w:t>1</w:t>
            </w:r>
            <w:r w:rsidRPr="002F0A09">
              <w:rPr>
                <w:rFonts w:cs="Arial"/>
                <w:noProof/>
                <w:webHidden/>
              </w:rPr>
              <w:fldChar w:fldCharType="end"/>
            </w:r>
          </w:hyperlink>
        </w:p>
        <w:p w14:paraId="024334F2" w14:textId="0C2CDDFC" w:rsidR="001249DC" w:rsidRPr="002F0A09" w:rsidRDefault="00B9689E" w:rsidP="002F0A09">
          <w:pPr>
            <w:pStyle w:val="TOC2"/>
            <w:tabs>
              <w:tab w:val="right" w:leader="dot" w:pos="9350"/>
            </w:tabs>
            <w:rPr>
              <w:rFonts w:eastAsiaTheme="minorEastAsia" w:cs="Arial"/>
              <w:noProof/>
              <w:sz w:val="22"/>
              <w:szCs w:val="22"/>
              <w:lang w:bidi="ar-SA"/>
            </w:rPr>
          </w:pPr>
          <w:hyperlink w:anchor="_Toc223122481" w:history="1">
            <w:r w:rsidR="001249DC" w:rsidRPr="002F0A09">
              <w:rPr>
                <w:rStyle w:val="Hyperlink"/>
                <w:rFonts w:cs="Arial"/>
                <w:noProof/>
                <w:color w:val="auto"/>
              </w:rPr>
              <w:t>1.0 Introduction</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_Toc223122481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1</w:t>
            </w:r>
            <w:r w:rsidR="001249DC" w:rsidRPr="002F0A09">
              <w:rPr>
                <w:rFonts w:cs="Arial"/>
                <w:noProof/>
                <w:webHidden/>
              </w:rPr>
              <w:fldChar w:fldCharType="end"/>
            </w:r>
          </w:hyperlink>
        </w:p>
        <w:p w14:paraId="6752D073" w14:textId="4F2FEFA2" w:rsidR="001249DC" w:rsidRPr="002F0A09" w:rsidRDefault="00B9689E" w:rsidP="002F0A09">
          <w:pPr>
            <w:pStyle w:val="TOC2"/>
            <w:tabs>
              <w:tab w:val="right" w:leader="dot" w:pos="9350"/>
            </w:tabs>
            <w:rPr>
              <w:rFonts w:eastAsiaTheme="minorEastAsia" w:cs="Arial"/>
              <w:noProof/>
              <w:sz w:val="22"/>
              <w:szCs w:val="22"/>
              <w:lang w:bidi="ar-SA"/>
            </w:rPr>
          </w:pPr>
          <w:hyperlink w:anchor="_Toc223122482" w:history="1">
            <w:r w:rsidR="001249DC" w:rsidRPr="002F0A09">
              <w:rPr>
                <w:rStyle w:val="Hyperlink"/>
                <w:rFonts w:cs="Arial"/>
                <w:noProof/>
                <w:color w:val="auto"/>
              </w:rPr>
              <w:t xml:space="preserve">2. Industry and Country Overview (Mexico: automotive vehicles </w:t>
            </w:r>
            <w:r w:rsidR="005B7685">
              <w:rPr>
                <w:rStyle w:val="Hyperlink"/>
                <w:rFonts w:cs="Arial"/>
                <w:noProof/>
                <w:color w:val="auto"/>
              </w:rPr>
              <w:t>and</w:t>
            </w:r>
            <w:r w:rsidR="001249DC" w:rsidRPr="002F0A09">
              <w:rPr>
                <w:rStyle w:val="Hyperlink"/>
                <w:rFonts w:cs="Arial"/>
                <w:noProof/>
                <w:color w:val="auto"/>
              </w:rPr>
              <w:t xml:space="preserve"> auto parts)</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_Toc223122482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2</w:t>
            </w:r>
            <w:r w:rsidR="001249DC" w:rsidRPr="002F0A09">
              <w:rPr>
                <w:rFonts w:cs="Arial"/>
                <w:noProof/>
                <w:webHidden/>
              </w:rPr>
              <w:fldChar w:fldCharType="end"/>
            </w:r>
          </w:hyperlink>
        </w:p>
        <w:p w14:paraId="6F13AFE2" w14:textId="1344AA5E" w:rsidR="001249DC" w:rsidRPr="002F0A09" w:rsidRDefault="00B9689E" w:rsidP="002F0A09">
          <w:pPr>
            <w:pStyle w:val="TOC3"/>
            <w:tabs>
              <w:tab w:val="right" w:leader="dot" w:pos="9350"/>
            </w:tabs>
            <w:rPr>
              <w:rFonts w:eastAsiaTheme="minorEastAsia" w:cs="Arial"/>
              <w:noProof/>
              <w:sz w:val="22"/>
              <w:szCs w:val="22"/>
              <w:lang w:bidi="ar-SA"/>
            </w:rPr>
          </w:pPr>
          <w:hyperlink w:anchor="_Toc223122483" w:history="1">
            <w:r w:rsidR="001249DC" w:rsidRPr="002F0A09">
              <w:rPr>
                <w:rStyle w:val="Hyperlink"/>
                <w:rFonts w:cs="Arial"/>
                <w:noProof/>
                <w:color w:val="auto"/>
              </w:rPr>
              <w:t>2.1 Mexico country context</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_Toc223122483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2</w:t>
            </w:r>
            <w:r w:rsidR="001249DC" w:rsidRPr="002F0A09">
              <w:rPr>
                <w:rFonts w:cs="Arial"/>
                <w:noProof/>
                <w:webHidden/>
              </w:rPr>
              <w:fldChar w:fldCharType="end"/>
            </w:r>
          </w:hyperlink>
        </w:p>
        <w:p w14:paraId="614F555B" w14:textId="21528E0F" w:rsidR="001249DC" w:rsidRPr="002F0A09" w:rsidRDefault="00B9689E" w:rsidP="002F0A09">
          <w:pPr>
            <w:pStyle w:val="TOC3"/>
            <w:tabs>
              <w:tab w:val="right" w:leader="dot" w:pos="9350"/>
            </w:tabs>
            <w:rPr>
              <w:rFonts w:eastAsiaTheme="minorEastAsia" w:cs="Arial"/>
              <w:noProof/>
              <w:sz w:val="22"/>
              <w:szCs w:val="22"/>
              <w:lang w:bidi="ar-SA"/>
            </w:rPr>
          </w:pPr>
          <w:hyperlink w:anchor="_Toc223122484" w:history="1">
            <w:r w:rsidR="001249DC" w:rsidRPr="002F0A09">
              <w:rPr>
                <w:rStyle w:val="Hyperlink"/>
                <w:rFonts w:cs="Arial"/>
                <w:noProof/>
                <w:color w:val="auto"/>
              </w:rPr>
              <w:t>2.2 Industry definition and value chain</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_Toc223122484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3</w:t>
            </w:r>
            <w:r w:rsidR="001249DC" w:rsidRPr="002F0A09">
              <w:rPr>
                <w:rFonts w:cs="Arial"/>
                <w:noProof/>
                <w:webHidden/>
              </w:rPr>
              <w:fldChar w:fldCharType="end"/>
            </w:r>
          </w:hyperlink>
        </w:p>
        <w:p w14:paraId="3B8A5F66" w14:textId="1E58D00C" w:rsidR="001249DC" w:rsidRPr="002F0A09" w:rsidRDefault="00B9689E" w:rsidP="002F0A09">
          <w:pPr>
            <w:pStyle w:val="TOC3"/>
            <w:tabs>
              <w:tab w:val="right" w:leader="dot" w:pos="9350"/>
            </w:tabs>
            <w:rPr>
              <w:rFonts w:eastAsiaTheme="minorEastAsia" w:cs="Arial"/>
              <w:noProof/>
              <w:sz w:val="22"/>
              <w:szCs w:val="22"/>
              <w:lang w:bidi="ar-SA"/>
            </w:rPr>
          </w:pPr>
          <w:hyperlink w:anchor="_Toc223122485" w:history="1">
            <w:r w:rsidR="001249DC" w:rsidRPr="002F0A09">
              <w:rPr>
                <w:rStyle w:val="Hyperlink"/>
                <w:rFonts w:cs="Arial"/>
                <w:noProof/>
                <w:color w:val="auto"/>
              </w:rPr>
              <w:t>2.3 Size, scope, and economic importance (data-driven)</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_Toc223122485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4</w:t>
            </w:r>
            <w:r w:rsidR="001249DC" w:rsidRPr="002F0A09">
              <w:rPr>
                <w:rFonts w:cs="Arial"/>
                <w:noProof/>
                <w:webHidden/>
              </w:rPr>
              <w:fldChar w:fldCharType="end"/>
            </w:r>
          </w:hyperlink>
        </w:p>
        <w:p w14:paraId="467A8FA4" w14:textId="5B7F5EB6" w:rsidR="001249DC" w:rsidRPr="002F0A09" w:rsidRDefault="00B9689E" w:rsidP="002F0A09">
          <w:pPr>
            <w:pStyle w:val="TOC3"/>
            <w:tabs>
              <w:tab w:val="right" w:leader="dot" w:pos="9350"/>
            </w:tabs>
            <w:rPr>
              <w:rFonts w:eastAsiaTheme="minorEastAsia" w:cs="Arial"/>
              <w:noProof/>
              <w:sz w:val="22"/>
              <w:szCs w:val="22"/>
              <w:lang w:bidi="ar-SA"/>
            </w:rPr>
          </w:pPr>
          <w:hyperlink w:anchor="_Toc223122486" w:history="1">
            <w:r w:rsidR="001249DC" w:rsidRPr="002F0A09">
              <w:rPr>
                <w:rStyle w:val="Hyperlink"/>
                <w:rFonts w:cs="Arial"/>
                <w:noProof/>
                <w:color w:val="auto"/>
              </w:rPr>
              <w:t xml:space="preserve">2.4 Key firms and competitive positioning (domestic </w:t>
            </w:r>
            <w:r w:rsidR="005B7685">
              <w:rPr>
                <w:rStyle w:val="Hyperlink"/>
                <w:rFonts w:cs="Arial"/>
                <w:noProof/>
                <w:color w:val="auto"/>
              </w:rPr>
              <w:t>and</w:t>
            </w:r>
            <w:r w:rsidR="001249DC" w:rsidRPr="002F0A09">
              <w:rPr>
                <w:rStyle w:val="Hyperlink"/>
                <w:rFonts w:cs="Arial"/>
                <w:noProof/>
                <w:color w:val="auto"/>
              </w:rPr>
              <w:t xml:space="preserve"> MNCs)</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_Toc223122486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6</w:t>
            </w:r>
            <w:r w:rsidR="001249DC" w:rsidRPr="002F0A09">
              <w:rPr>
                <w:rFonts w:cs="Arial"/>
                <w:noProof/>
                <w:webHidden/>
              </w:rPr>
              <w:fldChar w:fldCharType="end"/>
            </w:r>
          </w:hyperlink>
        </w:p>
        <w:p w14:paraId="66E55A45" w14:textId="24CA5DD0" w:rsidR="001249DC" w:rsidRPr="002F0A09" w:rsidRDefault="00B9689E" w:rsidP="002F0A09">
          <w:pPr>
            <w:pStyle w:val="TOC2"/>
            <w:tabs>
              <w:tab w:val="right" w:leader="dot" w:pos="9350"/>
            </w:tabs>
            <w:rPr>
              <w:rFonts w:eastAsiaTheme="minorEastAsia" w:cs="Arial"/>
              <w:noProof/>
              <w:sz w:val="22"/>
              <w:szCs w:val="22"/>
              <w:lang w:bidi="ar-SA"/>
            </w:rPr>
          </w:pPr>
          <w:hyperlink w:anchor="_Toc223122487" w:history="1">
            <w:r w:rsidR="001249DC" w:rsidRPr="002F0A09">
              <w:rPr>
                <w:rStyle w:val="Hyperlink"/>
                <w:rFonts w:cs="Arial"/>
                <w:noProof/>
                <w:color w:val="auto"/>
              </w:rPr>
              <w:t>3. Porter’s Diamond Model</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_Toc223122487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8</w:t>
            </w:r>
            <w:r w:rsidR="001249DC" w:rsidRPr="002F0A09">
              <w:rPr>
                <w:rFonts w:cs="Arial"/>
                <w:noProof/>
                <w:webHidden/>
              </w:rPr>
              <w:fldChar w:fldCharType="end"/>
            </w:r>
          </w:hyperlink>
        </w:p>
        <w:p w14:paraId="07C50527" w14:textId="2173EAE9" w:rsidR="001249DC" w:rsidRPr="002F0A09" w:rsidRDefault="00B9689E" w:rsidP="002F0A09">
          <w:pPr>
            <w:pStyle w:val="TOC3"/>
            <w:tabs>
              <w:tab w:val="right" w:leader="dot" w:pos="9350"/>
            </w:tabs>
            <w:rPr>
              <w:rFonts w:eastAsiaTheme="minorEastAsia" w:cs="Arial"/>
              <w:noProof/>
              <w:sz w:val="22"/>
              <w:szCs w:val="22"/>
              <w:lang w:bidi="ar-SA"/>
            </w:rPr>
          </w:pPr>
          <w:hyperlink w:anchor="_Toc223122488" w:history="1">
            <w:r w:rsidR="001249DC" w:rsidRPr="002F0A09">
              <w:rPr>
                <w:rStyle w:val="Hyperlink"/>
                <w:rFonts w:cs="Arial"/>
                <w:noProof/>
                <w:color w:val="auto"/>
              </w:rPr>
              <w:t>3.1 Factor conditions</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_Toc223122488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8</w:t>
            </w:r>
            <w:r w:rsidR="001249DC" w:rsidRPr="002F0A09">
              <w:rPr>
                <w:rFonts w:cs="Arial"/>
                <w:noProof/>
                <w:webHidden/>
              </w:rPr>
              <w:fldChar w:fldCharType="end"/>
            </w:r>
          </w:hyperlink>
        </w:p>
        <w:p w14:paraId="2C6354DA" w14:textId="62056001" w:rsidR="001249DC" w:rsidRPr="002F0A09" w:rsidRDefault="00B9689E" w:rsidP="002F0A09">
          <w:pPr>
            <w:pStyle w:val="TOC3"/>
            <w:tabs>
              <w:tab w:val="right" w:leader="dot" w:pos="9350"/>
            </w:tabs>
            <w:rPr>
              <w:rFonts w:eastAsiaTheme="minorEastAsia" w:cs="Arial"/>
              <w:noProof/>
              <w:sz w:val="22"/>
              <w:szCs w:val="22"/>
              <w:lang w:bidi="ar-SA"/>
            </w:rPr>
          </w:pPr>
          <w:hyperlink w:anchor="_Toc223122489" w:history="1">
            <w:r w:rsidR="001249DC" w:rsidRPr="002F0A09">
              <w:rPr>
                <w:rStyle w:val="Hyperlink"/>
                <w:rFonts w:cs="Arial"/>
                <w:noProof/>
                <w:color w:val="auto"/>
              </w:rPr>
              <w:t>3.2 Demand conditions</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_Toc223122489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8</w:t>
            </w:r>
            <w:r w:rsidR="001249DC" w:rsidRPr="002F0A09">
              <w:rPr>
                <w:rFonts w:cs="Arial"/>
                <w:noProof/>
                <w:webHidden/>
              </w:rPr>
              <w:fldChar w:fldCharType="end"/>
            </w:r>
          </w:hyperlink>
        </w:p>
        <w:p w14:paraId="79BB050F" w14:textId="203E1078" w:rsidR="001249DC" w:rsidRPr="002F0A09" w:rsidRDefault="00B9689E" w:rsidP="002F0A09">
          <w:pPr>
            <w:pStyle w:val="TOC3"/>
            <w:tabs>
              <w:tab w:val="right" w:leader="dot" w:pos="9350"/>
            </w:tabs>
            <w:rPr>
              <w:rFonts w:eastAsiaTheme="minorEastAsia" w:cs="Arial"/>
              <w:noProof/>
              <w:sz w:val="22"/>
              <w:szCs w:val="22"/>
              <w:lang w:bidi="ar-SA"/>
            </w:rPr>
          </w:pPr>
          <w:hyperlink w:anchor="_Toc223122490" w:history="1">
            <w:r w:rsidR="001249DC" w:rsidRPr="002F0A09">
              <w:rPr>
                <w:rStyle w:val="Hyperlink"/>
                <w:rFonts w:cs="Arial"/>
                <w:noProof/>
                <w:color w:val="auto"/>
              </w:rPr>
              <w:t>3.3 Related and supporting industries</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_Toc223122490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9</w:t>
            </w:r>
            <w:r w:rsidR="001249DC" w:rsidRPr="002F0A09">
              <w:rPr>
                <w:rFonts w:cs="Arial"/>
                <w:noProof/>
                <w:webHidden/>
              </w:rPr>
              <w:fldChar w:fldCharType="end"/>
            </w:r>
          </w:hyperlink>
        </w:p>
        <w:p w14:paraId="16BE16CC" w14:textId="03D1497B" w:rsidR="001249DC" w:rsidRPr="002F0A09" w:rsidRDefault="00B9689E" w:rsidP="002F0A09">
          <w:pPr>
            <w:pStyle w:val="TOC3"/>
            <w:tabs>
              <w:tab w:val="right" w:leader="dot" w:pos="9350"/>
            </w:tabs>
            <w:rPr>
              <w:rFonts w:eastAsiaTheme="minorEastAsia" w:cs="Arial"/>
              <w:noProof/>
              <w:sz w:val="22"/>
              <w:szCs w:val="22"/>
              <w:lang w:bidi="ar-SA"/>
            </w:rPr>
          </w:pPr>
          <w:hyperlink w:anchor="_Toc223122491" w:history="1">
            <w:r w:rsidR="001249DC" w:rsidRPr="002F0A09">
              <w:rPr>
                <w:rStyle w:val="Hyperlink"/>
                <w:rFonts w:cs="Arial"/>
                <w:noProof/>
                <w:color w:val="auto"/>
              </w:rPr>
              <w:t>3.4 Firm strategy, structure, and rivalry</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_Toc223122491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9</w:t>
            </w:r>
            <w:r w:rsidR="001249DC" w:rsidRPr="002F0A09">
              <w:rPr>
                <w:rFonts w:cs="Arial"/>
                <w:noProof/>
                <w:webHidden/>
              </w:rPr>
              <w:fldChar w:fldCharType="end"/>
            </w:r>
          </w:hyperlink>
        </w:p>
        <w:p w14:paraId="157D5DD0" w14:textId="00EF1397" w:rsidR="001249DC" w:rsidRPr="002F0A09" w:rsidRDefault="00B9689E" w:rsidP="002F0A09">
          <w:pPr>
            <w:pStyle w:val="TOC3"/>
            <w:tabs>
              <w:tab w:val="right" w:leader="dot" w:pos="9350"/>
            </w:tabs>
            <w:rPr>
              <w:rFonts w:eastAsiaTheme="minorEastAsia" w:cs="Arial"/>
              <w:noProof/>
              <w:sz w:val="22"/>
              <w:szCs w:val="22"/>
              <w:lang w:bidi="ar-SA"/>
            </w:rPr>
          </w:pPr>
          <w:hyperlink w:anchor="_Toc223122492" w:history="1">
            <w:r w:rsidR="001249DC" w:rsidRPr="002F0A09">
              <w:rPr>
                <w:rStyle w:val="Hyperlink"/>
                <w:rFonts w:cs="Arial"/>
                <w:noProof/>
                <w:color w:val="auto"/>
              </w:rPr>
              <w:t>3.5 Government</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_Toc223122492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10</w:t>
            </w:r>
            <w:r w:rsidR="001249DC" w:rsidRPr="002F0A09">
              <w:rPr>
                <w:rFonts w:cs="Arial"/>
                <w:noProof/>
                <w:webHidden/>
              </w:rPr>
              <w:fldChar w:fldCharType="end"/>
            </w:r>
          </w:hyperlink>
        </w:p>
        <w:p w14:paraId="0584B5E7" w14:textId="74FFFB08" w:rsidR="001249DC" w:rsidRPr="002F0A09" w:rsidRDefault="00B9689E" w:rsidP="002F0A09">
          <w:pPr>
            <w:pStyle w:val="TOC3"/>
            <w:tabs>
              <w:tab w:val="right" w:leader="dot" w:pos="9350"/>
            </w:tabs>
            <w:rPr>
              <w:rFonts w:eastAsiaTheme="minorEastAsia" w:cs="Arial"/>
              <w:noProof/>
              <w:sz w:val="22"/>
              <w:szCs w:val="22"/>
              <w:lang w:bidi="ar-SA"/>
            </w:rPr>
          </w:pPr>
          <w:hyperlink w:anchor="_Toc223122493" w:history="1">
            <w:r w:rsidR="001249DC" w:rsidRPr="002F0A09">
              <w:rPr>
                <w:rStyle w:val="Hyperlink"/>
                <w:rFonts w:cs="Arial"/>
                <w:noProof/>
                <w:color w:val="auto"/>
              </w:rPr>
              <w:t>3.6 Chance</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_Toc223122493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10</w:t>
            </w:r>
            <w:r w:rsidR="001249DC" w:rsidRPr="002F0A09">
              <w:rPr>
                <w:rFonts w:cs="Arial"/>
                <w:noProof/>
                <w:webHidden/>
              </w:rPr>
              <w:fldChar w:fldCharType="end"/>
            </w:r>
          </w:hyperlink>
        </w:p>
        <w:p w14:paraId="4F432161" w14:textId="60F54AC4" w:rsidR="001249DC" w:rsidRPr="002F0A09" w:rsidRDefault="00B9689E" w:rsidP="002F0A09">
          <w:pPr>
            <w:pStyle w:val="TOC3"/>
            <w:tabs>
              <w:tab w:val="right" w:leader="dot" w:pos="9350"/>
            </w:tabs>
            <w:rPr>
              <w:rFonts w:eastAsiaTheme="minorEastAsia" w:cs="Arial"/>
              <w:noProof/>
              <w:sz w:val="22"/>
              <w:szCs w:val="22"/>
              <w:lang w:bidi="ar-SA"/>
            </w:rPr>
          </w:pPr>
          <w:hyperlink w:anchor="_Toc223122494" w:history="1">
            <w:r w:rsidR="001249DC" w:rsidRPr="002F0A09">
              <w:rPr>
                <w:rStyle w:val="Hyperlink"/>
                <w:rFonts w:cs="Arial"/>
                <w:noProof/>
                <w:color w:val="auto"/>
              </w:rPr>
              <w:t>3.7 Overall competitiveness judgment</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_Toc223122494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11</w:t>
            </w:r>
            <w:r w:rsidR="001249DC" w:rsidRPr="002F0A09">
              <w:rPr>
                <w:rFonts w:cs="Arial"/>
                <w:noProof/>
                <w:webHidden/>
              </w:rPr>
              <w:fldChar w:fldCharType="end"/>
            </w:r>
          </w:hyperlink>
        </w:p>
        <w:p w14:paraId="5D64647F" w14:textId="2D220DDC" w:rsidR="001249DC" w:rsidRPr="002F0A09" w:rsidRDefault="00B9689E" w:rsidP="002F0A09">
          <w:pPr>
            <w:pStyle w:val="TOC2"/>
            <w:tabs>
              <w:tab w:val="right" w:leader="dot" w:pos="9350"/>
            </w:tabs>
            <w:rPr>
              <w:rFonts w:eastAsiaTheme="minorEastAsia" w:cs="Arial"/>
              <w:noProof/>
              <w:sz w:val="22"/>
              <w:szCs w:val="22"/>
              <w:lang w:bidi="ar-SA"/>
            </w:rPr>
          </w:pPr>
          <w:hyperlink w:anchor="_Toc223122495" w:history="1">
            <w:r w:rsidR="001249DC" w:rsidRPr="002F0A09">
              <w:rPr>
                <w:rStyle w:val="Hyperlink"/>
                <w:rFonts w:cs="Arial"/>
                <w:noProof/>
                <w:color w:val="auto"/>
              </w:rPr>
              <w:t>4. Foreign MNC case (Nissan in Mexico)</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_Toc223122495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12</w:t>
            </w:r>
            <w:r w:rsidR="001249DC" w:rsidRPr="002F0A09">
              <w:rPr>
                <w:rFonts w:cs="Arial"/>
                <w:noProof/>
                <w:webHidden/>
              </w:rPr>
              <w:fldChar w:fldCharType="end"/>
            </w:r>
          </w:hyperlink>
        </w:p>
        <w:p w14:paraId="6F70494E" w14:textId="751FEC27" w:rsidR="001249DC" w:rsidRPr="002F0A09" w:rsidRDefault="00B9689E" w:rsidP="002F0A09">
          <w:pPr>
            <w:pStyle w:val="TOC3"/>
            <w:tabs>
              <w:tab w:val="right" w:leader="dot" w:pos="9350"/>
            </w:tabs>
            <w:rPr>
              <w:rFonts w:eastAsiaTheme="minorEastAsia" w:cs="Arial"/>
              <w:noProof/>
              <w:sz w:val="22"/>
              <w:szCs w:val="22"/>
              <w:lang w:bidi="ar-SA"/>
            </w:rPr>
          </w:pPr>
          <w:hyperlink w:anchor="_Toc223122496" w:history="1">
            <w:r w:rsidR="001249DC" w:rsidRPr="002F0A09">
              <w:rPr>
                <w:rStyle w:val="Hyperlink"/>
                <w:rFonts w:cs="Arial"/>
                <w:noProof/>
                <w:color w:val="auto"/>
              </w:rPr>
              <w:t>4.1 Company profile and Mexico strategy: Nissan</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_Toc223122496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12</w:t>
            </w:r>
            <w:r w:rsidR="001249DC" w:rsidRPr="002F0A09">
              <w:rPr>
                <w:rFonts w:cs="Arial"/>
                <w:noProof/>
                <w:webHidden/>
              </w:rPr>
              <w:fldChar w:fldCharType="end"/>
            </w:r>
          </w:hyperlink>
        </w:p>
        <w:p w14:paraId="41B92820" w14:textId="1D88347C" w:rsidR="001249DC" w:rsidRPr="002F0A09" w:rsidRDefault="00B9689E" w:rsidP="002F0A09">
          <w:pPr>
            <w:pStyle w:val="TOC3"/>
            <w:tabs>
              <w:tab w:val="right" w:leader="dot" w:pos="9350"/>
            </w:tabs>
            <w:rPr>
              <w:rFonts w:eastAsiaTheme="minorEastAsia" w:cs="Arial"/>
              <w:noProof/>
              <w:sz w:val="22"/>
              <w:szCs w:val="22"/>
              <w:lang w:bidi="ar-SA"/>
            </w:rPr>
          </w:pPr>
          <w:hyperlink w:anchor="_Toc223122497" w:history="1">
            <w:r w:rsidR="001249DC" w:rsidRPr="002F0A09">
              <w:rPr>
                <w:rStyle w:val="Hyperlink"/>
                <w:rFonts w:cs="Arial"/>
                <w:noProof/>
                <w:color w:val="auto"/>
              </w:rPr>
              <w:t>4.2 Entry mode and operating model</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_Toc223122497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13</w:t>
            </w:r>
            <w:r w:rsidR="001249DC" w:rsidRPr="002F0A09">
              <w:rPr>
                <w:rFonts w:cs="Arial"/>
                <w:noProof/>
                <w:webHidden/>
              </w:rPr>
              <w:fldChar w:fldCharType="end"/>
            </w:r>
          </w:hyperlink>
        </w:p>
        <w:p w14:paraId="774537F3" w14:textId="781BB52A" w:rsidR="001249DC" w:rsidRPr="002F0A09" w:rsidRDefault="00B9689E" w:rsidP="002F0A09">
          <w:pPr>
            <w:pStyle w:val="TOC3"/>
            <w:tabs>
              <w:tab w:val="right" w:leader="dot" w:pos="9350"/>
            </w:tabs>
            <w:rPr>
              <w:rFonts w:eastAsiaTheme="minorEastAsia" w:cs="Arial"/>
              <w:noProof/>
              <w:sz w:val="22"/>
              <w:szCs w:val="22"/>
              <w:lang w:bidi="ar-SA"/>
            </w:rPr>
          </w:pPr>
          <w:hyperlink w:anchor="_Toc223122498" w:history="1">
            <w:r w:rsidR="001249DC" w:rsidRPr="002F0A09">
              <w:rPr>
                <w:rStyle w:val="Hyperlink"/>
                <w:rFonts w:cs="Arial"/>
                <w:noProof/>
                <w:color w:val="auto"/>
              </w:rPr>
              <w:t>4.3 Market attractiveness (PESTLE)</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_Toc223122498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14</w:t>
            </w:r>
            <w:r w:rsidR="001249DC" w:rsidRPr="002F0A09">
              <w:rPr>
                <w:rFonts w:cs="Arial"/>
                <w:noProof/>
                <w:webHidden/>
              </w:rPr>
              <w:fldChar w:fldCharType="end"/>
            </w:r>
          </w:hyperlink>
        </w:p>
        <w:p w14:paraId="35806DCC" w14:textId="4A001223" w:rsidR="001249DC" w:rsidRPr="002F0A09" w:rsidRDefault="00B9689E" w:rsidP="002F0A09">
          <w:pPr>
            <w:pStyle w:val="TOC3"/>
            <w:tabs>
              <w:tab w:val="right" w:leader="dot" w:pos="9350"/>
            </w:tabs>
            <w:rPr>
              <w:rFonts w:eastAsiaTheme="minorEastAsia" w:cs="Arial"/>
              <w:noProof/>
              <w:sz w:val="22"/>
              <w:szCs w:val="22"/>
              <w:lang w:bidi="ar-SA"/>
            </w:rPr>
          </w:pPr>
          <w:hyperlink w:anchor="_Toc223122499" w:history="1">
            <w:r w:rsidR="001249DC" w:rsidRPr="002F0A09">
              <w:rPr>
                <w:rStyle w:val="Hyperlink"/>
                <w:rFonts w:cs="Arial"/>
                <w:noProof/>
                <w:color w:val="auto"/>
              </w:rPr>
              <w:t>4.4 Industry structure (Porter Five Forces)</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_Toc223122499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18</w:t>
            </w:r>
            <w:r w:rsidR="001249DC" w:rsidRPr="002F0A09">
              <w:rPr>
                <w:rFonts w:cs="Arial"/>
                <w:noProof/>
                <w:webHidden/>
              </w:rPr>
              <w:fldChar w:fldCharType="end"/>
            </w:r>
          </w:hyperlink>
        </w:p>
        <w:p w14:paraId="1B010327" w14:textId="4DE11BE0" w:rsidR="001249DC" w:rsidRPr="002F0A09" w:rsidRDefault="00B9689E" w:rsidP="002F0A09">
          <w:pPr>
            <w:pStyle w:val="TOC3"/>
            <w:tabs>
              <w:tab w:val="right" w:leader="dot" w:pos="9350"/>
            </w:tabs>
            <w:rPr>
              <w:rFonts w:eastAsiaTheme="minorEastAsia" w:cs="Arial"/>
              <w:noProof/>
              <w:sz w:val="22"/>
              <w:szCs w:val="22"/>
              <w:lang w:bidi="ar-SA"/>
            </w:rPr>
          </w:pPr>
          <w:hyperlink w:anchor="_Toc223122500" w:history="1">
            <w:r w:rsidR="001249DC" w:rsidRPr="002F0A09">
              <w:rPr>
                <w:rStyle w:val="Hyperlink"/>
                <w:rFonts w:cs="Arial"/>
                <w:noProof/>
                <w:color w:val="auto"/>
              </w:rPr>
              <w:t>4.5 Success factors and risks for Nissan in Mexico</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_Toc223122500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19</w:t>
            </w:r>
            <w:r w:rsidR="001249DC" w:rsidRPr="002F0A09">
              <w:rPr>
                <w:rFonts w:cs="Arial"/>
                <w:noProof/>
                <w:webHidden/>
              </w:rPr>
              <w:fldChar w:fldCharType="end"/>
            </w:r>
          </w:hyperlink>
        </w:p>
        <w:p w14:paraId="10E2B30E" w14:textId="6DE563A6" w:rsidR="001249DC" w:rsidRPr="002F0A09" w:rsidRDefault="00B9689E" w:rsidP="002F0A09">
          <w:pPr>
            <w:pStyle w:val="TOC3"/>
            <w:tabs>
              <w:tab w:val="right" w:leader="dot" w:pos="9350"/>
            </w:tabs>
            <w:rPr>
              <w:rFonts w:eastAsiaTheme="minorEastAsia" w:cs="Arial"/>
              <w:noProof/>
              <w:sz w:val="22"/>
              <w:szCs w:val="22"/>
              <w:lang w:bidi="ar-SA"/>
            </w:rPr>
          </w:pPr>
          <w:hyperlink w:anchor="_Toc223122501" w:history="1">
            <w:r w:rsidR="001249DC" w:rsidRPr="002F0A09">
              <w:rPr>
                <w:rStyle w:val="Hyperlink"/>
                <w:rFonts w:cs="Arial"/>
                <w:noProof/>
                <w:color w:val="auto"/>
              </w:rPr>
              <w:t>4.6 Recommendations</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_Toc223122501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21</w:t>
            </w:r>
            <w:r w:rsidR="001249DC" w:rsidRPr="002F0A09">
              <w:rPr>
                <w:rFonts w:cs="Arial"/>
                <w:noProof/>
                <w:webHidden/>
              </w:rPr>
              <w:fldChar w:fldCharType="end"/>
            </w:r>
          </w:hyperlink>
        </w:p>
        <w:p w14:paraId="63FBE94A" w14:textId="50E091E3" w:rsidR="001249DC" w:rsidRPr="002F0A09" w:rsidRDefault="00B9689E" w:rsidP="002F0A09">
          <w:pPr>
            <w:pStyle w:val="TOC1"/>
            <w:tabs>
              <w:tab w:val="right" w:leader="dot" w:pos="9350"/>
            </w:tabs>
            <w:rPr>
              <w:rFonts w:eastAsiaTheme="minorEastAsia" w:cs="Arial"/>
              <w:noProof/>
              <w:sz w:val="22"/>
              <w:szCs w:val="22"/>
              <w:lang w:bidi="ar-SA"/>
            </w:rPr>
          </w:pPr>
          <w:hyperlink w:anchor="_Toc223122502" w:history="1">
            <w:r w:rsidR="001249DC" w:rsidRPr="002F0A09">
              <w:rPr>
                <w:rStyle w:val="Hyperlink"/>
                <w:rFonts w:cs="Arial"/>
                <w:noProof/>
                <w:color w:val="auto"/>
              </w:rPr>
              <w:t>5.0 Conclusion</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_Toc223122502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22</w:t>
            </w:r>
            <w:r w:rsidR="001249DC" w:rsidRPr="002F0A09">
              <w:rPr>
                <w:rFonts w:cs="Arial"/>
                <w:noProof/>
                <w:webHidden/>
              </w:rPr>
              <w:fldChar w:fldCharType="end"/>
            </w:r>
          </w:hyperlink>
        </w:p>
        <w:p w14:paraId="5231A77B" w14:textId="0A9BF6C3" w:rsidR="001249DC" w:rsidRPr="002F0A09" w:rsidRDefault="00B9689E" w:rsidP="002F0A09">
          <w:pPr>
            <w:pStyle w:val="TOC1"/>
            <w:tabs>
              <w:tab w:val="right" w:leader="dot" w:pos="9350"/>
            </w:tabs>
            <w:rPr>
              <w:rFonts w:eastAsiaTheme="minorEastAsia" w:cs="Arial"/>
              <w:noProof/>
              <w:sz w:val="22"/>
              <w:szCs w:val="22"/>
              <w:lang w:bidi="ar-SA"/>
            </w:rPr>
          </w:pPr>
          <w:hyperlink w:anchor="_Toc223122503" w:history="1">
            <w:r w:rsidR="001249DC" w:rsidRPr="002F0A09">
              <w:rPr>
                <w:rStyle w:val="Hyperlink"/>
                <w:rFonts w:cs="Arial"/>
                <w:noProof/>
                <w:color w:val="auto"/>
              </w:rPr>
              <w:t>SECTION 2: Reflective Account (Gibbs)</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_Toc223122503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23</w:t>
            </w:r>
            <w:r w:rsidR="001249DC" w:rsidRPr="002F0A09">
              <w:rPr>
                <w:rFonts w:cs="Arial"/>
                <w:noProof/>
                <w:webHidden/>
              </w:rPr>
              <w:fldChar w:fldCharType="end"/>
            </w:r>
          </w:hyperlink>
        </w:p>
        <w:p w14:paraId="55F2ED3A" w14:textId="40C174CE" w:rsidR="001249DC" w:rsidRPr="002F0A09" w:rsidRDefault="00B9689E" w:rsidP="002F0A09">
          <w:pPr>
            <w:pStyle w:val="TOC2"/>
            <w:tabs>
              <w:tab w:val="right" w:leader="dot" w:pos="9350"/>
            </w:tabs>
            <w:rPr>
              <w:rFonts w:eastAsiaTheme="minorEastAsia" w:cs="Arial"/>
              <w:noProof/>
              <w:sz w:val="22"/>
              <w:szCs w:val="22"/>
              <w:lang w:bidi="ar-SA"/>
            </w:rPr>
          </w:pPr>
          <w:hyperlink w:anchor="_Toc223122504" w:history="1">
            <w:r w:rsidR="001249DC" w:rsidRPr="002F0A09">
              <w:rPr>
                <w:rStyle w:val="Hyperlink"/>
                <w:rFonts w:cs="Arial"/>
                <w:noProof/>
                <w:color w:val="auto"/>
              </w:rPr>
              <w:t>1.0 Description</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_Toc223122504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23</w:t>
            </w:r>
            <w:r w:rsidR="001249DC" w:rsidRPr="002F0A09">
              <w:rPr>
                <w:rFonts w:cs="Arial"/>
                <w:noProof/>
                <w:webHidden/>
              </w:rPr>
              <w:fldChar w:fldCharType="end"/>
            </w:r>
          </w:hyperlink>
        </w:p>
        <w:p w14:paraId="6383B837" w14:textId="683A40BF" w:rsidR="001249DC" w:rsidRPr="002F0A09" w:rsidRDefault="00B9689E" w:rsidP="002F0A09">
          <w:pPr>
            <w:pStyle w:val="TOC2"/>
            <w:tabs>
              <w:tab w:val="right" w:leader="dot" w:pos="9350"/>
            </w:tabs>
            <w:rPr>
              <w:rFonts w:eastAsiaTheme="minorEastAsia" w:cs="Arial"/>
              <w:noProof/>
              <w:sz w:val="22"/>
              <w:szCs w:val="22"/>
              <w:lang w:bidi="ar-SA"/>
            </w:rPr>
          </w:pPr>
          <w:hyperlink w:anchor="_Toc223122505" w:history="1">
            <w:r w:rsidR="001249DC" w:rsidRPr="002F0A09">
              <w:rPr>
                <w:rStyle w:val="Hyperlink"/>
                <w:rFonts w:cs="Arial"/>
                <w:noProof/>
                <w:color w:val="auto"/>
              </w:rPr>
              <w:t>2.0 Feelings</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_Toc223122505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23</w:t>
            </w:r>
            <w:r w:rsidR="001249DC" w:rsidRPr="002F0A09">
              <w:rPr>
                <w:rFonts w:cs="Arial"/>
                <w:noProof/>
                <w:webHidden/>
              </w:rPr>
              <w:fldChar w:fldCharType="end"/>
            </w:r>
          </w:hyperlink>
        </w:p>
        <w:p w14:paraId="4F3EF045" w14:textId="2BE13C72" w:rsidR="001249DC" w:rsidRPr="002F0A09" w:rsidRDefault="00B9689E" w:rsidP="002F0A09">
          <w:pPr>
            <w:pStyle w:val="TOC2"/>
            <w:tabs>
              <w:tab w:val="right" w:leader="dot" w:pos="9350"/>
            </w:tabs>
            <w:rPr>
              <w:rFonts w:eastAsiaTheme="minorEastAsia" w:cs="Arial"/>
              <w:noProof/>
              <w:sz w:val="22"/>
              <w:szCs w:val="22"/>
              <w:lang w:bidi="ar-SA"/>
            </w:rPr>
          </w:pPr>
          <w:hyperlink w:anchor="_Toc223122506" w:history="1">
            <w:r w:rsidR="001249DC" w:rsidRPr="002F0A09">
              <w:rPr>
                <w:rStyle w:val="Hyperlink"/>
                <w:rFonts w:cs="Arial"/>
                <w:noProof/>
                <w:color w:val="auto"/>
              </w:rPr>
              <w:t>3.0 Evaluation</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_Toc223122506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24</w:t>
            </w:r>
            <w:r w:rsidR="001249DC" w:rsidRPr="002F0A09">
              <w:rPr>
                <w:rFonts w:cs="Arial"/>
                <w:noProof/>
                <w:webHidden/>
              </w:rPr>
              <w:fldChar w:fldCharType="end"/>
            </w:r>
          </w:hyperlink>
        </w:p>
        <w:p w14:paraId="3C945C2F" w14:textId="318A60BD" w:rsidR="001249DC" w:rsidRPr="002F0A09" w:rsidRDefault="00B9689E" w:rsidP="002F0A09">
          <w:pPr>
            <w:pStyle w:val="TOC2"/>
            <w:tabs>
              <w:tab w:val="right" w:leader="dot" w:pos="9350"/>
            </w:tabs>
            <w:rPr>
              <w:rFonts w:eastAsiaTheme="minorEastAsia" w:cs="Arial"/>
              <w:noProof/>
              <w:sz w:val="22"/>
              <w:szCs w:val="22"/>
              <w:lang w:bidi="ar-SA"/>
            </w:rPr>
          </w:pPr>
          <w:hyperlink w:anchor="_Toc223122507" w:history="1">
            <w:r w:rsidR="001249DC" w:rsidRPr="002F0A09">
              <w:rPr>
                <w:rStyle w:val="Hyperlink"/>
                <w:rFonts w:cs="Arial"/>
                <w:noProof/>
                <w:color w:val="auto"/>
              </w:rPr>
              <w:t>4.0 Analysis</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_Toc223122507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24</w:t>
            </w:r>
            <w:r w:rsidR="001249DC" w:rsidRPr="002F0A09">
              <w:rPr>
                <w:rFonts w:cs="Arial"/>
                <w:noProof/>
                <w:webHidden/>
              </w:rPr>
              <w:fldChar w:fldCharType="end"/>
            </w:r>
          </w:hyperlink>
        </w:p>
        <w:p w14:paraId="22A15E1A" w14:textId="552DEB6D" w:rsidR="001249DC" w:rsidRPr="002F0A09" w:rsidRDefault="00B9689E" w:rsidP="002F0A09">
          <w:pPr>
            <w:pStyle w:val="TOC2"/>
            <w:tabs>
              <w:tab w:val="right" w:leader="dot" w:pos="9350"/>
            </w:tabs>
            <w:rPr>
              <w:rFonts w:eastAsiaTheme="minorEastAsia" w:cs="Arial"/>
              <w:noProof/>
              <w:sz w:val="22"/>
              <w:szCs w:val="22"/>
              <w:lang w:bidi="ar-SA"/>
            </w:rPr>
          </w:pPr>
          <w:hyperlink w:anchor="_Toc223122508" w:history="1">
            <w:r w:rsidR="001249DC" w:rsidRPr="002F0A09">
              <w:rPr>
                <w:rStyle w:val="Hyperlink"/>
                <w:rFonts w:cs="Arial"/>
                <w:noProof/>
                <w:color w:val="auto"/>
              </w:rPr>
              <w:t>5.0 Conclusion</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_Toc223122508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25</w:t>
            </w:r>
            <w:r w:rsidR="001249DC" w:rsidRPr="002F0A09">
              <w:rPr>
                <w:rFonts w:cs="Arial"/>
                <w:noProof/>
                <w:webHidden/>
              </w:rPr>
              <w:fldChar w:fldCharType="end"/>
            </w:r>
          </w:hyperlink>
        </w:p>
        <w:p w14:paraId="23A3DBEC" w14:textId="0E509DBF" w:rsidR="001249DC" w:rsidRPr="002F0A09" w:rsidRDefault="00B9689E" w:rsidP="002F0A09">
          <w:pPr>
            <w:pStyle w:val="TOC2"/>
            <w:tabs>
              <w:tab w:val="right" w:leader="dot" w:pos="9350"/>
            </w:tabs>
            <w:rPr>
              <w:rFonts w:eastAsiaTheme="minorEastAsia" w:cs="Arial"/>
              <w:noProof/>
              <w:sz w:val="22"/>
              <w:szCs w:val="22"/>
              <w:lang w:bidi="ar-SA"/>
            </w:rPr>
          </w:pPr>
          <w:hyperlink w:anchor="_Toc223122509" w:history="1">
            <w:r w:rsidR="001249DC" w:rsidRPr="002F0A09">
              <w:rPr>
                <w:rStyle w:val="Hyperlink"/>
                <w:rFonts w:cs="Arial"/>
                <w:noProof/>
                <w:color w:val="auto"/>
              </w:rPr>
              <w:t>6.0 Action Plan</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_Toc223122509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25</w:t>
            </w:r>
            <w:r w:rsidR="001249DC" w:rsidRPr="002F0A09">
              <w:rPr>
                <w:rFonts w:cs="Arial"/>
                <w:noProof/>
                <w:webHidden/>
              </w:rPr>
              <w:fldChar w:fldCharType="end"/>
            </w:r>
          </w:hyperlink>
        </w:p>
        <w:p w14:paraId="6038A35B" w14:textId="47F7E2D3" w:rsidR="001249DC" w:rsidRPr="002F0A09" w:rsidRDefault="00B9689E" w:rsidP="002F0A09">
          <w:pPr>
            <w:pStyle w:val="TOC1"/>
            <w:tabs>
              <w:tab w:val="right" w:leader="dot" w:pos="9350"/>
            </w:tabs>
            <w:rPr>
              <w:rFonts w:eastAsiaTheme="minorEastAsia" w:cs="Arial"/>
              <w:noProof/>
              <w:sz w:val="22"/>
              <w:szCs w:val="22"/>
              <w:lang w:bidi="ar-SA"/>
            </w:rPr>
          </w:pPr>
          <w:hyperlink w:anchor="_Toc223122510" w:history="1">
            <w:r w:rsidR="001249DC" w:rsidRPr="002F0A09">
              <w:rPr>
                <w:rStyle w:val="Hyperlink"/>
                <w:rFonts w:cs="Arial"/>
                <w:noProof/>
                <w:color w:val="auto"/>
              </w:rPr>
              <w:t>References</w:t>
            </w:r>
            <w:r w:rsidR="001249DC" w:rsidRPr="002F0A09">
              <w:rPr>
                <w:rFonts w:cs="Arial"/>
                <w:noProof/>
                <w:webHidden/>
              </w:rPr>
              <w:tab/>
            </w:r>
            <w:r w:rsidR="001249DC" w:rsidRPr="002F0A09">
              <w:rPr>
                <w:rFonts w:cs="Arial"/>
                <w:noProof/>
                <w:webHidden/>
              </w:rPr>
              <w:fldChar w:fldCharType="begin"/>
            </w:r>
            <w:r w:rsidR="001249DC" w:rsidRPr="002F0A09">
              <w:rPr>
                <w:rFonts w:cs="Arial"/>
                <w:noProof/>
                <w:webHidden/>
              </w:rPr>
              <w:instrText xml:space="preserve"> PAGEREF _Toc223122510 \h </w:instrText>
            </w:r>
            <w:r w:rsidR="001249DC" w:rsidRPr="002F0A09">
              <w:rPr>
                <w:rFonts w:cs="Arial"/>
                <w:noProof/>
                <w:webHidden/>
              </w:rPr>
            </w:r>
            <w:r w:rsidR="001249DC" w:rsidRPr="002F0A09">
              <w:rPr>
                <w:rFonts w:cs="Arial"/>
                <w:noProof/>
                <w:webHidden/>
              </w:rPr>
              <w:fldChar w:fldCharType="separate"/>
            </w:r>
            <w:r w:rsidR="00DA58CC">
              <w:rPr>
                <w:rFonts w:cs="Arial"/>
                <w:noProof/>
                <w:webHidden/>
              </w:rPr>
              <w:t>27</w:t>
            </w:r>
            <w:r w:rsidR="001249DC" w:rsidRPr="002F0A09">
              <w:rPr>
                <w:rFonts w:cs="Arial"/>
                <w:noProof/>
                <w:webHidden/>
              </w:rPr>
              <w:fldChar w:fldCharType="end"/>
            </w:r>
          </w:hyperlink>
        </w:p>
        <w:p w14:paraId="31186EC4" w14:textId="77777777" w:rsidR="00325144" w:rsidRDefault="001249DC" w:rsidP="002F0A09">
          <w:pPr>
            <w:rPr>
              <w:rFonts w:cs="Arial"/>
              <w:b/>
              <w:bCs/>
              <w:noProof/>
            </w:rPr>
          </w:pPr>
          <w:r w:rsidRPr="002F0A09">
            <w:rPr>
              <w:rFonts w:cs="Arial"/>
              <w:b/>
              <w:bCs/>
              <w:noProof/>
            </w:rPr>
            <w:fldChar w:fldCharType="end"/>
          </w:r>
        </w:p>
        <w:p w14:paraId="7634C043" w14:textId="357C0566" w:rsidR="00D03140" w:rsidRPr="00325144" w:rsidRDefault="00325144" w:rsidP="002F0A09">
          <w:pPr>
            <w:rPr>
              <w:noProof/>
            </w:rPr>
          </w:pPr>
          <w:r w:rsidRPr="00325144">
            <w:rPr>
              <w:rFonts w:cs="Arial"/>
              <w:b/>
              <w:bCs/>
              <w:noProof/>
              <w:sz w:val="28"/>
              <w:szCs w:val="32"/>
            </w:rPr>
            <w:t xml:space="preserve">List of Tables </w:t>
          </w:r>
          <w:r w:rsidR="00D03140" w:rsidRPr="00325144">
            <w:rPr>
              <w:rFonts w:cs="Arial"/>
              <w:b/>
              <w:bCs/>
              <w:noProof/>
            </w:rPr>
            <w:fldChar w:fldCharType="begin"/>
          </w:r>
          <w:r w:rsidR="00D03140" w:rsidRPr="00325144">
            <w:rPr>
              <w:rFonts w:cs="Arial"/>
              <w:b/>
              <w:bCs/>
              <w:noProof/>
            </w:rPr>
            <w:instrText xml:space="preserve"> TOC \h \z \c "Table" </w:instrText>
          </w:r>
          <w:r w:rsidR="00D03140" w:rsidRPr="00325144">
            <w:rPr>
              <w:rFonts w:cs="Arial"/>
              <w:b/>
              <w:bCs/>
              <w:noProof/>
            </w:rPr>
            <w:fldChar w:fldCharType="separate"/>
          </w:r>
        </w:p>
        <w:p w14:paraId="60C0B8EF" w14:textId="77777777" w:rsidR="00D03140" w:rsidRPr="00325144" w:rsidRDefault="00B9689E">
          <w:pPr>
            <w:pStyle w:val="TableofFigures"/>
            <w:tabs>
              <w:tab w:val="right" w:leader="dot" w:pos="9350"/>
            </w:tabs>
            <w:rPr>
              <w:rFonts w:asciiTheme="minorHAnsi" w:eastAsiaTheme="minorEastAsia" w:hAnsiTheme="minorHAnsi" w:cstheme="minorBidi"/>
              <w:noProof/>
              <w:sz w:val="22"/>
              <w:szCs w:val="22"/>
              <w:lang w:bidi="ar-SA"/>
            </w:rPr>
          </w:pPr>
          <w:hyperlink w:anchor="_Toc224835999" w:history="1">
            <w:r w:rsidR="00D03140" w:rsidRPr="00325144">
              <w:rPr>
                <w:rStyle w:val="Hyperlink"/>
                <w:rFonts w:cs="Arial"/>
                <w:i/>
                <w:noProof/>
              </w:rPr>
              <w:t xml:space="preserve">Table 1: </w:t>
            </w:r>
            <w:r w:rsidR="00D03140" w:rsidRPr="00325144">
              <w:rPr>
                <w:rStyle w:val="Hyperlink"/>
                <w:rFonts w:eastAsia="Times New Roman" w:cs="Arial"/>
                <w:i/>
                <w:noProof/>
              </w:rPr>
              <w:t>Mexico light-vehicle production and exports (annual totals or 12-month rolling sums), 2015–2024/2025 (Author)</w:t>
            </w:r>
            <w:r w:rsidR="00D03140" w:rsidRPr="00325144">
              <w:rPr>
                <w:noProof/>
                <w:webHidden/>
              </w:rPr>
              <w:tab/>
            </w:r>
            <w:r w:rsidR="00D03140" w:rsidRPr="00325144">
              <w:rPr>
                <w:noProof/>
                <w:webHidden/>
              </w:rPr>
              <w:fldChar w:fldCharType="begin"/>
            </w:r>
            <w:r w:rsidR="00D03140" w:rsidRPr="00325144">
              <w:rPr>
                <w:noProof/>
                <w:webHidden/>
              </w:rPr>
              <w:instrText xml:space="preserve"> PAGEREF _Toc224835999 \h </w:instrText>
            </w:r>
            <w:r w:rsidR="00D03140" w:rsidRPr="00325144">
              <w:rPr>
                <w:noProof/>
                <w:webHidden/>
              </w:rPr>
            </w:r>
            <w:r w:rsidR="00D03140" w:rsidRPr="00325144">
              <w:rPr>
                <w:noProof/>
                <w:webHidden/>
              </w:rPr>
              <w:fldChar w:fldCharType="separate"/>
            </w:r>
            <w:r w:rsidR="00D03140" w:rsidRPr="00325144">
              <w:rPr>
                <w:noProof/>
                <w:webHidden/>
              </w:rPr>
              <w:t>6</w:t>
            </w:r>
            <w:r w:rsidR="00D03140" w:rsidRPr="00325144">
              <w:rPr>
                <w:noProof/>
                <w:webHidden/>
              </w:rPr>
              <w:fldChar w:fldCharType="end"/>
            </w:r>
          </w:hyperlink>
        </w:p>
        <w:p w14:paraId="5C83868F" w14:textId="77777777" w:rsidR="00D03140" w:rsidRPr="00325144" w:rsidRDefault="00B9689E">
          <w:pPr>
            <w:pStyle w:val="TableofFigures"/>
            <w:tabs>
              <w:tab w:val="right" w:leader="dot" w:pos="9350"/>
            </w:tabs>
            <w:rPr>
              <w:rFonts w:asciiTheme="minorHAnsi" w:eastAsiaTheme="minorEastAsia" w:hAnsiTheme="minorHAnsi" w:cstheme="minorBidi"/>
              <w:noProof/>
              <w:sz w:val="22"/>
              <w:szCs w:val="22"/>
              <w:lang w:bidi="ar-SA"/>
            </w:rPr>
          </w:pPr>
          <w:hyperlink w:anchor="_Toc224836000" w:history="1">
            <w:r w:rsidR="00D03140" w:rsidRPr="00325144">
              <w:rPr>
                <w:rStyle w:val="Hyperlink"/>
                <w:rFonts w:cs="Arial"/>
                <w:i/>
                <w:noProof/>
              </w:rPr>
              <w:t xml:space="preserve">Table 2: </w:t>
            </w:r>
            <w:r w:rsidR="00D03140" w:rsidRPr="00325144">
              <w:rPr>
                <w:rStyle w:val="Hyperlink"/>
                <w:rFonts w:eastAsia="Times New Roman" w:cs="Arial"/>
                <w:i/>
                <w:noProof/>
              </w:rPr>
              <w:t>Competitive Positioning of Major OEMs in Mexico (2024)</w:t>
            </w:r>
            <w:r w:rsidR="00D03140" w:rsidRPr="00325144">
              <w:rPr>
                <w:rStyle w:val="Hyperlink"/>
                <w:noProof/>
              </w:rPr>
              <w:t xml:space="preserve"> </w:t>
            </w:r>
            <w:r w:rsidR="00D03140" w:rsidRPr="00325144">
              <w:rPr>
                <w:rStyle w:val="Hyperlink"/>
                <w:rFonts w:eastAsia="Times New Roman" w:cs="Arial"/>
                <w:i/>
                <w:noProof/>
              </w:rPr>
              <w:t>(MarkLines , 2025; Promexico Industry, 2025)</w:t>
            </w:r>
            <w:r w:rsidR="00D03140" w:rsidRPr="00325144">
              <w:rPr>
                <w:noProof/>
                <w:webHidden/>
              </w:rPr>
              <w:tab/>
            </w:r>
            <w:r w:rsidR="00D03140" w:rsidRPr="00325144">
              <w:rPr>
                <w:noProof/>
                <w:webHidden/>
              </w:rPr>
              <w:fldChar w:fldCharType="begin"/>
            </w:r>
            <w:r w:rsidR="00D03140" w:rsidRPr="00325144">
              <w:rPr>
                <w:noProof/>
                <w:webHidden/>
              </w:rPr>
              <w:instrText xml:space="preserve"> PAGEREF _Toc224836000 \h </w:instrText>
            </w:r>
            <w:r w:rsidR="00D03140" w:rsidRPr="00325144">
              <w:rPr>
                <w:noProof/>
                <w:webHidden/>
              </w:rPr>
            </w:r>
            <w:r w:rsidR="00D03140" w:rsidRPr="00325144">
              <w:rPr>
                <w:noProof/>
                <w:webHidden/>
              </w:rPr>
              <w:fldChar w:fldCharType="separate"/>
            </w:r>
            <w:r w:rsidR="00D03140" w:rsidRPr="00325144">
              <w:rPr>
                <w:noProof/>
                <w:webHidden/>
              </w:rPr>
              <w:t>7</w:t>
            </w:r>
            <w:r w:rsidR="00D03140" w:rsidRPr="00325144">
              <w:rPr>
                <w:noProof/>
                <w:webHidden/>
              </w:rPr>
              <w:fldChar w:fldCharType="end"/>
            </w:r>
          </w:hyperlink>
        </w:p>
        <w:p w14:paraId="3CCDFEB5" w14:textId="77777777" w:rsidR="00D03140" w:rsidRPr="00325144" w:rsidRDefault="00B9689E">
          <w:pPr>
            <w:pStyle w:val="TableofFigures"/>
            <w:tabs>
              <w:tab w:val="right" w:leader="dot" w:pos="9350"/>
            </w:tabs>
            <w:rPr>
              <w:rFonts w:asciiTheme="minorHAnsi" w:eastAsiaTheme="minorEastAsia" w:hAnsiTheme="minorHAnsi" w:cstheme="minorBidi"/>
              <w:noProof/>
              <w:sz w:val="22"/>
              <w:szCs w:val="22"/>
              <w:lang w:bidi="ar-SA"/>
            </w:rPr>
          </w:pPr>
          <w:hyperlink w:anchor="_Toc224836001" w:history="1">
            <w:r w:rsidR="00D03140" w:rsidRPr="00325144">
              <w:rPr>
                <w:rStyle w:val="Hyperlink"/>
                <w:rFonts w:cs="Arial"/>
                <w:i/>
                <w:noProof/>
              </w:rPr>
              <w:t>Table 3: Porter’s Five Forces (Mexico automotive manufacturing) (Author)</w:t>
            </w:r>
            <w:r w:rsidR="00D03140" w:rsidRPr="00325144">
              <w:rPr>
                <w:noProof/>
                <w:webHidden/>
              </w:rPr>
              <w:tab/>
            </w:r>
            <w:r w:rsidR="00D03140" w:rsidRPr="00325144">
              <w:rPr>
                <w:noProof/>
                <w:webHidden/>
              </w:rPr>
              <w:fldChar w:fldCharType="begin"/>
            </w:r>
            <w:r w:rsidR="00D03140" w:rsidRPr="00325144">
              <w:rPr>
                <w:noProof/>
                <w:webHidden/>
              </w:rPr>
              <w:instrText xml:space="preserve"> PAGEREF _Toc224836001 \h </w:instrText>
            </w:r>
            <w:r w:rsidR="00D03140" w:rsidRPr="00325144">
              <w:rPr>
                <w:noProof/>
                <w:webHidden/>
              </w:rPr>
            </w:r>
            <w:r w:rsidR="00D03140" w:rsidRPr="00325144">
              <w:rPr>
                <w:noProof/>
                <w:webHidden/>
              </w:rPr>
              <w:fldChar w:fldCharType="separate"/>
            </w:r>
            <w:r w:rsidR="00D03140" w:rsidRPr="00325144">
              <w:rPr>
                <w:noProof/>
                <w:webHidden/>
              </w:rPr>
              <w:t>18</w:t>
            </w:r>
            <w:r w:rsidR="00D03140" w:rsidRPr="00325144">
              <w:rPr>
                <w:noProof/>
                <w:webHidden/>
              </w:rPr>
              <w:fldChar w:fldCharType="end"/>
            </w:r>
          </w:hyperlink>
        </w:p>
        <w:p w14:paraId="45B128AA" w14:textId="67B24224" w:rsidR="00D03140" w:rsidRPr="00325144" w:rsidRDefault="00D03140" w:rsidP="002F0A09">
          <w:pPr>
            <w:rPr>
              <w:rFonts w:cs="Arial"/>
              <w:b/>
              <w:bCs/>
              <w:noProof/>
              <w:sz w:val="28"/>
              <w:szCs w:val="32"/>
            </w:rPr>
          </w:pPr>
          <w:r w:rsidRPr="00325144">
            <w:rPr>
              <w:rFonts w:cs="Arial"/>
              <w:b/>
              <w:bCs/>
              <w:noProof/>
            </w:rPr>
            <w:fldChar w:fldCharType="end"/>
          </w:r>
          <w:r w:rsidR="00325144" w:rsidRPr="00325144">
            <w:rPr>
              <w:rFonts w:cs="Arial"/>
              <w:b/>
              <w:bCs/>
              <w:noProof/>
              <w:sz w:val="28"/>
              <w:szCs w:val="32"/>
            </w:rPr>
            <w:t>Table of Figures</w:t>
          </w:r>
        </w:p>
        <w:p w14:paraId="748D4F31" w14:textId="7337E676" w:rsidR="00D03140" w:rsidRDefault="00D03140">
          <w:pPr>
            <w:pStyle w:val="TableofFigures"/>
            <w:tabs>
              <w:tab w:val="right" w:leader="dot" w:pos="9350"/>
            </w:tabs>
            <w:rPr>
              <w:rFonts w:asciiTheme="minorHAnsi" w:eastAsiaTheme="minorEastAsia" w:hAnsiTheme="minorHAnsi" w:cstheme="minorBidi"/>
              <w:noProof/>
              <w:sz w:val="22"/>
              <w:szCs w:val="22"/>
              <w:lang w:bidi="ar-SA"/>
            </w:rPr>
          </w:pPr>
          <w:r>
            <w:rPr>
              <w:rFonts w:cs="Arial"/>
            </w:rPr>
            <w:fldChar w:fldCharType="begin"/>
          </w:r>
          <w:r>
            <w:rPr>
              <w:rFonts w:cs="Arial"/>
            </w:rPr>
            <w:instrText xml:space="preserve"> TOC \h \z \c "Figure" </w:instrText>
          </w:r>
          <w:r>
            <w:rPr>
              <w:rFonts w:cs="Arial"/>
            </w:rPr>
            <w:fldChar w:fldCharType="separate"/>
          </w:r>
          <w:hyperlink w:anchor="_Toc224836006" w:history="1">
            <w:r w:rsidRPr="00D03140">
              <w:rPr>
                <w:rStyle w:val="Hyperlink"/>
                <w:rFonts w:cs="Arial"/>
                <w:i/>
                <w:noProof/>
              </w:rPr>
              <w:t xml:space="preserve">Figure 1: </w:t>
            </w:r>
            <w:r w:rsidRPr="00D03140">
              <w:rPr>
                <w:rStyle w:val="Hyperlink"/>
                <w:rFonts w:cs="Arial"/>
                <w:bCs/>
                <w:i/>
                <w:noProof/>
                <w:shd w:val="clear" w:color="auto" w:fill="FFFFFF"/>
              </w:rPr>
              <w:t xml:space="preserve">Mexico Automotive </w:t>
            </w:r>
            <w:r w:rsidR="005B7685">
              <w:rPr>
                <w:rStyle w:val="Hyperlink"/>
                <w:rFonts w:cs="Arial"/>
                <w:bCs/>
                <w:i/>
                <w:noProof/>
                <w:shd w:val="clear" w:color="auto" w:fill="FFFFFF"/>
              </w:rPr>
              <w:t>and</w:t>
            </w:r>
            <w:r w:rsidRPr="00D03140">
              <w:rPr>
                <w:rStyle w:val="Hyperlink"/>
                <w:rFonts w:cs="Arial"/>
                <w:bCs/>
                <w:i/>
                <w:noProof/>
                <w:shd w:val="clear" w:color="auto" w:fill="FFFFFF"/>
              </w:rPr>
              <w:t xml:space="preserve"> Auto Parts Industry: Driving Manufacturing Growth (Reuters, 2025)</w:t>
            </w:r>
            <w:r>
              <w:rPr>
                <w:noProof/>
                <w:webHidden/>
              </w:rPr>
              <w:tab/>
            </w:r>
            <w:r>
              <w:rPr>
                <w:noProof/>
                <w:webHidden/>
              </w:rPr>
              <w:fldChar w:fldCharType="begin"/>
            </w:r>
            <w:r>
              <w:rPr>
                <w:noProof/>
                <w:webHidden/>
              </w:rPr>
              <w:instrText xml:space="preserve"> PAGEREF _Toc224836006 \h </w:instrText>
            </w:r>
            <w:r>
              <w:rPr>
                <w:noProof/>
                <w:webHidden/>
              </w:rPr>
            </w:r>
            <w:r>
              <w:rPr>
                <w:noProof/>
                <w:webHidden/>
              </w:rPr>
              <w:fldChar w:fldCharType="separate"/>
            </w:r>
            <w:r>
              <w:rPr>
                <w:noProof/>
                <w:webHidden/>
              </w:rPr>
              <w:t>2</w:t>
            </w:r>
            <w:r>
              <w:rPr>
                <w:noProof/>
                <w:webHidden/>
              </w:rPr>
              <w:fldChar w:fldCharType="end"/>
            </w:r>
          </w:hyperlink>
        </w:p>
        <w:p w14:paraId="6C240010" w14:textId="77777777" w:rsidR="00D03140" w:rsidRDefault="00B9689E">
          <w:pPr>
            <w:pStyle w:val="TableofFigures"/>
            <w:tabs>
              <w:tab w:val="right" w:leader="dot" w:pos="9350"/>
            </w:tabs>
            <w:rPr>
              <w:rFonts w:asciiTheme="minorHAnsi" w:eastAsiaTheme="minorEastAsia" w:hAnsiTheme="minorHAnsi" w:cstheme="minorBidi"/>
              <w:noProof/>
              <w:sz w:val="22"/>
              <w:szCs w:val="22"/>
              <w:lang w:bidi="ar-SA"/>
            </w:rPr>
          </w:pPr>
          <w:hyperlink w:anchor="_Toc224836007" w:history="1">
            <w:r w:rsidR="00D03140" w:rsidRPr="00926CAF">
              <w:rPr>
                <w:rStyle w:val="Hyperlink"/>
                <w:rFonts w:cs="Arial"/>
                <w:i/>
                <w:noProof/>
              </w:rPr>
              <w:t>Figure 2: Mexico’s GDP growth remains positive but volatile (World Bank, 2026)</w:t>
            </w:r>
            <w:r w:rsidR="00D03140">
              <w:rPr>
                <w:noProof/>
                <w:webHidden/>
              </w:rPr>
              <w:tab/>
            </w:r>
            <w:r w:rsidR="00D03140">
              <w:rPr>
                <w:noProof/>
                <w:webHidden/>
              </w:rPr>
              <w:fldChar w:fldCharType="begin"/>
            </w:r>
            <w:r w:rsidR="00D03140">
              <w:rPr>
                <w:noProof/>
                <w:webHidden/>
              </w:rPr>
              <w:instrText xml:space="preserve"> PAGEREF _Toc224836007 \h </w:instrText>
            </w:r>
            <w:r w:rsidR="00D03140">
              <w:rPr>
                <w:noProof/>
                <w:webHidden/>
              </w:rPr>
            </w:r>
            <w:r w:rsidR="00D03140">
              <w:rPr>
                <w:noProof/>
                <w:webHidden/>
              </w:rPr>
              <w:fldChar w:fldCharType="separate"/>
            </w:r>
            <w:r w:rsidR="00D03140">
              <w:rPr>
                <w:noProof/>
                <w:webHidden/>
              </w:rPr>
              <w:t>3</w:t>
            </w:r>
            <w:r w:rsidR="00D03140">
              <w:rPr>
                <w:noProof/>
                <w:webHidden/>
              </w:rPr>
              <w:fldChar w:fldCharType="end"/>
            </w:r>
          </w:hyperlink>
        </w:p>
        <w:p w14:paraId="3C2349FE" w14:textId="77777777" w:rsidR="00D03140" w:rsidRDefault="00B9689E">
          <w:pPr>
            <w:pStyle w:val="TableofFigures"/>
            <w:tabs>
              <w:tab w:val="right" w:leader="dot" w:pos="9350"/>
            </w:tabs>
            <w:rPr>
              <w:rFonts w:asciiTheme="minorHAnsi" w:eastAsiaTheme="minorEastAsia" w:hAnsiTheme="minorHAnsi" w:cstheme="minorBidi"/>
              <w:noProof/>
              <w:sz w:val="22"/>
              <w:szCs w:val="22"/>
              <w:lang w:bidi="ar-SA"/>
            </w:rPr>
          </w:pPr>
          <w:hyperlink w:anchor="_Toc224836008" w:history="1">
            <w:r w:rsidR="00D03140" w:rsidRPr="00926CAF">
              <w:rPr>
                <w:rStyle w:val="Hyperlink"/>
                <w:i/>
                <w:noProof/>
              </w:rPr>
              <w:t>Figure 3: Passenger Vehicles Industry in Mexico (Prodensa, 2025)</w:t>
            </w:r>
            <w:r w:rsidR="00D03140">
              <w:rPr>
                <w:noProof/>
                <w:webHidden/>
              </w:rPr>
              <w:tab/>
            </w:r>
            <w:r w:rsidR="00D03140">
              <w:rPr>
                <w:noProof/>
                <w:webHidden/>
              </w:rPr>
              <w:fldChar w:fldCharType="begin"/>
            </w:r>
            <w:r w:rsidR="00D03140">
              <w:rPr>
                <w:noProof/>
                <w:webHidden/>
              </w:rPr>
              <w:instrText xml:space="preserve"> PAGEREF _Toc224836008 \h </w:instrText>
            </w:r>
            <w:r w:rsidR="00D03140">
              <w:rPr>
                <w:noProof/>
                <w:webHidden/>
              </w:rPr>
            </w:r>
            <w:r w:rsidR="00D03140">
              <w:rPr>
                <w:noProof/>
                <w:webHidden/>
              </w:rPr>
              <w:fldChar w:fldCharType="separate"/>
            </w:r>
            <w:r w:rsidR="00D03140">
              <w:rPr>
                <w:noProof/>
                <w:webHidden/>
              </w:rPr>
              <w:t>4</w:t>
            </w:r>
            <w:r w:rsidR="00D03140">
              <w:rPr>
                <w:noProof/>
                <w:webHidden/>
              </w:rPr>
              <w:fldChar w:fldCharType="end"/>
            </w:r>
          </w:hyperlink>
        </w:p>
        <w:p w14:paraId="30DA6992" w14:textId="77777777" w:rsidR="00D03140" w:rsidRDefault="00B9689E">
          <w:pPr>
            <w:pStyle w:val="TableofFigures"/>
            <w:tabs>
              <w:tab w:val="right" w:leader="dot" w:pos="9350"/>
            </w:tabs>
            <w:rPr>
              <w:rFonts w:asciiTheme="minorHAnsi" w:eastAsiaTheme="minorEastAsia" w:hAnsiTheme="minorHAnsi" w:cstheme="minorBidi"/>
              <w:noProof/>
              <w:sz w:val="22"/>
              <w:szCs w:val="22"/>
              <w:lang w:bidi="ar-SA"/>
            </w:rPr>
          </w:pPr>
          <w:hyperlink w:anchor="_Toc224836009" w:history="1">
            <w:r w:rsidR="00D03140" w:rsidRPr="00926CAF">
              <w:rPr>
                <w:rStyle w:val="Hyperlink"/>
                <w:i/>
                <w:noProof/>
              </w:rPr>
              <w:t>Figure 4: Annual production volumes (number of vehicles) in Mexico’s automotive industry, 2015–2024 (CEIC Data, 2025)</w:t>
            </w:r>
            <w:r w:rsidR="00D03140">
              <w:rPr>
                <w:noProof/>
                <w:webHidden/>
              </w:rPr>
              <w:tab/>
            </w:r>
            <w:r w:rsidR="00D03140">
              <w:rPr>
                <w:noProof/>
                <w:webHidden/>
              </w:rPr>
              <w:fldChar w:fldCharType="begin"/>
            </w:r>
            <w:r w:rsidR="00D03140">
              <w:rPr>
                <w:noProof/>
                <w:webHidden/>
              </w:rPr>
              <w:instrText xml:space="preserve"> PAGEREF _Toc224836009 \h </w:instrText>
            </w:r>
            <w:r w:rsidR="00D03140">
              <w:rPr>
                <w:noProof/>
                <w:webHidden/>
              </w:rPr>
            </w:r>
            <w:r w:rsidR="00D03140">
              <w:rPr>
                <w:noProof/>
                <w:webHidden/>
              </w:rPr>
              <w:fldChar w:fldCharType="separate"/>
            </w:r>
            <w:r w:rsidR="00D03140">
              <w:rPr>
                <w:noProof/>
                <w:webHidden/>
              </w:rPr>
              <w:t>5</w:t>
            </w:r>
            <w:r w:rsidR="00D03140">
              <w:rPr>
                <w:noProof/>
                <w:webHidden/>
              </w:rPr>
              <w:fldChar w:fldCharType="end"/>
            </w:r>
          </w:hyperlink>
        </w:p>
        <w:p w14:paraId="4610C6C7" w14:textId="77777777" w:rsidR="00D03140" w:rsidRDefault="00B9689E">
          <w:pPr>
            <w:pStyle w:val="TableofFigures"/>
            <w:tabs>
              <w:tab w:val="right" w:leader="dot" w:pos="9350"/>
            </w:tabs>
            <w:rPr>
              <w:rFonts w:asciiTheme="minorHAnsi" w:eastAsiaTheme="minorEastAsia" w:hAnsiTheme="minorHAnsi" w:cstheme="minorBidi"/>
              <w:noProof/>
              <w:sz w:val="22"/>
              <w:szCs w:val="22"/>
              <w:lang w:bidi="ar-SA"/>
            </w:rPr>
          </w:pPr>
          <w:hyperlink w:anchor="_Toc224836010" w:history="1">
            <w:r w:rsidR="00D03140" w:rsidRPr="00926CAF">
              <w:rPr>
                <w:rStyle w:val="Hyperlink"/>
                <w:rFonts w:cs="Arial"/>
                <w:i/>
                <w:noProof/>
              </w:rPr>
              <w:t>Figure 5: Porter’s Diamond Model of national advantage, Mexico’s automotive manufacturing competitiveness (International Trade Administration, 2026)</w:t>
            </w:r>
            <w:r w:rsidR="00D03140">
              <w:rPr>
                <w:noProof/>
                <w:webHidden/>
              </w:rPr>
              <w:tab/>
            </w:r>
            <w:r w:rsidR="00D03140">
              <w:rPr>
                <w:noProof/>
                <w:webHidden/>
              </w:rPr>
              <w:fldChar w:fldCharType="begin"/>
            </w:r>
            <w:r w:rsidR="00D03140">
              <w:rPr>
                <w:noProof/>
                <w:webHidden/>
              </w:rPr>
              <w:instrText xml:space="preserve"> PAGEREF _Toc224836010 \h </w:instrText>
            </w:r>
            <w:r w:rsidR="00D03140">
              <w:rPr>
                <w:noProof/>
                <w:webHidden/>
              </w:rPr>
            </w:r>
            <w:r w:rsidR="00D03140">
              <w:rPr>
                <w:noProof/>
                <w:webHidden/>
              </w:rPr>
              <w:fldChar w:fldCharType="separate"/>
            </w:r>
            <w:r w:rsidR="00D03140">
              <w:rPr>
                <w:noProof/>
                <w:webHidden/>
              </w:rPr>
              <w:t>9</w:t>
            </w:r>
            <w:r w:rsidR="00D03140">
              <w:rPr>
                <w:noProof/>
                <w:webHidden/>
              </w:rPr>
              <w:fldChar w:fldCharType="end"/>
            </w:r>
          </w:hyperlink>
        </w:p>
        <w:p w14:paraId="0CA697BD" w14:textId="77777777" w:rsidR="00D03140" w:rsidRDefault="00B9689E">
          <w:pPr>
            <w:pStyle w:val="TableofFigures"/>
            <w:tabs>
              <w:tab w:val="right" w:leader="dot" w:pos="9350"/>
            </w:tabs>
            <w:rPr>
              <w:rFonts w:asciiTheme="minorHAnsi" w:eastAsiaTheme="minorEastAsia" w:hAnsiTheme="minorHAnsi" w:cstheme="minorBidi"/>
              <w:noProof/>
              <w:sz w:val="22"/>
              <w:szCs w:val="22"/>
              <w:lang w:bidi="ar-SA"/>
            </w:rPr>
          </w:pPr>
          <w:hyperlink r:id="rId9" w:anchor="_Toc224836011" w:history="1">
            <w:r w:rsidR="00D03140" w:rsidRPr="00926CAF">
              <w:rPr>
                <w:rStyle w:val="Hyperlink"/>
                <w:i/>
                <w:noProof/>
              </w:rPr>
              <w:t>Figure 6: Mexican Exec Leads Nissan, Strengthening Mexico Auto Ties (International Trade Administration, 2025)</w:t>
            </w:r>
            <w:r w:rsidR="00D03140">
              <w:rPr>
                <w:noProof/>
                <w:webHidden/>
              </w:rPr>
              <w:tab/>
            </w:r>
            <w:r w:rsidR="00D03140">
              <w:rPr>
                <w:noProof/>
                <w:webHidden/>
              </w:rPr>
              <w:fldChar w:fldCharType="begin"/>
            </w:r>
            <w:r w:rsidR="00D03140">
              <w:rPr>
                <w:noProof/>
                <w:webHidden/>
              </w:rPr>
              <w:instrText xml:space="preserve"> PAGEREF _Toc224836011 \h </w:instrText>
            </w:r>
            <w:r w:rsidR="00D03140">
              <w:rPr>
                <w:noProof/>
                <w:webHidden/>
              </w:rPr>
            </w:r>
            <w:r w:rsidR="00D03140">
              <w:rPr>
                <w:noProof/>
                <w:webHidden/>
              </w:rPr>
              <w:fldChar w:fldCharType="separate"/>
            </w:r>
            <w:r w:rsidR="00D03140">
              <w:rPr>
                <w:noProof/>
                <w:webHidden/>
              </w:rPr>
              <w:t>12</w:t>
            </w:r>
            <w:r w:rsidR="00D03140">
              <w:rPr>
                <w:noProof/>
                <w:webHidden/>
              </w:rPr>
              <w:fldChar w:fldCharType="end"/>
            </w:r>
          </w:hyperlink>
        </w:p>
        <w:p w14:paraId="6E17E029" w14:textId="77777777" w:rsidR="00D03140" w:rsidRDefault="00B9689E">
          <w:pPr>
            <w:pStyle w:val="TableofFigures"/>
            <w:tabs>
              <w:tab w:val="right" w:leader="dot" w:pos="9350"/>
            </w:tabs>
            <w:rPr>
              <w:rFonts w:asciiTheme="minorHAnsi" w:eastAsiaTheme="minorEastAsia" w:hAnsiTheme="minorHAnsi" w:cstheme="minorBidi"/>
              <w:noProof/>
              <w:sz w:val="22"/>
              <w:szCs w:val="22"/>
              <w:lang w:bidi="ar-SA"/>
            </w:rPr>
          </w:pPr>
          <w:hyperlink w:anchor="_Toc224836012" w:history="1">
            <w:r w:rsidR="00D03140" w:rsidRPr="00926CAF">
              <w:rPr>
                <w:rStyle w:val="Hyperlink"/>
                <w:rFonts w:cs="Arial"/>
                <w:i/>
                <w:noProof/>
              </w:rPr>
              <w:t>Figure 7: Nissan Mexico model balances control and risk (Nissan, 2025)</w:t>
            </w:r>
            <w:r w:rsidR="00D03140">
              <w:rPr>
                <w:noProof/>
                <w:webHidden/>
              </w:rPr>
              <w:tab/>
            </w:r>
            <w:r w:rsidR="00D03140">
              <w:rPr>
                <w:noProof/>
                <w:webHidden/>
              </w:rPr>
              <w:fldChar w:fldCharType="begin"/>
            </w:r>
            <w:r w:rsidR="00D03140">
              <w:rPr>
                <w:noProof/>
                <w:webHidden/>
              </w:rPr>
              <w:instrText xml:space="preserve"> PAGEREF _Toc224836012 \h </w:instrText>
            </w:r>
            <w:r w:rsidR="00D03140">
              <w:rPr>
                <w:noProof/>
                <w:webHidden/>
              </w:rPr>
            </w:r>
            <w:r w:rsidR="00D03140">
              <w:rPr>
                <w:noProof/>
                <w:webHidden/>
              </w:rPr>
              <w:fldChar w:fldCharType="separate"/>
            </w:r>
            <w:r w:rsidR="00D03140">
              <w:rPr>
                <w:noProof/>
                <w:webHidden/>
              </w:rPr>
              <w:t>13</w:t>
            </w:r>
            <w:r w:rsidR="00D03140">
              <w:rPr>
                <w:noProof/>
                <w:webHidden/>
              </w:rPr>
              <w:fldChar w:fldCharType="end"/>
            </w:r>
          </w:hyperlink>
        </w:p>
        <w:p w14:paraId="24FF6F12" w14:textId="77777777" w:rsidR="00D03140" w:rsidRDefault="00B9689E">
          <w:pPr>
            <w:pStyle w:val="TableofFigures"/>
            <w:tabs>
              <w:tab w:val="right" w:leader="dot" w:pos="9350"/>
            </w:tabs>
            <w:rPr>
              <w:rFonts w:asciiTheme="minorHAnsi" w:eastAsiaTheme="minorEastAsia" w:hAnsiTheme="minorHAnsi" w:cstheme="minorBidi"/>
              <w:noProof/>
              <w:sz w:val="22"/>
              <w:szCs w:val="22"/>
              <w:lang w:bidi="ar-SA"/>
            </w:rPr>
          </w:pPr>
          <w:hyperlink w:anchor="_Toc224836013" w:history="1">
            <w:r w:rsidR="00D03140" w:rsidRPr="00926CAF">
              <w:rPr>
                <w:rStyle w:val="Hyperlink"/>
                <w:rFonts w:cs="Arial"/>
                <w:i/>
                <w:noProof/>
              </w:rPr>
              <w:t>Figure 8: Market attractiveness for Nissan in Mexico, PESTLE analysis (Author)</w:t>
            </w:r>
            <w:r w:rsidR="00D03140">
              <w:rPr>
                <w:noProof/>
                <w:webHidden/>
              </w:rPr>
              <w:tab/>
            </w:r>
            <w:r w:rsidR="00D03140">
              <w:rPr>
                <w:noProof/>
                <w:webHidden/>
              </w:rPr>
              <w:fldChar w:fldCharType="begin"/>
            </w:r>
            <w:r w:rsidR="00D03140">
              <w:rPr>
                <w:noProof/>
                <w:webHidden/>
              </w:rPr>
              <w:instrText xml:space="preserve"> PAGEREF _Toc224836013 \h </w:instrText>
            </w:r>
            <w:r w:rsidR="00D03140">
              <w:rPr>
                <w:noProof/>
                <w:webHidden/>
              </w:rPr>
            </w:r>
            <w:r w:rsidR="00D03140">
              <w:rPr>
                <w:noProof/>
                <w:webHidden/>
              </w:rPr>
              <w:fldChar w:fldCharType="separate"/>
            </w:r>
            <w:r w:rsidR="00D03140">
              <w:rPr>
                <w:noProof/>
                <w:webHidden/>
              </w:rPr>
              <w:t>16</w:t>
            </w:r>
            <w:r w:rsidR="00D03140">
              <w:rPr>
                <w:noProof/>
                <w:webHidden/>
              </w:rPr>
              <w:fldChar w:fldCharType="end"/>
            </w:r>
          </w:hyperlink>
        </w:p>
        <w:p w14:paraId="5A8FB883" w14:textId="3871E377" w:rsidR="006B2B18" w:rsidRPr="002F0A09" w:rsidRDefault="00D03140" w:rsidP="002F0A09">
          <w:pPr>
            <w:rPr>
              <w:rFonts w:cs="Arial"/>
            </w:rPr>
            <w:sectPr w:rsidR="006B2B18" w:rsidRPr="002F0A09">
              <w:pgSz w:w="12240" w:h="15840"/>
              <w:pgMar w:top="1440" w:right="1440" w:bottom="1440" w:left="1440" w:header="720" w:footer="720" w:gutter="0"/>
              <w:cols w:space="720"/>
              <w:docGrid w:linePitch="360"/>
            </w:sectPr>
          </w:pPr>
          <w:r>
            <w:rPr>
              <w:rFonts w:cs="Arial"/>
            </w:rPr>
            <w:fldChar w:fldCharType="end"/>
          </w:r>
        </w:p>
      </w:sdtContent>
    </w:sdt>
    <w:p w14:paraId="56A65AFF" w14:textId="77777777" w:rsidR="00FF7B98" w:rsidRPr="002F0A09" w:rsidRDefault="00F66F10" w:rsidP="002F0A09">
      <w:pPr>
        <w:pStyle w:val="Heading1"/>
        <w:rPr>
          <w:rFonts w:cs="Arial"/>
          <w:color w:val="auto"/>
        </w:rPr>
      </w:pPr>
      <w:bookmarkStart w:id="0" w:name="_Toc223122480"/>
      <w:r w:rsidRPr="002F0A09">
        <w:rPr>
          <w:rFonts w:cs="Arial"/>
          <w:color w:val="auto"/>
        </w:rPr>
        <w:lastRenderedPageBreak/>
        <w:t>SECTION 1: International Industry/Business Report</w:t>
      </w:r>
      <w:bookmarkEnd w:id="0"/>
    </w:p>
    <w:p w14:paraId="46FDC792" w14:textId="77777777" w:rsidR="00F66F10" w:rsidRPr="002F0A09" w:rsidRDefault="00C14115" w:rsidP="002F0A09">
      <w:pPr>
        <w:pStyle w:val="Heading2"/>
        <w:spacing w:line="360" w:lineRule="auto"/>
        <w:rPr>
          <w:rFonts w:cs="Arial"/>
        </w:rPr>
      </w:pPr>
      <w:bookmarkStart w:id="1" w:name="_Toc223122481"/>
      <w:r w:rsidRPr="002F0A09">
        <w:rPr>
          <w:rFonts w:cs="Arial"/>
        </w:rPr>
        <w:t xml:space="preserve">1.0 </w:t>
      </w:r>
      <w:r w:rsidR="00F66F10" w:rsidRPr="002F0A09">
        <w:rPr>
          <w:rFonts w:cs="Arial"/>
        </w:rPr>
        <w:t>Introduction</w:t>
      </w:r>
      <w:bookmarkEnd w:id="1"/>
    </w:p>
    <w:p w14:paraId="10DE0B34" w14:textId="77777777" w:rsidR="004C6819" w:rsidRPr="002F0A09" w:rsidRDefault="004C6819" w:rsidP="002F0A09">
      <w:pPr>
        <w:rPr>
          <w:rFonts w:eastAsia="Times New Roman" w:cs="Arial"/>
          <w:b/>
          <w:bCs/>
          <w:sz w:val="28"/>
          <w:szCs w:val="36"/>
          <w:lang w:bidi="ar-SA"/>
        </w:rPr>
      </w:pPr>
      <w:r w:rsidRPr="002F0A09">
        <w:rPr>
          <w:rFonts w:cs="Arial"/>
        </w:rPr>
        <w:t>The automotive manufacturing industry, which comprises two functional groups</w:t>
      </w:r>
      <w:r w:rsidR="00700F92" w:rsidRPr="002F0A09">
        <w:rPr>
          <w:rFonts w:cs="Arial"/>
        </w:rPr>
        <w:t xml:space="preserve">, </w:t>
      </w:r>
      <w:r w:rsidRPr="002F0A09">
        <w:rPr>
          <w:rFonts w:cs="Arial"/>
        </w:rPr>
        <w:t>vehicle production and the production of auto parts</w:t>
      </w:r>
      <w:r w:rsidR="00700F92" w:rsidRPr="002F0A09">
        <w:rPr>
          <w:rFonts w:cs="Arial"/>
        </w:rPr>
        <w:t xml:space="preserve"> which </w:t>
      </w:r>
      <w:r w:rsidRPr="002F0A09">
        <w:rPr>
          <w:rFonts w:cs="Arial"/>
        </w:rPr>
        <w:t>has displayed high competitiveness but also a structural weakness. It is also an industry with a high density of footprints of original equipment manufacturers and a strong tier-supplier base; about 79.7 per cent of the vehicle exports out of Mexico are to the United States (International Trade Administration, 202</w:t>
      </w:r>
      <w:r w:rsidR="00C14115" w:rsidRPr="002F0A09">
        <w:rPr>
          <w:rFonts w:cs="Arial"/>
        </w:rPr>
        <w:t>5</w:t>
      </w:r>
      <w:r w:rsidRPr="002F0A09">
        <w:rPr>
          <w:rFonts w:cs="Arial"/>
        </w:rPr>
        <w:t xml:space="preserve">). This report </w:t>
      </w:r>
      <w:proofErr w:type="spellStart"/>
      <w:r w:rsidRPr="002F0A09">
        <w:rPr>
          <w:rFonts w:cs="Arial"/>
        </w:rPr>
        <w:t>utilises</w:t>
      </w:r>
      <w:proofErr w:type="spellEnd"/>
      <w:r w:rsidRPr="002F0A09">
        <w:rPr>
          <w:rFonts w:cs="Arial"/>
        </w:rPr>
        <w:t xml:space="preserve"> the production, export, and domestic sales monthly series of INEGI to demonstrate the magnitude of the industry output and the correlations (cycle) (INEGI, </w:t>
      </w:r>
      <w:r w:rsidR="00C14115" w:rsidRPr="002F0A09">
        <w:rPr>
          <w:rFonts w:cs="Arial"/>
        </w:rPr>
        <w:t>2025</w:t>
      </w:r>
      <w:r w:rsidRPr="002F0A09">
        <w:rPr>
          <w:rFonts w:cs="Arial"/>
        </w:rPr>
        <w:t>). Moreover, the country of Mexico is also ranked globally base</w:t>
      </w:r>
      <w:r w:rsidR="00C14115" w:rsidRPr="002F0A09">
        <w:rPr>
          <w:rFonts w:cs="Arial"/>
        </w:rPr>
        <w:t>d on OICA production statistics (OICA, 2026)</w:t>
      </w:r>
      <w:r w:rsidRPr="002F0A09">
        <w:rPr>
          <w:rFonts w:cs="Arial"/>
        </w:rPr>
        <w:t>. It includes the evaluation of the institutional and policy risks, in particular, the upcoming joint review of the USMCA, which is scheduled to take place in July 2026 (International Trade Administration, 2026).</w:t>
      </w:r>
      <w:r w:rsidRPr="002F0A09">
        <w:rPr>
          <w:rFonts w:cs="Arial"/>
        </w:rPr>
        <w:br w:type="page"/>
      </w:r>
    </w:p>
    <w:p w14:paraId="3160713B" w14:textId="6C448FA1" w:rsidR="00F66F10" w:rsidRPr="002F0A09" w:rsidRDefault="00F66F10" w:rsidP="002F0A09">
      <w:pPr>
        <w:pStyle w:val="Heading2"/>
        <w:spacing w:line="360" w:lineRule="auto"/>
        <w:rPr>
          <w:rFonts w:cs="Arial"/>
        </w:rPr>
      </w:pPr>
      <w:bookmarkStart w:id="2" w:name="_Toc223122482"/>
      <w:r w:rsidRPr="002F0A09">
        <w:rPr>
          <w:rFonts w:cs="Arial"/>
        </w:rPr>
        <w:lastRenderedPageBreak/>
        <w:t>2. Industry and Country Overview (Mexico</w:t>
      </w:r>
      <w:r w:rsidR="004C6819" w:rsidRPr="002F0A09">
        <w:rPr>
          <w:rFonts w:cs="Arial"/>
        </w:rPr>
        <w:t>:</w:t>
      </w:r>
      <w:r w:rsidRPr="002F0A09">
        <w:rPr>
          <w:rFonts w:cs="Arial"/>
        </w:rPr>
        <w:t xml:space="preserve"> automotive vehicles </w:t>
      </w:r>
      <w:r w:rsidR="005B7685">
        <w:rPr>
          <w:rFonts w:cs="Arial"/>
        </w:rPr>
        <w:t>and</w:t>
      </w:r>
      <w:r w:rsidRPr="002F0A09">
        <w:rPr>
          <w:rFonts w:cs="Arial"/>
        </w:rPr>
        <w:t xml:space="preserve"> auto parts)</w:t>
      </w:r>
      <w:bookmarkEnd w:id="2"/>
    </w:p>
    <w:p w14:paraId="5BE4A5C5" w14:textId="77777777" w:rsidR="00B17C06" w:rsidRPr="002F0A09" w:rsidRDefault="00B17C06" w:rsidP="002F0A09">
      <w:pPr>
        <w:pStyle w:val="Heading3"/>
        <w:spacing w:line="360" w:lineRule="auto"/>
        <w:rPr>
          <w:rFonts w:cs="Arial"/>
        </w:rPr>
      </w:pPr>
      <w:bookmarkStart w:id="3" w:name="_Toc223122483"/>
      <w:r w:rsidRPr="002F0A09">
        <w:rPr>
          <w:rFonts w:cs="Arial"/>
        </w:rPr>
        <w:t>2.1 Mexico country context</w:t>
      </w:r>
      <w:bookmarkEnd w:id="3"/>
      <w:r w:rsidRPr="002F0A09">
        <w:rPr>
          <w:rFonts w:cs="Arial"/>
        </w:rPr>
        <w:t xml:space="preserve"> </w:t>
      </w:r>
    </w:p>
    <w:p w14:paraId="6DB85F63" w14:textId="77777777" w:rsidR="00E941CE" w:rsidRPr="002F0A09" w:rsidRDefault="00E941CE" w:rsidP="002F0A09">
      <w:pPr>
        <w:keepNext/>
        <w:rPr>
          <w:rFonts w:cs="Arial"/>
        </w:rPr>
      </w:pPr>
      <w:r w:rsidRPr="002F0A09">
        <w:rPr>
          <w:rFonts w:cs="Arial"/>
          <w:noProof/>
          <w:lang w:bidi="ar-SA"/>
        </w:rPr>
        <w:drawing>
          <wp:inline distT="0" distB="0" distL="0" distR="0" wp14:anchorId="7DB57380" wp14:editId="351CE67E">
            <wp:extent cx="5715000" cy="3810000"/>
            <wp:effectExtent l="0" t="0" r="0" b="0"/>
            <wp:docPr id="6" name="Picture 6" descr="Mexico Automotive &amp; Auto Parts Industry: Driving Manufacturing Growth -  Co-Production International,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xico Automotive &amp; Auto Parts Industry: Driving Manufacturing Growth -  Co-Production International, In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55305D96" w14:textId="5FA197EE" w:rsidR="00E941CE" w:rsidRPr="002F0A09" w:rsidRDefault="00E941CE" w:rsidP="002F0A09">
      <w:pPr>
        <w:jc w:val="center"/>
        <w:rPr>
          <w:rFonts w:cs="Arial"/>
          <w:b/>
          <w:i/>
          <w:sz w:val="18"/>
          <w:szCs w:val="18"/>
          <w:u w:val="single"/>
          <w:shd w:val="clear" w:color="auto" w:fill="FFFFFF"/>
        </w:rPr>
      </w:pPr>
      <w:bookmarkStart w:id="4" w:name="_Toc223287012"/>
      <w:bookmarkStart w:id="5" w:name="_Toc224836006"/>
      <w:r w:rsidRPr="002F0A09">
        <w:rPr>
          <w:rFonts w:cs="Arial"/>
          <w:b/>
          <w:i/>
          <w:sz w:val="18"/>
          <w:szCs w:val="18"/>
        </w:rPr>
        <w:t xml:space="preserve">Figure </w:t>
      </w:r>
      <w:r w:rsidRPr="002F0A09">
        <w:rPr>
          <w:rFonts w:cs="Arial"/>
          <w:b/>
          <w:i/>
          <w:sz w:val="18"/>
          <w:szCs w:val="18"/>
        </w:rPr>
        <w:fldChar w:fldCharType="begin"/>
      </w:r>
      <w:r w:rsidRPr="002F0A09">
        <w:rPr>
          <w:rFonts w:cs="Arial"/>
          <w:b/>
          <w:i/>
          <w:sz w:val="18"/>
          <w:szCs w:val="18"/>
        </w:rPr>
        <w:instrText xml:space="preserve"> SEQ Figure \* ARABIC </w:instrText>
      </w:r>
      <w:r w:rsidRPr="002F0A09">
        <w:rPr>
          <w:rFonts w:cs="Arial"/>
          <w:b/>
          <w:i/>
          <w:sz w:val="18"/>
          <w:szCs w:val="18"/>
        </w:rPr>
        <w:fldChar w:fldCharType="separate"/>
      </w:r>
      <w:r w:rsidR="00D55594">
        <w:rPr>
          <w:rFonts w:cs="Arial"/>
          <w:b/>
          <w:i/>
          <w:noProof/>
          <w:sz w:val="18"/>
          <w:szCs w:val="18"/>
        </w:rPr>
        <w:t>1</w:t>
      </w:r>
      <w:r w:rsidRPr="002F0A09">
        <w:rPr>
          <w:rFonts w:cs="Arial"/>
          <w:b/>
          <w:i/>
          <w:sz w:val="18"/>
          <w:szCs w:val="18"/>
        </w:rPr>
        <w:fldChar w:fldCharType="end"/>
      </w:r>
      <w:r w:rsidRPr="002F0A09">
        <w:rPr>
          <w:rFonts w:cs="Arial"/>
          <w:b/>
          <w:i/>
          <w:sz w:val="18"/>
          <w:szCs w:val="18"/>
        </w:rPr>
        <w:t xml:space="preserve">: </w:t>
      </w:r>
      <w:r w:rsidRPr="002F0A09">
        <w:rPr>
          <w:rFonts w:cs="Arial"/>
          <w:b/>
          <w:i/>
          <w:sz w:val="18"/>
          <w:szCs w:val="18"/>
        </w:rPr>
        <w:fldChar w:fldCharType="begin"/>
      </w:r>
      <w:r w:rsidRPr="002F0A09">
        <w:rPr>
          <w:rFonts w:cs="Arial"/>
          <w:b/>
          <w:i/>
          <w:sz w:val="18"/>
          <w:szCs w:val="18"/>
        </w:rPr>
        <w:instrText xml:space="preserve"> HYPERLINK "https://www.co-production.net/manufacturing-in-mexico/manufacturing-industries/mexico-automotive-auto-parts-industry.html" \t "_blank" </w:instrText>
      </w:r>
      <w:r w:rsidRPr="002F0A09">
        <w:rPr>
          <w:rFonts w:cs="Arial"/>
          <w:b/>
          <w:i/>
          <w:sz w:val="18"/>
          <w:szCs w:val="18"/>
        </w:rPr>
        <w:fldChar w:fldCharType="separate"/>
      </w:r>
      <w:r w:rsidRPr="002F0A09">
        <w:rPr>
          <w:rFonts w:cs="Arial"/>
          <w:b/>
          <w:bCs/>
          <w:i/>
          <w:sz w:val="18"/>
          <w:szCs w:val="18"/>
          <w:shd w:val="clear" w:color="auto" w:fill="FFFFFF"/>
        </w:rPr>
        <w:t xml:space="preserve">Mexico Automotive </w:t>
      </w:r>
      <w:r w:rsidR="005B7685">
        <w:rPr>
          <w:rFonts w:cs="Arial"/>
          <w:b/>
          <w:bCs/>
          <w:i/>
          <w:sz w:val="18"/>
          <w:szCs w:val="18"/>
          <w:shd w:val="clear" w:color="auto" w:fill="FFFFFF"/>
        </w:rPr>
        <w:t>and</w:t>
      </w:r>
      <w:r w:rsidRPr="002F0A09">
        <w:rPr>
          <w:rFonts w:cs="Arial"/>
          <w:b/>
          <w:bCs/>
          <w:i/>
          <w:sz w:val="18"/>
          <w:szCs w:val="18"/>
          <w:shd w:val="clear" w:color="auto" w:fill="FFFFFF"/>
        </w:rPr>
        <w:t xml:space="preserve"> Auto Parts Industry: Driving Manufacturing Growth (Reuters, 2025)</w:t>
      </w:r>
      <w:bookmarkEnd w:id="4"/>
      <w:bookmarkEnd w:id="5"/>
    </w:p>
    <w:p w14:paraId="3B8330D0" w14:textId="77777777" w:rsidR="00E941CE" w:rsidRPr="002F0A09" w:rsidRDefault="00E941CE" w:rsidP="002F0A09">
      <w:pPr>
        <w:pStyle w:val="Caption"/>
        <w:spacing w:line="360" w:lineRule="auto"/>
        <w:jc w:val="center"/>
        <w:rPr>
          <w:rFonts w:cs="Arial"/>
          <w:color w:val="auto"/>
        </w:rPr>
      </w:pPr>
      <w:r w:rsidRPr="002F0A09">
        <w:rPr>
          <w:rFonts w:cs="Arial"/>
          <w:i/>
          <w:color w:val="auto"/>
          <w:szCs w:val="18"/>
        </w:rPr>
        <w:fldChar w:fldCharType="end"/>
      </w:r>
    </w:p>
    <w:p w14:paraId="32F475ED" w14:textId="77777777" w:rsidR="003A56B9" w:rsidRPr="002F0A09" w:rsidRDefault="00B17C06" w:rsidP="002F0A09">
      <w:pPr>
        <w:rPr>
          <w:rFonts w:cs="Arial"/>
          <w:lang w:bidi="ar-SA"/>
        </w:rPr>
      </w:pPr>
      <w:r w:rsidRPr="002F0A09">
        <w:rPr>
          <w:rFonts w:cs="Arial"/>
          <w:lang w:bidi="ar-SA"/>
        </w:rPr>
        <w:t xml:space="preserve">Automobile manufacturing in Mexico can be understood best as an export-style genre that is incorporated into the North American production systems and not an industry that is oriented to centrally planned demand. The trade orientation and the provisions of the USMCA also allow scalability, but, at the same time, expose it to the demand and policy turbulence in the U.S. The macroeconomic environment can be deemed rather sustainable, but not risk-free: GDP grew at the pace of 1.4% in 2024 and had reached around US$1.86 trillion by that time, whereas net inflows to foreign direct investments amounted to about US$45.5 billion in 2024, which means that investors remain interested </w:t>
      </w:r>
      <w:r w:rsidRPr="002F0A09">
        <w:rPr>
          <w:rFonts w:cs="Arial"/>
          <w:lang w:bidi="ar-SA"/>
        </w:rPr>
        <w:lastRenderedPageBreak/>
        <w:t xml:space="preserve">in it and that nearshoring processes are associated with it despite the continued regulatory and security risks (World Bank, 2026). </w:t>
      </w:r>
    </w:p>
    <w:p w14:paraId="675CE12F" w14:textId="77777777" w:rsidR="003A56B9" w:rsidRPr="002F0A09" w:rsidRDefault="003A56B9" w:rsidP="002F0A09">
      <w:pPr>
        <w:keepNext/>
        <w:rPr>
          <w:rFonts w:cs="Arial"/>
        </w:rPr>
      </w:pPr>
      <w:r w:rsidRPr="002F0A09">
        <w:rPr>
          <w:rFonts w:cs="Arial"/>
          <w:noProof/>
          <w:lang w:bidi="ar-SA"/>
        </w:rPr>
        <w:drawing>
          <wp:inline distT="0" distB="0" distL="0" distR="0" wp14:anchorId="10D2FCA5" wp14:editId="0932FF31">
            <wp:extent cx="5943600" cy="38227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3822700"/>
                    </a:xfrm>
                    <a:prstGeom prst="rect">
                      <a:avLst/>
                    </a:prstGeom>
                  </pic:spPr>
                </pic:pic>
              </a:graphicData>
            </a:graphic>
          </wp:inline>
        </w:drawing>
      </w:r>
    </w:p>
    <w:p w14:paraId="7137AAFA" w14:textId="77777777" w:rsidR="003A56B9" w:rsidRPr="002F0A09" w:rsidRDefault="003A56B9" w:rsidP="002F0A09">
      <w:pPr>
        <w:pStyle w:val="Caption"/>
        <w:spacing w:line="360" w:lineRule="auto"/>
        <w:jc w:val="center"/>
        <w:rPr>
          <w:rFonts w:cs="Arial"/>
          <w:i/>
          <w:color w:val="auto"/>
          <w:lang w:bidi="ar-SA"/>
        </w:rPr>
      </w:pPr>
      <w:bookmarkStart w:id="6" w:name="_Toc223287013"/>
      <w:bookmarkStart w:id="7" w:name="_Toc224836007"/>
      <w:r w:rsidRPr="002F0A09">
        <w:rPr>
          <w:rFonts w:cs="Arial"/>
          <w:i/>
          <w:color w:val="auto"/>
        </w:rPr>
        <w:t xml:space="preserve">Figure </w:t>
      </w:r>
      <w:r w:rsidRPr="002F0A09">
        <w:rPr>
          <w:rFonts w:cs="Arial"/>
          <w:i/>
          <w:color w:val="auto"/>
        </w:rPr>
        <w:fldChar w:fldCharType="begin"/>
      </w:r>
      <w:r w:rsidRPr="002F0A09">
        <w:rPr>
          <w:rFonts w:cs="Arial"/>
          <w:i/>
          <w:color w:val="auto"/>
        </w:rPr>
        <w:instrText xml:space="preserve"> SEQ Figure \* ARABIC </w:instrText>
      </w:r>
      <w:r w:rsidRPr="002F0A09">
        <w:rPr>
          <w:rFonts w:cs="Arial"/>
          <w:i/>
          <w:color w:val="auto"/>
        </w:rPr>
        <w:fldChar w:fldCharType="separate"/>
      </w:r>
      <w:r w:rsidR="00D55594">
        <w:rPr>
          <w:rFonts w:cs="Arial"/>
          <w:i/>
          <w:noProof/>
          <w:color w:val="auto"/>
        </w:rPr>
        <w:t>2</w:t>
      </w:r>
      <w:r w:rsidRPr="002F0A09">
        <w:rPr>
          <w:rFonts w:cs="Arial"/>
          <w:i/>
          <w:color w:val="auto"/>
        </w:rPr>
        <w:fldChar w:fldCharType="end"/>
      </w:r>
      <w:r w:rsidRPr="002F0A09">
        <w:rPr>
          <w:rFonts w:cs="Arial"/>
          <w:i/>
          <w:color w:val="auto"/>
        </w:rPr>
        <w:t>: Mexico’s GDP growth remains positive but volatile (World Bank, 2026)</w:t>
      </w:r>
      <w:bookmarkEnd w:id="6"/>
      <w:bookmarkEnd w:id="7"/>
    </w:p>
    <w:p w14:paraId="7FA73007" w14:textId="77777777" w:rsidR="00B17C06" w:rsidRPr="002F0A09" w:rsidRDefault="00B17C06" w:rsidP="002F0A09">
      <w:pPr>
        <w:rPr>
          <w:rFonts w:cs="Arial"/>
          <w:lang w:bidi="ar-SA"/>
        </w:rPr>
      </w:pPr>
      <w:r w:rsidRPr="002F0A09">
        <w:rPr>
          <w:rFonts w:cs="Arial"/>
          <w:lang w:bidi="ar-SA"/>
        </w:rPr>
        <w:t xml:space="preserve">The floating exchange rate system also adds volatility to the cost and revenue of the organisations that receive their export earnings in U.S. dollars and buy inputs in foreign currencies; as a result, the profit margins may change quickly within the model cycles </w:t>
      </w:r>
      <w:r w:rsidR="00A202DA" w:rsidRPr="002F0A09">
        <w:rPr>
          <w:rFonts w:cs="Arial"/>
          <w:lang w:bidi="ar-SA"/>
        </w:rPr>
        <w:t>(Reuters, 2025)</w:t>
      </w:r>
      <w:r w:rsidRPr="002F0A09">
        <w:rPr>
          <w:rFonts w:cs="Arial"/>
          <w:lang w:bidi="ar-SA"/>
        </w:rPr>
        <w:t xml:space="preserve">. Logistics are both a source of competitive advantage and a limitation because the model of the export in Mexico is based on reliable road and rail networks that connect industrial units to the borders and the ports; the lead times can be increased or be based on the need to have bigger inventory cushions due to the risk of congestion and insecurity along the correct rail and roadways </w:t>
      </w:r>
      <w:r w:rsidR="00A202DA" w:rsidRPr="002F0A09">
        <w:rPr>
          <w:rFonts w:cs="Arial"/>
          <w:lang w:bidi="ar-SA"/>
        </w:rPr>
        <w:t>(ITF, 2015)</w:t>
      </w:r>
      <w:r w:rsidRPr="002F0A09">
        <w:rPr>
          <w:rFonts w:cs="Arial"/>
          <w:lang w:bidi="ar-SA"/>
        </w:rPr>
        <w:t>.</w:t>
      </w:r>
    </w:p>
    <w:p w14:paraId="4BEA7C72" w14:textId="77777777" w:rsidR="00B17C06" w:rsidRPr="002F0A09" w:rsidRDefault="00B17C06" w:rsidP="002F0A09">
      <w:pPr>
        <w:pStyle w:val="Heading3"/>
        <w:spacing w:line="360" w:lineRule="auto"/>
        <w:rPr>
          <w:rFonts w:cs="Arial"/>
        </w:rPr>
      </w:pPr>
      <w:bookmarkStart w:id="8" w:name="_Toc223122484"/>
      <w:r w:rsidRPr="002F0A09">
        <w:rPr>
          <w:rFonts w:cs="Arial"/>
        </w:rPr>
        <w:t>2.2 Industry definition and value chain</w:t>
      </w:r>
      <w:bookmarkEnd w:id="8"/>
      <w:r w:rsidRPr="002F0A09">
        <w:rPr>
          <w:rFonts w:cs="Arial"/>
        </w:rPr>
        <w:t xml:space="preserve"> </w:t>
      </w:r>
    </w:p>
    <w:p w14:paraId="7DB4FDA6" w14:textId="1FC87B32" w:rsidR="00B17C06" w:rsidRPr="002F0A09" w:rsidRDefault="009773CA" w:rsidP="002F0A09">
      <w:pPr>
        <w:rPr>
          <w:rFonts w:cs="Arial"/>
          <w:lang w:bidi="ar-SA"/>
        </w:rPr>
      </w:pPr>
      <w:r w:rsidRPr="009773CA">
        <w:rPr>
          <w:rFonts w:cs="Arial"/>
          <w:lang w:bidi="ar-SA"/>
        </w:rPr>
        <w:t xml:space="preserve">The Mexican automotive industry is made of original equipment manufacturers (OEMs), which assemble passenger and light truck vehicles, which is backed by a hierarchical </w:t>
      </w:r>
      <w:r w:rsidRPr="009773CA">
        <w:rPr>
          <w:rFonts w:cs="Arial"/>
          <w:lang w:bidi="ar-SA"/>
        </w:rPr>
        <w:lastRenderedPageBreak/>
        <w:t xml:space="preserve">structure of suppliers including Tier 1 and Tier 2 stakeholders. Key suppliers such as Nemak (casting and assembly), </w:t>
      </w:r>
      <w:proofErr w:type="spellStart"/>
      <w:r w:rsidRPr="009773CA">
        <w:rPr>
          <w:rFonts w:cs="Arial"/>
          <w:lang w:bidi="ar-SA"/>
        </w:rPr>
        <w:t>Metalsa</w:t>
      </w:r>
      <w:proofErr w:type="spellEnd"/>
      <w:r w:rsidRPr="009773CA">
        <w:rPr>
          <w:rFonts w:cs="Arial"/>
          <w:lang w:bidi="ar-SA"/>
        </w:rPr>
        <w:t xml:space="preserve"> (structural components), and </w:t>
      </w:r>
      <w:proofErr w:type="spellStart"/>
      <w:r w:rsidRPr="009773CA">
        <w:rPr>
          <w:rFonts w:cs="Arial"/>
          <w:lang w:bidi="ar-SA"/>
        </w:rPr>
        <w:t>Rassini</w:t>
      </w:r>
      <w:proofErr w:type="spellEnd"/>
      <w:r w:rsidRPr="009773CA">
        <w:rPr>
          <w:rFonts w:cs="Arial"/>
          <w:lang w:bidi="ar-SA"/>
        </w:rPr>
        <w:t xml:space="preserve"> (suspension and brake components) are suppliers of key components that improve cost-effectiveness, production flexibility, and local content. The suppliers help in smooth integration because they meet the just-in-time delivery requirements of the company, which are essential in the local production as well as the export activities. The ability of the suppliers to localize content, scale quality, and stay abreast with export-oriented programs has enabled the competitive advantage of the value chain (INA, 2025).</w:t>
      </w:r>
    </w:p>
    <w:p w14:paraId="2373BA26" w14:textId="77777777" w:rsidR="00B17C06" w:rsidRDefault="00B17C06" w:rsidP="002F0A09">
      <w:pPr>
        <w:pStyle w:val="Heading3"/>
        <w:spacing w:line="360" w:lineRule="auto"/>
        <w:rPr>
          <w:rFonts w:cs="Arial"/>
        </w:rPr>
      </w:pPr>
      <w:bookmarkStart w:id="9" w:name="_Toc223122485"/>
      <w:r w:rsidRPr="002F0A09">
        <w:rPr>
          <w:rFonts w:cs="Arial"/>
        </w:rPr>
        <w:t>2.3 Size, scope, and economic importance (data-driven)</w:t>
      </w:r>
      <w:bookmarkEnd w:id="9"/>
    </w:p>
    <w:p w14:paraId="310DDC3E" w14:textId="77777777" w:rsidR="00D55594" w:rsidRDefault="00D55594" w:rsidP="00D55594">
      <w:pPr>
        <w:pStyle w:val="Heading3"/>
        <w:keepNext/>
        <w:spacing w:line="360" w:lineRule="auto"/>
      </w:pPr>
      <w:r w:rsidRPr="00D55594">
        <w:rPr>
          <w:rFonts w:cs="Arial"/>
          <w:noProof/>
        </w:rPr>
        <w:drawing>
          <wp:inline distT="0" distB="0" distL="0" distR="0" wp14:anchorId="258E0A70" wp14:editId="0D5F8621">
            <wp:extent cx="5943600" cy="21361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2136140"/>
                    </a:xfrm>
                    <a:prstGeom prst="rect">
                      <a:avLst/>
                    </a:prstGeom>
                  </pic:spPr>
                </pic:pic>
              </a:graphicData>
            </a:graphic>
          </wp:inline>
        </w:drawing>
      </w:r>
    </w:p>
    <w:p w14:paraId="4BDAB2CD" w14:textId="6765D410" w:rsidR="00D55594" w:rsidRDefault="00D55594" w:rsidP="00D55594">
      <w:pPr>
        <w:pStyle w:val="Caption"/>
        <w:jc w:val="center"/>
        <w:rPr>
          <w:i/>
          <w:color w:val="auto"/>
        </w:rPr>
      </w:pPr>
      <w:bookmarkStart w:id="10" w:name="_Toc224836008"/>
      <w:r w:rsidRPr="00D55594">
        <w:rPr>
          <w:i/>
          <w:color w:val="auto"/>
        </w:rPr>
        <w:t xml:space="preserve">Figure </w:t>
      </w:r>
      <w:r w:rsidRPr="00D55594">
        <w:rPr>
          <w:i/>
          <w:color w:val="auto"/>
        </w:rPr>
        <w:fldChar w:fldCharType="begin"/>
      </w:r>
      <w:r w:rsidRPr="00D55594">
        <w:rPr>
          <w:i/>
          <w:color w:val="auto"/>
        </w:rPr>
        <w:instrText xml:space="preserve"> SEQ Figure \* ARABIC </w:instrText>
      </w:r>
      <w:r w:rsidRPr="00D55594">
        <w:rPr>
          <w:i/>
          <w:color w:val="auto"/>
        </w:rPr>
        <w:fldChar w:fldCharType="separate"/>
      </w:r>
      <w:r w:rsidRPr="00D55594">
        <w:rPr>
          <w:i/>
          <w:noProof/>
          <w:color w:val="auto"/>
        </w:rPr>
        <w:t>3</w:t>
      </w:r>
      <w:r w:rsidRPr="00D55594">
        <w:rPr>
          <w:i/>
          <w:color w:val="auto"/>
        </w:rPr>
        <w:fldChar w:fldCharType="end"/>
      </w:r>
      <w:r w:rsidRPr="00D55594">
        <w:rPr>
          <w:i/>
          <w:color w:val="auto"/>
        </w:rPr>
        <w:t>: Passenger Vehicles Industry in Mexico (</w:t>
      </w:r>
      <w:proofErr w:type="spellStart"/>
      <w:r w:rsidRPr="00D55594">
        <w:rPr>
          <w:i/>
          <w:color w:val="auto"/>
        </w:rPr>
        <w:t>Prodensa</w:t>
      </w:r>
      <w:proofErr w:type="spellEnd"/>
      <w:r w:rsidRPr="00D55594">
        <w:rPr>
          <w:i/>
          <w:color w:val="auto"/>
        </w:rPr>
        <w:t>, 2025)</w:t>
      </w:r>
      <w:bookmarkEnd w:id="10"/>
    </w:p>
    <w:p w14:paraId="6DE8D349" w14:textId="5BB0DE36" w:rsidR="009773CA" w:rsidRPr="009773CA" w:rsidRDefault="009773CA" w:rsidP="009773CA">
      <w:r w:rsidRPr="009773CA">
        <w:t xml:space="preserve">Figure </w:t>
      </w:r>
      <w:r>
        <w:t>3</w:t>
      </w:r>
      <w:r w:rsidRPr="009773CA">
        <w:t xml:space="preserve"> shows the pattern in light-vehicle production in Mexico and exports of automotive products to the international market over the last ten years, which suggests a strong growth in this area until the year 2023 and high growth in this index in 2024. During 2024, the overall production of the total of 3,989,403 units was 5.6 percent above that of 2023, and the level of exports recorded 3,479,086 units</w:t>
      </w:r>
      <w:r>
        <w:t xml:space="preserve">, </w:t>
      </w:r>
      <w:r w:rsidRPr="009773CA">
        <w:t>also a historic high</w:t>
      </w:r>
      <w:r>
        <w:t xml:space="preserve"> </w:t>
      </w:r>
      <w:r w:rsidRPr="009773CA">
        <w:t>to demonstrate how the Mexican automotive sector is export-oriented</w:t>
      </w:r>
      <w:r>
        <w:t xml:space="preserve"> </w:t>
      </w:r>
      <w:r w:rsidRPr="009773CA">
        <w:t>(</w:t>
      </w:r>
      <w:proofErr w:type="spellStart"/>
      <w:r w:rsidRPr="009773CA">
        <w:t>Prodensa</w:t>
      </w:r>
      <w:proofErr w:type="spellEnd"/>
      <w:r w:rsidRPr="009773CA">
        <w:t>, 2025).</w:t>
      </w:r>
    </w:p>
    <w:p w14:paraId="29B90C90" w14:textId="77777777" w:rsidR="0078548F" w:rsidRPr="002F0A09" w:rsidRDefault="00B17C06" w:rsidP="002F0A09">
      <w:pPr>
        <w:rPr>
          <w:rFonts w:cs="Arial"/>
          <w:lang w:bidi="ar-SA"/>
        </w:rPr>
      </w:pPr>
      <w:r w:rsidRPr="002F0A09">
        <w:rPr>
          <w:rFonts w:cs="Arial"/>
          <w:lang w:bidi="ar-SA"/>
        </w:rPr>
        <w:t xml:space="preserve">Production, export, and domestic sales of the light-vehicle automotive industry at the firm level are provided monthly by the Administrative Record of the National Institute of Statistics and Geography (INEGI), therefore enabling a data-based examination of the cycle, seasonality, and level of export growth (INEGI, </w:t>
      </w:r>
      <w:r w:rsidR="00A202DA" w:rsidRPr="002F0A09">
        <w:rPr>
          <w:rFonts w:cs="Arial"/>
          <w:lang w:bidi="ar-SA"/>
        </w:rPr>
        <w:t>2025</w:t>
      </w:r>
      <w:r w:rsidRPr="002F0A09">
        <w:rPr>
          <w:rFonts w:cs="Arial"/>
          <w:lang w:bidi="ar-SA"/>
        </w:rPr>
        <w:t xml:space="preserve">). To be used in international </w:t>
      </w:r>
      <w:r w:rsidRPr="002F0A09">
        <w:rPr>
          <w:rFonts w:cs="Arial"/>
          <w:lang w:bidi="ar-SA"/>
        </w:rPr>
        <w:lastRenderedPageBreak/>
        <w:t xml:space="preserve">benchmarking, production statistics, which are provided by the International Organisation of Motor Vehicle Manufacturers (OICA), are </w:t>
      </w:r>
      <w:proofErr w:type="spellStart"/>
      <w:r w:rsidRPr="002F0A09">
        <w:rPr>
          <w:rFonts w:cs="Arial"/>
          <w:lang w:bidi="ar-SA"/>
        </w:rPr>
        <w:t>utilised</w:t>
      </w:r>
      <w:proofErr w:type="spellEnd"/>
      <w:r w:rsidRPr="002F0A09">
        <w:rPr>
          <w:rFonts w:cs="Arial"/>
          <w:lang w:bidi="ar-SA"/>
        </w:rPr>
        <w:t xml:space="preserve"> as a global benchmark that can be used to make international output comparisons (OICA, 202</w:t>
      </w:r>
      <w:r w:rsidR="00A202DA" w:rsidRPr="002F0A09">
        <w:rPr>
          <w:rFonts w:cs="Arial"/>
          <w:lang w:bidi="ar-SA"/>
        </w:rPr>
        <w:t>6</w:t>
      </w:r>
      <w:r w:rsidRPr="002F0A09">
        <w:rPr>
          <w:rFonts w:cs="Arial"/>
          <w:lang w:bidi="ar-SA"/>
        </w:rPr>
        <w:t xml:space="preserve">). Practically, Mexico is in a good position, but as well, it is showing a concentration risk: according to the United States International Trade Authority, Mexico was rated the fifth biggest manufacturer and exporter of light-vehicle automobiles in 2024, and its exports to the United States were about US$104.8 billion, out of which 79.7 percent went to the U.S. </w:t>
      </w:r>
      <w:r w:rsidR="00A202DA" w:rsidRPr="002F0A09">
        <w:rPr>
          <w:rFonts w:cs="Arial"/>
          <w:lang w:bidi="ar-SA"/>
        </w:rPr>
        <w:t>(International Trade Administration, 2026)</w:t>
      </w:r>
      <w:r w:rsidRPr="002F0A09">
        <w:rPr>
          <w:rFonts w:cs="Arial"/>
          <w:lang w:bidi="ar-SA"/>
        </w:rPr>
        <w:t xml:space="preserve">. This composition is an indicator of scale and competitiveness, as well as suggesting that a shift within U.S. demand, border frictions, or rules-of-origin adherence can easily flow into the output and supplier </w:t>
      </w:r>
      <w:proofErr w:type="spellStart"/>
      <w:r w:rsidRPr="002F0A09">
        <w:rPr>
          <w:rFonts w:cs="Arial"/>
          <w:lang w:bidi="ar-SA"/>
        </w:rPr>
        <w:t>utilisation</w:t>
      </w:r>
      <w:proofErr w:type="spellEnd"/>
      <w:r w:rsidRPr="002F0A09">
        <w:rPr>
          <w:rFonts w:cs="Arial"/>
          <w:lang w:bidi="ar-SA"/>
        </w:rPr>
        <w:t xml:space="preserve"> rates of Mexico.</w:t>
      </w:r>
    </w:p>
    <w:p w14:paraId="1B36B685" w14:textId="77777777" w:rsidR="00D55594" w:rsidRDefault="00D55594" w:rsidP="00D55594">
      <w:pPr>
        <w:pStyle w:val="Caption"/>
        <w:keepNext/>
        <w:spacing w:line="360" w:lineRule="auto"/>
        <w:jc w:val="center"/>
      </w:pPr>
      <w:bookmarkStart w:id="11" w:name="_Toc223287054"/>
      <w:r w:rsidRPr="00D55594">
        <w:rPr>
          <w:rFonts w:cs="Arial"/>
          <w:i/>
          <w:noProof/>
          <w:color w:val="auto"/>
          <w:szCs w:val="18"/>
        </w:rPr>
        <w:drawing>
          <wp:inline distT="0" distB="0" distL="0" distR="0" wp14:anchorId="15F60BF7" wp14:editId="18E0BC3C">
            <wp:extent cx="5943600" cy="22917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2291715"/>
                    </a:xfrm>
                    <a:prstGeom prst="rect">
                      <a:avLst/>
                    </a:prstGeom>
                  </pic:spPr>
                </pic:pic>
              </a:graphicData>
            </a:graphic>
          </wp:inline>
        </w:drawing>
      </w:r>
    </w:p>
    <w:p w14:paraId="0EB1B378" w14:textId="367B282D" w:rsidR="00D55594" w:rsidRPr="00D55594" w:rsidRDefault="00D55594" w:rsidP="00D55594">
      <w:pPr>
        <w:pStyle w:val="Caption"/>
        <w:jc w:val="center"/>
        <w:rPr>
          <w:rFonts w:cs="Arial"/>
          <w:i/>
          <w:color w:val="auto"/>
          <w:szCs w:val="18"/>
        </w:rPr>
      </w:pPr>
      <w:bookmarkStart w:id="12" w:name="_Toc224836009"/>
      <w:r w:rsidRPr="00D55594">
        <w:rPr>
          <w:i/>
          <w:color w:val="auto"/>
        </w:rPr>
        <w:t xml:space="preserve">Figure </w:t>
      </w:r>
      <w:r w:rsidRPr="00D55594">
        <w:rPr>
          <w:i/>
          <w:color w:val="auto"/>
        </w:rPr>
        <w:fldChar w:fldCharType="begin"/>
      </w:r>
      <w:r w:rsidRPr="00D55594">
        <w:rPr>
          <w:i/>
          <w:color w:val="auto"/>
        </w:rPr>
        <w:instrText xml:space="preserve"> SEQ Figure \* ARABIC </w:instrText>
      </w:r>
      <w:r w:rsidRPr="00D55594">
        <w:rPr>
          <w:i/>
          <w:color w:val="auto"/>
        </w:rPr>
        <w:fldChar w:fldCharType="separate"/>
      </w:r>
      <w:r>
        <w:rPr>
          <w:i/>
          <w:noProof/>
          <w:color w:val="auto"/>
        </w:rPr>
        <w:t>4</w:t>
      </w:r>
      <w:r w:rsidRPr="00D55594">
        <w:rPr>
          <w:i/>
          <w:color w:val="auto"/>
        </w:rPr>
        <w:fldChar w:fldCharType="end"/>
      </w:r>
      <w:r w:rsidRPr="00D55594">
        <w:rPr>
          <w:i/>
          <w:color w:val="auto"/>
        </w:rPr>
        <w:t>: Annual production volumes (number of vehicles) in Mexico’s automotive industry, 2015–2024 (CEIC Data, 2025)</w:t>
      </w:r>
      <w:bookmarkEnd w:id="12"/>
    </w:p>
    <w:p w14:paraId="6374555A" w14:textId="3EC1556A" w:rsidR="0078548F" w:rsidRPr="002F0A09" w:rsidRDefault="0078548F" w:rsidP="002F0A09">
      <w:pPr>
        <w:pStyle w:val="Caption"/>
        <w:keepNext/>
        <w:spacing w:line="360" w:lineRule="auto"/>
        <w:jc w:val="center"/>
        <w:rPr>
          <w:rFonts w:cs="Arial"/>
          <w:i/>
          <w:color w:val="auto"/>
          <w:szCs w:val="18"/>
        </w:rPr>
      </w:pPr>
      <w:bookmarkStart w:id="13" w:name="_Toc224835999"/>
      <w:r w:rsidRPr="002F0A09">
        <w:rPr>
          <w:rFonts w:cs="Arial"/>
          <w:i/>
          <w:color w:val="auto"/>
          <w:szCs w:val="18"/>
        </w:rPr>
        <w:lastRenderedPageBreak/>
        <w:t xml:space="preserve">Table </w:t>
      </w:r>
      <w:r w:rsidRPr="002F0A09">
        <w:rPr>
          <w:rFonts w:cs="Arial"/>
          <w:i/>
          <w:color w:val="auto"/>
          <w:szCs w:val="18"/>
        </w:rPr>
        <w:fldChar w:fldCharType="begin"/>
      </w:r>
      <w:r w:rsidRPr="002F0A09">
        <w:rPr>
          <w:rFonts w:cs="Arial"/>
          <w:i/>
          <w:color w:val="auto"/>
          <w:szCs w:val="18"/>
        </w:rPr>
        <w:instrText xml:space="preserve"> SEQ Table \* ARABIC </w:instrText>
      </w:r>
      <w:r w:rsidRPr="002F0A09">
        <w:rPr>
          <w:rFonts w:cs="Arial"/>
          <w:i/>
          <w:color w:val="auto"/>
          <w:szCs w:val="18"/>
        </w:rPr>
        <w:fldChar w:fldCharType="separate"/>
      </w:r>
      <w:r w:rsidR="004F4078">
        <w:rPr>
          <w:rFonts w:cs="Arial"/>
          <w:i/>
          <w:noProof/>
          <w:color w:val="auto"/>
          <w:szCs w:val="18"/>
        </w:rPr>
        <w:t>1</w:t>
      </w:r>
      <w:r w:rsidRPr="002F0A09">
        <w:rPr>
          <w:rFonts w:cs="Arial"/>
          <w:i/>
          <w:color w:val="auto"/>
          <w:szCs w:val="18"/>
        </w:rPr>
        <w:fldChar w:fldCharType="end"/>
      </w:r>
      <w:r w:rsidRPr="002F0A09">
        <w:rPr>
          <w:rFonts w:cs="Arial"/>
          <w:i/>
          <w:color w:val="auto"/>
          <w:szCs w:val="18"/>
        </w:rPr>
        <w:t xml:space="preserve">: </w:t>
      </w:r>
      <w:r w:rsidRPr="002F0A09">
        <w:rPr>
          <w:rFonts w:eastAsia="Times New Roman" w:cs="Arial"/>
          <w:i/>
          <w:color w:val="auto"/>
          <w:szCs w:val="18"/>
          <w:lang w:bidi="ar-SA"/>
        </w:rPr>
        <w:t>Mexico light-vehicle production and exports (annual totals or 12-month rolling sums), 2015–2024/2025</w:t>
      </w:r>
      <w:r w:rsidR="00A202DA" w:rsidRPr="002F0A09">
        <w:rPr>
          <w:rFonts w:eastAsia="Times New Roman" w:cs="Arial"/>
          <w:i/>
          <w:color w:val="auto"/>
          <w:szCs w:val="18"/>
          <w:lang w:bidi="ar-SA"/>
        </w:rPr>
        <w:t xml:space="preserve"> (Autho</w:t>
      </w:r>
      <w:r w:rsidR="00D55594">
        <w:rPr>
          <w:rFonts w:eastAsia="Times New Roman" w:cs="Arial"/>
          <w:i/>
          <w:color w:val="auto"/>
          <w:szCs w:val="18"/>
          <w:lang w:bidi="ar-SA"/>
        </w:rPr>
        <w:t>r</w:t>
      </w:r>
      <w:r w:rsidR="00A202DA" w:rsidRPr="002F0A09">
        <w:rPr>
          <w:rFonts w:eastAsia="Times New Roman" w:cs="Arial"/>
          <w:i/>
          <w:color w:val="auto"/>
          <w:szCs w:val="18"/>
          <w:lang w:bidi="ar-SA"/>
        </w:rPr>
        <w:t>)</w:t>
      </w:r>
      <w:bookmarkEnd w:id="11"/>
      <w:bookmarkEnd w:id="13"/>
    </w:p>
    <w:p w14:paraId="00FB4999" w14:textId="77777777" w:rsidR="0078548F" w:rsidRPr="002F0A09" w:rsidRDefault="0078548F" w:rsidP="009773CA">
      <w:pPr>
        <w:jc w:val="center"/>
        <w:rPr>
          <w:rFonts w:cs="Arial"/>
          <w:lang w:bidi="ar-SA"/>
        </w:rPr>
      </w:pPr>
      <w:r w:rsidRPr="002F0A09">
        <w:rPr>
          <w:rFonts w:cs="Arial"/>
          <w:noProof/>
          <w:lang w:bidi="ar-SA"/>
        </w:rPr>
        <w:drawing>
          <wp:inline distT="0" distB="0" distL="0" distR="0" wp14:anchorId="5ECA246C" wp14:editId="6E0CD0DC">
            <wp:extent cx="4716360" cy="376237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r="22544"/>
                    <a:stretch/>
                  </pic:blipFill>
                  <pic:spPr bwMode="auto">
                    <a:xfrm>
                      <a:off x="0" y="0"/>
                      <a:ext cx="4717019" cy="3762900"/>
                    </a:xfrm>
                    <a:prstGeom prst="rect">
                      <a:avLst/>
                    </a:prstGeom>
                    <a:ln>
                      <a:noFill/>
                    </a:ln>
                    <a:extLst>
                      <a:ext uri="{53640926-AAD7-44D8-BBD7-CCE9431645EC}">
                        <a14:shadowObscured xmlns:a14="http://schemas.microsoft.com/office/drawing/2010/main"/>
                      </a:ext>
                    </a:extLst>
                  </pic:spPr>
                </pic:pic>
              </a:graphicData>
            </a:graphic>
          </wp:inline>
        </w:drawing>
      </w:r>
    </w:p>
    <w:p w14:paraId="43431546" w14:textId="3F0ECC14" w:rsidR="00B17C06" w:rsidRPr="002F0A09" w:rsidRDefault="00B17C06" w:rsidP="002F0A09">
      <w:pPr>
        <w:pStyle w:val="Heading3"/>
        <w:spacing w:line="360" w:lineRule="auto"/>
        <w:rPr>
          <w:rFonts w:cs="Arial"/>
        </w:rPr>
      </w:pPr>
      <w:bookmarkStart w:id="14" w:name="_Toc223122486"/>
      <w:r w:rsidRPr="002F0A09">
        <w:rPr>
          <w:rFonts w:cs="Arial"/>
        </w:rPr>
        <w:t xml:space="preserve">2.4 Key firms and competitive positioning (domestic </w:t>
      </w:r>
      <w:r w:rsidR="005B7685">
        <w:rPr>
          <w:rFonts w:cs="Arial"/>
        </w:rPr>
        <w:t>and</w:t>
      </w:r>
      <w:r w:rsidRPr="002F0A09">
        <w:rPr>
          <w:rFonts w:cs="Arial"/>
        </w:rPr>
        <w:t xml:space="preserve"> MNCs)</w:t>
      </w:r>
      <w:bookmarkEnd w:id="14"/>
    </w:p>
    <w:p w14:paraId="7C8C7611" w14:textId="2415D313" w:rsidR="009773CA" w:rsidRPr="009773CA" w:rsidRDefault="00B17C06" w:rsidP="004F4078">
      <w:pPr>
        <w:rPr>
          <w:rFonts w:cs="Arial"/>
          <w:lang w:bidi="ar-SA"/>
        </w:rPr>
      </w:pPr>
      <w:r w:rsidRPr="002F0A09">
        <w:rPr>
          <w:rFonts w:cs="Arial"/>
          <w:lang w:bidi="ar-SA"/>
        </w:rPr>
        <w:t xml:space="preserve">The competitive positioning is made through the strategies of global original equipment manufacturers, which include the allocation of platforms, the mix of models, and the route of exports, and through the capabilities of suppliers, which dictate the </w:t>
      </w:r>
      <w:proofErr w:type="spellStart"/>
      <w:r w:rsidRPr="002F0A09">
        <w:rPr>
          <w:rFonts w:cs="Arial"/>
          <w:lang w:bidi="ar-SA"/>
        </w:rPr>
        <w:t>localisation</w:t>
      </w:r>
      <w:proofErr w:type="spellEnd"/>
      <w:r w:rsidRPr="002F0A09">
        <w:rPr>
          <w:rFonts w:cs="Arial"/>
          <w:lang w:bidi="ar-SA"/>
        </w:rPr>
        <w:t xml:space="preserve"> and cost. The domestic suppliers compete in terms of the engineering depth, the quality accuracy, and the reliability of deliveries, Nemak (casting and assembly solutions across the lightweight materials) (</w:t>
      </w:r>
      <w:proofErr w:type="spellStart"/>
      <w:r w:rsidRPr="002F0A09">
        <w:rPr>
          <w:rFonts w:cs="Arial"/>
          <w:lang w:bidi="ar-SA"/>
        </w:rPr>
        <w:t>Nemak</w:t>
      </w:r>
      <w:proofErr w:type="spellEnd"/>
      <w:r w:rsidRPr="002F0A09">
        <w:rPr>
          <w:rFonts w:cs="Arial"/>
          <w:lang w:bidi="ar-SA"/>
        </w:rPr>
        <w:t xml:space="preserve">, </w:t>
      </w:r>
      <w:r w:rsidR="00A202DA" w:rsidRPr="002F0A09">
        <w:rPr>
          <w:rFonts w:cs="Arial"/>
          <w:lang w:bidi="ar-SA"/>
        </w:rPr>
        <w:t>2026</w:t>
      </w:r>
      <w:r w:rsidRPr="002F0A09">
        <w:rPr>
          <w:rFonts w:cs="Arial"/>
          <w:lang w:bidi="ar-SA"/>
        </w:rPr>
        <w:t xml:space="preserve">), </w:t>
      </w:r>
      <w:proofErr w:type="spellStart"/>
      <w:r w:rsidRPr="002F0A09">
        <w:rPr>
          <w:rFonts w:cs="Arial"/>
          <w:lang w:bidi="ar-SA"/>
        </w:rPr>
        <w:t>Metalsa</w:t>
      </w:r>
      <w:proofErr w:type="spellEnd"/>
      <w:r w:rsidRPr="002F0A09">
        <w:rPr>
          <w:rFonts w:cs="Arial"/>
          <w:lang w:bidi="ar-SA"/>
        </w:rPr>
        <w:t xml:space="preserve"> (structural products and integrated chassis systems) (</w:t>
      </w:r>
      <w:proofErr w:type="spellStart"/>
      <w:r w:rsidRPr="002F0A09">
        <w:rPr>
          <w:rFonts w:cs="Arial"/>
          <w:lang w:bidi="ar-SA"/>
        </w:rPr>
        <w:t>Metalsa</w:t>
      </w:r>
      <w:proofErr w:type="spellEnd"/>
      <w:r w:rsidRPr="002F0A09">
        <w:rPr>
          <w:rFonts w:cs="Arial"/>
          <w:lang w:bidi="ar-SA"/>
        </w:rPr>
        <w:t>,</w:t>
      </w:r>
      <w:r w:rsidR="00A202DA" w:rsidRPr="002F0A09">
        <w:rPr>
          <w:rFonts w:cs="Arial"/>
          <w:lang w:bidi="ar-SA"/>
        </w:rPr>
        <w:t xml:space="preserve"> 2026</w:t>
      </w:r>
      <w:r w:rsidRPr="002F0A09">
        <w:rPr>
          <w:rFonts w:cs="Arial"/>
          <w:lang w:bidi="ar-SA"/>
        </w:rPr>
        <w:t xml:space="preserve">), </w:t>
      </w:r>
      <w:proofErr w:type="spellStart"/>
      <w:r w:rsidRPr="002F0A09">
        <w:rPr>
          <w:rFonts w:cs="Arial"/>
          <w:lang w:bidi="ar-SA"/>
        </w:rPr>
        <w:t>Rassini</w:t>
      </w:r>
      <w:proofErr w:type="spellEnd"/>
      <w:r w:rsidRPr="002F0A09">
        <w:rPr>
          <w:rFonts w:cs="Arial"/>
          <w:lang w:bidi="ar-SA"/>
        </w:rPr>
        <w:t xml:space="preserve"> (suspension and brake parts) (</w:t>
      </w:r>
      <w:proofErr w:type="spellStart"/>
      <w:r w:rsidRPr="002F0A09">
        <w:rPr>
          <w:rFonts w:cs="Arial"/>
          <w:lang w:bidi="ar-SA"/>
        </w:rPr>
        <w:t>Rassini</w:t>
      </w:r>
      <w:proofErr w:type="spellEnd"/>
      <w:r w:rsidRPr="002F0A09">
        <w:rPr>
          <w:rFonts w:cs="Arial"/>
          <w:lang w:bidi="ar-SA"/>
        </w:rPr>
        <w:t xml:space="preserve">, </w:t>
      </w:r>
      <w:r w:rsidR="00A202DA" w:rsidRPr="002F0A09">
        <w:rPr>
          <w:rFonts w:cs="Arial"/>
          <w:lang w:bidi="ar-SA"/>
        </w:rPr>
        <w:t>2026</w:t>
      </w:r>
      <w:r w:rsidRPr="002F0A09">
        <w:rPr>
          <w:rFonts w:cs="Arial"/>
          <w:lang w:bidi="ar-SA"/>
        </w:rPr>
        <w:t xml:space="preserve">), and </w:t>
      </w:r>
      <w:proofErr w:type="spellStart"/>
      <w:r w:rsidRPr="002F0A09">
        <w:rPr>
          <w:rFonts w:cs="Arial"/>
          <w:lang w:bidi="ar-SA"/>
        </w:rPr>
        <w:t>Bocar</w:t>
      </w:r>
      <w:proofErr w:type="spellEnd"/>
      <w:r w:rsidRPr="002F0A09">
        <w:rPr>
          <w:rFonts w:cs="Arial"/>
          <w:lang w:bidi="ar-SA"/>
        </w:rPr>
        <w:t xml:space="preserve"> (</w:t>
      </w:r>
      <w:proofErr w:type="spellStart"/>
      <w:r w:rsidRPr="002F0A09">
        <w:rPr>
          <w:rFonts w:cs="Arial"/>
          <w:lang w:bidi="ar-SA"/>
        </w:rPr>
        <w:t>aluminium</w:t>
      </w:r>
      <w:proofErr w:type="spellEnd"/>
      <w:r w:rsidRPr="002F0A09">
        <w:rPr>
          <w:rFonts w:cs="Arial"/>
          <w:lang w:bidi="ar-SA"/>
        </w:rPr>
        <w:t xml:space="preserve"> and plastic ones) (Bocar, 2026). As a contrast, Nissan, GM, Volkswagen, and Toyota OEMs generally compete using scale, platform flexibility, and export preparedness through North American demand cycles. In order to ensure that the approach to data use is evidence-based and not descriptive, one can suggest using the series of firm-level production and export of the INEGI to determine the leaders of output </w:t>
      </w:r>
      <w:r w:rsidRPr="002F0A09">
        <w:rPr>
          <w:rFonts w:cs="Arial"/>
          <w:lang w:bidi="ar-SA"/>
        </w:rPr>
        <w:lastRenderedPageBreak/>
        <w:t xml:space="preserve">and to show the change in OEM mix in terms of shifting to segments with higher margins. These changes can then be associated with the reliance of the industry on consumer demand and the stability in the trade policy in the U.S. (INEGI, </w:t>
      </w:r>
      <w:r w:rsidR="00A202DA" w:rsidRPr="002F0A09">
        <w:rPr>
          <w:rFonts w:cs="Arial"/>
          <w:lang w:bidi="ar-SA"/>
        </w:rPr>
        <w:t>2025</w:t>
      </w:r>
      <w:r w:rsidRPr="002F0A09">
        <w:rPr>
          <w:rFonts w:cs="Arial"/>
          <w:lang w:bidi="ar-SA"/>
        </w:rPr>
        <w:t>; International Trade Administration, 202</w:t>
      </w:r>
      <w:r w:rsidR="00A202DA" w:rsidRPr="002F0A09">
        <w:rPr>
          <w:rFonts w:cs="Arial"/>
          <w:lang w:bidi="ar-SA"/>
        </w:rPr>
        <w:t>5</w:t>
      </w:r>
      <w:r w:rsidRPr="002F0A09">
        <w:rPr>
          <w:rFonts w:cs="Arial"/>
          <w:lang w:bidi="ar-SA"/>
        </w:rPr>
        <w:t>).</w:t>
      </w:r>
    </w:p>
    <w:p w14:paraId="20AFF980" w14:textId="01277136" w:rsidR="004F4078" w:rsidRPr="004F4078" w:rsidRDefault="004F4078" w:rsidP="004F4078">
      <w:pPr>
        <w:pStyle w:val="Caption"/>
        <w:keepNext/>
        <w:jc w:val="center"/>
        <w:rPr>
          <w:rFonts w:cs="Arial"/>
          <w:i/>
          <w:color w:val="auto"/>
          <w:szCs w:val="18"/>
        </w:rPr>
      </w:pPr>
      <w:bookmarkStart w:id="15" w:name="_Toc224836000"/>
      <w:r w:rsidRPr="004F4078">
        <w:rPr>
          <w:rFonts w:cs="Arial"/>
          <w:i/>
          <w:color w:val="auto"/>
          <w:szCs w:val="18"/>
        </w:rPr>
        <w:t xml:space="preserve">Table </w:t>
      </w:r>
      <w:r w:rsidRPr="004F4078">
        <w:rPr>
          <w:rFonts w:cs="Arial"/>
          <w:i/>
          <w:color w:val="auto"/>
          <w:szCs w:val="18"/>
        </w:rPr>
        <w:fldChar w:fldCharType="begin"/>
      </w:r>
      <w:r w:rsidRPr="004F4078">
        <w:rPr>
          <w:rFonts w:cs="Arial"/>
          <w:i/>
          <w:color w:val="auto"/>
          <w:szCs w:val="18"/>
        </w:rPr>
        <w:instrText xml:space="preserve"> SEQ Table \* ARABIC </w:instrText>
      </w:r>
      <w:r w:rsidRPr="004F4078">
        <w:rPr>
          <w:rFonts w:cs="Arial"/>
          <w:i/>
          <w:color w:val="auto"/>
          <w:szCs w:val="18"/>
        </w:rPr>
        <w:fldChar w:fldCharType="separate"/>
      </w:r>
      <w:r w:rsidRPr="004F4078">
        <w:rPr>
          <w:rFonts w:cs="Arial"/>
          <w:i/>
          <w:noProof/>
          <w:color w:val="auto"/>
          <w:szCs w:val="18"/>
        </w:rPr>
        <w:t>2</w:t>
      </w:r>
      <w:r w:rsidRPr="004F4078">
        <w:rPr>
          <w:rFonts w:cs="Arial"/>
          <w:i/>
          <w:color w:val="auto"/>
          <w:szCs w:val="18"/>
        </w:rPr>
        <w:fldChar w:fldCharType="end"/>
      </w:r>
      <w:r w:rsidRPr="004F4078">
        <w:rPr>
          <w:rFonts w:cs="Arial"/>
          <w:i/>
          <w:color w:val="auto"/>
          <w:szCs w:val="18"/>
        </w:rPr>
        <w:t xml:space="preserve">: </w:t>
      </w:r>
      <w:r w:rsidRPr="004F4078">
        <w:rPr>
          <w:rFonts w:eastAsia="Times New Roman" w:cs="Arial"/>
          <w:bCs w:val="0"/>
          <w:i/>
          <w:color w:val="auto"/>
          <w:szCs w:val="18"/>
          <w:lang w:bidi="ar-SA"/>
        </w:rPr>
        <w:t>C</w:t>
      </w:r>
      <w:r w:rsidRPr="009773CA">
        <w:rPr>
          <w:rFonts w:eastAsia="Times New Roman" w:cs="Arial"/>
          <w:i/>
          <w:color w:val="auto"/>
          <w:szCs w:val="18"/>
          <w:lang w:bidi="ar-SA"/>
        </w:rPr>
        <w:t>ompetitive Positioning of Major OEMs in Mexico (2024)</w:t>
      </w:r>
      <w:r w:rsidRPr="004F4078">
        <w:t xml:space="preserve"> </w:t>
      </w:r>
      <w:r w:rsidRPr="004F4078">
        <w:rPr>
          <w:rFonts w:eastAsia="Times New Roman" w:cs="Arial"/>
          <w:i/>
          <w:color w:val="auto"/>
          <w:szCs w:val="18"/>
          <w:lang w:bidi="ar-SA"/>
        </w:rPr>
        <w:t>(</w:t>
      </w:r>
      <w:proofErr w:type="spellStart"/>
      <w:r w:rsidRPr="004F4078">
        <w:rPr>
          <w:rFonts w:eastAsia="Times New Roman" w:cs="Arial"/>
          <w:i/>
          <w:color w:val="auto"/>
          <w:szCs w:val="18"/>
          <w:lang w:bidi="ar-SA"/>
        </w:rPr>
        <w:t>MarkLines</w:t>
      </w:r>
      <w:proofErr w:type="spellEnd"/>
      <w:r w:rsidRPr="004F4078">
        <w:rPr>
          <w:rFonts w:eastAsia="Times New Roman" w:cs="Arial"/>
          <w:i/>
          <w:color w:val="auto"/>
          <w:szCs w:val="18"/>
          <w:lang w:bidi="ar-SA"/>
        </w:rPr>
        <w:t xml:space="preserve"> , 2025</w:t>
      </w:r>
      <w:r>
        <w:rPr>
          <w:rFonts w:eastAsia="Times New Roman" w:cs="Arial"/>
          <w:i/>
          <w:color w:val="auto"/>
          <w:szCs w:val="18"/>
          <w:lang w:bidi="ar-SA"/>
        </w:rPr>
        <w:t xml:space="preserve">; </w:t>
      </w:r>
      <w:proofErr w:type="spellStart"/>
      <w:r w:rsidRPr="004F4078">
        <w:rPr>
          <w:rFonts w:eastAsia="Times New Roman" w:cs="Arial"/>
          <w:i/>
          <w:color w:val="auto"/>
          <w:szCs w:val="18"/>
          <w:lang w:bidi="ar-SA"/>
        </w:rPr>
        <w:t>Promexico</w:t>
      </w:r>
      <w:proofErr w:type="spellEnd"/>
      <w:r w:rsidRPr="004F4078">
        <w:rPr>
          <w:rFonts w:eastAsia="Times New Roman" w:cs="Arial"/>
          <w:i/>
          <w:color w:val="auto"/>
          <w:szCs w:val="18"/>
          <w:lang w:bidi="ar-SA"/>
        </w:rPr>
        <w:t xml:space="preserve"> Industry, 2025)</w:t>
      </w:r>
      <w:bookmarkEnd w:id="15"/>
    </w:p>
    <w:tbl>
      <w:tblPr>
        <w:tblStyle w:val="TableGrid"/>
        <w:tblW w:w="0" w:type="auto"/>
        <w:tblLook w:val="04A0" w:firstRow="1" w:lastRow="0" w:firstColumn="1" w:lastColumn="0" w:noHBand="0" w:noVBand="1"/>
      </w:tblPr>
      <w:tblGrid>
        <w:gridCol w:w="1551"/>
        <w:gridCol w:w="1774"/>
        <w:gridCol w:w="1358"/>
        <w:gridCol w:w="1719"/>
        <w:gridCol w:w="2948"/>
      </w:tblGrid>
      <w:tr w:rsidR="009773CA" w:rsidRPr="009773CA" w14:paraId="67146B78" w14:textId="77777777" w:rsidTr="009773CA">
        <w:tc>
          <w:tcPr>
            <w:tcW w:w="0" w:type="auto"/>
            <w:hideMark/>
          </w:tcPr>
          <w:p w14:paraId="339A6117" w14:textId="77777777" w:rsidR="009773CA" w:rsidRPr="009773CA" w:rsidRDefault="009773CA" w:rsidP="009773CA">
            <w:pPr>
              <w:rPr>
                <w:b/>
                <w:sz w:val="22"/>
                <w:lang w:bidi="ar-SA"/>
              </w:rPr>
            </w:pPr>
            <w:r w:rsidRPr="009773CA">
              <w:rPr>
                <w:b/>
                <w:sz w:val="22"/>
                <w:lang w:bidi="ar-SA"/>
              </w:rPr>
              <w:t>OEM</w:t>
            </w:r>
          </w:p>
        </w:tc>
        <w:tc>
          <w:tcPr>
            <w:tcW w:w="0" w:type="auto"/>
            <w:hideMark/>
          </w:tcPr>
          <w:p w14:paraId="448B6D06" w14:textId="77777777" w:rsidR="009773CA" w:rsidRPr="009773CA" w:rsidRDefault="009773CA" w:rsidP="009773CA">
            <w:pPr>
              <w:rPr>
                <w:b/>
                <w:sz w:val="22"/>
                <w:lang w:bidi="ar-SA"/>
              </w:rPr>
            </w:pPr>
            <w:r w:rsidRPr="009773CA">
              <w:rPr>
                <w:b/>
                <w:sz w:val="22"/>
                <w:lang w:bidi="ar-SA"/>
              </w:rPr>
              <w:t>2024 Production (Approx.)</w:t>
            </w:r>
          </w:p>
        </w:tc>
        <w:tc>
          <w:tcPr>
            <w:tcW w:w="0" w:type="auto"/>
            <w:hideMark/>
          </w:tcPr>
          <w:p w14:paraId="33E24577" w14:textId="77777777" w:rsidR="009773CA" w:rsidRPr="009773CA" w:rsidRDefault="009773CA" w:rsidP="009773CA">
            <w:pPr>
              <w:rPr>
                <w:b/>
                <w:sz w:val="22"/>
                <w:lang w:bidi="ar-SA"/>
              </w:rPr>
            </w:pPr>
            <w:r w:rsidRPr="009773CA">
              <w:rPr>
                <w:b/>
                <w:sz w:val="22"/>
                <w:lang w:bidi="ar-SA"/>
              </w:rPr>
              <w:t>2024 Export Volume</w:t>
            </w:r>
          </w:p>
        </w:tc>
        <w:tc>
          <w:tcPr>
            <w:tcW w:w="0" w:type="auto"/>
            <w:hideMark/>
          </w:tcPr>
          <w:p w14:paraId="0A8FA83F" w14:textId="77777777" w:rsidR="009773CA" w:rsidRPr="009773CA" w:rsidRDefault="009773CA" w:rsidP="009773CA">
            <w:pPr>
              <w:rPr>
                <w:b/>
                <w:sz w:val="22"/>
                <w:lang w:bidi="ar-SA"/>
              </w:rPr>
            </w:pPr>
            <w:r w:rsidRPr="009773CA">
              <w:rPr>
                <w:b/>
                <w:sz w:val="22"/>
                <w:lang w:bidi="ar-SA"/>
              </w:rPr>
              <w:t>Primary Model Focus</w:t>
            </w:r>
          </w:p>
        </w:tc>
        <w:tc>
          <w:tcPr>
            <w:tcW w:w="0" w:type="auto"/>
            <w:hideMark/>
          </w:tcPr>
          <w:p w14:paraId="44362D56" w14:textId="77777777" w:rsidR="009773CA" w:rsidRPr="009773CA" w:rsidRDefault="009773CA" w:rsidP="009773CA">
            <w:pPr>
              <w:rPr>
                <w:b/>
                <w:sz w:val="22"/>
                <w:lang w:bidi="ar-SA"/>
              </w:rPr>
            </w:pPr>
            <w:r w:rsidRPr="009773CA">
              <w:rPr>
                <w:b/>
                <w:sz w:val="22"/>
                <w:lang w:bidi="ar-SA"/>
              </w:rPr>
              <w:t>Competitive Advantage</w:t>
            </w:r>
          </w:p>
        </w:tc>
      </w:tr>
      <w:tr w:rsidR="009773CA" w:rsidRPr="009773CA" w14:paraId="51FB1893" w14:textId="77777777" w:rsidTr="009773CA">
        <w:tc>
          <w:tcPr>
            <w:tcW w:w="0" w:type="auto"/>
            <w:hideMark/>
          </w:tcPr>
          <w:p w14:paraId="156BD435" w14:textId="77777777" w:rsidR="009773CA" w:rsidRPr="009773CA" w:rsidRDefault="009773CA" w:rsidP="009773CA">
            <w:pPr>
              <w:jc w:val="center"/>
              <w:rPr>
                <w:b/>
                <w:sz w:val="22"/>
                <w:lang w:bidi="ar-SA"/>
              </w:rPr>
            </w:pPr>
            <w:r w:rsidRPr="009773CA">
              <w:rPr>
                <w:b/>
                <w:sz w:val="22"/>
                <w:lang w:bidi="ar-SA"/>
              </w:rPr>
              <w:t>General Motors</w:t>
            </w:r>
          </w:p>
        </w:tc>
        <w:tc>
          <w:tcPr>
            <w:tcW w:w="0" w:type="auto"/>
            <w:hideMark/>
          </w:tcPr>
          <w:p w14:paraId="64B8A129" w14:textId="77777777" w:rsidR="009773CA" w:rsidRPr="009773CA" w:rsidRDefault="009773CA" w:rsidP="009773CA">
            <w:pPr>
              <w:rPr>
                <w:sz w:val="22"/>
                <w:lang w:bidi="ar-SA"/>
              </w:rPr>
            </w:pPr>
            <w:r w:rsidRPr="009773CA">
              <w:rPr>
                <w:sz w:val="22"/>
                <w:lang w:bidi="ar-SA"/>
              </w:rPr>
              <w:t>~842,567 units (highest producer)</w:t>
            </w:r>
          </w:p>
        </w:tc>
        <w:tc>
          <w:tcPr>
            <w:tcW w:w="0" w:type="auto"/>
            <w:hideMark/>
          </w:tcPr>
          <w:p w14:paraId="1A0B8CAC" w14:textId="77777777" w:rsidR="009773CA" w:rsidRPr="009773CA" w:rsidRDefault="009773CA" w:rsidP="009773CA">
            <w:pPr>
              <w:rPr>
                <w:sz w:val="22"/>
                <w:lang w:bidi="ar-SA"/>
              </w:rPr>
            </w:pPr>
            <w:r w:rsidRPr="009773CA">
              <w:rPr>
                <w:sz w:val="22"/>
                <w:lang w:bidi="ar-SA"/>
              </w:rPr>
              <w:t>~830,820 vehicles</w:t>
            </w:r>
          </w:p>
        </w:tc>
        <w:tc>
          <w:tcPr>
            <w:tcW w:w="0" w:type="auto"/>
            <w:hideMark/>
          </w:tcPr>
          <w:p w14:paraId="48204FBE" w14:textId="77777777" w:rsidR="009773CA" w:rsidRPr="009773CA" w:rsidRDefault="009773CA" w:rsidP="009773CA">
            <w:pPr>
              <w:rPr>
                <w:sz w:val="22"/>
                <w:lang w:bidi="ar-SA"/>
              </w:rPr>
            </w:pPr>
            <w:r w:rsidRPr="009773CA">
              <w:rPr>
                <w:sz w:val="22"/>
                <w:lang w:bidi="ar-SA"/>
              </w:rPr>
              <w:t>Trucks, SUVs, crossovers</w:t>
            </w:r>
          </w:p>
        </w:tc>
        <w:tc>
          <w:tcPr>
            <w:tcW w:w="0" w:type="auto"/>
            <w:hideMark/>
          </w:tcPr>
          <w:p w14:paraId="1A9FFAC7" w14:textId="617A22C8" w:rsidR="009773CA" w:rsidRPr="009773CA" w:rsidRDefault="009773CA" w:rsidP="009773CA">
            <w:pPr>
              <w:rPr>
                <w:sz w:val="22"/>
                <w:lang w:bidi="ar-SA"/>
              </w:rPr>
            </w:pPr>
            <w:r w:rsidRPr="009773CA">
              <w:rPr>
                <w:sz w:val="22"/>
                <w:lang w:bidi="ar-SA"/>
              </w:rPr>
              <w:t>Scale leadership with the largest production share in Mexico</w:t>
            </w:r>
            <w:r w:rsidR="004F4078">
              <w:rPr>
                <w:sz w:val="22"/>
                <w:lang w:bidi="ar-SA"/>
              </w:rPr>
              <w:t xml:space="preserve"> </w:t>
            </w:r>
            <w:r w:rsidR="004F4078" w:rsidRPr="004F4078">
              <w:rPr>
                <w:sz w:val="22"/>
                <w:lang w:bidi="ar-SA"/>
              </w:rPr>
              <w:t>(</w:t>
            </w:r>
            <w:proofErr w:type="spellStart"/>
            <w:r w:rsidR="004F4078" w:rsidRPr="004F4078">
              <w:rPr>
                <w:sz w:val="22"/>
                <w:lang w:bidi="ar-SA"/>
              </w:rPr>
              <w:t>MarkLines</w:t>
            </w:r>
            <w:proofErr w:type="spellEnd"/>
            <w:r w:rsidR="004F4078" w:rsidRPr="004F4078">
              <w:rPr>
                <w:sz w:val="22"/>
                <w:lang w:bidi="ar-SA"/>
              </w:rPr>
              <w:t xml:space="preserve"> , 2025)</w:t>
            </w:r>
          </w:p>
        </w:tc>
      </w:tr>
      <w:tr w:rsidR="009773CA" w:rsidRPr="009773CA" w14:paraId="51E93339" w14:textId="77777777" w:rsidTr="009773CA">
        <w:tc>
          <w:tcPr>
            <w:tcW w:w="0" w:type="auto"/>
            <w:hideMark/>
          </w:tcPr>
          <w:p w14:paraId="28EAA2E9" w14:textId="77777777" w:rsidR="009773CA" w:rsidRPr="009773CA" w:rsidRDefault="009773CA" w:rsidP="009773CA">
            <w:pPr>
              <w:jc w:val="center"/>
              <w:rPr>
                <w:b/>
                <w:sz w:val="22"/>
                <w:lang w:bidi="ar-SA"/>
              </w:rPr>
            </w:pPr>
            <w:r w:rsidRPr="009773CA">
              <w:rPr>
                <w:b/>
                <w:sz w:val="22"/>
                <w:lang w:bidi="ar-SA"/>
              </w:rPr>
              <w:t>Nissan</w:t>
            </w:r>
          </w:p>
        </w:tc>
        <w:tc>
          <w:tcPr>
            <w:tcW w:w="0" w:type="auto"/>
            <w:hideMark/>
          </w:tcPr>
          <w:p w14:paraId="4C788083" w14:textId="77777777" w:rsidR="009773CA" w:rsidRPr="009773CA" w:rsidRDefault="009773CA" w:rsidP="009773CA">
            <w:pPr>
              <w:rPr>
                <w:sz w:val="22"/>
                <w:lang w:bidi="ar-SA"/>
              </w:rPr>
            </w:pPr>
            <w:r w:rsidRPr="009773CA">
              <w:rPr>
                <w:sz w:val="22"/>
                <w:lang w:bidi="ar-SA"/>
              </w:rPr>
              <w:t>~669,941 units</w:t>
            </w:r>
          </w:p>
        </w:tc>
        <w:tc>
          <w:tcPr>
            <w:tcW w:w="0" w:type="auto"/>
            <w:hideMark/>
          </w:tcPr>
          <w:p w14:paraId="45E70073" w14:textId="77777777" w:rsidR="009773CA" w:rsidRPr="009773CA" w:rsidRDefault="009773CA" w:rsidP="009773CA">
            <w:pPr>
              <w:rPr>
                <w:sz w:val="22"/>
                <w:lang w:bidi="ar-SA"/>
              </w:rPr>
            </w:pPr>
            <w:r w:rsidRPr="009773CA">
              <w:rPr>
                <w:sz w:val="22"/>
                <w:lang w:bidi="ar-SA"/>
              </w:rPr>
              <w:t>~456,866 vehicles</w:t>
            </w:r>
          </w:p>
        </w:tc>
        <w:tc>
          <w:tcPr>
            <w:tcW w:w="0" w:type="auto"/>
            <w:hideMark/>
          </w:tcPr>
          <w:p w14:paraId="4A0913F8" w14:textId="77777777" w:rsidR="009773CA" w:rsidRPr="009773CA" w:rsidRDefault="009773CA" w:rsidP="009773CA">
            <w:pPr>
              <w:rPr>
                <w:sz w:val="22"/>
                <w:lang w:bidi="ar-SA"/>
              </w:rPr>
            </w:pPr>
            <w:r w:rsidRPr="009773CA">
              <w:rPr>
                <w:sz w:val="22"/>
                <w:lang w:bidi="ar-SA"/>
              </w:rPr>
              <w:t>Mix of sedans, SUVs, light trucks</w:t>
            </w:r>
          </w:p>
        </w:tc>
        <w:tc>
          <w:tcPr>
            <w:tcW w:w="0" w:type="auto"/>
            <w:hideMark/>
          </w:tcPr>
          <w:p w14:paraId="594FE2EA" w14:textId="29A19AC1" w:rsidR="009773CA" w:rsidRPr="009773CA" w:rsidRDefault="009773CA" w:rsidP="009773CA">
            <w:pPr>
              <w:rPr>
                <w:sz w:val="22"/>
                <w:lang w:bidi="ar-SA"/>
              </w:rPr>
            </w:pPr>
            <w:r w:rsidRPr="009773CA">
              <w:rPr>
                <w:sz w:val="22"/>
                <w:lang w:bidi="ar-SA"/>
              </w:rPr>
              <w:t>Platform flexibility and diversified model mix</w:t>
            </w:r>
            <w:r w:rsidR="004F4078">
              <w:rPr>
                <w:sz w:val="22"/>
                <w:lang w:bidi="ar-SA"/>
              </w:rPr>
              <w:t xml:space="preserve"> </w:t>
            </w:r>
            <w:r w:rsidR="004F4078" w:rsidRPr="004F4078">
              <w:rPr>
                <w:sz w:val="22"/>
                <w:lang w:bidi="ar-SA"/>
              </w:rPr>
              <w:t>(</w:t>
            </w:r>
            <w:proofErr w:type="spellStart"/>
            <w:r w:rsidR="004F4078" w:rsidRPr="004F4078">
              <w:rPr>
                <w:sz w:val="22"/>
                <w:lang w:bidi="ar-SA"/>
              </w:rPr>
              <w:t>MarkLines</w:t>
            </w:r>
            <w:proofErr w:type="spellEnd"/>
            <w:r w:rsidR="004F4078" w:rsidRPr="004F4078">
              <w:rPr>
                <w:sz w:val="22"/>
                <w:lang w:bidi="ar-SA"/>
              </w:rPr>
              <w:t xml:space="preserve"> , 2025)</w:t>
            </w:r>
          </w:p>
        </w:tc>
      </w:tr>
      <w:tr w:rsidR="009773CA" w:rsidRPr="009773CA" w14:paraId="43487C82" w14:textId="77777777" w:rsidTr="009773CA">
        <w:tc>
          <w:tcPr>
            <w:tcW w:w="0" w:type="auto"/>
            <w:hideMark/>
          </w:tcPr>
          <w:p w14:paraId="7A5F0492" w14:textId="77777777" w:rsidR="009773CA" w:rsidRPr="009773CA" w:rsidRDefault="009773CA" w:rsidP="009773CA">
            <w:pPr>
              <w:jc w:val="center"/>
              <w:rPr>
                <w:b/>
                <w:sz w:val="22"/>
                <w:lang w:bidi="ar-SA"/>
              </w:rPr>
            </w:pPr>
            <w:r w:rsidRPr="009773CA">
              <w:rPr>
                <w:b/>
                <w:sz w:val="22"/>
                <w:lang w:bidi="ar-SA"/>
              </w:rPr>
              <w:t>Volkswagen</w:t>
            </w:r>
          </w:p>
        </w:tc>
        <w:tc>
          <w:tcPr>
            <w:tcW w:w="0" w:type="auto"/>
            <w:hideMark/>
          </w:tcPr>
          <w:p w14:paraId="2A3F4057" w14:textId="77777777" w:rsidR="009773CA" w:rsidRPr="009773CA" w:rsidRDefault="009773CA" w:rsidP="009773CA">
            <w:pPr>
              <w:rPr>
                <w:sz w:val="22"/>
                <w:lang w:bidi="ar-SA"/>
              </w:rPr>
            </w:pPr>
            <w:r w:rsidRPr="009773CA">
              <w:rPr>
                <w:sz w:val="22"/>
                <w:lang w:bidi="ar-SA"/>
              </w:rPr>
              <w:t>~382,312 units</w:t>
            </w:r>
          </w:p>
        </w:tc>
        <w:tc>
          <w:tcPr>
            <w:tcW w:w="0" w:type="auto"/>
            <w:hideMark/>
          </w:tcPr>
          <w:p w14:paraId="57940147" w14:textId="77777777" w:rsidR="009773CA" w:rsidRPr="009773CA" w:rsidRDefault="009773CA" w:rsidP="009773CA">
            <w:pPr>
              <w:rPr>
                <w:sz w:val="22"/>
                <w:lang w:bidi="ar-SA"/>
              </w:rPr>
            </w:pPr>
            <w:r w:rsidRPr="009773CA">
              <w:rPr>
                <w:sz w:val="22"/>
                <w:lang w:bidi="ar-SA"/>
              </w:rPr>
              <w:t>~326,217 vehicles</w:t>
            </w:r>
          </w:p>
        </w:tc>
        <w:tc>
          <w:tcPr>
            <w:tcW w:w="0" w:type="auto"/>
            <w:hideMark/>
          </w:tcPr>
          <w:p w14:paraId="6401D90E" w14:textId="77777777" w:rsidR="009773CA" w:rsidRPr="009773CA" w:rsidRDefault="009773CA" w:rsidP="009773CA">
            <w:pPr>
              <w:rPr>
                <w:sz w:val="22"/>
                <w:lang w:bidi="ar-SA"/>
              </w:rPr>
            </w:pPr>
            <w:r w:rsidRPr="009773CA">
              <w:rPr>
                <w:sz w:val="22"/>
                <w:lang w:bidi="ar-SA"/>
              </w:rPr>
              <w:t>Passenger cars, hatchbacks</w:t>
            </w:r>
          </w:p>
        </w:tc>
        <w:tc>
          <w:tcPr>
            <w:tcW w:w="0" w:type="auto"/>
            <w:hideMark/>
          </w:tcPr>
          <w:p w14:paraId="35F0ED3D" w14:textId="05E37B20" w:rsidR="009773CA" w:rsidRPr="009773CA" w:rsidRDefault="009773CA" w:rsidP="009773CA">
            <w:pPr>
              <w:rPr>
                <w:sz w:val="22"/>
                <w:lang w:bidi="ar-SA"/>
              </w:rPr>
            </w:pPr>
            <w:r w:rsidRPr="009773CA">
              <w:rPr>
                <w:sz w:val="22"/>
                <w:lang w:bidi="ar-SA"/>
              </w:rPr>
              <w:t>Export</w:t>
            </w:r>
            <w:r w:rsidRPr="009773CA">
              <w:rPr>
                <w:sz w:val="22"/>
                <w:lang w:bidi="ar-SA"/>
              </w:rPr>
              <w:noBreakHyphen/>
              <w:t>prepared production with consistent export volumes</w:t>
            </w:r>
            <w:r w:rsidR="004F4078">
              <w:rPr>
                <w:sz w:val="22"/>
                <w:lang w:bidi="ar-SA"/>
              </w:rPr>
              <w:t xml:space="preserve"> </w:t>
            </w:r>
            <w:r w:rsidR="004F4078" w:rsidRPr="004F4078">
              <w:rPr>
                <w:sz w:val="22"/>
                <w:lang w:bidi="ar-SA"/>
              </w:rPr>
              <w:t>(</w:t>
            </w:r>
            <w:proofErr w:type="spellStart"/>
            <w:r w:rsidR="004F4078" w:rsidRPr="004F4078">
              <w:rPr>
                <w:sz w:val="22"/>
                <w:lang w:bidi="ar-SA"/>
              </w:rPr>
              <w:t>MarkLines</w:t>
            </w:r>
            <w:proofErr w:type="spellEnd"/>
            <w:r w:rsidR="004F4078" w:rsidRPr="004F4078">
              <w:rPr>
                <w:sz w:val="22"/>
                <w:lang w:bidi="ar-SA"/>
              </w:rPr>
              <w:t xml:space="preserve"> , 2025)</w:t>
            </w:r>
          </w:p>
        </w:tc>
      </w:tr>
      <w:tr w:rsidR="009773CA" w:rsidRPr="009773CA" w14:paraId="05FC3050" w14:textId="77777777" w:rsidTr="009773CA">
        <w:tc>
          <w:tcPr>
            <w:tcW w:w="0" w:type="auto"/>
            <w:hideMark/>
          </w:tcPr>
          <w:p w14:paraId="4EDD5048" w14:textId="77777777" w:rsidR="009773CA" w:rsidRPr="009773CA" w:rsidRDefault="009773CA" w:rsidP="009773CA">
            <w:pPr>
              <w:jc w:val="center"/>
              <w:rPr>
                <w:b/>
                <w:sz w:val="22"/>
                <w:lang w:bidi="ar-SA"/>
              </w:rPr>
            </w:pPr>
            <w:r w:rsidRPr="009773CA">
              <w:rPr>
                <w:b/>
                <w:sz w:val="22"/>
                <w:lang w:bidi="ar-SA"/>
              </w:rPr>
              <w:t>Toyota</w:t>
            </w:r>
          </w:p>
        </w:tc>
        <w:tc>
          <w:tcPr>
            <w:tcW w:w="0" w:type="auto"/>
            <w:hideMark/>
          </w:tcPr>
          <w:p w14:paraId="1B5DB7D2" w14:textId="77777777" w:rsidR="009773CA" w:rsidRPr="009773CA" w:rsidRDefault="009773CA" w:rsidP="009773CA">
            <w:pPr>
              <w:rPr>
                <w:sz w:val="22"/>
                <w:lang w:bidi="ar-SA"/>
              </w:rPr>
            </w:pPr>
            <w:r w:rsidRPr="009773CA">
              <w:rPr>
                <w:sz w:val="22"/>
                <w:lang w:bidi="ar-SA"/>
              </w:rPr>
              <w:t>Not top producer but significant</w:t>
            </w:r>
          </w:p>
        </w:tc>
        <w:tc>
          <w:tcPr>
            <w:tcW w:w="0" w:type="auto"/>
            <w:hideMark/>
          </w:tcPr>
          <w:p w14:paraId="7561A8B6" w14:textId="77777777" w:rsidR="009773CA" w:rsidRPr="009773CA" w:rsidRDefault="009773CA" w:rsidP="009773CA">
            <w:pPr>
              <w:rPr>
                <w:sz w:val="22"/>
                <w:lang w:bidi="ar-SA"/>
              </w:rPr>
            </w:pPr>
            <w:r w:rsidRPr="009773CA">
              <w:rPr>
                <w:sz w:val="22"/>
                <w:lang w:bidi="ar-SA"/>
              </w:rPr>
              <w:t>~245,121 vehicles</w:t>
            </w:r>
          </w:p>
        </w:tc>
        <w:tc>
          <w:tcPr>
            <w:tcW w:w="0" w:type="auto"/>
            <w:hideMark/>
          </w:tcPr>
          <w:p w14:paraId="3E923B83" w14:textId="77777777" w:rsidR="009773CA" w:rsidRPr="009773CA" w:rsidRDefault="009773CA" w:rsidP="009773CA">
            <w:pPr>
              <w:rPr>
                <w:sz w:val="22"/>
                <w:lang w:bidi="ar-SA"/>
              </w:rPr>
            </w:pPr>
            <w:r w:rsidRPr="009773CA">
              <w:rPr>
                <w:sz w:val="22"/>
                <w:lang w:bidi="ar-SA"/>
              </w:rPr>
              <w:t>Pickups (Tacoma) and SUVs</w:t>
            </w:r>
          </w:p>
        </w:tc>
        <w:tc>
          <w:tcPr>
            <w:tcW w:w="0" w:type="auto"/>
            <w:hideMark/>
          </w:tcPr>
          <w:p w14:paraId="0B01F1ED" w14:textId="5C1BC483" w:rsidR="009773CA" w:rsidRPr="009773CA" w:rsidRDefault="009773CA" w:rsidP="009773CA">
            <w:pPr>
              <w:rPr>
                <w:sz w:val="22"/>
                <w:lang w:bidi="ar-SA"/>
              </w:rPr>
            </w:pPr>
            <w:r w:rsidRPr="009773CA">
              <w:rPr>
                <w:sz w:val="22"/>
                <w:lang w:bidi="ar-SA"/>
              </w:rPr>
              <w:t>Niche specialization in specific segments</w:t>
            </w:r>
            <w:r w:rsidR="004F4078">
              <w:t xml:space="preserve"> </w:t>
            </w:r>
            <w:r w:rsidR="004F4078" w:rsidRPr="004F4078">
              <w:rPr>
                <w:sz w:val="22"/>
                <w:lang w:bidi="ar-SA"/>
              </w:rPr>
              <w:t>(</w:t>
            </w:r>
            <w:proofErr w:type="spellStart"/>
            <w:r w:rsidR="004F4078" w:rsidRPr="004F4078">
              <w:rPr>
                <w:sz w:val="22"/>
                <w:lang w:bidi="ar-SA"/>
              </w:rPr>
              <w:t>Promexico</w:t>
            </w:r>
            <w:proofErr w:type="spellEnd"/>
            <w:r w:rsidR="004F4078" w:rsidRPr="004F4078">
              <w:rPr>
                <w:sz w:val="22"/>
                <w:lang w:bidi="ar-SA"/>
              </w:rPr>
              <w:t xml:space="preserve"> Industry, 2025)</w:t>
            </w:r>
          </w:p>
        </w:tc>
      </w:tr>
    </w:tbl>
    <w:p w14:paraId="2E463640" w14:textId="77777777" w:rsidR="009773CA" w:rsidRPr="002F0A09" w:rsidRDefault="009773CA" w:rsidP="002F0A09">
      <w:pPr>
        <w:rPr>
          <w:rFonts w:cs="Arial"/>
          <w:lang w:bidi="ar-SA"/>
        </w:rPr>
      </w:pPr>
    </w:p>
    <w:p w14:paraId="5D0DE36D" w14:textId="77777777" w:rsidR="004F4078" w:rsidRDefault="004F4078">
      <w:pPr>
        <w:spacing w:line="276" w:lineRule="auto"/>
        <w:jc w:val="left"/>
        <w:rPr>
          <w:rFonts w:eastAsia="Times New Roman" w:cs="Arial"/>
          <w:b/>
          <w:bCs/>
          <w:sz w:val="28"/>
          <w:szCs w:val="36"/>
          <w:lang w:bidi="ar-SA"/>
        </w:rPr>
      </w:pPr>
      <w:bookmarkStart w:id="16" w:name="_Toc223122487"/>
      <w:r>
        <w:rPr>
          <w:rFonts w:cs="Arial"/>
        </w:rPr>
        <w:br w:type="page"/>
      </w:r>
    </w:p>
    <w:p w14:paraId="6B3AE59B" w14:textId="612ED77E" w:rsidR="00F66F10" w:rsidRPr="002F0A09" w:rsidRDefault="00F10176" w:rsidP="002F0A09">
      <w:pPr>
        <w:pStyle w:val="Heading2"/>
        <w:spacing w:line="360" w:lineRule="auto"/>
        <w:rPr>
          <w:rFonts w:cs="Arial"/>
        </w:rPr>
      </w:pPr>
      <w:r w:rsidRPr="002F0A09">
        <w:rPr>
          <w:rFonts w:cs="Arial"/>
        </w:rPr>
        <w:lastRenderedPageBreak/>
        <w:t>3. Porter’s Diamond Model</w:t>
      </w:r>
      <w:bookmarkEnd w:id="16"/>
      <w:r w:rsidRPr="002F0A09">
        <w:rPr>
          <w:rFonts w:cs="Arial"/>
        </w:rPr>
        <w:t xml:space="preserve"> </w:t>
      </w:r>
    </w:p>
    <w:p w14:paraId="4D8750D6" w14:textId="77777777" w:rsidR="00F66F10" w:rsidRPr="002F0A09" w:rsidRDefault="00F66F10" w:rsidP="002F0A09">
      <w:pPr>
        <w:pStyle w:val="Heading3"/>
        <w:spacing w:line="360" w:lineRule="auto"/>
        <w:rPr>
          <w:rFonts w:cs="Arial"/>
        </w:rPr>
      </w:pPr>
      <w:bookmarkStart w:id="17" w:name="_Toc223122488"/>
      <w:r w:rsidRPr="002F0A09">
        <w:rPr>
          <w:rFonts w:cs="Arial"/>
        </w:rPr>
        <w:t>3.1 Factor conditions</w:t>
      </w:r>
      <w:bookmarkEnd w:id="17"/>
    </w:p>
    <w:p w14:paraId="5B350060" w14:textId="7D0D7FDA" w:rsidR="00A417F4" w:rsidRPr="002F0A09" w:rsidRDefault="004F4078" w:rsidP="002F0A09">
      <w:pPr>
        <w:rPr>
          <w:rFonts w:cs="Arial"/>
          <w:lang w:bidi="ar-SA"/>
        </w:rPr>
      </w:pPr>
      <w:r w:rsidRPr="004F4078">
        <w:rPr>
          <w:rFonts w:cs="Arial"/>
          <w:lang w:bidi="ar-SA"/>
        </w:rPr>
        <w:t xml:space="preserve">The comparative advantage of Mexico is based on the long-term strengths, a high population of suppliers, i.e., </w:t>
      </w:r>
      <w:proofErr w:type="spellStart"/>
      <w:r w:rsidRPr="004F4078">
        <w:rPr>
          <w:rFonts w:cs="Arial"/>
          <w:lang w:bidi="ar-SA"/>
        </w:rPr>
        <w:t>Nemak</w:t>
      </w:r>
      <w:proofErr w:type="spellEnd"/>
      <w:r w:rsidRPr="004F4078">
        <w:rPr>
          <w:rFonts w:cs="Arial"/>
          <w:lang w:bidi="ar-SA"/>
        </w:rPr>
        <w:t xml:space="preserve"> and </w:t>
      </w:r>
      <w:proofErr w:type="spellStart"/>
      <w:r w:rsidRPr="004F4078">
        <w:rPr>
          <w:rFonts w:cs="Arial"/>
          <w:lang w:bidi="ar-SA"/>
        </w:rPr>
        <w:t>Metalsa</w:t>
      </w:r>
      <w:proofErr w:type="spellEnd"/>
      <w:r w:rsidRPr="004F4078">
        <w:rPr>
          <w:rFonts w:cs="Arial"/>
          <w:lang w:bidi="ar-SA"/>
        </w:rPr>
        <w:t xml:space="preserve"> to be named, and the propinquity of the country to the United States. These will have a long-term advantage in terms of cost-effectiveness and scalability, which will strengthen the ability of Mexico to cater to the North American supply chain on a high level. This is even more boosted by the ability of the nation to develop the skilled labor force and the large-scale industrial parks it has developed. A certain degree of contingency, however, like the consistency of trade policy (such as adherence to the United States-Mexico-Canada Agreement) and the consistency of security and logistics, creates weaknesses. Any policy changes or a change in logistics has the potential to rapidly undermine the Mexican competitive edge in the high-volume manufacturing that focuses on exports (U.S. Department of State, 2025).</w:t>
      </w:r>
    </w:p>
    <w:p w14:paraId="1B5C4C87" w14:textId="77777777" w:rsidR="00A417F4" w:rsidRPr="002F0A09" w:rsidRDefault="00A417F4" w:rsidP="002F0A09">
      <w:pPr>
        <w:pStyle w:val="Heading3"/>
        <w:spacing w:line="360" w:lineRule="auto"/>
        <w:rPr>
          <w:rFonts w:cs="Arial"/>
        </w:rPr>
      </w:pPr>
      <w:bookmarkStart w:id="18" w:name="_Toc223122489"/>
      <w:r w:rsidRPr="002F0A09">
        <w:rPr>
          <w:rFonts w:cs="Arial"/>
        </w:rPr>
        <w:t>3.2 Demand conditions</w:t>
      </w:r>
      <w:bookmarkEnd w:id="18"/>
    </w:p>
    <w:p w14:paraId="3EF08EDD" w14:textId="49A1A7D1" w:rsidR="00A417F4" w:rsidRPr="002F0A09" w:rsidRDefault="004F4078" w:rsidP="002F0A09">
      <w:pPr>
        <w:rPr>
          <w:rFonts w:cs="Arial"/>
          <w:lang w:bidi="ar-SA"/>
        </w:rPr>
      </w:pPr>
      <w:r w:rsidRPr="004F4078">
        <w:rPr>
          <w:rFonts w:cs="Arial"/>
          <w:lang w:bidi="ar-SA"/>
        </w:rPr>
        <w:t xml:space="preserve">The automotive industry of Mexico has high export penetration performance, as observed via the fact that 79.7 percent of the vehicle export was sent to the United States in the year 2024. The national demand has a relatively small effect on the capacity decisions, which are chiefly used to fluctuate the short-term production schedules. On the other hand, production volumes, as well as the composition of model assortments, are dictated by the external demand, particularly that of the United States. The platform division and investment focus are mostly blind to the domestic requirements and are shaped rather by export demand according to the Instituto Nacional de </w:t>
      </w:r>
      <w:proofErr w:type="spellStart"/>
      <w:r w:rsidRPr="004F4078">
        <w:rPr>
          <w:rFonts w:cs="Arial"/>
          <w:lang w:bidi="ar-SA"/>
        </w:rPr>
        <w:t>Estadistica</w:t>
      </w:r>
      <w:proofErr w:type="spellEnd"/>
      <w:r w:rsidRPr="004F4078">
        <w:rPr>
          <w:rFonts w:cs="Arial"/>
          <w:lang w:bidi="ar-SA"/>
        </w:rPr>
        <w:t xml:space="preserve"> y Geografia (INEGI). As such, a change in policy or supply-demand in the United States will trigger a rapid flow to the production processes and supply-chain dynamics in Mexico (INEGI, 2025; International Trade Administration, 2026).</w:t>
      </w:r>
    </w:p>
    <w:p w14:paraId="2DA59A7D" w14:textId="77777777" w:rsidR="00700F92" w:rsidRPr="002F0A09" w:rsidRDefault="00700F92" w:rsidP="002F0A09">
      <w:pPr>
        <w:keepNext/>
        <w:rPr>
          <w:rFonts w:cs="Arial"/>
        </w:rPr>
      </w:pPr>
      <w:r w:rsidRPr="002F0A09">
        <w:rPr>
          <w:rFonts w:cs="Arial"/>
          <w:noProof/>
          <w:lang w:bidi="ar-SA"/>
        </w:rPr>
        <w:lastRenderedPageBreak/>
        <w:drawing>
          <wp:inline distT="0" distB="0" distL="0" distR="0" wp14:anchorId="4C5E2F7E" wp14:editId="5450CF49">
            <wp:extent cx="5943600" cy="3962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60227_2156_Image Generation_simple_compose_01kjfwz4zxe838a8csjqr5y1wd.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45247DF5" w14:textId="1AF48939" w:rsidR="00700F92" w:rsidRPr="002F0A09" w:rsidRDefault="00700F92" w:rsidP="002F0A09">
      <w:pPr>
        <w:pStyle w:val="Caption"/>
        <w:spacing w:line="360" w:lineRule="auto"/>
        <w:jc w:val="center"/>
        <w:rPr>
          <w:rFonts w:cs="Arial"/>
          <w:i/>
          <w:color w:val="auto"/>
          <w:lang w:bidi="ar-SA"/>
        </w:rPr>
      </w:pPr>
      <w:bookmarkStart w:id="19" w:name="_Toc223287014"/>
      <w:bookmarkStart w:id="20" w:name="_Toc224836010"/>
      <w:r w:rsidRPr="002F0A09">
        <w:rPr>
          <w:rFonts w:cs="Arial"/>
          <w:i/>
          <w:color w:val="auto"/>
        </w:rPr>
        <w:t xml:space="preserve">Figure </w:t>
      </w:r>
      <w:r w:rsidRPr="002F0A09">
        <w:rPr>
          <w:rFonts w:cs="Arial"/>
          <w:i/>
          <w:color w:val="auto"/>
        </w:rPr>
        <w:fldChar w:fldCharType="begin"/>
      </w:r>
      <w:r w:rsidRPr="002F0A09">
        <w:rPr>
          <w:rFonts w:cs="Arial"/>
          <w:i/>
          <w:color w:val="auto"/>
        </w:rPr>
        <w:instrText xml:space="preserve"> SEQ Figure \* ARABIC </w:instrText>
      </w:r>
      <w:r w:rsidRPr="002F0A09">
        <w:rPr>
          <w:rFonts w:cs="Arial"/>
          <w:i/>
          <w:color w:val="auto"/>
        </w:rPr>
        <w:fldChar w:fldCharType="separate"/>
      </w:r>
      <w:r w:rsidR="00D55594">
        <w:rPr>
          <w:rFonts w:cs="Arial"/>
          <w:i/>
          <w:noProof/>
          <w:color w:val="auto"/>
        </w:rPr>
        <w:t>5</w:t>
      </w:r>
      <w:r w:rsidRPr="002F0A09">
        <w:rPr>
          <w:rFonts w:cs="Arial"/>
          <w:i/>
          <w:color w:val="auto"/>
        </w:rPr>
        <w:fldChar w:fldCharType="end"/>
      </w:r>
      <w:r w:rsidRPr="002F0A09">
        <w:rPr>
          <w:rFonts w:cs="Arial"/>
          <w:i/>
          <w:color w:val="auto"/>
        </w:rPr>
        <w:t>: Porter’s Diamond Model of national advantage, Mexico’s automotive manufacturing competitiveness (</w:t>
      </w:r>
      <w:r w:rsidR="002F0A09" w:rsidRPr="002F0A09">
        <w:rPr>
          <w:rFonts w:cs="Arial"/>
          <w:i/>
          <w:color w:val="auto"/>
        </w:rPr>
        <w:t>International Trade Administration, 2026</w:t>
      </w:r>
      <w:r w:rsidRPr="002F0A09">
        <w:rPr>
          <w:rFonts w:cs="Arial"/>
          <w:i/>
          <w:color w:val="auto"/>
        </w:rPr>
        <w:t>)</w:t>
      </w:r>
      <w:bookmarkEnd w:id="19"/>
      <w:bookmarkEnd w:id="20"/>
    </w:p>
    <w:p w14:paraId="240103F6" w14:textId="77777777" w:rsidR="00A417F4" w:rsidRPr="002F0A09" w:rsidRDefault="00A417F4" w:rsidP="002F0A09">
      <w:pPr>
        <w:pStyle w:val="Heading3"/>
        <w:spacing w:line="360" w:lineRule="auto"/>
        <w:rPr>
          <w:rFonts w:cs="Arial"/>
        </w:rPr>
      </w:pPr>
      <w:bookmarkStart w:id="21" w:name="_Toc223122490"/>
      <w:r w:rsidRPr="002F0A09">
        <w:rPr>
          <w:rFonts w:cs="Arial"/>
        </w:rPr>
        <w:t>3.3 Related and supporting industries</w:t>
      </w:r>
      <w:bookmarkEnd w:id="21"/>
    </w:p>
    <w:p w14:paraId="1A5706B6" w14:textId="04C8B331" w:rsidR="003A56B9" w:rsidRPr="002F0A09" w:rsidRDefault="004F4078" w:rsidP="002F0A09">
      <w:pPr>
        <w:rPr>
          <w:rFonts w:cs="Arial"/>
          <w:lang w:bidi="ar-SA"/>
        </w:rPr>
      </w:pPr>
      <w:bookmarkStart w:id="22" w:name="_Toc223122491"/>
      <w:r w:rsidRPr="004F4078">
        <w:rPr>
          <w:rFonts w:cs="Arial"/>
          <w:lang w:bidi="ar-SA"/>
        </w:rPr>
        <w:t xml:space="preserve">The automotive components sectoral ecosystem in Mexico is a bottleneck of the national competitiveness, where localization, high-quality management, and just-in-time logistics operations largely contribute to the efficiency of their operations. The evidence based on the </w:t>
      </w:r>
      <w:proofErr w:type="spellStart"/>
      <w:r w:rsidRPr="004F4078">
        <w:rPr>
          <w:rFonts w:cs="Arial"/>
          <w:lang w:bidi="ar-SA"/>
        </w:rPr>
        <w:t>Industria</w:t>
      </w:r>
      <w:proofErr w:type="spellEnd"/>
      <w:r w:rsidRPr="004F4078">
        <w:rPr>
          <w:rFonts w:cs="Arial"/>
          <w:lang w:bidi="ar-SA"/>
        </w:rPr>
        <w:t xml:space="preserve"> Nacional de </w:t>
      </w:r>
      <w:proofErr w:type="spellStart"/>
      <w:r w:rsidRPr="004F4078">
        <w:rPr>
          <w:rFonts w:cs="Arial"/>
          <w:lang w:bidi="ar-SA"/>
        </w:rPr>
        <w:t>Automotores</w:t>
      </w:r>
      <w:proofErr w:type="spellEnd"/>
      <w:r w:rsidRPr="004F4078">
        <w:rPr>
          <w:rFonts w:cs="Arial"/>
          <w:lang w:bidi="ar-SA"/>
        </w:rPr>
        <w:t xml:space="preserve"> (INA) in 2025 outlines the depth of the components base in Mexico and, as a result, heightens its manufacturing capabilities. However, logistics reductions are very difficult, especially in respect to border congestion, security, and poor roadway infrastructure. Even though some benefits are inherent in the closeness to the United States geographically, the constant delays at the customs checkpoints and the security threats of the attendants are compelling companies to maintain high stock levels, thus eliminating the time benefits linked to nearshoring and negatively impacting the reliability of the supply chain (U.S. Department of State, 2025).</w:t>
      </w:r>
    </w:p>
    <w:p w14:paraId="17A92832" w14:textId="77777777" w:rsidR="00A417F4" w:rsidRPr="002F0A09" w:rsidRDefault="00A417F4" w:rsidP="002F0A09">
      <w:pPr>
        <w:pStyle w:val="Heading3"/>
        <w:spacing w:line="360" w:lineRule="auto"/>
        <w:rPr>
          <w:rFonts w:cs="Arial"/>
        </w:rPr>
      </w:pPr>
      <w:r w:rsidRPr="002F0A09">
        <w:rPr>
          <w:rFonts w:cs="Arial"/>
        </w:rPr>
        <w:lastRenderedPageBreak/>
        <w:t>3.4 Firm strategy, structure, and rivalry</w:t>
      </w:r>
      <w:bookmarkEnd w:id="22"/>
    </w:p>
    <w:p w14:paraId="4F77C2DB" w14:textId="77777777" w:rsidR="00A417F4" w:rsidRPr="002F0A09" w:rsidRDefault="00A417F4" w:rsidP="002F0A09">
      <w:pPr>
        <w:rPr>
          <w:rFonts w:cs="Arial"/>
          <w:lang w:bidi="ar-SA"/>
        </w:rPr>
      </w:pPr>
      <w:r w:rsidRPr="002F0A09">
        <w:rPr>
          <w:rFonts w:cs="Arial"/>
          <w:lang w:bidi="ar-SA"/>
        </w:rPr>
        <w:t xml:space="preserve">Competition in Mexico does not revolve around the competition of consumers at the domestic level but on the acquisition of global mandates in multinational networks. The INEGI data on manufacturers sheds light on this development, as it relates information on the performance of firms in terms of production and exports and their fluctuation (INEGI, </w:t>
      </w:r>
      <w:r w:rsidR="00CB691A" w:rsidRPr="002F0A09">
        <w:rPr>
          <w:rFonts w:cs="Arial"/>
          <w:lang w:bidi="ar-SA"/>
        </w:rPr>
        <w:t>2025</w:t>
      </w:r>
      <w:r w:rsidRPr="002F0A09">
        <w:rPr>
          <w:rFonts w:cs="Arial"/>
          <w:lang w:bidi="ar-SA"/>
        </w:rPr>
        <w:t xml:space="preserve">). The structure is similar to the notion of a portfolio competition: original equipment manufacturers are setting up their mix of models (which can be more oriented around higher-margin trucks and SUVs), competing over access to skilled </w:t>
      </w:r>
      <w:proofErr w:type="spellStart"/>
      <w:r w:rsidRPr="002F0A09">
        <w:rPr>
          <w:rFonts w:cs="Arial"/>
          <w:lang w:bidi="ar-SA"/>
        </w:rPr>
        <w:t>labour</w:t>
      </w:r>
      <w:proofErr w:type="spellEnd"/>
      <w:r w:rsidRPr="002F0A09">
        <w:rPr>
          <w:rFonts w:cs="Arial"/>
          <w:lang w:bidi="ar-SA"/>
        </w:rPr>
        <w:t>, supplier capacity, and slots in the logistics system in a congested ecosystem. At the same time, suppliers vie with each other based on engineering, product quality, and performance of the delivery to retain a place on t</w:t>
      </w:r>
      <w:r w:rsidR="00CB691A" w:rsidRPr="002F0A09">
        <w:rPr>
          <w:rFonts w:cs="Arial"/>
          <w:lang w:bidi="ar-SA"/>
        </w:rPr>
        <w:t>he international platforms (</w:t>
      </w:r>
      <w:r w:rsidRPr="002F0A09">
        <w:rPr>
          <w:rFonts w:cs="Arial"/>
          <w:lang w:bidi="ar-SA"/>
        </w:rPr>
        <w:t>International Trade Administration, 202</w:t>
      </w:r>
      <w:r w:rsidR="00CB691A" w:rsidRPr="002F0A09">
        <w:rPr>
          <w:rFonts w:cs="Arial"/>
          <w:lang w:bidi="ar-SA"/>
        </w:rPr>
        <w:t>5</w:t>
      </w:r>
      <w:r w:rsidRPr="002F0A09">
        <w:rPr>
          <w:rFonts w:cs="Arial"/>
          <w:lang w:bidi="ar-SA"/>
        </w:rPr>
        <w:t>).</w:t>
      </w:r>
    </w:p>
    <w:p w14:paraId="407B2A58" w14:textId="77777777" w:rsidR="00A417F4" w:rsidRPr="002F0A09" w:rsidRDefault="00A417F4" w:rsidP="002F0A09">
      <w:pPr>
        <w:pStyle w:val="Heading3"/>
        <w:spacing w:line="360" w:lineRule="auto"/>
        <w:rPr>
          <w:rFonts w:cs="Arial"/>
        </w:rPr>
      </w:pPr>
      <w:bookmarkStart w:id="23" w:name="_Toc223122492"/>
      <w:r w:rsidRPr="002F0A09">
        <w:rPr>
          <w:rFonts w:cs="Arial"/>
        </w:rPr>
        <w:t>3.5 Government</w:t>
      </w:r>
      <w:bookmarkEnd w:id="23"/>
    </w:p>
    <w:p w14:paraId="50144331" w14:textId="77777777" w:rsidR="00A417F4" w:rsidRPr="002F0A09" w:rsidRDefault="00A417F4" w:rsidP="002F0A09">
      <w:pPr>
        <w:rPr>
          <w:rFonts w:cs="Arial"/>
          <w:lang w:bidi="ar-SA"/>
        </w:rPr>
      </w:pPr>
      <w:r w:rsidRPr="002F0A09">
        <w:rPr>
          <w:rFonts w:cs="Arial"/>
          <w:lang w:bidi="ar-SA"/>
        </w:rPr>
        <w:t>The role of government is decisive because the competitive advantage of Mexico is determined by the existing trade regulations and investor ratings. The trade regime, which is the United States-Mexico-Canada Agreement (USMCA), allows the scale and routing without tariffs in case the rules of origin and compliance criteria are adhered to. At the same time, the investment climate influences the process of prices of regulatory and enforcement risk firms set on the long-term obligations (Internati</w:t>
      </w:r>
      <w:r w:rsidR="00CB691A" w:rsidRPr="002F0A09">
        <w:rPr>
          <w:rFonts w:cs="Arial"/>
          <w:lang w:bidi="ar-SA"/>
        </w:rPr>
        <w:t>onal Trade Administration, 2026</w:t>
      </w:r>
      <w:r w:rsidRPr="002F0A09">
        <w:rPr>
          <w:rFonts w:cs="Arial"/>
          <w:lang w:bidi="ar-SA"/>
        </w:rPr>
        <w:t>).</w:t>
      </w:r>
    </w:p>
    <w:p w14:paraId="346284BF" w14:textId="77777777" w:rsidR="00A417F4" w:rsidRPr="002F0A09" w:rsidRDefault="00A417F4" w:rsidP="002F0A09">
      <w:pPr>
        <w:pStyle w:val="Heading3"/>
        <w:spacing w:line="360" w:lineRule="auto"/>
        <w:rPr>
          <w:rFonts w:cs="Arial"/>
        </w:rPr>
      </w:pPr>
      <w:bookmarkStart w:id="24" w:name="_Toc223122493"/>
      <w:r w:rsidRPr="002F0A09">
        <w:rPr>
          <w:rFonts w:cs="Arial"/>
        </w:rPr>
        <w:t>3.6 Chance</w:t>
      </w:r>
      <w:bookmarkEnd w:id="24"/>
    </w:p>
    <w:p w14:paraId="428B53FA" w14:textId="77777777" w:rsidR="00A417F4" w:rsidRPr="002F0A09" w:rsidRDefault="00A417F4" w:rsidP="002F0A09">
      <w:pPr>
        <w:rPr>
          <w:rFonts w:cs="Arial"/>
          <w:lang w:bidi="ar-SA"/>
        </w:rPr>
      </w:pPr>
      <w:r w:rsidRPr="002F0A09">
        <w:rPr>
          <w:rFonts w:cs="Arial"/>
          <w:lang w:bidi="ar-SA"/>
        </w:rPr>
        <w:t xml:space="preserve">This business applies an abnormally strong impact of chance factors. The presence of tariff threats can immediately transform the competitiveness of Mexico, as witnessed in the reemergence of tariff politics due to the issue of automobile importation in 2025 </w:t>
      </w:r>
      <w:r w:rsidR="00CB691A" w:rsidRPr="002F0A09">
        <w:rPr>
          <w:rFonts w:cs="Arial"/>
          <w:lang w:bidi="ar-SA"/>
        </w:rPr>
        <w:t>(</w:t>
      </w:r>
      <w:proofErr w:type="spellStart"/>
      <w:r w:rsidR="00CB691A" w:rsidRPr="002F0A09">
        <w:rPr>
          <w:rFonts w:cs="Arial"/>
          <w:lang w:bidi="ar-SA"/>
        </w:rPr>
        <w:t>Tourliere</w:t>
      </w:r>
      <w:proofErr w:type="spellEnd"/>
      <w:r w:rsidR="00CB691A" w:rsidRPr="002F0A09">
        <w:rPr>
          <w:rFonts w:cs="Arial"/>
          <w:lang w:bidi="ar-SA"/>
        </w:rPr>
        <w:t>, 2025)</w:t>
      </w:r>
      <w:r w:rsidRPr="002F0A09">
        <w:rPr>
          <w:rFonts w:cs="Arial"/>
          <w:lang w:bidi="ar-SA"/>
        </w:rPr>
        <w:t>. At the same time, there is an impact of geopolitical fragmentation on market entrants. According to Reuters, BYD and Geely have sought an entry into Mexico by bidding on a car factory, in part to reduce the impact of tariffs and market-access risks (Reuters, 2026).</w:t>
      </w:r>
    </w:p>
    <w:p w14:paraId="76216752" w14:textId="77777777" w:rsidR="00A417F4" w:rsidRPr="002F0A09" w:rsidRDefault="00A417F4" w:rsidP="002F0A09">
      <w:pPr>
        <w:pStyle w:val="Heading3"/>
        <w:spacing w:line="360" w:lineRule="auto"/>
        <w:rPr>
          <w:rFonts w:cs="Arial"/>
        </w:rPr>
      </w:pPr>
      <w:bookmarkStart w:id="25" w:name="_Toc223122494"/>
      <w:r w:rsidRPr="002F0A09">
        <w:rPr>
          <w:rFonts w:cs="Arial"/>
        </w:rPr>
        <w:lastRenderedPageBreak/>
        <w:t>3.7 Overall competitiveness judgment</w:t>
      </w:r>
      <w:bookmarkEnd w:id="25"/>
    </w:p>
    <w:p w14:paraId="7A85BC42" w14:textId="77777777" w:rsidR="00A417F4" w:rsidRPr="002F0A09" w:rsidRDefault="00A417F4" w:rsidP="002F0A09">
      <w:pPr>
        <w:rPr>
          <w:rFonts w:cs="Arial"/>
          <w:lang w:bidi="ar-SA"/>
        </w:rPr>
      </w:pPr>
      <w:r w:rsidRPr="002F0A09">
        <w:rPr>
          <w:rFonts w:cs="Arial"/>
          <w:lang w:bidi="ar-SA"/>
        </w:rPr>
        <w:t>The ability to produce on a large scale with its supplier industry and its strategic location near the United States market gives it the ability to serve the international market. This benefit is further bolstered by the high level of competition among international original equipment manufacturers (OEMs) and specific export performance, which is recorded in the monthly statistics of the National Institute of Statistics and Geography (INEGI). However, the competitiveness of Mexico is limited by the concentration risk, which is the over-dependence on the United States market factor, as well as increased policy sensitivity, whereby changes in tariff regimes and enforcement of compliance can swiftly change investment returns. The dynamics also provide a strategic uncertainty in the chances of future entrance into the market and the correspondence of industrial policy as Mexico struggles to balance the benefits of near-shoring with geopolitical factors.</w:t>
      </w:r>
    </w:p>
    <w:p w14:paraId="77941966" w14:textId="77777777" w:rsidR="00A417F4" w:rsidRPr="002F0A09" w:rsidRDefault="00A417F4" w:rsidP="002F0A09">
      <w:pPr>
        <w:jc w:val="left"/>
        <w:rPr>
          <w:rFonts w:eastAsia="Times New Roman" w:cs="Arial"/>
          <w:b/>
          <w:bCs/>
          <w:sz w:val="28"/>
          <w:szCs w:val="36"/>
          <w:lang w:bidi="ar-SA"/>
        </w:rPr>
      </w:pPr>
      <w:r w:rsidRPr="002F0A09">
        <w:rPr>
          <w:rFonts w:cs="Arial"/>
        </w:rPr>
        <w:br w:type="page"/>
      </w:r>
    </w:p>
    <w:p w14:paraId="079F4DC7" w14:textId="77777777" w:rsidR="00F66F10" w:rsidRPr="002F0A09" w:rsidRDefault="00F66F10" w:rsidP="002F0A09">
      <w:pPr>
        <w:pStyle w:val="Heading2"/>
        <w:spacing w:line="360" w:lineRule="auto"/>
        <w:rPr>
          <w:rFonts w:cs="Arial"/>
        </w:rPr>
      </w:pPr>
      <w:bookmarkStart w:id="26" w:name="_Toc223122495"/>
      <w:r w:rsidRPr="002F0A09">
        <w:rPr>
          <w:rFonts w:cs="Arial"/>
        </w:rPr>
        <w:lastRenderedPageBreak/>
        <w:t>4. Foreign MNC case (Nissan in Mexico)</w:t>
      </w:r>
      <w:bookmarkEnd w:id="26"/>
    </w:p>
    <w:p w14:paraId="0577782E" w14:textId="77777777" w:rsidR="00E941CE" w:rsidRPr="002F0A09" w:rsidRDefault="003B4253" w:rsidP="002F0A09">
      <w:pPr>
        <w:pStyle w:val="Heading3"/>
        <w:spacing w:line="360" w:lineRule="auto"/>
        <w:rPr>
          <w:rFonts w:cs="Arial"/>
        </w:rPr>
      </w:pPr>
      <w:bookmarkStart w:id="27" w:name="_Toc223122496"/>
      <w:r w:rsidRPr="002F0A09">
        <w:rPr>
          <w:rFonts w:cs="Arial"/>
        </w:rPr>
        <w:t>4.1 Company profile and Mexico strategy: Nissan</w:t>
      </w:r>
      <w:bookmarkEnd w:id="27"/>
    </w:p>
    <w:p w14:paraId="534A289E" w14:textId="77777777" w:rsidR="001249DC" w:rsidRPr="002F0A09" w:rsidRDefault="00E941CE" w:rsidP="002F0A09">
      <w:pPr>
        <w:rPr>
          <w:rFonts w:cs="Arial"/>
          <w:lang w:bidi="ar-SA"/>
        </w:rPr>
      </w:pPr>
      <w:r w:rsidRPr="002F0A09">
        <w:rPr>
          <w:rFonts w:cs="Arial"/>
          <w:noProof/>
          <w:lang w:bidi="ar-SA"/>
        </w:rPr>
        <mc:AlternateContent>
          <mc:Choice Requires="wps">
            <w:drawing>
              <wp:anchor distT="0" distB="0" distL="114300" distR="114300" simplePos="0" relativeHeight="251660288" behindDoc="0" locked="0" layoutInCell="1" allowOverlap="1" wp14:anchorId="3B2D0D8B" wp14:editId="4A6D6829">
                <wp:simplePos x="0" y="0"/>
                <wp:positionH relativeFrom="column">
                  <wp:posOffset>3038475</wp:posOffset>
                </wp:positionH>
                <wp:positionV relativeFrom="paragraph">
                  <wp:posOffset>2028825</wp:posOffset>
                </wp:positionV>
                <wp:extent cx="2857500" cy="397510"/>
                <wp:effectExtent l="0" t="0" r="0" b="2540"/>
                <wp:wrapTight wrapText="bothSides">
                  <wp:wrapPolygon edited="0">
                    <wp:start x="0" y="0"/>
                    <wp:lineTo x="0" y="20703"/>
                    <wp:lineTo x="21456" y="20703"/>
                    <wp:lineTo x="21456"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2857500" cy="397510"/>
                        </a:xfrm>
                        <a:prstGeom prst="rect">
                          <a:avLst/>
                        </a:prstGeom>
                        <a:solidFill>
                          <a:prstClr val="white"/>
                        </a:solidFill>
                        <a:ln>
                          <a:noFill/>
                        </a:ln>
                        <a:effectLst/>
                      </wps:spPr>
                      <wps:txbx>
                        <w:txbxContent>
                          <w:p w14:paraId="51277559" w14:textId="77777777" w:rsidR="00E941CE" w:rsidRPr="00E941CE" w:rsidRDefault="00E941CE" w:rsidP="00E941CE">
                            <w:pPr>
                              <w:pStyle w:val="Caption"/>
                              <w:jc w:val="center"/>
                              <w:rPr>
                                <w:i/>
                                <w:noProof/>
                                <w:color w:val="auto"/>
                                <w:sz w:val="24"/>
                                <w:szCs w:val="28"/>
                              </w:rPr>
                            </w:pPr>
                            <w:bookmarkStart w:id="28" w:name="_Toc223287015"/>
                            <w:bookmarkStart w:id="29" w:name="_Toc224836011"/>
                            <w:r w:rsidRPr="00E941CE">
                              <w:rPr>
                                <w:i/>
                                <w:color w:val="auto"/>
                              </w:rPr>
                              <w:t xml:space="preserve">Figure </w:t>
                            </w:r>
                            <w:r w:rsidRPr="00E941CE">
                              <w:rPr>
                                <w:i/>
                                <w:color w:val="auto"/>
                              </w:rPr>
                              <w:fldChar w:fldCharType="begin"/>
                            </w:r>
                            <w:r w:rsidRPr="00E941CE">
                              <w:rPr>
                                <w:i/>
                                <w:color w:val="auto"/>
                              </w:rPr>
                              <w:instrText xml:space="preserve"> SEQ Figure \* ARABIC </w:instrText>
                            </w:r>
                            <w:r w:rsidRPr="00E941CE">
                              <w:rPr>
                                <w:i/>
                                <w:color w:val="auto"/>
                              </w:rPr>
                              <w:fldChar w:fldCharType="separate"/>
                            </w:r>
                            <w:r w:rsidR="00D55594">
                              <w:rPr>
                                <w:i/>
                                <w:noProof/>
                                <w:color w:val="auto"/>
                              </w:rPr>
                              <w:t>6</w:t>
                            </w:r>
                            <w:r w:rsidRPr="00E941CE">
                              <w:rPr>
                                <w:i/>
                                <w:color w:val="auto"/>
                              </w:rPr>
                              <w:fldChar w:fldCharType="end"/>
                            </w:r>
                            <w:r w:rsidRPr="00E941CE">
                              <w:rPr>
                                <w:i/>
                                <w:color w:val="auto"/>
                              </w:rPr>
                              <w:t>: Mexican Exec Leads Nissan, Strengthening Mexico Auto Ties (International Trade Administration, 2025)</w:t>
                            </w:r>
                            <w:bookmarkEnd w:id="28"/>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B2D0D8B" id="_x0000_t202" coordsize="21600,21600" o:spt="202" path="m,l,21600r21600,l21600,xe">
                <v:stroke joinstyle="miter"/>
                <v:path gradientshapeok="t" o:connecttype="rect"/>
              </v:shapetype>
              <v:shape id="Text Box 8" o:spid="_x0000_s1026" type="#_x0000_t202" style="position:absolute;left:0;text-align:left;margin-left:239.25pt;margin-top:159.75pt;width:225pt;height:31.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" stroked="f">
                <v:textbox inset="0,0,0,0">
                  <w:txbxContent>
                    <w:p w14:paraId="51277559" w14:textId="77777777" w:rsidR="00E941CE" w:rsidRPr="00E941CE" w:rsidRDefault="00E941CE" w:rsidP="00E941CE">
                      <w:pPr>
                        <w:pStyle w:val="Caption"/>
                        <w:jc w:val="center"/>
                        <w:rPr>
                          <w:i/>
                          <w:noProof/>
                          <w:color w:val="auto"/>
                          <w:sz w:val="24"/>
                          <w:szCs w:val="28"/>
                        </w:rPr>
                      </w:pPr>
                      <w:bookmarkStart w:id="30" w:name="_Toc223287015"/>
                      <w:bookmarkStart w:id="31" w:name="_Toc224836011"/>
                      <w:r w:rsidRPr="00E941CE">
                        <w:rPr>
                          <w:i/>
                          <w:color w:val="auto"/>
                        </w:rPr>
                        <w:t xml:space="preserve">Figure </w:t>
                      </w:r>
                      <w:r w:rsidRPr="00E941CE">
                        <w:rPr>
                          <w:i/>
                          <w:color w:val="auto"/>
                        </w:rPr>
                        <w:fldChar w:fldCharType="begin"/>
                      </w:r>
                      <w:r w:rsidRPr="00E941CE">
                        <w:rPr>
                          <w:i/>
                          <w:color w:val="auto"/>
                        </w:rPr>
                        <w:instrText xml:space="preserve"> SEQ Figure \* ARABIC </w:instrText>
                      </w:r>
                      <w:r w:rsidRPr="00E941CE">
                        <w:rPr>
                          <w:i/>
                          <w:color w:val="auto"/>
                        </w:rPr>
                        <w:fldChar w:fldCharType="separate"/>
                      </w:r>
                      <w:r w:rsidR="00D55594">
                        <w:rPr>
                          <w:i/>
                          <w:noProof/>
                          <w:color w:val="auto"/>
                        </w:rPr>
                        <w:t>6</w:t>
                      </w:r>
                      <w:r w:rsidRPr="00E941CE">
                        <w:rPr>
                          <w:i/>
                          <w:color w:val="auto"/>
                        </w:rPr>
                        <w:fldChar w:fldCharType="end"/>
                      </w:r>
                      <w:r w:rsidRPr="00E941CE">
                        <w:rPr>
                          <w:i/>
                          <w:color w:val="auto"/>
                        </w:rPr>
                        <w:t>: Mexican Exec Leads Nissan, Strengthening Mexico Auto Ties (International Trade Administration, 2025)</w:t>
                      </w:r>
                      <w:bookmarkEnd w:id="30"/>
                      <w:bookmarkEnd w:id="31"/>
                    </w:p>
                  </w:txbxContent>
                </v:textbox>
                <w10:wrap type="tight"/>
              </v:shape>
            </w:pict>
          </mc:Fallback>
        </mc:AlternateContent>
      </w:r>
      <w:r w:rsidRPr="002F0A09">
        <w:rPr>
          <w:rFonts w:cs="Arial"/>
          <w:noProof/>
          <w:lang w:bidi="ar-SA"/>
        </w:rPr>
        <w:drawing>
          <wp:anchor distT="0" distB="0" distL="114300" distR="114300" simplePos="0" relativeHeight="251658240" behindDoc="1" locked="0" layoutInCell="1" allowOverlap="1" wp14:anchorId="6241BE7D" wp14:editId="0F35BA33">
            <wp:simplePos x="0" y="0"/>
            <wp:positionH relativeFrom="column">
              <wp:posOffset>3038475</wp:posOffset>
            </wp:positionH>
            <wp:positionV relativeFrom="paragraph">
              <wp:posOffset>107315</wp:posOffset>
            </wp:positionV>
            <wp:extent cx="2959100" cy="1828800"/>
            <wp:effectExtent l="0" t="0" r="0" b="0"/>
            <wp:wrapTight wrapText="bothSides">
              <wp:wrapPolygon edited="0">
                <wp:start x="0" y="0"/>
                <wp:lineTo x="0" y="21375"/>
                <wp:lineTo x="21415" y="21375"/>
                <wp:lineTo x="21415" y="0"/>
                <wp:lineTo x="0" y="0"/>
              </wp:wrapPolygon>
            </wp:wrapTight>
            <wp:docPr id="7" name="Picture 7" descr="Mexican Exec Leads Nissan, Strengthening Mexico Auto 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xican Exec Leads Nissan, Strengthening Mexico Auto Ti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5910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3B4253" w:rsidRPr="002F0A09">
        <w:rPr>
          <w:rFonts w:cs="Arial"/>
          <w:lang w:bidi="ar-SA"/>
        </w:rPr>
        <w:t>To Nissan, rather than Mexico being a local market play, it is a production and export facility in an extremely interconnected North American system. The industrial fundamentals of Mexico are in support of this reasoning. By 2024, Mexico will be one of the most significant manufacturers and exporters of light cars in the world, and most of the cars manufactured by Mexico will be exported to the United States, which will take the central material of market accessibility (International Trade Administration, 202</w:t>
      </w:r>
      <w:r w:rsidR="00310D13" w:rsidRPr="002F0A09">
        <w:rPr>
          <w:rFonts w:cs="Arial"/>
          <w:lang w:bidi="ar-SA"/>
        </w:rPr>
        <w:t>5</w:t>
      </w:r>
      <w:r w:rsidR="003B4253" w:rsidRPr="002F0A09">
        <w:rPr>
          <w:rFonts w:cs="Arial"/>
          <w:lang w:bidi="ar-SA"/>
        </w:rPr>
        <w:t xml:space="preserve">). The monthly data on Mexico provided by INEGI provides an additional example of how Mexico will be operational, production, exports, and domestic sales of a specific manufacturer being monitored so that Nissan and its competitors could not rely on the presence of domestic demand fluctuations alone but base output optimization on the rise and fall of both export and domestic demand (INEGI, </w:t>
      </w:r>
      <w:r w:rsidR="00310D13" w:rsidRPr="002F0A09">
        <w:rPr>
          <w:rFonts w:cs="Arial"/>
          <w:lang w:bidi="ar-SA"/>
        </w:rPr>
        <w:t>2025</w:t>
      </w:r>
      <w:r w:rsidR="003B4253" w:rsidRPr="002F0A09">
        <w:rPr>
          <w:rFonts w:cs="Arial"/>
          <w:lang w:bidi="ar-SA"/>
        </w:rPr>
        <w:t>).</w:t>
      </w:r>
    </w:p>
    <w:p w14:paraId="5F05202B" w14:textId="0A6D7BF2" w:rsidR="003B4253" w:rsidRPr="002F0A09" w:rsidRDefault="003B4253" w:rsidP="002F0A09">
      <w:pPr>
        <w:rPr>
          <w:rFonts w:cs="Arial"/>
          <w:lang w:bidi="ar-SA"/>
        </w:rPr>
      </w:pPr>
      <w:r w:rsidRPr="002F0A09">
        <w:rPr>
          <w:rFonts w:cs="Arial"/>
          <w:lang w:bidi="ar-SA"/>
        </w:rPr>
        <w:t xml:space="preserve">The new </w:t>
      </w:r>
      <w:proofErr w:type="spellStart"/>
      <w:r w:rsidRPr="002F0A09">
        <w:rPr>
          <w:rFonts w:cs="Arial"/>
          <w:lang w:bidi="ar-SA"/>
        </w:rPr>
        <w:t>reorganisation</w:t>
      </w:r>
      <w:proofErr w:type="spellEnd"/>
      <w:r w:rsidRPr="002F0A09">
        <w:rPr>
          <w:rFonts w:cs="Arial"/>
          <w:lang w:bidi="ar-SA"/>
        </w:rPr>
        <w:t xml:space="preserve"> of Nissan makes the Mexico strategy more topical and vulnerable. At the end of July 2025, Nissan said that it was planning to move all its production to the Aguascalientes complex in the fiscal year 2025 (ending March 2026) and that it would stop operations at its CIVAC plant in Morelos (Nissan, 2025). Mass media covered this consolidation and associated it with a wider global strategy to </w:t>
      </w:r>
      <w:proofErr w:type="spellStart"/>
      <w:r w:rsidRPr="002F0A09">
        <w:rPr>
          <w:rFonts w:cs="Arial"/>
          <w:lang w:bidi="ar-SA"/>
        </w:rPr>
        <w:t>minimise</w:t>
      </w:r>
      <w:proofErr w:type="spellEnd"/>
      <w:r w:rsidRPr="002F0A09">
        <w:rPr>
          <w:rFonts w:cs="Arial"/>
          <w:lang w:bidi="ar-SA"/>
        </w:rPr>
        <w:t xml:space="preserve"> capacity and locations, as well as the symbolic significance of CIVAC as the first plant of Nissan to be located outside of Japan and its long manufacturing tradition (Reuters, 202</w:t>
      </w:r>
      <w:r w:rsidR="00310D13" w:rsidRPr="002F0A09">
        <w:rPr>
          <w:rFonts w:cs="Arial"/>
          <w:lang w:bidi="ar-SA"/>
        </w:rPr>
        <w:t>6d</w:t>
      </w:r>
      <w:r w:rsidRPr="002F0A09">
        <w:rPr>
          <w:rFonts w:cs="Arial"/>
          <w:lang w:bidi="ar-SA"/>
        </w:rPr>
        <w:t>). Combined, it means that Nissan is moving to increased capacity, more technology, and greater control of operations at Aguascalientes, even at the cost of reduced geographical redundancy in Mexico (Nissan, 2025; Reuters, 202</w:t>
      </w:r>
      <w:r w:rsidR="00310D13" w:rsidRPr="002F0A09">
        <w:rPr>
          <w:rFonts w:cs="Arial"/>
          <w:lang w:bidi="ar-SA"/>
        </w:rPr>
        <w:t>6d</w:t>
      </w:r>
      <w:r w:rsidRPr="002F0A09">
        <w:rPr>
          <w:rFonts w:cs="Arial"/>
          <w:lang w:bidi="ar-SA"/>
        </w:rPr>
        <w:t xml:space="preserve">). </w:t>
      </w:r>
    </w:p>
    <w:p w14:paraId="62B00B9A" w14:textId="77777777" w:rsidR="003B4253" w:rsidRPr="002F0A09" w:rsidRDefault="003B4253" w:rsidP="002F0A09">
      <w:pPr>
        <w:pStyle w:val="Heading3"/>
        <w:spacing w:line="360" w:lineRule="auto"/>
        <w:rPr>
          <w:rFonts w:cs="Arial"/>
        </w:rPr>
      </w:pPr>
      <w:bookmarkStart w:id="30" w:name="_Toc223122497"/>
      <w:r w:rsidRPr="002F0A09">
        <w:rPr>
          <w:rFonts w:cs="Arial"/>
        </w:rPr>
        <w:lastRenderedPageBreak/>
        <w:t>4.2 Entry mode and operating model</w:t>
      </w:r>
      <w:bookmarkEnd w:id="30"/>
    </w:p>
    <w:p w14:paraId="16BA0810" w14:textId="77777777" w:rsidR="003B4253" w:rsidRPr="002F0A09" w:rsidRDefault="003B4253" w:rsidP="002F0A09">
      <w:pPr>
        <w:rPr>
          <w:rFonts w:cs="Arial"/>
          <w:lang w:bidi="ar-SA"/>
        </w:rPr>
      </w:pPr>
      <w:r w:rsidRPr="002F0A09">
        <w:rPr>
          <w:rFonts w:cs="Arial"/>
          <w:lang w:bidi="ar-SA"/>
        </w:rPr>
        <w:t>The model of operation of the Nissan Company in Mexico can be described as a wholly owned system of manufacturing and supply chain to achieve the best results in exports. Such a setup conforms to the general logic of control that informs modern automotive manufacture, whereby quality mechanisms, platform regimen, and standards documentation have to be identical across various markets. This rationale is strengthened by a further consolidation of Aguascalientes to shift the location of production to the location that Nissan presents as preferable in supporting further productivity and competitiveness (Nissan, 2025). The model goes hand in hand with the engagement of Mexico in the trade within the region, where scale and repeatable processes are core factors of cost competitiveness (International Trade Administration, 2026).</w:t>
      </w:r>
    </w:p>
    <w:p w14:paraId="79D3FD9D" w14:textId="77777777" w:rsidR="00E941CE" w:rsidRPr="002F0A09" w:rsidRDefault="00E941CE" w:rsidP="002F0A09">
      <w:pPr>
        <w:keepNext/>
        <w:jc w:val="center"/>
        <w:rPr>
          <w:rFonts w:cs="Arial"/>
        </w:rPr>
      </w:pPr>
      <w:r w:rsidRPr="002F0A09">
        <w:rPr>
          <w:rFonts w:cs="Arial"/>
          <w:noProof/>
          <w:lang w:bidi="ar-SA"/>
        </w:rPr>
        <w:drawing>
          <wp:inline distT="0" distB="0" distL="0" distR="0" wp14:anchorId="1B34E283" wp14:editId="56E286F7">
            <wp:extent cx="5505450" cy="36703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60301_1940_Image Generation_simple_compose_01kjmszacyfy494xnehgatzrv5.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05450" cy="3670300"/>
                    </a:xfrm>
                    <a:prstGeom prst="rect">
                      <a:avLst/>
                    </a:prstGeom>
                  </pic:spPr>
                </pic:pic>
              </a:graphicData>
            </a:graphic>
          </wp:inline>
        </w:drawing>
      </w:r>
    </w:p>
    <w:p w14:paraId="54B56BE4" w14:textId="33802366" w:rsidR="00E941CE" w:rsidRPr="002F0A09" w:rsidRDefault="00E941CE" w:rsidP="002F0A09">
      <w:pPr>
        <w:pStyle w:val="Caption"/>
        <w:spacing w:line="360" w:lineRule="auto"/>
        <w:jc w:val="center"/>
        <w:rPr>
          <w:rFonts w:cs="Arial"/>
          <w:i/>
          <w:color w:val="auto"/>
          <w:lang w:bidi="ar-SA"/>
        </w:rPr>
      </w:pPr>
      <w:bookmarkStart w:id="31" w:name="_Toc223287016"/>
      <w:bookmarkStart w:id="32" w:name="_Toc224836012"/>
      <w:r w:rsidRPr="002F0A09">
        <w:rPr>
          <w:rFonts w:cs="Arial"/>
          <w:i/>
          <w:color w:val="auto"/>
        </w:rPr>
        <w:t xml:space="preserve">Figure </w:t>
      </w:r>
      <w:r w:rsidRPr="002F0A09">
        <w:rPr>
          <w:rFonts w:cs="Arial"/>
          <w:i/>
          <w:color w:val="auto"/>
        </w:rPr>
        <w:fldChar w:fldCharType="begin"/>
      </w:r>
      <w:r w:rsidRPr="002F0A09">
        <w:rPr>
          <w:rFonts w:cs="Arial"/>
          <w:i/>
          <w:color w:val="auto"/>
        </w:rPr>
        <w:instrText xml:space="preserve"> SEQ Figure \* ARABIC </w:instrText>
      </w:r>
      <w:r w:rsidRPr="002F0A09">
        <w:rPr>
          <w:rFonts w:cs="Arial"/>
          <w:i/>
          <w:color w:val="auto"/>
        </w:rPr>
        <w:fldChar w:fldCharType="separate"/>
      </w:r>
      <w:r w:rsidR="00D55594">
        <w:rPr>
          <w:rFonts w:cs="Arial"/>
          <w:i/>
          <w:noProof/>
          <w:color w:val="auto"/>
        </w:rPr>
        <w:t>7</w:t>
      </w:r>
      <w:r w:rsidRPr="002F0A09">
        <w:rPr>
          <w:rFonts w:cs="Arial"/>
          <w:i/>
          <w:color w:val="auto"/>
        </w:rPr>
        <w:fldChar w:fldCharType="end"/>
      </w:r>
      <w:r w:rsidRPr="002F0A09">
        <w:rPr>
          <w:rFonts w:cs="Arial"/>
          <w:i/>
          <w:color w:val="auto"/>
        </w:rPr>
        <w:t>: Nissan Mexico model balances control and risk (</w:t>
      </w:r>
      <w:r w:rsidR="002F0A09" w:rsidRPr="002F0A09">
        <w:rPr>
          <w:rFonts w:cs="Arial"/>
          <w:i/>
          <w:color w:val="auto"/>
        </w:rPr>
        <w:t>Nissan, 2025</w:t>
      </w:r>
      <w:r w:rsidRPr="002F0A09">
        <w:rPr>
          <w:rFonts w:cs="Arial"/>
          <w:i/>
          <w:color w:val="auto"/>
        </w:rPr>
        <w:t>)</w:t>
      </w:r>
      <w:bookmarkEnd w:id="31"/>
      <w:bookmarkEnd w:id="32"/>
    </w:p>
    <w:p w14:paraId="4EF8ED68" w14:textId="77777777" w:rsidR="003B4253" w:rsidRPr="002F0A09" w:rsidRDefault="003B4253" w:rsidP="002F0A09">
      <w:pPr>
        <w:rPr>
          <w:rFonts w:cs="Arial"/>
          <w:lang w:bidi="ar-SA"/>
        </w:rPr>
      </w:pPr>
      <w:r w:rsidRPr="002F0A09">
        <w:rPr>
          <w:rFonts w:cs="Arial"/>
          <w:lang w:bidi="ar-SA"/>
        </w:rPr>
        <w:t xml:space="preserve">On the other hand, exposure is multiplied by the same structure. Heightened control also helps reduce occurrences of coordination failure, but at the same time, it also vests the blame for compliance performance and political risk. Hearings to gather evidence on the </w:t>
      </w:r>
      <w:r w:rsidRPr="002F0A09">
        <w:rPr>
          <w:rFonts w:cs="Arial"/>
          <w:lang w:bidi="ar-SA"/>
        </w:rPr>
        <w:lastRenderedPageBreak/>
        <w:t xml:space="preserve">practicality of the agreement are already </w:t>
      </w:r>
      <w:proofErr w:type="spellStart"/>
      <w:r w:rsidRPr="002F0A09">
        <w:rPr>
          <w:rFonts w:cs="Arial"/>
          <w:lang w:bidi="ar-SA"/>
        </w:rPr>
        <w:t>organised</w:t>
      </w:r>
      <w:proofErr w:type="spellEnd"/>
      <w:r w:rsidRPr="002F0A09">
        <w:rPr>
          <w:rFonts w:cs="Arial"/>
          <w:lang w:bidi="ar-SA"/>
        </w:rPr>
        <w:t xml:space="preserve"> by the United States Trade Representative on July 1, 2026, as the first six-year joint review of USMCA is being prepared </w:t>
      </w:r>
      <w:r w:rsidR="00310D13" w:rsidRPr="002F0A09">
        <w:rPr>
          <w:rFonts w:cs="Arial"/>
          <w:lang w:bidi="ar-SA"/>
        </w:rPr>
        <w:t>(U.S. Department of State, 2025)</w:t>
      </w:r>
      <w:r w:rsidRPr="002F0A09">
        <w:rPr>
          <w:rFonts w:cs="Arial"/>
          <w:lang w:bidi="ar-SA"/>
        </w:rPr>
        <w:t>. Within this environment, fully owned, export-driven business strategies do not provide Nissan with the same number of buffers in case of the escalation of rules-of-origin enforcement, the threat of tariffs, or a change in the regulatory environment. Whereas the model meets the requirement of having stringent control, it requires stronger risk controls than before, other than having to install better factory efficiency.</w:t>
      </w:r>
    </w:p>
    <w:p w14:paraId="3EB897FB" w14:textId="77777777" w:rsidR="003B4253" w:rsidRPr="002F0A09" w:rsidRDefault="003B4253" w:rsidP="002F0A09">
      <w:pPr>
        <w:pStyle w:val="Heading3"/>
        <w:spacing w:line="360" w:lineRule="auto"/>
        <w:rPr>
          <w:rFonts w:cs="Arial"/>
        </w:rPr>
      </w:pPr>
      <w:bookmarkStart w:id="33" w:name="_Toc223122498"/>
      <w:r w:rsidRPr="002F0A09">
        <w:rPr>
          <w:rFonts w:cs="Arial"/>
        </w:rPr>
        <w:t>4.3 Market attractiveness (PESTLE)</w:t>
      </w:r>
      <w:bookmarkEnd w:id="33"/>
    </w:p>
    <w:p w14:paraId="245DFB32" w14:textId="7BEC626B" w:rsidR="002B3EAD" w:rsidRDefault="003B4253" w:rsidP="002B3EAD">
      <w:pPr>
        <w:rPr>
          <w:rFonts w:cs="Arial"/>
          <w:lang w:bidi="ar-SA"/>
        </w:rPr>
      </w:pPr>
      <w:r w:rsidRPr="002F0A09">
        <w:rPr>
          <w:rFonts w:cs="Arial"/>
          <w:b/>
          <w:u w:val="single"/>
          <w:lang w:bidi="ar-SA"/>
        </w:rPr>
        <w:t>Political</w:t>
      </w:r>
      <w:r w:rsidRPr="002F0A09">
        <w:rPr>
          <w:rFonts w:cs="Arial"/>
          <w:lang w:bidi="ar-SA"/>
        </w:rPr>
        <w:br/>
      </w:r>
      <w:r w:rsidR="002B3EAD" w:rsidRPr="002B3EAD">
        <w:t>Compliance with the United States-Mexico-Canada Agreement (USMCA) and the stability of Mexico in terms of trade policy are major factors that define Nissan's desirability in Mexico. Future USMCA reviews in July 2026 are associated with some uncertainties, but Nissan has gone ahead to expand its compliance infrastructure through the deployment of advanced rules-of-origin tracking systems and put its suppliers in Mexico through intensive audit exercises (Reuters, 2025). Such steps will ensure that the exports of Nissan remain eligible to receive the duty-free treatment, which will eliminate the threat of introducing tariffs. In addition, Nissan has modified its production operations to reflect the set changes in trade policies, maintaining the flexibility and the ability to quickly adapt to a policy change, which promises the U.S. market cannot be interrupted (United States Trade Representative, 2026).</w:t>
      </w:r>
    </w:p>
    <w:p w14:paraId="7ED1FCAF" w14:textId="24AC04EF" w:rsidR="002B3EAD" w:rsidRDefault="003B4253" w:rsidP="002B3EAD">
      <w:pPr>
        <w:rPr>
          <w:rFonts w:cs="Arial"/>
          <w:lang w:bidi="ar-SA"/>
        </w:rPr>
      </w:pPr>
      <w:r w:rsidRPr="002F0A09">
        <w:rPr>
          <w:rFonts w:cs="Arial"/>
          <w:b/>
          <w:u w:val="single"/>
          <w:lang w:bidi="ar-SA"/>
        </w:rPr>
        <w:t>Economic</w:t>
      </w:r>
      <w:r w:rsidRPr="002F0A09">
        <w:rPr>
          <w:rFonts w:cs="Arial"/>
          <w:lang w:bidi="ar-SA"/>
        </w:rPr>
        <w:br/>
      </w:r>
      <w:r w:rsidR="004E328E" w:rsidRPr="004E328E">
        <w:t xml:space="preserve">Although the investment plan of Nissan has the advantage of Mexico as a country with proximity to the United States market and gains in scale, the concentration within its exports is highly risky as well. In 2024, Mexico exported 79.7 percent of all vehicles to the U.S. (International Trade Administration, 2025). To counter this risk of concentration, Nissan has been able to diversify operations at the plant of Aguascalientes, which maximizes flexibility in the platform in order to adapt to shifts in demand in the United States. However, currency fluctuations that especially include the Mexican peso might </w:t>
      </w:r>
      <w:r w:rsidR="004E328E" w:rsidRPr="004E328E">
        <w:lastRenderedPageBreak/>
        <w:t>hurt the profit margins of Nissan (Reuters, 2026). This can be achieved by hedging on currency risk strategically and enhancing best practices in cost management to ensure that Nissan is able to navigate the volatility in the financial markets all over the world and remain profitable (IMF, 2025).</w:t>
      </w:r>
    </w:p>
    <w:p w14:paraId="0AA712DA" w14:textId="32135BE3" w:rsidR="002B3EAD" w:rsidRDefault="003B4253" w:rsidP="002B3EAD">
      <w:pPr>
        <w:rPr>
          <w:rFonts w:cs="Arial"/>
          <w:lang w:bidi="ar-SA"/>
        </w:rPr>
      </w:pPr>
      <w:r w:rsidRPr="002F0A09">
        <w:rPr>
          <w:rFonts w:cs="Arial"/>
          <w:b/>
          <w:u w:val="single"/>
          <w:lang w:bidi="ar-SA"/>
        </w:rPr>
        <w:t>Legal/regulatory</w:t>
      </w:r>
      <w:r w:rsidRPr="002F0A09">
        <w:rPr>
          <w:rFonts w:cs="Arial"/>
          <w:lang w:bidi="ar-SA"/>
        </w:rPr>
        <w:br/>
      </w:r>
      <w:r w:rsidR="004E328E" w:rsidRPr="004E328E">
        <w:t xml:space="preserve">Mexico holds an attractive investment environment, and thus, the investment environment is still attractive; however, Nissan would be required to comply with strict regulations. In particular, the USMCA regulations on the rule-of-origin require 75% of the vehicle content to be made regional (U.S. Department of State, 2025). Nissan has addressed this by localizing its production to Mexico, where it has a Tier 1 supplier like </w:t>
      </w:r>
      <w:proofErr w:type="spellStart"/>
      <w:r w:rsidR="004E328E" w:rsidRPr="004E328E">
        <w:t>Metalsa</w:t>
      </w:r>
      <w:proofErr w:type="spellEnd"/>
      <w:r w:rsidR="004E328E" w:rsidRPr="004E328E">
        <w:t xml:space="preserve"> (chassis) and </w:t>
      </w:r>
      <w:proofErr w:type="spellStart"/>
      <w:r w:rsidR="004E328E" w:rsidRPr="004E328E">
        <w:t>Nemak</w:t>
      </w:r>
      <w:proofErr w:type="spellEnd"/>
      <w:r w:rsidR="004E328E" w:rsidRPr="004E328E">
        <w:t xml:space="preserve"> (casting) to satisfy this demand. The strict rate of adherence to protocols and close partnership with these suppliers makes export business to the United States smooth, minimizing the chances of non-compliance with the laws. Moreover, the compliance with the rules of origin benefits is a competitive advantage because they help Nissan to retain the status of duty-free trade and have a wide range of suppliers (International Trade Administration, 2025).</w:t>
      </w:r>
      <w:r w:rsidR="002B3EAD">
        <w:t xml:space="preserve"> </w:t>
      </w:r>
    </w:p>
    <w:p w14:paraId="2E204827" w14:textId="77777777" w:rsidR="00700F92" w:rsidRPr="002F0A09" w:rsidRDefault="00700F92" w:rsidP="002F0A09">
      <w:pPr>
        <w:keepNext/>
        <w:rPr>
          <w:rFonts w:cs="Arial"/>
        </w:rPr>
      </w:pPr>
      <w:r w:rsidRPr="002F0A09">
        <w:rPr>
          <w:rFonts w:cs="Arial"/>
          <w:noProof/>
          <w:lang w:bidi="ar-SA"/>
        </w:rPr>
        <w:lastRenderedPageBreak/>
        <w:drawing>
          <wp:inline distT="0" distB="0" distL="0" distR="0" wp14:anchorId="4B60A798" wp14:editId="3910AFBC">
            <wp:extent cx="5429250" cy="3619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60227_2153_Image Generation_simple_compose_01kjfwtqf3evgt4xv8762qgwrn.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39680" cy="3626454"/>
                    </a:xfrm>
                    <a:prstGeom prst="rect">
                      <a:avLst/>
                    </a:prstGeom>
                  </pic:spPr>
                </pic:pic>
              </a:graphicData>
            </a:graphic>
          </wp:inline>
        </w:drawing>
      </w:r>
    </w:p>
    <w:p w14:paraId="277CC807" w14:textId="77777777" w:rsidR="00700F92" w:rsidRPr="002F0A09" w:rsidRDefault="00700F92" w:rsidP="002F0A09">
      <w:pPr>
        <w:pStyle w:val="Caption"/>
        <w:spacing w:line="360" w:lineRule="auto"/>
        <w:jc w:val="center"/>
        <w:rPr>
          <w:rFonts w:cs="Arial"/>
          <w:i/>
          <w:color w:val="auto"/>
          <w:lang w:bidi="ar-SA"/>
        </w:rPr>
      </w:pPr>
      <w:bookmarkStart w:id="34" w:name="_Toc223287017"/>
      <w:bookmarkStart w:id="35" w:name="_Toc224836013"/>
      <w:r w:rsidRPr="002F0A09">
        <w:rPr>
          <w:rFonts w:cs="Arial"/>
          <w:i/>
          <w:color w:val="auto"/>
        </w:rPr>
        <w:t xml:space="preserve">Figure </w:t>
      </w:r>
      <w:r w:rsidRPr="002F0A09">
        <w:rPr>
          <w:rFonts w:cs="Arial"/>
          <w:i/>
          <w:color w:val="auto"/>
        </w:rPr>
        <w:fldChar w:fldCharType="begin"/>
      </w:r>
      <w:r w:rsidRPr="002F0A09">
        <w:rPr>
          <w:rFonts w:cs="Arial"/>
          <w:i/>
          <w:color w:val="auto"/>
        </w:rPr>
        <w:instrText xml:space="preserve"> SEQ Figure \* ARABIC </w:instrText>
      </w:r>
      <w:r w:rsidRPr="002F0A09">
        <w:rPr>
          <w:rFonts w:cs="Arial"/>
          <w:i/>
          <w:color w:val="auto"/>
        </w:rPr>
        <w:fldChar w:fldCharType="separate"/>
      </w:r>
      <w:r w:rsidR="00D55594">
        <w:rPr>
          <w:rFonts w:cs="Arial"/>
          <w:i/>
          <w:noProof/>
          <w:color w:val="auto"/>
        </w:rPr>
        <w:t>8</w:t>
      </w:r>
      <w:r w:rsidRPr="002F0A09">
        <w:rPr>
          <w:rFonts w:cs="Arial"/>
          <w:i/>
          <w:color w:val="auto"/>
        </w:rPr>
        <w:fldChar w:fldCharType="end"/>
      </w:r>
      <w:r w:rsidRPr="002F0A09">
        <w:rPr>
          <w:rFonts w:cs="Arial"/>
          <w:i/>
          <w:color w:val="auto"/>
        </w:rPr>
        <w:t>: Market attractiveness for Nissan in Mexico, PESTLE analysis (Author)</w:t>
      </w:r>
      <w:bookmarkEnd w:id="34"/>
      <w:bookmarkEnd w:id="35"/>
    </w:p>
    <w:p w14:paraId="79126F6F" w14:textId="22C1D783" w:rsidR="003B4253" w:rsidRPr="002F0A09" w:rsidRDefault="003B4253" w:rsidP="002F0A09">
      <w:pPr>
        <w:rPr>
          <w:rFonts w:cs="Arial"/>
          <w:lang w:bidi="ar-SA"/>
        </w:rPr>
      </w:pPr>
      <w:r w:rsidRPr="002F0A09">
        <w:rPr>
          <w:rFonts w:cs="Arial"/>
          <w:b/>
          <w:u w:val="single"/>
          <w:lang w:bidi="ar-SA"/>
        </w:rPr>
        <w:t>Socio-cultural</w:t>
      </w:r>
      <w:r w:rsidRPr="002F0A09">
        <w:rPr>
          <w:rFonts w:cs="Arial"/>
          <w:lang w:bidi="ar-SA"/>
        </w:rPr>
        <w:br/>
      </w:r>
      <w:r w:rsidR="004E328E" w:rsidRPr="004E328E">
        <w:t>The operations Nissan has conducted in Mexico are based on effective management-labor alignment. With Nissan concentrating its activities in a complex in Aguascalientes, excellent internal communication and trust towards the labor force are of great importance. The change of direction in the CIVAC plant will demand ongoing employee relations in order to avoid productivity loss. The HR processes that have been adopted at Nissan promote a seamless implementation scheme with a focus on open communication and participation of staff in the rearrangement process (Bright and Cortes 2025). The labor stability is also critical because the automotive business in Mexico is slowly shifting to producing vehicles with greater value, such as electric vehicles (EVs) that would need skilled labor and well-developed training.</w:t>
      </w:r>
    </w:p>
    <w:p w14:paraId="5349ECAF" w14:textId="77777777" w:rsidR="003A56B9" w:rsidRPr="002F0A09" w:rsidRDefault="003A56B9" w:rsidP="002F0A09">
      <w:pPr>
        <w:jc w:val="left"/>
        <w:rPr>
          <w:rFonts w:cs="Arial"/>
          <w:b/>
          <w:u w:val="single"/>
          <w:lang w:bidi="ar-SA"/>
        </w:rPr>
      </w:pPr>
      <w:r w:rsidRPr="002F0A09">
        <w:rPr>
          <w:rFonts w:cs="Arial"/>
          <w:b/>
          <w:u w:val="single"/>
          <w:lang w:bidi="ar-SA"/>
        </w:rPr>
        <w:br w:type="page"/>
      </w:r>
    </w:p>
    <w:p w14:paraId="5609DD0D" w14:textId="77777777" w:rsidR="00310D13" w:rsidRPr="002F0A09" w:rsidRDefault="003B4253" w:rsidP="002F0A09">
      <w:pPr>
        <w:rPr>
          <w:rFonts w:cs="Arial"/>
          <w:lang w:bidi="ar-SA"/>
        </w:rPr>
      </w:pPr>
      <w:r w:rsidRPr="002F0A09">
        <w:rPr>
          <w:rFonts w:cs="Arial"/>
          <w:b/>
          <w:u w:val="single"/>
          <w:lang w:bidi="ar-SA"/>
        </w:rPr>
        <w:lastRenderedPageBreak/>
        <w:t>Technological</w:t>
      </w:r>
    </w:p>
    <w:p w14:paraId="31422245" w14:textId="6C199D72" w:rsidR="004E328E" w:rsidRDefault="004E328E" w:rsidP="002F0A09">
      <w:pPr>
        <w:rPr>
          <w:rFonts w:cs="Arial"/>
          <w:lang w:bidi="ar-SA"/>
        </w:rPr>
      </w:pPr>
      <w:r w:rsidRPr="004E328E">
        <w:t xml:space="preserve">Nissan is grappling with the world transition to electric vehicles (EVs), which is coming with its opportunities and threats. In its consolidation efforts in Aguascalientes, Nissan is spending massive amounts on EV manufacturing and the new generation platform technology. This involves modernizing its supply chain and having collaborations with suppliers such as </w:t>
      </w:r>
      <w:proofErr w:type="spellStart"/>
      <w:r w:rsidRPr="004E328E">
        <w:t>Metalsa</w:t>
      </w:r>
      <w:proofErr w:type="spellEnd"/>
      <w:r w:rsidRPr="004E328E">
        <w:t xml:space="preserve"> and </w:t>
      </w:r>
      <w:proofErr w:type="spellStart"/>
      <w:r w:rsidRPr="004E328E">
        <w:t>Nemak</w:t>
      </w:r>
      <w:proofErr w:type="spellEnd"/>
      <w:r w:rsidRPr="004E328E">
        <w:t xml:space="preserve"> to get high-quality components to make EVs. The world semiconductor crunch, however, presents a problem because the availability of chips limits the manufacture of vehicles. To reduce this, Nissan has focused on diversification of suppliers and is partnering with Tier 1 suppliers to acquire a stable supply of the key EV parts (Reuters 2026c).</w:t>
      </w:r>
    </w:p>
    <w:p w14:paraId="59CEF133" w14:textId="7A01D184" w:rsidR="003B4253" w:rsidRPr="002F0A09" w:rsidRDefault="003B4253" w:rsidP="002F0A09">
      <w:pPr>
        <w:rPr>
          <w:rFonts w:cs="Arial"/>
          <w:lang w:bidi="ar-SA"/>
        </w:rPr>
      </w:pPr>
      <w:r w:rsidRPr="002F0A09">
        <w:rPr>
          <w:rFonts w:cs="Arial"/>
          <w:b/>
          <w:u w:val="single"/>
          <w:lang w:bidi="ar-SA"/>
        </w:rPr>
        <w:t>Environmental</w:t>
      </w:r>
      <w:r w:rsidRPr="002F0A09">
        <w:rPr>
          <w:rFonts w:cs="Arial"/>
          <w:lang w:bidi="ar-SA"/>
        </w:rPr>
        <w:br/>
      </w:r>
      <w:r w:rsidR="004E328E" w:rsidRPr="004E328E">
        <w:rPr>
          <w:rFonts w:cs="Arial"/>
          <w:lang w:bidi="ar-SA"/>
        </w:rPr>
        <w:t>Environmental regulations are becoming a significant factor in the entry of Nissan into the market, as well as its brand image. The expectations related to ESG (Environmental, Social, and Governance) are growing all over the world, and Nissan is obliged to follow the requirements of the local and international environmental standards. The firm is positioning its production lines in accordance with the changing environmental laws in Mexico, with clean production and traceability. More so, the pressure on global supply chains is pushing Nissan to engage in sustainable practices, which require all parts that it incorporates in its vehicles to be manufactured according to the principles of sustainable practices. Nissan can exploit the surge in consumer demand for environmentally friendly cars by improving its level of environmental compliance (Lazard 2025).</w:t>
      </w:r>
    </w:p>
    <w:p w14:paraId="73081D92" w14:textId="77777777" w:rsidR="003A56B9" w:rsidRPr="002F0A09" w:rsidRDefault="003A56B9" w:rsidP="002F0A09">
      <w:pPr>
        <w:jc w:val="left"/>
        <w:rPr>
          <w:rFonts w:eastAsia="Times New Roman" w:cs="Arial"/>
          <w:b/>
          <w:bCs/>
          <w:i/>
          <w:sz w:val="26"/>
          <w:szCs w:val="27"/>
          <w:lang w:bidi="ar-SA"/>
        </w:rPr>
      </w:pPr>
      <w:bookmarkStart w:id="36" w:name="_Toc223122499"/>
      <w:r w:rsidRPr="002F0A09">
        <w:rPr>
          <w:rFonts w:cs="Arial"/>
        </w:rPr>
        <w:br w:type="page"/>
      </w:r>
    </w:p>
    <w:p w14:paraId="19636766" w14:textId="77777777" w:rsidR="003B4253" w:rsidRPr="002F0A09" w:rsidRDefault="003B4253" w:rsidP="002F0A09">
      <w:pPr>
        <w:pStyle w:val="Heading3"/>
        <w:spacing w:line="360" w:lineRule="auto"/>
        <w:rPr>
          <w:rFonts w:cs="Arial"/>
        </w:rPr>
      </w:pPr>
      <w:r w:rsidRPr="002F0A09">
        <w:rPr>
          <w:rFonts w:cs="Arial"/>
        </w:rPr>
        <w:lastRenderedPageBreak/>
        <w:t>4.4 Industry structure (Porter Five Forces)</w:t>
      </w:r>
      <w:bookmarkEnd w:id="36"/>
    </w:p>
    <w:p w14:paraId="15826330" w14:textId="77777777" w:rsidR="006B2B18" w:rsidRPr="002F0A09" w:rsidRDefault="006B2B18" w:rsidP="002F0A09">
      <w:pPr>
        <w:pStyle w:val="Caption"/>
        <w:keepNext/>
        <w:spacing w:line="360" w:lineRule="auto"/>
        <w:jc w:val="center"/>
        <w:rPr>
          <w:rFonts w:cs="Arial"/>
          <w:i/>
          <w:color w:val="auto"/>
        </w:rPr>
      </w:pPr>
      <w:bookmarkStart w:id="37" w:name="_Toc223287055"/>
      <w:bookmarkStart w:id="38" w:name="_Toc224836001"/>
      <w:r w:rsidRPr="002F0A09">
        <w:rPr>
          <w:rFonts w:cs="Arial"/>
          <w:i/>
          <w:color w:val="auto"/>
        </w:rPr>
        <w:t xml:space="preserve">Table </w:t>
      </w:r>
      <w:r w:rsidRPr="002F0A09">
        <w:rPr>
          <w:rFonts w:cs="Arial"/>
          <w:i/>
          <w:color w:val="auto"/>
        </w:rPr>
        <w:fldChar w:fldCharType="begin"/>
      </w:r>
      <w:r w:rsidRPr="002F0A09">
        <w:rPr>
          <w:rFonts w:cs="Arial"/>
          <w:i/>
          <w:color w:val="auto"/>
        </w:rPr>
        <w:instrText xml:space="preserve"> SEQ Table \* ARABIC </w:instrText>
      </w:r>
      <w:r w:rsidRPr="002F0A09">
        <w:rPr>
          <w:rFonts w:cs="Arial"/>
          <w:i/>
          <w:color w:val="auto"/>
        </w:rPr>
        <w:fldChar w:fldCharType="separate"/>
      </w:r>
      <w:r w:rsidR="004F4078">
        <w:rPr>
          <w:rFonts w:cs="Arial"/>
          <w:i/>
          <w:noProof/>
          <w:color w:val="auto"/>
        </w:rPr>
        <w:t>3</w:t>
      </w:r>
      <w:r w:rsidRPr="002F0A09">
        <w:rPr>
          <w:rFonts w:cs="Arial"/>
          <w:i/>
          <w:color w:val="auto"/>
        </w:rPr>
        <w:fldChar w:fldCharType="end"/>
      </w:r>
      <w:r w:rsidRPr="002F0A09">
        <w:rPr>
          <w:rFonts w:cs="Arial"/>
          <w:i/>
          <w:color w:val="auto"/>
        </w:rPr>
        <w:t>: Porter’s Five Forces (Mexico automotive manufacturing) (Author)</w:t>
      </w:r>
      <w:bookmarkEnd w:id="37"/>
      <w:bookmarkEnd w:id="38"/>
    </w:p>
    <w:p w14:paraId="4623E594" w14:textId="77777777" w:rsidR="003B4253" w:rsidRDefault="006B2B18" w:rsidP="002F0A09">
      <w:pPr>
        <w:jc w:val="center"/>
        <w:rPr>
          <w:rFonts w:cs="Arial"/>
          <w:lang w:bidi="ar-SA"/>
        </w:rPr>
      </w:pPr>
      <w:r w:rsidRPr="002F0A09">
        <w:rPr>
          <w:rFonts w:cs="Arial"/>
          <w:noProof/>
          <w:lang w:bidi="ar-SA"/>
        </w:rPr>
        <w:drawing>
          <wp:inline distT="0" distB="0" distL="0" distR="0" wp14:anchorId="05B2E1FC" wp14:editId="3A9435B6">
            <wp:extent cx="5943600" cy="26371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2637155"/>
                    </a:xfrm>
                    <a:prstGeom prst="rect">
                      <a:avLst/>
                    </a:prstGeom>
                  </pic:spPr>
                </pic:pic>
              </a:graphicData>
            </a:graphic>
          </wp:inline>
        </w:drawing>
      </w:r>
    </w:p>
    <w:p w14:paraId="252562A5" w14:textId="77777777" w:rsidR="00DA58CC" w:rsidRPr="00DA58CC" w:rsidRDefault="00DA58CC" w:rsidP="00DA58CC">
      <w:pPr>
        <w:rPr>
          <w:u w:val="single"/>
          <w:lang w:bidi="ar-SA"/>
        </w:rPr>
      </w:pPr>
      <w:r w:rsidRPr="00DA58CC">
        <w:rPr>
          <w:b/>
          <w:bCs/>
          <w:u w:val="single"/>
          <w:lang w:bidi="ar-SA"/>
        </w:rPr>
        <w:t>Supplier Power (High - Selective)</w:t>
      </w:r>
    </w:p>
    <w:p w14:paraId="5D777303" w14:textId="3FF932D8" w:rsidR="00DA58CC" w:rsidRDefault="00DA58CC" w:rsidP="00DA58CC">
      <w:pPr>
        <w:rPr>
          <w:lang w:bidi="ar-SA"/>
        </w:rPr>
      </w:pPr>
      <w:r w:rsidRPr="00DA58CC">
        <w:rPr>
          <w:lang w:bidi="ar-SA"/>
        </w:rPr>
        <w:t>Nissan also experiences crucial supplier power because its suppliers (Tier 1 suppliers) (</w:t>
      </w:r>
      <w:proofErr w:type="spellStart"/>
      <w:r w:rsidRPr="00DA58CC">
        <w:rPr>
          <w:lang w:bidi="ar-SA"/>
        </w:rPr>
        <w:t>Metalsa</w:t>
      </w:r>
      <w:proofErr w:type="spellEnd"/>
      <w:r w:rsidRPr="00DA58CC">
        <w:rPr>
          <w:lang w:bidi="ar-SA"/>
        </w:rPr>
        <w:t xml:space="preserve"> and </w:t>
      </w:r>
      <w:proofErr w:type="spellStart"/>
      <w:r w:rsidRPr="00DA58CC">
        <w:rPr>
          <w:lang w:bidi="ar-SA"/>
        </w:rPr>
        <w:t>Nemak</w:t>
      </w:r>
      <w:proofErr w:type="spellEnd"/>
      <w:r w:rsidRPr="00DA58CC">
        <w:rPr>
          <w:lang w:bidi="ar-SA"/>
        </w:rPr>
        <w:t>) provide it with critical components, including chassis and casting. The semiconductor shortage across the world increases the procurement risks</w:t>
      </w:r>
      <w:r>
        <w:rPr>
          <w:lang w:bidi="ar-SA"/>
        </w:rPr>
        <w:t xml:space="preserve"> (INA, 2025)</w:t>
      </w:r>
      <w:r w:rsidRPr="00DA58CC">
        <w:rPr>
          <w:lang w:bidi="ar-SA"/>
        </w:rPr>
        <w:t>. To counter this, Nissan has been working out long-term agreements with such suppliers and investing in the mechanisms of supply-chain visibility and subsequent continuity in the wake of the external disruption.</w:t>
      </w:r>
    </w:p>
    <w:p w14:paraId="30C9C4A3" w14:textId="77777777" w:rsidR="00DA58CC" w:rsidRPr="00DA58CC" w:rsidRDefault="00DA58CC" w:rsidP="00DA58CC">
      <w:pPr>
        <w:rPr>
          <w:b/>
          <w:u w:val="single"/>
          <w:lang w:bidi="ar-SA"/>
        </w:rPr>
      </w:pPr>
      <w:r>
        <w:rPr>
          <w:lang w:bidi="ar-SA"/>
        </w:rPr>
        <w:t xml:space="preserve"> </w:t>
      </w:r>
      <w:r w:rsidRPr="00DA58CC">
        <w:rPr>
          <w:b/>
          <w:u w:val="single"/>
          <w:lang w:bidi="ar-SA"/>
        </w:rPr>
        <w:t>Buyer Power (High)</w:t>
      </w:r>
    </w:p>
    <w:p w14:paraId="1F45B77F" w14:textId="411EDF19" w:rsidR="00DA58CC" w:rsidRPr="00DA58CC" w:rsidRDefault="00DA58CC" w:rsidP="00DA58CC">
      <w:pPr>
        <w:rPr>
          <w:lang w:bidi="ar-SA"/>
        </w:rPr>
      </w:pPr>
      <w:r w:rsidRPr="00DA58CC">
        <w:rPr>
          <w:lang w:bidi="ar-SA"/>
        </w:rPr>
        <w:t>The country market of the United States, which contributes to 79.7 percent of the automotive export of Mexico, has significant control over the volume of production and the model mix of Nissan. In order to adjust, Nissan focuses on the flexibility of platforms and production schedules that are matched with U.S. consumer demand patterns and streamlines its cost base</w:t>
      </w:r>
      <w:r>
        <w:rPr>
          <w:lang w:bidi="ar-SA"/>
        </w:rPr>
        <w:t xml:space="preserve"> (INEGI, 2025)</w:t>
      </w:r>
      <w:r w:rsidRPr="00DA58CC">
        <w:rPr>
          <w:lang w:bidi="ar-SA"/>
        </w:rPr>
        <w:t>.</w:t>
      </w:r>
    </w:p>
    <w:p w14:paraId="08706228" w14:textId="3F704A8A" w:rsidR="00DA58CC" w:rsidRPr="00DA58CC" w:rsidRDefault="00DA58CC" w:rsidP="00DA58CC">
      <w:pPr>
        <w:rPr>
          <w:b/>
          <w:u w:val="single"/>
          <w:lang w:bidi="ar-SA"/>
        </w:rPr>
      </w:pPr>
      <w:r w:rsidRPr="00DA58CC">
        <w:rPr>
          <w:b/>
          <w:u w:val="single"/>
          <w:lang w:bidi="ar-SA"/>
        </w:rPr>
        <w:t>Rivalry (Very High)</w:t>
      </w:r>
    </w:p>
    <w:p w14:paraId="3AAC7D8E" w14:textId="7EF236D1" w:rsidR="00DA58CC" w:rsidRPr="00DA58CC" w:rsidRDefault="00DA58CC" w:rsidP="00DA58CC">
      <w:pPr>
        <w:rPr>
          <w:lang w:bidi="ar-SA"/>
        </w:rPr>
      </w:pPr>
      <w:r w:rsidRPr="00DA58CC">
        <w:rPr>
          <w:lang w:bidi="ar-SA"/>
        </w:rPr>
        <w:lastRenderedPageBreak/>
        <w:t>The high competition of General Motors, Volkswagen, and Toyota motivates Nissan to integrate its production plants in Aguascalientes, thus improving the efficiency of its operations and cost savings</w:t>
      </w:r>
      <w:r>
        <w:rPr>
          <w:lang w:bidi="ar-SA"/>
        </w:rPr>
        <w:t xml:space="preserve"> </w:t>
      </w:r>
      <w:r w:rsidRPr="00DA58CC">
        <w:rPr>
          <w:lang w:bidi="ar-SA"/>
        </w:rPr>
        <w:t>(INEGI, 2025). This consolidation is, however, also in effect susceptible to geographical concentration risk.</w:t>
      </w:r>
    </w:p>
    <w:p w14:paraId="4C5F7F9D" w14:textId="77777777" w:rsidR="00DA58CC" w:rsidRPr="00DA58CC" w:rsidRDefault="00DA58CC" w:rsidP="00DA58CC">
      <w:pPr>
        <w:rPr>
          <w:b/>
          <w:u w:val="single"/>
          <w:lang w:bidi="ar-SA"/>
        </w:rPr>
      </w:pPr>
      <w:r w:rsidRPr="00DA58CC">
        <w:rPr>
          <w:b/>
          <w:bCs/>
          <w:u w:val="single"/>
          <w:lang w:bidi="ar-SA"/>
        </w:rPr>
        <w:t>Threat of Entrants (Medium, Rising)</w:t>
      </w:r>
    </w:p>
    <w:p w14:paraId="06597752" w14:textId="06542A57" w:rsidR="00DA58CC" w:rsidRPr="00DA58CC" w:rsidRDefault="00DA58CC" w:rsidP="00DA58CC">
      <w:pPr>
        <w:rPr>
          <w:lang w:bidi="ar-SA"/>
        </w:rPr>
      </w:pPr>
      <w:r w:rsidRPr="00DA58CC">
        <w:rPr>
          <w:bCs/>
          <w:lang w:bidi="ar-SA"/>
        </w:rPr>
        <w:t>The threat posed by Chinese OEMs like BYD and Geely increases the risk of Nissan losing size in the market. Nissan can respond to this by focusing on the production of electric vehicles (EVs) and making its platform flexible, which reduces the entry barriers</w:t>
      </w:r>
      <w:r>
        <w:rPr>
          <w:bCs/>
          <w:lang w:bidi="ar-SA"/>
        </w:rPr>
        <w:t xml:space="preserve"> (Reuters, 2026b)</w:t>
      </w:r>
      <w:r w:rsidRPr="00DA58CC">
        <w:rPr>
          <w:bCs/>
          <w:lang w:bidi="ar-SA"/>
        </w:rPr>
        <w:t>.</w:t>
      </w:r>
    </w:p>
    <w:p w14:paraId="7F478582" w14:textId="77777777" w:rsidR="00DA58CC" w:rsidRPr="00DA58CC" w:rsidRDefault="00DA58CC" w:rsidP="00DA58CC">
      <w:pPr>
        <w:rPr>
          <w:b/>
          <w:u w:val="single"/>
          <w:lang w:bidi="ar-SA"/>
        </w:rPr>
      </w:pPr>
      <w:r w:rsidRPr="00DA58CC">
        <w:rPr>
          <w:b/>
          <w:bCs/>
          <w:u w:val="single"/>
          <w:lang w:bidi="ar-SA"/>
        </w:rPr>
        <w:t>Threat of Substitutes (Medium, Rising)</w:t>
      </w:r>
    </w:p>
    <w:p w14:paraId="457BCE9C" w14:textId="2727D47A" w:rsidR="00DA58CC" w:rsidRPr="002F0A09" w:rsidRDefault="00DA58CC" w:rsidP="00DA58CC">
      <w:pPr>
        <w:rPr>
          <w:lang w:bidi="ar-SA"/>
        </w:rPr>
      </w:pPr>
      <w:r w:rsidRPr="00DA58CC">
        <w:rPr>
          <w:lang w:bidi="ar-SA"/>
        </w:rPr>
        <w:t>Switching to electric cars represents an even more topical threat of substitutes. Nissan is responding to this by becoming EV-prepared and updating its platform architecture to be competitive in this growing market and dealing with the risks of semiconductor shortages</w:t>
      </w:r>
      <w:r>
        <w:rPr>
          <w:lang w:bidi="ar-SA"/>
        </w:rPr>
        <w:t xml:space="preserve"> (Lazard, 2025)</w:t>
      </w:r>
      <w:r w:rsidRPr="00DA58CC">
        <w:rPr>
          <w:lang w:bidi="ar-SA"/>
        </w:rPr>
        <w:t>.</w:t>
      </w:r>
    </w:p>
    <w:p w14:paraId="6A2B40FF" w14:textId="77777777" w:rsidR="003B4253" w:rsidRPr="002F0A09" w:rsidRDefault="003B4253" w:rsidP="002F0A09">
      <w:pPr>
        <w:pStyle w:val="Heading3"/>
        <w:spacing w:line="360" w:lineRule="auto"/>
        <w:rPr>
          <w:rFonts w:cs="Arial"/>
        </w:rPr>
      </w:pPr>
      <w:bookmarkStart w:id="39" w:name="_Toc223122500"/>
      <w:r w:rsidRPr="002F0A09">
        <w:rPr>
          <w:rFonts w:cs="Arial"/>
        </w:rPr>
        <w:t xml:space="preserve">4.5 Success factors </w:t>
      </w:r>
      <w:r w:rsidR="00CB691A" w:rsidRPr="002F0A09">
        <w:rPr>
          <w:rFonts w:cs="Arial"/>
        </w:rPr>
        <w:t>and risks for Nissan in Mexico</w:t>
      </w:r>
      <w:bookmarkEnd w:id="39"/>
      <w:r w:rsidR="00CB691A" w:rsidRPr="002F0A09">
        <w:rPr>
          <w:rFonts w:cs="Arial"/>
        </w:rPr>
        <w:t xml:space="preserve"> </w:t>
      </w:r>
    </w:p>
    <w:p w14:paraId="18695580" w14:textId="77777777" w:rsidR="003B4253" w:rsidRPr="002F0A09" w:rsidRDefault="003B4253" w:rsidP="002F0A09">
      <w:pPr>
        <w:pStyle w:val="ListParagraph"/>
        <w:numPr>
          <w:ilvl w:val="0"/>
          <w:numId w:val="5"/>
        </w:numPr>
        <w:rPr>
          <w:rFonts w:cs="Arial"/>
          <w:lang w:bidi="ar-SA"/>
        </w:rPr>
      </w:pPr>
      <w:r w:rsidRPr="002F0A09">
        <w:rPr>
          <w:rFonts w:cs="Arial"/>
          <w:b/>
          <w:lang w:bidi="ar-SA"/>
        </w:rPr>
        <w:t>USMCA compliance efficacy</w:t>
      </w:r>
      <w:r w:rsidRPr="002F0A09">
        <w:rPr>
          <w:rFonts w:cs="Arial"/>
          <w:lang w:bidi="ar-SA"/>
        </w:rPr>
        <w:t>: Duty-free provision is vulnerable to the delivery of the regional requirement content and submission of the necessary documents, which raises the economic cost of non-compliance (Reuters, 2026a).</w:t>
      </w:r>
    </w:p>
    <w:p w14:paraId="1C01C154" w14:textId="77777777" w:rsidR="003B4253" w:rsidRPr="002F0A09" w:rsidRDefault="003B4253" w:rsidP="002F0A09">
      <w:pPr>
        <w:pStyle w:val="ListParagraph"/>
        <w:numPr>
          <w:ilvl w:val="0"/>
          <w:numId w:val="5"/>
        </w:numPr>
        <w:rPr>
          <w:rFonts w:cs="Arial"/>
          <w:lang w:bidi="ar-SA"/>
        </w:rPr>
      </w:pPr>
      <w:r w:rsidRPr="002F0A09">
        <w:rPr>
          <w:rFonts w:cs="Arial"/>
          <w:b/>
          <w:lang w:bidi="ar-SA"/>
        </w:rPr>
        <w:t>Exposure to tariff and policy shock:</w:t>
      </w:r>
      <w:r w:rsidRPr="002F0A09">
        <w:rPr>
          <w:rFonts w:cs="Arial"/>
          <w:lang w:bidi="ar-SA"/>
        </w:rPr>
        <w:t xml:space="preserve"> The possibility of tariff increases is a major threat to investment planning and pricing options, especially considering the fact that they depend on the demand of the United States </w:t>
      </w:r>
      <w:r w:rsidR="00310D13" w:rsidRPr="002F0A09">
        <w:rPr>
          <w:rFonts w:cs="Arial"/>
          <w:lang w:bidi="ar-SA"/>
        </w:rPr>
        <w:t>(</w:t>
      </w:r>
      <w:proofErr w:type="spellStart"/>
      <w:r w:rsidR="00310D13" w:rsidRPr="002F0A09">
        <w:rPr>
          <w:rFonts w:cs="Arial"/>
          <w:lang w:bidi="ar-SA"/>
        </w:rPr>
        <w:t>Tourliere</w:t>
      </w:r>
      <w:proofErr w:type="spellEnd"/>
      <w:r w:rsidR="00310D13" w:rsidRPr="002F0A09">
        <w:rPr>
          <w:rFonts w:cs="Arial"/>
          <w:lang w:bidi="ar-SA"/>
        </w:rPr>
        <w:t>, 2025)</w:t>
      </w:r>
      <w:r w:rsidRPr="002F0A09">
        <w:rPr>
          <w:rFonts w:cs="Arial"/>
          <w:lang w:bidi="ar-SA"/>
        </w:rPr>
        <w:t>.</w:t>
      </w:r>
    </w:p>
    <w:p w14:paraId="0A628557" w14:textId="77777777" w:rsidR="003B4253" w:rsidRPr="002F0A09" w:rsidRDefault="003B4253" w:rsidP="002F0A09">
      <w:pPr>
        <w:pStyle w:val="ListParagraph"/>
        <w:numPr>
          <w:ilvl w:val="0"/>
          <w:numId w:val="5"/>
        </w:numPr>
        <w:rPr>
          <w:rFonts w:cs="Arial"/>
          <w:lang w:bidi="ar-SA"/>
        </w:rPr>
      </w:pPr>
      <w:proofErr w:type="spellStart"/>
      <w:r w:rsidRPr="002F0A09">
        <w:rPr>
          <w:rFonts w:cs="Arial"/>
          <w:b/>
          <w:lang w:bidi="ar-SA"/>
        </w:rPr>
        <w:t>Localisation</w:t>
      </w:r>
      <w:proofErr w:type="spellEnd"/>
      <w:r w:rsidRPr="002F0A09">
        <w:rPr>
          <w:rFonts w:cs="Arial"/>
          <w:b/>
          <w:lang w:bidi="ar-SA"/>
        </w:rPr>
        <w:t xml:space="preserve"> and local supplier depth</w:t>
      </w:r>
      <w:r w:rsidRPr="002F0A09">
        <w:rPr>
          <w:rFonts w:cs="Arial"/>
          <w:lang w:bidi="ar-SA"/>
        </w:rPr>
        <w:t xml:space="preserve">: Although Mexico has </w:t>
      </w:r>
      <w:r w:rsidR="00310D13" w:rsidRPr="002F0A09">
        <w:rPr>
          <w:rFonts w:cs="Arial"/>
          <w:lang w:bidi="ar-SA"/>
        </w:rPr>
        <w:t>competitiveness</w:t>
      </w:r>
      <w:r w:rsidRPr="002F0A09">
        <w:rPr>
          <w:rFonts w:cs="Arial"/>
          <w:lang w:bidi="ar-SA"/>
        </w:rPr>
        <w:t xml:space="preserve"> strength in terms of parts ecosystem, Nissan will continue to need to </w:t>
      </w:r>
      <w:proofErr w:type="spellStart"/>
      <w:r w:rsidRPr="002F0A09">
        <w:rPr>
          <w:rFonts w:cs="Arial"/>
          <w:lang w:bidi="ar-SA"/>
        </w:rPr>
        <w:t>localise</w:t>
      </w:r>
      <w:proofErr w:type="spellEnd"/>
      <w:r w:rsidRPr="002F0A09">
        <w:rPr>
          <w:rFonts w:cs="Arial"/>
          <w:lang w:bidi="ar-SA"/>
        </w:rPr>
        <w:t xml:space="preserve"> to meet its regulatory requirements and reduce government exposure to imports </w:t>
      </w:r>
      <w:r w:rsidR="00310D13" w:rsidRPr="002F0A09">
        <w:rPr>
          <w:rFonts w:cs="Arial"/>
          <w:lang w:bidi="ar-SA"/>
        </w:rPr>
        <w:t>(INA, 2025)</w:t>
      </w:r>
      <w:r w:rsidRPr="002F0A09">
        <w:rPr>
          <w:rFonts w:cs="Arial"/>
          <w:lang w:bidi="ar-SA"/>
        </w:rPr>
        <w:t>.</w:t>
      </w:r>
    </w:p>
    <w:p w14:paraId="00A21B93" w14:textId="77777777" w:rsidR="003B4253" w:rsidRPr="002F0A09" w:rsidRDefault="003B4253" w:rsidP="002F0A09">
      <w:pPr>
        <w:pStyle w:val="ListParagraph"/>
        <w:numPr>
          <w:ilvl w:val="0"/>
          <w:numId w:val="5"/>
        </w:numPr>
        <w:rPr>
          <w:rFonts w:cs="Arial"/>
          <w:lang w:bidi="ar-SA"/>
        </w:rPr>
      </w:pPr>
      <w:r w:rsidRPr="002F0A09">
        <w:rPr>
          <w:rFonts w:cs="Arial"/>
          <w:b/>
          <w:lang w:bidi="ar-SA"/>
        </w:rPr>
        <w:t>Risk of concentration of operations post-consolidation:</w:t>
      </w:r>
      <w:r w:rsidRPr="002F0A09">
        <w:rPr>
          <w:rFonts w:cs="Arial"/>
          <w:lang w:bidi="ar-SA"/>
        </w:rPr>
        <w:t xml:space="preserve"> The transfer of the CIVAC production to Aguascalientes by itself could lead to improved efficiency, but </w:t>
      </w:r>
      <w:r w:rsidRPr="002F0A09">
        <w:rPr>
          <w:rFonts w:cs="Arial"/>
          <w:lang w:bidi="ar-SA"/>
        </w:rPr>
        <w:lastRenderedPageBreak/>
        <w:t>it will also result in fewer residents and more vulnerability to various events at one location (Nissan, 2025).</w:t>
      </w:r>
    </w:p>
    <w:p w14:paraId="66087605" w14:textId="77777777" w:rsidR="003B4253" w:rsidRPr="002F0A09" w:rsidRDefault="003B4253" w:rsidP="002F0A09">
      <w:pPr>
        <w:pStyle w:val="ListParagraph"/>
        <w:numPr>
          <w:ilvl w:val="0"/>
          <w:numId w:val="5"/>
        </w:numPr>
        <w:rPr>
          <w:rFonts w:cs="Arial"/>
          <w:lang w:bidi="ar-SA"/>
        </w:rPr>
      </w:pPr>
      <w:proofErr w:type="spellStart"/>
      <w:r w:rsidRPr="002F0A09">
        <w:rPr>
          <w:rFonts w:cs="Arial"/>
          <w:b/>
          <w:lang w:bidi="ar-SA"/>
        </w:rPr>
        <w:t>Labour</w:t>
      </w:r>
      <w:proofErr w:type="spellEnd"/>
      <w:r w:rsidRPr="002F0A09">
        <w:rPr>
          <w:rFonts w:cs="Arial"/>
          <w:b/>
          <w:lang w:bidi="ar-SA"/>
        </w:rPr>
        <w:t xml:space="preserve"> relations and change management</w:t>
      </w:r>
      <w:r w:rsidRPr="002F0A09">
        <w:rPr>
          <w:rFonts w:cs="Arial"/>
          <w:lang w:bidi="ar-SA"/>
        </w:rPr>
        <w:t xml:space="preserve">: </w:t>
      </w:r>
      <w:proofErr w:type="spellStart"/>
      <w:r w:rsidRPr="002F0A09">
        <w:rPr>
          <w:rFonts w:cs="Arial"/>
          <w:lang w:bidi="ar-SA"/>
        </w:rPr>
        <w:t>Organisational</w:t>
      </w:r>
      <w:proofErr w:type="spellEnd"/>
      <w:r w:rsidRPr="002F0A09">
        <w:rPr>
          <w:rFonts w:cs="Arial"/>
          <w:lang w:bidi="ar-SA"/>
        </w:rPr>
        <w:t xml:space="preserve"> restructuring increases </w:t>
      </w:r>
      <w:proofErr w:type="spellStart"/>
      <w:r w:rsidRPr="002F0A09">
        <w:rPr>
          <w:rFonts w:cs="Arial"/>
          <w:lang w:bidi="ar-SA"/>
        </w:rPr>
        <w:t>labour</w:t>
      </w:r>
      <w:proofErr w:type="spellEnd"/>
      <w:r w:rsidRPr="002F0A09">
        <w:rPr>
          <w:rFonts w:cs="Arial"/>
          <w:lang w:bidi="ar-SA"/>
        </w:rPr>
        <w:t xml:space="preserve"> risk, and it is necessary to maintain clear communication and consistent processes to maintain productivity and employee retention (Reuters, 2025</w:t>
      </w:r>
      <w:r w:rsidR="00310D13" w:rsidRPr="002F0A09">
        <w:rPr>
          <w:rFonts w:cs="Arial"/>
          <w:lang w:bidi="ar-SA"/>
        </w:rPr>
        <w:t>c</w:t>
      </w:r>
      <w:r w:rsidRPr="002F0A09">
        <w:rPr>
          <w:rFonts w:cs="Arial"/>
          <w:lang w:bidi="ar-SA"/>
        </w:rPr>
        <w:t>).</w:t>
      </w:r>
    </w:p>
    <w:p w14:paraId="6DA490AE" w14:textId="77777777" w:rsidR="003B4253" w:rsidRPr="002F0A09" w:rsidRDefault="003B4253" w:rsidP="002F0A09">
      <w:pPr>
        <w:pStyle w:val="ListParagraph"/>
        <w:numPr>
          <w:ilvl w:val="0"/>
          <w:numId w:val="5"/>
        </w:numPr>
        <w:rPr>
          <w:rFonts w:cs="Arial"/>
          <w:lang w:bidi="ar-SA"/>
        </w:rPr>
      </w:pPr>
      <w:r w:rsidRPr="002F0A09">
        <w:rPr>
          <w:rFonts w:cs="Arial"/>
          <w:b/>
          <w:lang w:bidi="ar-SA"/>
        </w:rPr>
        <w:t>Security in semiconductor and electronics suppliers</w:t>
      </w:r>
      <w:r w:rsidRPr="002F0A09">
        <w:rPr>
          <w:rFonts w:cs="Arial"/>
          <w:lang w:bidi="ar-SA"/>
        </w:rPr>
        <w:t>: The presence of constraints in the semiconductor industry is likely to disrupt the continuity of its production and increase supplier bargaining power, which makes procurement strategy a vital capability (Reuters, 2025d).</w:t>
      </w:r>
    </w:p>
    <w:p w14:paraId="2CFF9EC0" w14:textId="77777777" w:rsidR="00310D13" w:rsidRPr="002F0A09" w:rsidRDefault="00310D13" w:rsidP="002F0A09">
      <w:pPr>
        <w:jc w:val="left"/>
        <w:rPr>
          <w:rFonts w:eastAsia="Times New Roman" w:cs="Arial"/>
          <w:b/>
          <w:bCs/>
          <w:i/>
          <w:sz w:val="26"/>
          <w:szCs w:val="27"/>
          <w:lang w:bidi="ar-SA"/>
        </w:rPr>
      </w:pPr>
      <w:r w:rsidRPr="002F0A09">
        <w:rPr>
          <w:rFonts w:cs="Arial"/>
        </w:rPr>
        <w:br w:type="page"/>
      </w:r>
    </w:p>
    <w:p w14:paraId="6579ED03" w14:textId="77777777" w:rsidR="003B4253" w:rsidRPr="002F0A09" w:rsidRDefault="00CB691A" w:rsidP="002F0A09">
      <w:pPr>
        <w:pStyle w:val="Heading3"/>
        <w:spacing w:line="360" w:lineRule="auto"/>
        <w:rPr>
          <w:rFonts w:cs="Arial"/>
        </w:rPr>
      </w:pPr>
      <w:bookmarkStart w:id="40" w:name="_Toc223122501"/>
      <w:r w:rsidRPr="002F0A09">
        <w:rPr>
          <w:rFonts w:cs="Arial"/>
        </w:rPr>
        <w:lastRenderedPageBreak/>
        <w:t>4.6 Recommendations</w:t>
      </w:r>
      <w:bookmarkEnd w:id="40"/>
      <w:r w:rsidRPr="002F0A09">
        <w:rPr>
          <w:rFonts w:cs="Arial"/>
        </w:rPr>
        <w:t xml:space="preserve"> </w:t>
      </w:r>
    </w:p>
    <w:p w14:paraId="11866DF3" w14:textId="77777777" w:rsidR="003B4253" w:rsidRPr="002F0A09" w:rsidRDefault="003B4253" w:rsidP="002F0A09">
      <w:pPr>
        <w:pStyle w:val="ListParagraph"/>
        <w:numPr>
          <w:ilvl w:val="0"/>
          <w:numId w:val="7"/>
        </w:numPr>
        <w:rPr>
          <w:rFonts w:cs="Arial"/>
          <w:lang w:bidi="ar-SA"/>
        </w:rPr>
      </w:pPr>
      <w:r w:rsidRPr="002F0A09">
        <w:rPr>
          <w:rFonts w:cs="Arial"/>
          <w:lang w:bidi="ar-SA"/>
        </w:rPr>
        <w:t>Achieve a USMCA compliance advantage instead of staying compliant: It includes the adoption of sophisticated content-tracking systems, high-level procedures in supplier certification, and audit-ready documentation. These projects help eliminate the threat of reneging on the duty-free qualification and make it easy to update the models.</w:t>
      </w:r>
    </w:p>
    <w:p w14:paraId="6D34BF4B" w14:textId="77777777" w:rsidR="003B4253" w:rsidRPr="002F0A09" w:rsidRDefault="003B4253" w:rsidP="002F0A09">
      <w:pPr>
        <w:pStyle w:val="ListParagraph"/>
        <w:numPr>
          <w:ilvl w:val="0"/>
          <w:numId w:val="7"/>
        </w:numPr>
        <w:rPr>
          <w:rFonts w:cs="Arial"/>
          <w:lang w:bidi="ar-SA"/>
        </w:rPr>
      </w:pPr>
      <w:r w:rsidRPr="002F0A09">
        <w:rPr>
          <w:rFonts w:cs="Arial"/>
          <w:lang w:bidi="ar-SA"/>
        </w:rPr>
        <w:t>Reduce the diminished concentration risk by operational robustness: It is essential to strengthen contingency logistics, such as alternative routing, carrier diversification, and buffer strategies of the high-risk components, at the same time bolstering the risk controls at the site level.</w:t>
      </w:r>
    </w:p>
    <w:p w14:paraId="1B9B8D0B" w14:textId="77777777" w:rsidR="003B4253" w:rsidRPr="002F0A09" w:rsidRDefault="003B4253" w:rsidP="002F0A09">
      <w:pPr>
        <w:pStyle w:val="ListParagraph"/>
        <w:numPr>
          <w:ilvl w:val="0"/>
          <w:numId w:val="7"/>
        </w:numPr>
        <w:rPr>
          <w:rFonts w:cs="Arial"/>
          <w:lang w:bidi="ar-SA"/>
        </w:rPr>
      </w:pPr>
      <w:r w:rsidRPr="002F0A09">
        <w:rPr>
          <w:rFonts w:cs="Arial"/>
          <w:lang w:bidi="ar-SA"/>
        </w:rPr>
        <w:t xml:space="preserve">Rapidly </w:t>
      </w:r>
      <w:proofErr w:type="spellStart"/>
      <w:r w:rsidRPr="002F0A09">
        <w:rPr>
          <w:rFonts w:cs="Arial"/>
          <w:lang w:bidi="ar-SA"/>
        </w:rPr>
        <w:t>modernise</w:t>
      </w:r>
      <w:proofErr w:type="spellEnd"/>
      <w:r w:rsidRPr="002F0A09">
        <w:rPr>
          <w:rFonts w:cs="Arial"/>
          <w:lang w:bidi="ar-SA"/>
        </w:rPr>
        <w:t xml:space="preserve"> its suppliers of electronics and electric-vehicle (EV) components: The speeding up of supplier </w:t>
      </w:r>
      <w:proofErr w:type="spellStart"/>
      <w:r w:rsidRPr="002F0A09">
        <w:rPr>
          <w:rFonts w:cs="Arial"/>
          <w:lang w:bidi="ar-SA"/>
        </w:rPr>
        <w:t>modernisation</w:t>
      </w:r>
      <w:proofErr w:type="spellEnd"/>
      <w:r w:rsidRPr="002F0A09">
        <w:rPr>
          <w:rFonts w:cs="Arial"/>
          <w:lang w:bidi="ar-SA"/>
        </w:rPr>
        <w:t xml:space="preserve"> along electronics and electric vehicle tracks involves creating joint capability programs with Tier 1 suppliers in Mexico who focus on electronics quality, mitigation of chip risk, and components that are used in electric vehicles. What can be done is making use of the Mexican parts ecosystem and of higher-value </w:t>
      </w:r>
      <w:proofErr w:type="spellStart"/>
      <w:r w:rsidRPr="002F0A09">
        <w:rPr>
          <w:rFonts w:cs="Arial"/>
          <w:lang w:bidi="ar-SA"/>
        </w:rPr>
        <w:t>localisation</w:t>
      </w:r>
      <w:proofErr w:type="spellEnd"/>
      <w:r w:rsidRPr="002F0A09">
        <w:rPr>
          <w:rFonts w:cs="Arial"/>
          <w:lang w:bidi="ar-SA"/>
        </w:rPr>
        <w:t xml:space="preserve"> that can be provided.</w:t>
      </w:r>
    </w:p>
    <w:p w14:paraId="397EAEF2" w14:textId="77777777" w:rsidR="003B4253" w:rsidRPr="002F0A09" w:rsidRDefault="003B4253" w:rsidP="002F0A09">
      <w:pPr>
        <w:pStyle w:val="ListParagraph"/>
        <w:numPr>
          <w:ilvl w:val="0"/>
          <w:numId w:val="7"/>
        </w:numPr>
        <w:rPr>
          <w:rFonts w:cs="Arial"/>
          <w:lang w:bidi="ar-SA"/>
        </w:rPr>
      </w:pPr>
      <w:r w:rsidRPr="002F0A09">
        <w:rPr>
          <w:rFonts w:cs="Arial"/>
          <w:lang w:bidi="ar-SA"/>
        </w:rPr>
        <w:t xml:space="preserve">Manage the stakeholders like a productivity tool: Use an </w:t>
      </w:r>
      <w:proofErr w:type="spellStart"/>
      <w:r w:rsidRPr="002F0A09">
        <w:rPr>
          <w:rFonts w:cs="Arial"/>
          <w:lang w:bidi="ar-SA"/>
        </w:rPr>
        <w:t>organised</w:t>
      </w:r>
      <w:proofErr w:type="spellEnd"/>
      <w:r w:rsidRPr="002F0A09">
        <w:rPr>
          <w:rFonts w:cs="Arial"/>
          <w:lang w:bidi="ar-SA"/>
        </w:rPr>
        <w:t xml:space="preserve"> worker communication process, open communication in </w:t>
      </w:r>
      <w:r w:rsidR="00310D13" w:rsidRPr="002F0A09">
        <w:rPr>
          <w:rFonts w:cs="Arial"/>
          <w:lang w:bidi="ar-SA"/>
        </w:rPr>
        <w:t>HR</w:t>
      </w:r>
      <w:r w:rsidRPr="002F0A09">
        <w:rPr>
          <w:rFonts w:cs="Arial"/>
          <w:lang w:bidi="ar-SA"/>
        </w:rPr>
        <w:t xml:space="preserve"> and a regular management routine during the transition period to ensure product quality and throughput are not compromised. This becomes particularly urgent in the situation with increased power distance and uncertainty avoidance.</w:t>
      </w:r>
    </w:p>
    <w:p w14:paraId="4C0A4C7C" w14:textId="77777777" w:rsidR="00310D13" w:rsidRPr="002F0A09" w:rsidRDefault="00310D13" w:rsidP="002F0A09">
      <w:pPr>
        <w:jc w:val="left"/>
        <w:rPr>
          <w:rFonts w:eastAsiaTheme="majorEastAsia" w:cs="Arial"/>
          <w:b/>
          <w:bCs/>
          <w:sz w:val="32"/>
          <w:szCs w:val="35"/>
          <w:lang w:bidi="ar-SA"/>
        </w:rPr>
      </w:pPr>
      <w:r w:rsidRPr="002F0A09">
        <w:rPr>
          <w:rFonts w:cs="Arial"/>
          <w:lang w:bidi="ar-SA"/>
        </w:rPr>
        <w:br w:type="page"/>
      </w:r>
    </w:p>
    <w:p w14:paraId="42251154" w14:textId="77777777" w:rsidR="003B4253" w:rsidRPr="002F0A09" w:rsidRDefault="00310D13" w:rsidP="002F0A09">
      <w:pPr>
        <w:pStyle w:val="Heading1"/>
        <w:rPr>
          <w:rFonts w:cs="Arial"/>
          <w:color w:val="auto"/>
          <w:lang w:bidi="ar-SA"/>
        </w:rPr>
      </w:pPr>
      <w:bookmarkStart w:id="41" w:name="_Toc223122502"/>
      <w:r w:rsidRPr="002F0A09">
        <w:rPr>
          <w:rFonts w:cs="Arial"/>
          <w:color w:val="auto"/>
          <w:lang w:bidi="ar-SA"/>
        </w:rPr>
        <w:lastRenderedPageBreak/>
        <w:t xml:space="preserve">5.0 </w:t>
      </w:r>
      <w:r w:rsidR="003B4253" w:rsidRPr="002F0A09">
        <w:rPr>
          <w:rFonts w:cs="Arial"/>
          <w:color w:val="auto"/>
          <w:lang w:bidi="ar-SA"/>
        </w:rPr>
        <w:t>Conclusion</w:t>
      </w:r>
      <w:bookmarkEnd w:id="41"/>
    </w:p>
    <w:p w14:paraId="2316AD04" w14:textId="18FE4359" w:rsidR="003B4253" w:rsidRPr="002F0A09" w:rsidRDefault="003B4253" w:rsidP="002F0A09">
      <w:pPr>
        <w:rPr>
          <w:rFonts w:cs="Arial"/>
          <w:lang w:bidi="ar-SA"/>
        </w:rPr>
      </w:pPr>
      <w:r w:rsidRPr="002F0A09">
        <w:rPr>
          <w:rFonts w:cs="Arial"/>
          <w:lang w:bidi="ar-SA"/>
        </w:rPr>
        <w:t xml:space="preserve">The automotive sector in Mexico reaches the level of global competitiveness through its concentration of massive assembly plants, a well-developed and well-networked supply chain, and a tight connection with North American markets, in addition to the fact that large volumes of production can be achieved, and export volumes are impressive. Nonetheless, the model creates strategic vulnerabilities; a high level of reliance on demand in the United States makes operational performance excruciatingly sensitive to changes in policy, and the imminent review of the 2026 United States-Mexico Agreement worsens the uncertainty on the matter. Contextually speaking (in the case of Nissan), Mexico serves as an export hub; the </w:t>
      </w:r>
      <w:proofErr w:type="spellStart"/>
      <w:r w:rsidRPr="002F0A09">
        <w:rPr>
          <w:rFonts w:cs="Arial"/>
          <w:lang w:bidi="ar-SA"/>
        </w:rPr>
        <w:t>centralisation</w:t>
      </w:r>
      <w:proofErr w:type="spellEnd"/>
      <w:r w:rsidRPr="002F0A09">
        <w:rPr>
          <w:rFonts w:cs="Arial"/>
          <w:lang w:bidi="ar-SA"/>
        </w:rPr>
        <w:t xml:space="preserve"> of manufacturing in Aguascalientes will increase the efficiency of operations, but at the same time, the risk will be concentrated in case disruptions in the chain of supply occur in reality. According to the same, the competitive edge is proven to be increasingly based on the move towards cost leadership to compliance and capability orientation as stricter rules-of-origin systems and supply chain supplier improvements increasingly determine market penetration and sustainability. Based on this, the success of Nissan in the Mexican market will depend on how the company positions its trade compliance and logistical resilience as a strategic competency aligned with the productivity imperative. What remains a salient weakness is the fact that data that is publicly available deters being able to gain a granular insight into the profit margin of plants or the terms of the supplier contract, leading to an effect of having to make an indirect estimate of risk. </w:t>
      </w:r>
    </w:p>
    <w:p w14:paraId="37F842B4" w14:textId="77777777" w:rsidR="004C6819" w:rsidRPr="002F0A09" w:rsidRDefault="004C6819" w:rsidP="002F0A09">
      <w:pPr>
        <w:rPr>
          <w:rFonts w:cs="Arial"/>
        </w:rPr>
      </w:pPr>
    </w:p>
    <w:p w14:paraId="4A23BB79" w14:textId="77777777" w:rsidR="006B2B18" w:rsidRPr="002F0A09" w:rsidRDefault="006B2B18" w:rsidP="002F0A09">
      <w:pPr>
        <w:jc w:val="left"/>
        <w:rPr>
          <w:rFonts w:eastAsia="Times New Roman" w:cs="Arial"/>
          <w:b/>
          <w:bCs/>
          <w:sz w:val="28"/>
          <w:szCs w:val="36"/>
          <w:lang w:bidi="ar-SA"/>
        </w:rPr>
      </w:pPr>
      <w:r w:rsidRPr="002F0A09">
        <w:rPr>
          <w:rFonts w:cs="Arial"/>
        </w:rPr>
        <w:br w:type="page"/>
      </w:r>
    </w:p>
    <w:p w14:paraId="57DBE0C1" w14:textId="77777777" w:rsidR="004C6819" w:rsidRPr="002F0A09" w:rsidRDefault="004C6819" w:rsidP="002F0A09">
      <w:pPr>
        <w:pStyle w:val="Heading1"/>
        <w:rPr>
          <w:rFonts w:cs="Arial"/>
          <w:color w:val="auto"/>
        </w:rPr>
      </w:pPr>
      <w:bookmarkStart w:id="42" w:name="_Toc223122503"/>
      <w:r w:rsidRPr="002F0A09">
        <w:rPr>
          <w:rFonts w:cs="Arial"/>
          <w:color w:val="auto"/>
        </w:rPr>
        <w:lastRenderedPageBreak/>
        <w:t>SECTION 2: Reflective Account (Gibbs)</w:t>
      </w:r>
      <w:bookmarkEnd w:id="42"/>
      <w:r w:rsidRPr="002F0A09">
        <w:rPr>
          <w:rFonts w:cs="Arial"/>
          <w:color w:val="auto"/>
        </w:rPr>
        <w:t xml:space="preserve"> </w:t>
      </w:r>
    </w:p>
    <w:p w14:paraId="294A371D" w14:textId="77777777" w:rsidR="003B4253" w:rsidRPr="002F0A09" w:rsidRDefault="006B2B18" w:rsidP="002F0A09">
      <w:pPr>
        <w:pStyle w:val="Heading2"/>
        <w:spacing w:line="360" w:lineRule="auto"/>
        <w:rPr>
          <w:rFonts w:cs="Arial"/>
        </w:rPr>
      </w:pPr>
      <w:bookmarkStart w:id="43" w:name="_Toc223122504"/>
      <w:r w:rsidRPr="002F0A09">
        <w:rPr>
          <w:rFonts w:cs="Arial"/>
        </w:rPr>
        <w:t xml:space="preserve">1.0 </w:t>
      </w:r>
      <w:r w:rsidR="003B4253" w:rsidRPr="002F0A09">
        <w:rPr>
          <w:rFonts w:cs="Arial"/>
        </w:rPr>
        <w:t>Description</w:t>
      </w:r>
      <w:bookmarkEnd w:id="43"/>
    </w:p>
    <w:p w14:paraId="1F3115B3" w14:textId="77777777" w:rsidR="003B4253" w:rsidRPr="002F0A09" w:rsidRDefault="003B4253" w:rsidP="002F0A09">
      <w:pPr>
        <w:rPr>
          <w:rFonts w:cs="Arial"/>
        </w:rPr>
      </w:pPr>
      <w:r w:rsidRPr="002F0A09">
        <w:rPr>
          <w:rFonts w:cs="Arial"/>
        </w:rPr>
        <w:t xml:space="preserve">The analysis of the Mexican automotive manufacturing industry, which includes vehicles and components, was chosen because of the presence of strong, publicly verifiable data used to justify an evidence-based international business report and because the production industry is also inherently structured by integrating across borders. The monthly data of production, exports, and domestic sales at the manufacturer level prepared by INEGI also enable the researcher to leave the descriptive prose and evaluate the arguments about scale and export dependence empirically based on the time-series evidence (INEGI, </w:t>
      </w:r>
      <w:r w:rsidR="006B2B18" w:rsidRPr="002F0A09">
        <w:rPr>
          <w:rFonts w:cs="Arial"/>
        </w:rPr>
        <w:t>2025</w:t>
      </w:r>
      <w:r w:rsidRPr="002F0A09">
        <w:rPr>
          <w:rFonts w:cs="Arial"/>
        </w:rPr>
        <w:t xml:space="preserve">). The foreign MNC that was selected as the focal point due to its operations in Mexico is the multinational corporation Nissan, since its activities are both high in scale and currently experiencing a strategic transformation. Namely, the decision by Nissan to implement </w:t>
      </w:r>
      <w:proofErr w:type="spellStart"/>
      <w:r w:rsidRPr="002F0A09">
        <w:rPr>
          <w:rFonts w:cs="Arial"/>
        </w:rPr>
        <w:t>centrali</w:t>
      </w:r>
      <w:r w:rsidR="006B2B18" w:rsidRPr="002F0A09">
        <w:rPr>
          <w:rFonts w:cs="Arial"/>
        </w:rPr>
        <w:t>s</w:t>
      </w:r>
      <w:r w:rsidRPr="002F0A09">
        <w:rPr>
          <w:rFonts w:cs="Arial"/>
        </w:rPr>
        <w:t>ation</w:t>
      </w:r>
      <w:proofErr w:type="spellEnd"/>
      <w:r w:rsidRPr="002F0A09">
        <w:rPr>
          <w:rFonts w:cs="Arial"/>
        </w:rPr>
        <w:t xml:space="preserve"> in the process of production in the complex of Aguascalientes and yet leave the production of vehicles at CIVAC by the end of the fiscal year 2025 (March 2026) provides a specific contextual framework in which to interpret the response of corporate strategy to the competitiv</w:t>
      </w:r>
      <w:r w:rsidR="006B2B18" w:rsidRPr="002F0A09">
        <w:rPr>
          <w:rFonts w:cs="Arial"/>
        </w:rPr>
        <w:t>e forces and risk (Nissan, 2025</w:t>
      </w:r>
      <w:r w:rsidRPr="002F0A09">
        <w:rPr>
          <w:rFonts w:cs="Arial"/>
        </w:rPr>
        <w:t>). This convergence fits the requirement of the module to appraise the attractiveness and success factor of the market from political, economic, legal, and cultural perspectives.</w:t>
      </w:r>
    </w:p>
    <w:p w14:paraId="391A366A" w14:textId="77777777" w:rsidR="003B4253" w:rsidRPr="002F0A09" w:rsidRDefault="006B2B18" w:rsidP="002F0A09">
      <w:pPr>
        <w:pStyle w:val="Heading2"/>
        <w:spacing w:line="360" w:lineRule="auto"/>
        <w:rPr>
          <w:rFonts w:cs="Arial"/>
        </w:rPr>
      </w:pPr>
      <w:bookmarkStart w:id="44" w:name="_Toc223122505"/>
      <w:r w:rsidRPr="002F0A09">
        <w:rPr>
          <w:rFonts w:cs="Arial"/>
        </w:rPr>
        <w:t xml:space="preserve">2.0 </w:t>
      </w:r>
      <w:r w:rsidR="003B4253" w:rsidRPr="002F0A09">
        <w:rPr>
          <w:rFonts w:cs="Arial"/>
        </w:rPr>
        <w:t>Feelings</w:t>
      </w:r>
      <w:bookmarkEnd w:id="44"/>
    </w:p>
    <w:p w14:paraId="3DA657CD" w14:textId="77777777" w:rsidR="003B4253" w:rsidRPr="002F0A09" w:rsidRDefault="003B4253" w:rsidP="002F0A09">
      <w:pPr>
        <w:rPr>
          <w:rFonts w:cs="Arial"/>
        </w:rPr>
      </w:pPr>
      <w:r w:rsidRPr="002F0A09">
        <w:rPr>
          <w:rFonts w:cs="Arial"/>
        </w:rPr>
        <w:t xml:space="preserve">The main dilemma was to strike a balance between the data-intensive industry and the lack of certainty about the future policy. The ongoing tariff discussions and the USMCA discussion on the review side make the whole environment look like a moving target, with the analysis becoming overly speculative without basing it on any plausible source </w:t>
      </w:r>
      <w:r w:rsidR="006B2B18" w:rsidRPr="002F0A09">
        <w:rPr>
          <w:rFonts w:cs="Arial"/>
        </w:rPr>
        <w:t>(United States Trade Representative, 2026)</w:t>
      </w:r>
      <w:r w:rsidRPr="002F0A09">
        <w:rPr>
          <w:rFonts w:cs="Arial"/>
        </w:rPr>
        <w:t xml:space="preserve">. I, too, had a challenge avoiding a reductionist view of Mexico's comparative advantage as a mere amalgam of low cost or nearshoring. These attributes are often put forward in public discourse as self-evident; the existing evidence in the marketplace demonstrates that the competitiveness narrative in Mexico depends on the ability to access the market and the effectiveness of the supply </w:t>
      </w:r>
      <w:r w:rsidRPr="002F0A09">
        <w:rPr>
          <w:rFonts w:cs="Arial"/>
        </w:rPr>
        <w:lastRenderedPageBreak/>
        <w:t>chain (International Trade Administration, 2026). Another complication is due to the lack of data at the firm level; publicly available data rarely reveals plant margins, product-level profitability, or contractual parameters. As a result, the evaluation of Nissan consolidation requires a careful inference based on noticeable factors, patterns of production and exports and declared long-term goals, but not unreasonable conclusions.</w:t>
      </w:r>
    </w:p>
    <w:p w14:paraId="31831E67" w14:textId="77777777" w:rsidR="003B4253" w:rsidRPr="002F0A09" w:rsidRDefault="006B2B18" w:rsidP="002F0A09">
      <w:pPr>
        <w:pStyle w:val="Heading2"/>
        <w:spacing w:line="360" w:lineRule="auto"/>
        <w:rPr>
          <w:rFonts w:cs="Arial"/>
        </w:rPr>
      </w:pPr>
      <w:bookmarkStart w:id="45" w:name="_Toc223122506"/>
      <w:r w:rsidRPr="002F0A09">
        <w:rPr>
          <w:rFonts w:cs="Arial"/>
        </w:rPr>
        <w:t xml:space="preserve">3.0 </w:t>
      </w:r>
      <w:r w:rsidR="003B4253" w:rsidRPr="002F0A09">
        <w:rPr>
          <w:rFonts w:cs="Arial"/>
        </w:rPr>
        <w:t>Evaluation</w:t>
      </w:r>
      <w:bookmarkEnd w:id="45"/>
    </w:p>
    <w:p w14:paraId="0E322179" w14:textId="77777777" w:rsidR="003B4253" w:rsidRPr="002F0A09" w:rsidRDefault="003B4253" w:rsidP="002F0A09">
      <w:pPr>
        <w:rPr>
          <w:rFonts w:cs="Arial"/>
        </w:rPr>
      </w:pPr>
      <w:r w:rsidRPr="002F0A09">
        <w:rPr>
          <w:rFonts w:cs="Arial"/>
        </w:rPr>
        <w:t xml:space="preserve">This proved to be best with INEGI as the empirical base. The data set enabled the performance of the OEMs to be compared based on uniform definitions of production, export, and domestic sales and allowed for more decisive statements on the dependence on external demand (INEGI, </w:t>
      </w:r>
      <w:r w:rsidR="006B2B18" w:rsidRPr="002F0A09">
        <w:rPr>
          <w:rFonts w:cs="Arial"/>
        </w:rPr>
        <w:t>2025</w:t>
      </w:r>
      <w:r w:rsidRPr="002F0A09">
        <w:rPr>
          <w:rFonts w:cs="Arial"/>
        </w:rPr>
        <w:t>). Credibility was enhanced through triangulation. I referred to OICA to compare the production among countries globally and the U.S. International Trade Administration to place the sector into perspective, the proportion of exports to the United States (OICA, 2025</w:t>
      </w:r>
      <w:r w:rsidR="006B2B18" w:rsidRPr="002F0A09">
        <w:rPr>
          <w:rFonts w:cs="Arial"/>
        </w:rPr>
        <w:t>)</w:t>
      </w:r>
      <w:r w:rsidRPr="002F0A09">
        <w:rPr>
          <w:rFonts w:cs="Arial"/>
        </w:rPr>
        <w:t xml:space="preserve">. The most powerful side of the work was connecting these facts of the industry with the strategic consolidation of Nissan, of which Nissan and Reuters, respectively, report (Nissan, </w:t>
      </w:r>
      <w:r w:rsidR="006B2B18" w:rsidRPr="002F0A09">
        <w:rPr>
          <w:rFonts w:cs="Arial"/>
        </w:rPr>
        <w:t>2025</w:t>
      </w:r>
      <w:r w:rsidRPr="002F0A09">
        <w:rPr>
          <w:rFonts w:cs="Arial"/>
        </w:rPr>
        <w:t xml:space="preserve">). What also failed to do so well was to integrate parts-industry data on the same granularity as vehicle data. The sources of INA allow the description of ecosystems, yet firm-level items' value added, and the level of </w:t>
      </w:r>
      <w:proofErr w:type="spellStart"/>
      <w:r w:rsidRPr="002F0A09">
        <w:rPr>
          <w:rFonts w:cs="Arial"/>
        </w:rPr>
        <w:t>localisation</w:t>
      </w:r>
      <w:proofErr w:type="spellEnd"/>
      <w:r w:rsidRPr="002F0A09">
        <w:rPr>
          <w:rFonts w:cs="Arial"/>
        </w:rPr>
        <w:t xml:space="preserve"> are more difficult to measure publicly, which restricts the accuracy of certain supply-chain inferences (</w:t>
      </w:r>
      <w:r w:rsidR="006B2B18" w:rsidRPr="002F0A09">
        <w:rPr>
          <w:rFonts w:cs="Arial"/>
        </w:rPr>
        <w:t>INA</w:t>
      </w:r>
      <w:r w:rsidRPr="002F0A09">
        <w:rPr>
          <w:rFonts w:cs="Arial"/>
        </w:rPr>
        <w:t>, 202</w:t>
      </w:r>
      <w:r w:rsidR="006B2B18" w:rsidRPr="002F0A09">
        <w:rPr>
          <w:rFonts w:cs="Arial"/>
        </w:rPr>
        <w:t>5</w:t>
      </w:r>
      <w:r w:rsidRPr="002F0A09">
        <w:rPr>
          <w:rFonts w:cs="Arial"/>
        </w:rPr>
        <w:t>).</w:t>
      </w:r>
    </w:p>
    <w:p w14:paraId="343AE072" w14:textId="77777777" w:rsidR="003B4253" w:rsidRPr="002F0A09" w:rsidRDefault="006B2B18" w:rsidP="002F0A09">
      <w:pPr>
        <w:pStyle w:val="Heading2"/>
        <w:spacing w:line="360" w:lineRule="auto"/>
        <w:rPr>
          <w:rFonts w:cs="Arial"/>
        </w:rPr>
      </w:pPr>
      <w:bookmarkStart w:id="46" w:name="_Toc223122507"/>
      <w:r w:rsidRPr="002F0A09">
        <w:rPr>
          <w:rFonts w:cs="Arial"/>
        </w:rPr>
        <w:t xml:space="preserve">4.0 </w:t>
      </w:r>
      <w:r w:rsidR="003B4253" w:rsidRPr="002F0A09">
        <w:rPr>
          <w:rFonts w:cs="Arial"/>
        </w:rPr>
        <w:t>Analysis</w:t>
      </w:r>
      <w:bookmarkEnd w:id="46"/>
    </w:p>
    <w:p w14:paraId="51C145D0" w14:textId="77777777" w:rsidR="003B4253" w:rsidRPr="002F0A09" w:rsidRDefault="003B4253" w:rsidP="002F0A09">
      <w:pPr>
        <w:rPr>
          <w:rFonts w:cs="Arial"/>
        </w:rPr>
      </w:pPr>
      <w:r w:rsidRPr="002F0A09">
        <w:rPr>
          <w:rFonts w:cs="Arial"/>
        </w:rPr>
        <w:t>The cycle of Gibbs compelled me to look at frameworks as a means of decision and not a part to complete. The Diamond created by Porter has assisted in finding the fact that Mexico has a systemic advantage, which is a combination of factor conditions, supporting industries, and rivalry, but it is also politically contingent since sustainable trade rules are essential in competitiveness (International Trade Administration, 202</w:t>
      </w:r>
      <w:r w:rsidR="006B2B18" w:rsidRPr="002F0A09">
        <w:rPr>
          <w:rFonts w:cs="Arial"/>
        </w:rPr>
        <w:t>5</w:t>
      </w:r>
      <w:r w:rsidRPr="002F0A09">
        <w:rPr>
          <w:rFonts w:cs="Arial"/>
        </w:rPr>
        <w:t xml:space="preserve">). After that contingency was converted into the operational implications of Nissan by PESTLE, in particular, political risk (tariffs and USMCA review), economic risk (export concentration and FX volatility), and legal-regulatory risk (investment climate and enforcement </w:t>
      </w:r>
      <w:r w:rsidRPr="002F0A09">
        <w:rPr>
          <w:rFonts w:cs="Arial"/>
        </w:rPr>
        <w:lastRenderedPageBreak/>
        <w:t xml:space="preserve">uncertainty) </w:t>
      </w:r>
      <w:r w:rsidR="006B2B18" w:rsidRPr="002F0A09">
        <w:rPr>
          <w:rFonts w:cs="Arial"/>
        </w:rPr>
        <w:t>(U.S. Department of State, 2025)</w:t>
      </w:r>
      <w:r w:rsidRPr="002F0A09">
        <w:rPr>
          <w:rFonts w:cs="Arial"/>
        </w:rPr>
        <w:t>. Five Forces explained the structural high supplier power in semiconductors and electronics, which is important to the resilience and platform strategy of Nissan (Reuters, 202</w:t>
      </w:r>
      <w:r w:rsidR="006B2B18" w:rsidRPr="002F0A09">
        <w:rPr>
          <w:rFonts w:cs="Arial"/>
        </w:rPr>
        <w:t>6</w:t>
      </w:r>
      <w:r w:rsidRPr="002F0A09">
        <w:rPr>
          <w:rFonts w:cs="Arial"/>
        </w:rPr>
        <w:t>d). Where I had data that was not complete, I attempted to treat it explicitly. To illustrate, I was not able to measure Nissan's impact on profitability as a result of the consolidation, and instead I concentrated on the observable logic, Nissan's improved utilization and competitiveness statements, and external reporting on the timeframes of plant closure, and identified the resulting concentration risk as a plausible argument as opposed to the measured outcome (Reuters, 202</w:t>
      </w:r>
      <w:r w:rsidR="006B2B18" w:rsidRPr="002F0A09">
        <w:rPr>
          <w:rFonts w:cs="Arial"/>
        </w:rPr>
        <w:t>6</w:t>
      </w:r>
      <w:r w:rsidRPr="002F0A09">
        <w:rPr>
          <w:rFonts w:cs="Arial"/>
        </w:rPr>
        <w:t>a).</w:t>
      </w:r>
    </w:p>
    <w:p w14:paraId="7EA01294" w14:textId="77777777" w:rsidR="003B4253" w:rsidRPr="002F0A09" w:rsidRDefault="006B2B18" w:rsidP="002F0A09">
      <w:pPr>
        <w:pStyle w:val="Heading2"/>
        <w:spacing w:line="360" w:lineRule="auto"/>
        <w:rPr>
          <w:rFonts w:cs="Arial"/>
        </w:rPr>
      </w:pPr>
      <w:bookmarkStart w:id="47" w:name="_Toc223122508"/>
      <w:r w:rsidRPr="002F0A09">
        <w:rPr>
          <w:rFonts w:cs="Arial"/>
        </w:rPr>
        <w:t xml:space="preserve">5.0 </w:t>
      </w:r>
      <w:r w:rsidR="003B4253" w:rsidRPr="002F0A09">
        <w:rPr>
          <w:rFonts w:cs="Arial"/>
        </w:rPr>
        <w:t>Conclusion</w:t>
      </w:r>
      <w:bookmarkEnd w:id="47"/>
    </w:p>
    <w:p w14:paraId="5DF5A5AF" w14:textId="77777777" w:rsidR="003B4253" w:rsidRPr="002F0A09" w:rsidRDefault="003B4253" w:rsidP="002F0A09">
      <w:pPr>
        <w:rPr>
          <w:rFonts w:cs="Arial"/>
        </w:rPr>
      </w:pPr>
      <w:r w:rsidRPr="002F0A09">
        <w:rPr>
          <w:rFonts w:cs="Arial"/>
        </w:rPr>
        <w:t xml:space="preserve">This has helped to draw a firmer conclusion that the international business analysis is strongest when it combines superior institutional dynamics at a macro-level with the firm-level strategic decisions using empirical evidence to back its stance, compared to situating the country risk merely as a ticking box. I now consider trade regimes and compliance potential as competitive resources and not a contextual fact, notably in an export platform economy </w:t>
      </w:r>
      <w:r w:rsidR="006B2B18" w:rsidRPr="002F0A09">
        <w:rPr>
          <w:rFonts w:cs="Arial"/>
        </w:rPr>
        <w:t>(United States Trade Representative, 2026)</w:t>
      </w:r>
      <w:r w:rsidRPr="002F0A09">
        <w:rPr>
          <w:rFonts w:cs="Arial"/>
        </w:rPr>
        <w:t>. Besides, I have come to understand that the so-called nearshoring advantage is not a natural advantage, which should be preserved by relying on reliable logistics, stringent compliance mechanisms, and nonstop technological development.</w:t>
      </w:r>
    </w:p>
    <w:p w14:paraId="33E21666" w14:textId="77777777" w:rsidR="003B4253" w:rsidRPr="002F0A09" w:rsidRDefault="006B2B18" w:rsidP="002F0A09">
      <w:pPr>
        <w:pStyle w:val="Heading2"/>
        <w:spacing w:line="360" w:lineRule="auto"/>
        <w:rPr>
          <w:rFonts w:cs="Arial"/>
        </w:rPr>
      </w:pPr>
      <w:bookmarkStart w:id="48" w:name="_Toc223122509"/>
      <w:r w:rsidRPr="002F0A09">
        <w:rPr>
          <w:rFonts w:cs="Arial"/>
        </w:rPr>
        <w:t>6.0 A</w:t>
      </w:r>
      <w:r w:rsidR="003B4253" w:rsidRPr="002F0A09">
        <w:rPr>
          <w:rFonts w:cs="Arial"/>
        </w:rPr>
        <w:t>ction Plan</w:t>
      </w:r>
      <w:bookmarkEnd w:id="48"/>
    </w:p>
    <w:p w14:paraId="03820925" w14:textId="77777777" w:rsidR="003B4253" w:rsidRPr="002F0A09" w:rsidRDefault="003B4253" w:rsidP="002F0A09">
      <w:pPr>
        <w:rPr>
          <w:rFonts w:cs="Arial"/>
        </w:rPr>
      </w:pPr>
      <w:r w:rsidRPr="002F0A09">
        <w:rPr>
          <w:rFonts w:cs="Arial"/>
        </w:rPr>
        <w:t xml:space="preserve">I will start previous data retrieval at INEGI in later analyses and build a simple dashboard with production, export, and sales in order to identify the breaks in trends before writing (INEGI, </w:t>
      </w:r>
      <w:r w:rsidR="006B2B18" w:rsidRPr="002F0A09">
        <w:rPr>
          <w:rFonts w:cs="Arial"/>
        </w:rPr>
        <w:t>2025</w:t>
      </w:r>
      <w:r w:rsidRPr="002F0A09">
        <w:rPr>
          <w:rFonts w:cs="Arial"/>
        </w:rPr>
        <w:t>). My search strategy will also be narrowed down by using the structured keywords that include: USMCA automotive rules of origin enforcement, Mexico automotive exports share US, and Nissan Mexico consolidation Aguascalientes CIVAC, which will then filter out low-quality policy articles and focus on mainstream commentary (International Trade Administration, 202</w:t>
      </w:r>
      <w:r w:rsidR="006B2B18" w:rsidRPr="002F0A09">
        <w:rPr>
          <w:rFonts w:cs="Arial"/>
        </w:rPr>
        <w:t>5</w:t>
      </w:r>
      <w:r w:rsidRPr="002F0A09">
        <w:rPr>
          <w:rFonts w:cs="Arial"/>
        </w:rPr>
        <w:t xml:space="preserve">; Nissan, 2025). Lastly, I will strengthen the synthesis stage by ensuring that every Diamond and PESTLE assertion is supported by at least one empirical datum and a source that can be trusted and map out </w:t>
      </w:r>
      <w:proofErr w:type="spellStart"/>
      <w:r w:rsidRPr="002F0A09">
        <w:rPr>
          <w:rFonts w:cs="Arial"/>
        </w:rPr>
        <w:t>visualisations</w:t>
      </w:r>
      <w:proofErr w:type="spellEnd"/>
      <w:r w:rsidRPr="002F0A09">
        <w:rPr>
          <w:rFonts w:cs="Arial"/>
        </w:rPr>
        <w:t xml:space="preserve">, </w:t>
      </w:r>
      <w:r w:rsidRPr="002F0A09">
        <w:rPr>
          <w:rFonts w:cs="Arial"/>
        </w:rPr>
        <w:lastRenderedPageBreak/>
        <w:t>trend charts, and firm-comparison tables as soon as possible to ensure that there is no instance of incoherence between the story and the data throughout the work.</w:t>
      </w:r>
    </w:p>
    <w:p w14:paraId="051D312B" w14:textId="77777777" w:rsidR="002F0A09" w:rsidRDefault="002F0A09">
      <w:pPr>
        <w:spacing w:line="276" w:lineRule="auto"/>
        <w:jc w:val="left"/>
        <w:rPr>
          <w:rFonts w:eastAsiaTheme="majorEastAsia" w:cs="Arial"/>
          <w:b/>
          <w:bCs/>
          <w:sz w:val="32"/>
          <w:szCs w:val="35"/>
        </w:rPr>
      </w:pPr>
      <w:bookmarkStart w:id="49" w:name="_Toc223122510"/>
      <w:r>
        <w:rPr>
          <w:rFonts w:cs="Arial"/>
        </w:rPr>
        <w:br w:type="page"/>
      </w:r>
    </w:p>
    <w:p w14:paraId="2EA58BDC" w14:textId="2BDFAC64" w:rsidR="006B2B18" w:rsidRPr="002F0A09" w:rsidRDefault="006B2B18" w:rsidP="002F0A09">
      <w:pPr>
        <w:pStyle w:val="Heading1"/>
        <w:rPr>
          <w:rFonts w:cs="Arial"/>
          <w:color w:val="auto"/>
        </w:rPr>
      </w:pPr>
      <w:r w:rsidRPr="002F0A09">
        <w:rPr>
          <w:rFonts w:cs="Arial"/>
          <w:color w:val="auto"/>
        </w:rPr>
        <w:lastRenderedPageBreak/>
        <w:t>References</w:t>
      </w:r>
      <w:bookmarkEnd w:id="49"/>
    </w:p>
    <w:p w14:paraId="0CC4676D" w14:textId="77777777" w:rsidR="00DA58CC" w:rsidRPr="002F0A09" w:rsidRDefault="00DA58CC" w:rsidP="002F0A09">
      <w:pPr>
        <w:ind w:left="720" w:hanging="720"/>
        <w:rPr>
          <w:rFonts w:cs="Arial"/>
          <w:lang w:bidi="ar-SA"/>
        </w:rPr>
      </w:pPr>
      <w:r w:rsidRPr="002F0A09">
        <w:rPr>
          <w:rFonts w:cs="Arial"/>
          <w:lang w:bidi="ar-SA"/>
        </w:rPr>
        <w:t xml:space="preserve">Bocar (2026) </w:t>
      </w:r>
      <w:r w:rsidRPr="002F0A09">
        <w:rPr>
          <w:rFonts w:cs="Arial"/>
          <w:i/>
          <w:iCs/>
          <w:lang w:bidi="ar-SA"/>
        </w:rPr>
        <w:t>Company</w:t>
      </w:r>
      <w:r w:rsidRPr="002F0A09">
        <w:rPr>
          <w:rFonts w:cs="Arial"/>
          <w:lang w:bidi="ar-SA"/>
        </w:rPr>
        <w:t xml:space="preserve">. Available at: https://www.bocar.com/company (Accessed: 27 February 2026). </w:t>
      </w:r>
    </w:p>
    <w:p w14:paraId="65C07605" w14:textId="77777777" w:rsidR="00DA58CC" w:rsidRPr="002F0A09" w:rsidRDefault="00DA58CC" w:rsidP="002F0A09">
      <w:pPr>
        <w:ind w:left="720" w:hanging="720"/>
        <w:rPr>
          <w:rFonts w:cs="Arial"/>
          <w:lang w:bidi="ar-SA"/>
        </w:rPr>
      </w:pPr>
      <w:r w:rsidRPr="002F0A09">
        <w:rPr>
          <w:rFonts w:cs="Arial"/>
          <w:lang w:bidi="ar-SA"/>
        </w:rPr>
        <w:t xml:space="preserve">Bright, D.S. and Cortes, A.H. (2025) </w:t>
      </w:r>
      <w:r w:rsidRPr="002F0A09">
        <w:rPr>
          <w:rFonts w:cs="Arial"/>
          <w:i/>
          <w:iCs/>
          <w:lang w:bidi="ar-SA"/>
        </w:rPr>
        <w:t>6.2 Hofstede’s cultural framework - principles of management</w:t>
      </w:r>
      <w:r w:rsidRPr="002F0A09">
        <w:rPr>
          <w:rFonts w:cs="Arial"/>
          <w:lang w:bidi="ar-SA"/>
        </w:rPr>
        <w:t xml:space="preserve">, </w:t>
      </w:r>
      <w:r w:rsidRPr="002F0A09">
        <w:rPr>
          <w:rFonts w:cs="Arial"/>
          <w:i/>
          <w:iCs/>
          <w:lang w:bidi="ar-SA"/>
        </w:rPr>
        <w:t>OpenStax</w:t>
      </w:r>
      <w:r w:rsidRPr="002F0A09">
        <w:rPr>
          <w:rFonts w:cs="Arial"/>
          <w:lang w:bidi="ar-SA"/>
        </w:rPr>
        <w:t xml:space="preserve">. Available at: https://openstax.org/books/principles-management/pages/6-2-hofstedes-cultural-framework (Accessed: 27 February 2026). </w:t>
      </w:r>
    </w:p>
    <w:p w14:paraId="237C8B37" w14:textId="77777777" w:rsidR="00DA58CC" w:rsidRPr="00DA58CC" w:rsidRDefault="00DA58CC" w:rsidP="00DA58CC">
      <w:pPr>
        <w:spacing w:before="100" w:beforeAutospacing="1" w:after="100" w:afterAutospacing="1"/>
        <w:ind w:left="567" w:hanging="567"/>
        <w:rPr>
          <w:rFonts w:eastAsia="Times New Roman" w:cs="Arial"/>
          <w:szCs w:val="24"/>
          <w:lang w:bidi="ar-SA"/>
        </w:rPr>
      </w:pPr>
      <w:r w:rsidRPr="00DA58CC">
        <w:rPr>
          <w:rFonts w:eastAsia="Times New Roman" w:cs="Arial"/>
          <w:szCs w:val="24"/>
          <w:lang w:bidi="ar-SA"/>
        </w:rPr>
        <w:t xml:space="preserve">CEIC Data (2025) </w:t>
      </w:r>
      <w:r w:rsidRPr="00DA58CC">
        <w:rPr>
          <w:rFonts w:eastAsia="Times New Roman" w:cs="Arial"/>
          <w:i/>
          <w:iCs/>
          <w:szCs w:val="24"/>
          <w:lang w:bidi="ar-SA"/>
        </w:rPr>
        <w:t>Mexico Motor Vehicle production</w:t>
      </w:r>
      <w:r w:rsidRPr="00DA58CC">
        <w:rPr>
          <w:rFonts w:eastAsia="Times New Roman" w:cs="Arial"/>
          <w:szCs w:val="24"/>
          <w:lang w:bidi="ar-SA"/>
        </w:rPr>
        <w:t xml:space="preserve">, </w:t>
      </w:r>
      <w:r w:rsidRPr="00DA58CC">
        <w:rPr>
          <w:rFonts w:eastAsia="Times New Roman" w:cs="Arial"/>
          <w:i/>
          <w:iCs/>
          <w:szCs w:val="24"/>
          <w:lang w:bidi="ar-SA"/>
        </w:rPr>
        <w:t>Mexico Motor Vehicle Production, 1997 – 2025 | CEIC Data</w:t>
      </w:r>
      <w:r w:rsidRPr="00DA58CC">
        <w:rPr>
          <w:rFonts w:eastAsia="Times New Roman" w:cs="Arial"/>
          <w:szCs w:val="24"/>
          <w:lang w:bidi="ar-SA"/>
        </w:rPr>
        <w:t xml:space="preserve">. Available at: https://www.ceicdata.com/en/indicator/mexico/motor-vehicle-production (Accessed: 19 March 2026). </w:t>
      </w:r>
    </w:p>
    <w:p w14:paraId="7BF577F2" w14:textId="77777777" w:rsidR="00DA58CC" w:rsidRPr="002F0A09" w:rsidRDefault="00DA58CC" w:rsidP="002F0A09">
      <w:pPr>
        <w:ind w:left="720" w:hanging="720"/>
        <w:rPr>
          <w:rFonts w:cs="Arial"/>
          <w:lang w:bidi="ar-SA"/>
        </w:rPr>
      </w:pPr>
      <w:r w:rsidRPr="002F0A09">
        <w:rPr>
          <w:rFonts w:cs="Arial"/>
          <w:lang w:bidi="ar-SA"/>
        </w:rPr>
        <w:t xml:space="preserve">IMF (2025) </w:t>
      </w:r>
      <w:r w:rsidRPr="002F0A09">
        <w:rPr>
          <w:rFonts w:cs="Arial"/>
          <w:i/>
          <w:iCs/>
          <w:lang w:bidi="ar-SA"/>
        </w:rPr>
        <w:t>Mexico: 2025 Article IV consultation-press release; staff report; and statement by the executive director for Mexico</w:t>
      </w:r>
      <w:r w:rsidRPr="002F0A09">
        <w:rPr>
          <w:rFonts w:cs="Arial"/>
          <w:lang w:bidi="ar-SA"/>
        </w:rPr>
        <w:t xml:space="preserve">, </w:t>
      </w:r>
      <w:r w:rsidRPr="002F0A09">
        <w:rPr>
          <w:rFonts w:cs="Arial"/>
          <w:i/>
          <w:iCs/>
          <w:lang w:bidi="ar-SA"/>
        </w:rPr>
        <w:t>IMF</w:t>
      </w:r>
      <w:r w:rsidRPr="002F0A09">
        <w:rPr>
          <w:rFonts w:cs="Arial"/>
          <w:lang w:bidi="ar-SA"/>
        </w:rPr>
        <w:t xml:space="preserve">. Available at: https://www.imf.org/en/publications/cr/issues/2025/10/27/mexico-2025-article-iv-consultation-press-release-staff-report-and-statement-by-the-571378 (Accessed: 27 February 2026). </w:t>
      </w:r>
    </w:p>
    <w:p w14:paraId="13077D3F" w14:textId="77777777" w:rsidR="00DA58CC" w:rsidRPr="002F0A09" w:rsidRDefault="00DA58CC" w:rsidP="002F0A09">
      <w:pPr>
        <w:ind w:left="720" w:hanging="720"/>
        <w:rPr>
          <w:rFonts w:cs="Arial"/>
          <w:lang w:bidi="ar-SA"/>
        </w:rPr>
      </w:pPr>
      <w:r w:rsidRPr="002F0A09">
        <w:rPr>
          <w:rFonts w:cs="Arial"/>
          <w:lang w:bidi="ar-SA"/>
        </w:rPr>
        <w:t xml:space="preserve">INA (2025) </w:t>
      </w:r>
      <w:r w:rsidRPr="002F0A09">
        <w:rPr>
          <w:rFonts w:cs="Arial"/>
          <w:i/>
          <w:iCs/>
          <w:lang w:bidi="ar-SA"/>
        </w:rPr>
        <w:t xml:space="preserve">Automotive Industry in </w:t>
      </w:r>
      <w:proofErr w:type="spellStart"/>
      <w:r w:rsidRPr="002F0A09">
        <w:rPr>
          <w:rFonts w:cs="Arial"/>
          <w:i/>
          <w:iCs/>
          <w:lang w:bidi="ar-SA"/>
        </w:rPr>
        <w:t>mexico</w:t>
      </w:r>
      <w:proofErr w:type="spellEnd"/>
      <w:r w:rsidRPr="002F0A09">
        <w:rPr>
          <w:rFonts w:cs="Arial"/>
          <w:i/>
          <w:iCs/>
          <w:lang w:bidi="ar-SA"/>
        </w:rPr>
        <w:t xml:space="preserve"> - overview</w:t>
      </w:r>
      <w:r w:rsidRPr="002F0A09">
        <w:rPr>
          <w:rFonts w:cs="Arial"/>
          <w:lang w:bidi="ar-SA"/>
        </w:rPr>
        <w:t xml:space="preserve">, </w:t>
      </w:r>
      <w:proofErr w:type="spellStart"/>
      <w:r w:rsidRPr="002F0A09">
        <w:rPr>
          <w:rFonts w:cs="Arial"/>
          <w:i/>
          <w:iCs/>
          <w:lang w:bidi="ar-SA"/>
        </w:rPr>
        <w:t>Industria</w:t>
      </w:r>
      <w:proofErr w:type="spellEnd"/>
      <w:r w:rsidRPr="002F0A09">
        <w:rPr>
          <w:rFonts w:cs="Arial"/>
          <w:i/>
          <w:iCs/>
          <w:lang w:bidi="ar-SA"/>
        </w:rPr>
        <w:t xml:space="preserve"> Nacional de </w:t>
      </w:r>
      <w:proofErr w:type="spellStart"/>
      <w:r w:rsidRPr="002F0A09">
        <w:rPr>
          <w:rFonts w:cs="Arial"/>
          <w:i/>
          <w:iCs/>
          <w:lang w:bidi="ar-SA"/>
        </w:rPr>
        <w:t>Autopartes</w:t>
      </w:r>
      <w:proofErr w:type="spellEnd"/>
      <w:r w:rsidRPr="002F0A09">
        <w:rPr>
          <w:rFonts w:cs="Arial"/>
          <w:i/>
          <w:iCs/>
          <w:lang w:bidi="ar-SA"/>
        </w:rPr>
        <w:t xml:space="preserve"> </w:t>
      </w:r>
      <w:r w:rsidRPr="002F0A09">
        <w:rPr>
          <w:rFonts w:cs="Arial"/>
          <w:lang w:bidi="ar-SA"/>
        </w:rPr>
        <w:t xml:space="preserve">. Available at: https://ina.com.mx/wp-content/uploads/2024/09/AUTOMOTIVE-INDUSTRY-IN-MEXICO-Overview.pdf (Accessed: 27 February 2026). </w:t>
      </w:r>
    </w:p>
    <w:p w14:paraId="215C96F5" w14:textId="77777777" w:rsidR="00DA58CC" w:rsidRPr="002F0A09" w:rsidRDefault="00DA58CC" w:rsidP="002F0A09">
      <w:pPr>
        <w:ind w:left="720" w:hanging="720"/>
        <w:rPr>
          <w:rFonts w:cs="Arial"/>
          <w:lang w:bidi="ar-SA"/>
        </w:rPr>
      </w:pPr>
      <w:r w:rsidRPr="002F0A09">
        <w:rPr>
          <w:rFonts w:cs="Arial"/>
          <w:lang w:bidi="ar-SA"/>
        </w:rPr>
        <w:t xml:space="preserve">Instituto Nacional de </w:t>
      </w:r>
      <w:proofErr w:type="spellStart"/>
      <w:r w:rsidRPr="002F0A09">
        <w:rPr>
          <w:rFonts w:cs="Arial"/>
          <w:lang w:bidi="ar-SA"/>
        </w:rPr>
        <w:t>Estadística</w:t>
      </w:r>
      <w:proofErr w:type="spellEnd"/>
      <w:r w:rsidRPr="002F0A09">
        <w:rPr>
          <w:rFonts w:cs="Arial"/>
          <w:lang w:bidi="ar-SA"/>
        </w:rPr>
        <w:t xml:space="preserve"> y </w:t>
      </w:r>
      <w:proofErr w:type="spellStart"/>
      <w:r w:rsidRPr="002F0A09">
        <w:rPr>
          <w:rFonts w:cs="Arial"/>
          <w:lang w:bidi="ar-SA"/>
        </w:rPr>
        <w:t>Geografía</w:t>
      </w:r>
      <w:proofErr w:type="spellEnd"/>
      <w:r w:rsidRPr="002F0A09">
        <w:rPr>
          <w:rFonts w:cs="Arial"/>
          <w:lang w:bidi="ar-SA"/>
        </w:rPr>
        <w:t xml:space="preserve"> (INEGI) (2025) </w:t>
      </w:r>
      <w:r w:rsidRPr="002F0A09">
        <w:rPr>
          <w:rFonts w:cs="Arial"/>
          <w:i/>
          <w:iCs/>
          <w:lang w:bidi="ar-SA"/>
        </w:rPr>
        <w:t>Administrative Registry of the Automotive Industry of Light Vehicles (RAIAVL)</w:t>
      </w:r>
      <w:r w:rsidRPr="002F0A09">
        <w:rPr>
          <w:rFonts w:cs="Arial"/>
          <w:lang w:bidi="ar-SA"/>
        </w:rPr>
        <w:t xml:space="preserve">. Available at: https://www.inegi.org.mx/datosprimarios/iavl/ (Accessed: 27 February 2026). </w:t>
      </w:r>
    </w:p>
    <w:p w14:paraId="7817E9E6" w14:textId="77777777" w:rsidR="00DA58CC" w:rsidRPr="002F0A09" w:rsidRDefault="00DA58CC" w:rsidP="002F0A09">
      <w:pPr>
        <w:ind w:left="720" w:hanging="720"/>
        <w:rPr>
          <w:rFonts w:cs="Arial"/>
          <w:lang w:bidi="ar-SA"/>
        </w:rPr>
      </w:pPr>
      <w:r w:rsidRPr="002F0A09">
        <w:rPr>
          <w:rFonts w:cs="Arial"/>
          <w:lang w:bidi="ar-SA"/>
        </w:rPr>
        <w:t xml:space="preserve">International Organization of Motor Vehicle Manufacturers (OICA) (2026) </w:t>
      </w:r>
      <w:r w:rsidRPr="002F0A09">
        <w:rPr>
          <w:rFonts w:cs="Arial"/>
          <w:i/>
          <w:iCs/>
          <w:lang w:bidi="ar-SA"/>
        </w:rPr>
        <w:t>Production statistics</w:t>
      </w:r>
      <w:r w:rsidRPr="002F0A09">
        <w:rPr>
          <w:rFonts w:cs="Arial"/>
          <w:lang w:bidi="ar-SA"/>
        </w:rPr>
        <w:t xml:space="preserve">, </w:t>
      </w:r>
      <w:r w:rsidRPr="002F0A09">
        <w:rPr>
          <w:rFonts w:cs="Arial"/>
          <w:i/>
          <w:iCs/>
          <w:lang w:bidi="ar-SA"/>
        </w:rPr>
        <w:t>International Organization of Motor Vehicle Manufacturers</w:t>
      </w:r>
      <w:r w:rsidRPr="002F0A09">
        <w:rPr>
          <w:rFonts w:cs="Arial"/>
          <w:lang w:bidi="ar-SA"/>
        </w:rPr>
        <w:t xml:space="preserve">. Available at: https://oica.net/production-statistics/ (Accessed: 27 February 2026). </w:t>
      </w:r>
    </w:p>
    <w:p w14:paraId="487525E6" w14:textId="77777777" w:rsidR="00DA58CC" w:rsidRPr="002F0A09" w:rsidRDefault="00DA58CC" w:rsidP="002F0A09">
      <w:pPr>
        <w:ind w:left="720" w:hanging="720"/>
        <w:rPr>
          <w:rFonts w:cs="Arial"/>
          <w:lang w:bidi="ar-SA"/>
        </w:rPr>
      </w:pPr>
      <w:r w:rsidRPr="002F0A09">
        <w:rPr>
          <w:rFonts w:cs="Arial"/>
          <w:lang w:bidi="ar-SA"/>
        </w:rPr>
        <w:t xml:space="preserve">International Trade Administration (2025) </w:t>
      </w:r>
      <w:r w:rsidRPr="002F0A09">
        <w:rPr>
          <w:rFonts w:cs="Arial"/>
          <w:i/>
          <w:iCs/>
          <w:lang w:bidi="ar-SA"/>
        </w:rPr>
        <w:t>Mexico - Automotive Industry</w:t>
      </w:r>
      <w:r w:rsidRPr="002F0A09">
        <w:rPr>
          <w:rFonts w:cs="Arial"/>
          <w:lang w:bidi="ar-SA"/>
        </w:rPr>
        <w:t xml:space="preserve">, </w:t>
      </w:r>
      <w:r w:rsidRPr="002F0A09">
        <w:rPr>
          <w:rFonts w:cs="Arial"/>
          <w:i/>
          <w:iCs/>
          <w:lang w:bidi="ar-SA"/>
        </w:rPr>
        <w:t>International Trade Administration</w:t>
      </w:r>
      <w:r w:rsidRPr="002F0A09">
        <w:rPr>
          <w:rFonts w:cs="Arial"/>
          <w:lang w:bidi="ar-SA"/>
        </w:rPr>
        <w:t>. Available at: https://www.trade.gov.http.akamai-</w:t>
      </w:r>
      <w:r w:rsidRPr="002F0A09">
        <w:rPr>
          <w:rFonts w:cs="Arial"/>
          <w:lang w:bidi="ar-SA"/>
        </w:rPr>
        <w:lastRenderedPageBreak/>
        <w:t xml:space="preserve">trials.com/country-commercial-guides/mexico-automotive-industry (Accessed: 27 February 2026). </w:t>
      </w:r>
    </w:p>
    <w:p w14:paraId="513BC072" w14:textId="77777777" w:rsidR="00DA58CC" w:rsidRPr="002F0A09" w:rsidRDefault="00DA58CC" w:rsidP="002F0A09">
      <w:pPr>
        <w:ind w:left="720" w:hanging="720"/>
        <w:rPr>
          <w:rFonts w:cs="Arial"/>
          <w:lang w:bidi="ar-SA"/>
        </w:rPr>
      </w:pPr>
      <w:r w:rsidRPr="002F0A09">
        <w:rPr>
          <w:rFonts w:cs="Arial"/>
          <w:lang w:bidi="ar-SA"/>
        </w:rPr>
        <w:t xml:space="preserve">International Trade Administration (2026) </w:t>
      </w:r>
      <w:r w:rsidRPr="002F0A09">
        <w:rPr>
          <w:rFonts w:cs="Arial"/>
          <w:i/>
          <w:iCs/>
          <w:lang w:bidi="ar-SA"/>
        </w:rPr>
        <w:t>Mexico - market overview</w:t>
      </w:r>
      <w:r w:rsidRPr="002F0A09">
        <w:rPr>
          <w:rFonts w:cs="Arial"/>
          <w:lang w:bidi="ar-SA"/>
        </w:rPr>
        <w:t xml:space="preserve">, </w:t>
      </w:r>
      <w:r w:rsidRPr="002F0A09">
        <w:rPr>
          <w:rFonts w:cs="Arial"/>
          <w:i/>
          <w:iCs/>
          <w:lang w:bidi="ar-SA"/>
        </w:rPr>
        <w:t>International Trade Administration | Trade.gov</w:t>
      </w:r>
      <w:r w:rsidRPr="002F0A09">
        <w:rPr>
          <w:rFonts w:cs="Arial"/>
          <w:lang w:bidi="ar-SA"/>
        </w:rPr>
        <w:t xml:space="preserve">. Available at: https://www.trade.gov/knowledge-product/exporting-mexico-market-overview (Accessed: 27 February 2026). </w:t>
      </w:r>
    </w:p>
    <w:p w14:paraId="7C52B1B9" w14:textId="77777777" w:rsidR="00DA58CC" w:rsidRPr="002F0A09" w:rsidRDefault="00DA58CC" w:rsidP="002F0A09">
      <w:pPr>
        <w:ind w:left="720" w:hanging="720"/>
        <w:rPr>
          <w:rFonts w:cs="Arial"/>
          <w:lang w:bidi="ar-SA"/>
        </w:rPr>
      </w:pPr>
      <w:r w:rsidRPr="002F0A09">
        <w:rPr>
          <w:rFonts w:cs="Arial"/>
          <w:lang w:bidi="ar-SA"/>
        </w:rPr>
        <w:t xml:space="preserve">ITF (2015) </w:t>
      </w:r>
      <w:r w:rsidRPr="002F0A09">
        <w:rPr>
          <w:rFonts w:cs="Arial"/>
          <w:i/>
          <w:iCs/>
          <w:lang w:bidi="ar-SA"/>
        </w:rPr>
        <w:t>Logistics Development Strategies and Performance Measurement Roundtable Report</w:t>
      </w:r>
      <w:r w:rsidRPr="002F0A09">
        <w:rPr>
          <w:rFonts w:cs="Arial"/>
          <w:lang w:bidi="ar-SA"/>
        </w:rPr>
        <w:t xml:space="preserve">, </w:t>
      </w:r>
      <w:r w:rsidRPr="002F0A09">
        <w:rPr>
          <w:rFonts w:cs="Arial"/>
          <w:i/>
          <w:iCs/>
          <w:lang w:bidi="ar-SA"/>
        </w:rPr>
        <w:t xml:space="preserve">International Transport Forum (ITF) </w:t>
      </w:r>
      <w:r w:rsidRPr="002F0A09">
        <w:rPr>
          <w:rFonts w:cs="Arial"/>
          <w:lang w:bidi="ar-SA"/>
        </w:rPr>
        <w:t xml:space="preserve">. Available at: https://www.itf-oecd.org/sites/default/files/docs/logistics-strategy-performance-management.pdf (Accessed: 27 February 2026). </w:t>
      </w:r>
    </w:p>
    <w:p w14:paraId="0B78FE05" w14:textId="77777777" w:rsidR="00DA58CC" w:rsidRPr="002F0A09" w:rsidRDefault="00DA58CC" w:rsidP="002F0A09">
      <w:pPr>
        <w:ind w:left="720" w:hanging="720"/>
        <w:rPr>
          <w:rFonts w:cs="Arial"/>
          <w:lang w:bidi="ar-SA"/>
        </w:rPr>
      </w:pPr>
      <w:r w:rsidRPr="002F0A09">
        <w:rPr>
          <w:rFonts w:cs="Arial"/>
          <w:lang w:bidi="ar-SA"/>
        </w:rPr>
        <w:t xml:space="preserve">Lazard (2025) </w:t>
      </w:r>
      <w:r w:rsidRPr="002F0A09">
        <w:rPr>
          <w:rFonts w:cs="Arial"/>
          <w:i/>
          <w:iCs/>
          <w:lang w:bidi="ar-SA"/>
        </w:rPr>
        <w:t>Global Automotive Supplier Study 2025</w:t>
      </w:r>
      <w:r w:rsidRPr="002F0A09">
        <w:rPr>
          <w:rFonts w:cs="Arial"/>
          <w:lang w:bidi="ar-SA"/>
        </w:rPr>
        <w:t xml:space="preserve">, </w:t>
      </w:r>
      <w:r w:rsidRPr="002F0A09">
        <w:rPr>
          <w:rFonts w:cs="Arial"/>
          <w:i/>
          <w:iCs/>
          <w:lang w:bidi="ar-SA"/>
        </w:rPr>
        <w:t>https://www.lazard.com</w:t>
      </w:r>
      <w:r w:rsidRPr="002F0A09">
        <w:rPr>
          <w:rFonts w:cs="Arial"/>
          <w:lang w:bidi="ar-SA"/>
        </w:rPr>
        <w:t xml:space="preserve">. Available at: https://www.lazard.com/research-insights/global-automotive-supplier-study-2025/ (Accessed: 27 February 2026). </w:t>
      </w:r>
    </w:p>
    <w:p w14:paraId="3BB5CA60" w14:textId="77777777" w:rsidR="00DA58CC" w:rsidRPr="00DA58CC" w:rsidRDefault="00DA58CC" w:rsidP="00DA58CC">
      <w:pPr>
        <w:spacing w:before="100" w:beforeAutospacing="1" w:after="100" w:afterAutospacing="1"/>
        <w:ind w:left="567" w:hanging="567"/>
        <w:rPr>
          <w:rFonts w:eastAsia="Times New Roman" w:cs="Arial"/>
          <w:szCs w:val="24"/>
          <w:lang w:bidi="ar-SA"/>
        </w:rPr>
      </w:pPr>
      <w:proofErr w:type="spellStart"/>
      <w:r w:rsidRPr="00DA58CC">
        <w:rPr>
          <w:rFonts w:eastAsia="Times New Roman" w:cs="Arial"/>
          <w:szCs w:val="24"/>
          <w:lang w:bidi="ar-SA"/>
        </w:rPr>
        <w:t>MarkLines</w:t>
      </w:r>
      <w:proofErr w:type="spellEnd"/>
      <w:r w:rsidRPr="00DA58CC">
        <w:rPr>
          <w:rFonts w:eastAsia="Times New Roman" w:cs="Arial"/>
          <w:szCs w:val="24"/>
          <w:lang w:bidi="ar-SA"/>
        </w:rPr>
        <w:t xml:space="preserve"> (2025) </w:t>
      </w:r>
      <w:r w:rsidRPr="00DA58CC">
        <w:rPr>
          <w:rFonts w:eastAsia="Times New Roman" w:cs="Arial"/>
          <w:i/>
          <w:iCs/>
          <w:szCs w:val="24"/>
          <w:lang w:bidi="ar-SA"/>
        </w:rPr>
        <w:t>Mexico - automotive production in 2024 by OEM, Vehicle Type</w:t>
      </w:r>
      <w:r w:rsidRPr="00DA58CC">
        <w:rPr>
          <w:rFonts w:eastAsia="Times New Roman" w:cs="Arial"/>
          <w:szCs w:val="24"/>
          <w:lang w:bidi="ar-SA"/>
        </w:rPr>
        <w:t xml:space="preserve">, </w:t>
      </w:r>
      <w:proofErr w:type="spellStart"/>
      <w:r w:rsidRPr="00DA58CC">
        <w:rPr>
          <w:rFonts w:eastAsia="Times New Roman" w:cs="Arial"/>
          <w:i/>
          <w:iCs/>
          <w:szCs w:val="24"/>
          <w:lang w:bidi="ar-SA"/>
        </w:rPr>
        <w:t>MarkLines</w:t>
      </w:r>
      <w:proofErr w:type="spellEnd"/>
      <w:r w:rsidRPr="00DA58CC">
        <w:rPr>
          <w:rFonts w:eastAsia="Times New Roman" w:cs="Arial"/>
          <w:i/>
          <w:iCs/>
          <w:szCs w:val="24"/>
          <w:lang w:bidi="ar-SA"/>
        </w:rPr>
        <w:t xml:space="preserve"> Automotive Industry Portal</w:t>
      </w:r>
      <w:r w:rsidRPr="00DA58CC">
        <w:rPr>
          <w:rFonts w:eastAsia="Times New Roman" w:cs="Arial"/>
          <w:szCs w:val="24"/>
          <w:lang w:bidi="ar-SA"/>
        </w:rPr>
        <w:t xml:space="preserve">. Available at: https://www.marklines.com/en/statistics/flash_prod/automotive-production-in-mexico-by-month-2024? (Accessed: 19 March 2026). </w:t>
      </w:r>
    </w:p>
    <w:p w14:paraId="4821A66E" w14:textId="77777777" w:rsidR="00DA58CC" w:rsidRPr="002F0A09" w:rsidRDefault="00DA58CC" w:rsidP="002F0A09">
      <w:pPr>
        <w:ind w:left="720" w:hanging="720"/>
        <w:rPr>
          <w:rFonts w:cs="Arial"/>
          <w:lang w:bidi="ar-SA"/>
        </w:rPr>
      </w:pPr>
      <w:proofErr w:type="spellStart"/>
      <w:r w:rsidRPr="002F0A09">
        <w:rPr>
          <w:rFonts w:cs="Arial"/>
          <w:lang w:bidi="ar-SA"/>
        </w:rPr>
        <w:t>Metalsa</w:t>
      </w:r>
      <w:proofErr w:type="spellEnd"/>
      <w:r w:rsidRPr="002F0A09">
        <w:rPr>
          <w:rFonts w:cs="Arial"/>
          <w:lang w:bidi="ar-SA"/>
        </w:rPr>
        <w:t xml:space="preserve"> (2026) </w:t>
      </w:r>
      <w:r w:rsidRPr="002F0A09">
        <w:rPr>
          <w:rFonts w:cs="Arial"/>
          <w:i/>
          <w:iCs/>
          <w:lang w:bidi="ar-SA"/>
        </w:rPr>
        <w:t>Drive for a better tomorrow</w:t>
      </w:r>
      <w:r w:rsidRPr="002F0A09">
        <w:rPr>
          <w:rFonts w:cs="Arial"/>
          <w:lang w:bidi="ar-SA"/>
        </w:rPr>
        <w:t xml:space="preserve">, </w:t>
      </w:r>
      <w:proofErr w:type="spellStart"/>
      <w:r w:rsidRPr="002F0A09">
        <w:rPr>
          <w:rFonts w:cs="Arial"/>
          <w:i/>
          <w:iCs/>
          <w:lang w:bidi="ar-SA"/>
        </w:rPr>
        <w:t>Metalsa</w:t>
      </w:r>
      <w:proofErr w:type="spellEnd"/>
      <w:r w:rsidRPr="002F0A09">
        <w:rPr>
          <w:rFonts w:cs="Arial"/>
          <w:lang w:bidi="ar-SA"/>
        </w:rPr>
        <w:t xml:space="preserve">. Available at: https://metalsa.com/ (Accessed: 27 February 2026). </w:t>
      </w:r>
    </w:p>
    <w:p w14:paraId="4DFAB6D5" w14:textId="77777777" w:rsidR="00DA58CC" w:rsidRPr="002F0A09" w:rsidRDefault="00DA58CC" w:rsidP="002F0A09">
      <w:pPr>
        <w:ind w:left="720" w:hanging="720"/>
        <w:rPr>
          <w:rFonts w:cs="Arial"/>
          <w:lang w:bidi="ar-SA"/>
        </w:rPr>
      </w:pPr>
      <w:r w:rsidRPr="002F0A09">
        <w:rPr>
          <w:rFonts w:cs="Arial"/>
          <w:lang w:bidi="ar-SA"/>
        </w:rPr>
        <w:t xml:space="preserve">Nemak (2026) </w:t>
      </w:r>
      <w:r w:rsidRPr="002F0A09">
        <w:rPr>
          <w:rFonts w:cs="Arial"/>
          <w:i/>
          <w:iCs/>
          <w:lang w:bidi="ar-SA"/>
        </w:rPr>
        <w:t>Nemak</w:t>
      </w:r>
      <w:r w:rsidRPr="002F0A09">
        <w:rPr>
          <w:rFonts w:cs="Arial"/>
          <w:lang w:bidi="ar-SA"/>
        </w:rPr>
        <w:t xml:space="preserve">. Available at: https://nemak.com/about-us (Accessed: 27 February 2026). </w:t>
      </w:r>
    </w:p>
    <w:p w14:paraId="2644E04C" w14:textId="77777777" w:rsidR="00DA58CC" w:rsidRPr="002F0A09" w:rsidRDefault="00DA58CC" w:rsidP="002F0A09">
      <w:pPr>
        <w:ind w:left="720" w:hanging="720"/>
        <w:rPr>
          <w:rFonts w:cs="Arial"/>
          <w:lang w:bidi="ar-SA"/>
        </w:rPr>
      </w:pPr>
      <w:r w:rsidRPr="002F0A09">
        <w:rPr>
          <w:rFonts w:cs="Arial"/>
          <w:lang w:bidi="ar-SA"/>
        </w:rPr>
        <w:t xml:space="preserve">Nissan (2025) </w:t>
      </w:r>
      <w:r w:rsidRPr="002F0A09">
        <w:rPr>
          <w:rFonts w:cs="Arial"/>
          <w:i/>
          <w:iCs/>
          <w:lang w:bidi="ar-SA"/>
        </w:rPr>
        <w:t>Nissan to integrate vehicle production from Civac Plant to Aguascalientes plant in Mexico</w:t>
      </w:r>
      <w:r w:rsidRPr="002F0A09">
        <w:rPr>
          <w:rFonts w:cs="Arial"/>
          <w:lang w:bidi="ar-SA"/>
        </w:rPr>
        <w:t xml:space="preserve">, </w:t>
      </w:r>
      <w:r w:rsidRPr="002F0A09">
        <w:rPr>
          <w:rFonts w:cs="Arial"/>
          <w:i/>
          <w:iCs/>
          <w:lang w:bidi="ar-SA"/>
        </w:rPr>
        <w:t>Nissan</w:t>
      </w:r>
      <w:r w:rsidRPr="002F0A09">
        <w:rPr>
          <w:rFonts w:cs="Arial"/>
          <w:lang w:bidi="ar-SA"/>
        </w:rPr>
        <w:t xml:space="preserve">. Available at: https://global.nissannews.com/en/releases/250730-00-e (Accessed: 27 February 2026). </w:t>
      </w:r>
    </w:p>
    <w:p w14:paraId="3B5D920F" w14:textId="77777777" w:rsidR="00DA58CC" w:rsidRPr="002F0A09" w:rsidRDefault="00DA58CC" w:rsidP="002F0A09">
      <w:pPr>
        <w:ind w:left="720" w:hanging="720"/>
        <w:rPr>
          <w:rFonts w:cs="Arial"/>
          <w:lang w:bidi="ar-SA"/>
        </w:rPr>
      </w:pPr>
      <w:r w:rsidRPr="002F0A09">
        <w:rPr>
          <w:rFonts w:cs="Arial"/>
          <w:lang w:bidi="ar-SA"/>
        </w:rPr>
        <w:t xml:space="preserve">Office of the United States Trade Representative (2025) </w:t>
      </w:r>
      <w:r w:rsidRPr="002F0A09">
        <w:rPr>
          <w:rFonts w:cs="Arial"/>
          <w:i/>
          <w:iCs/>
          <w:lang w:bidi="ar-SA"/>
        </w:rPr>
        <w:t>USTR seeks public comment on the joint review of USMCA</w:t>
      </w:r>
      <w:r w:rsidRPr="002F0A09">
        <w:rPr>
          <w:rFonts w:cs="Arial"/>
          <w:lang w:bidi="ar-SA"/>
        </w:rPr>
        <w:t xml:space="preserve">, </w:t>
      </w:r>
      <w:r w:rsidRPr="002F0A09">
        <w:rPr>
          <w:rFonts w:cs="Arial"/>
          <w:i/>
          <w:iCs/>
          <w:lang w:bidi="ar-SA"/>
        </w:rPr>
        <w:t>United States Trade Representative</w:t>
      </w:r>
      <w:r w:rsidRPr="002F0A09">
        <w:rPr>
          <w:rFonts w:cs="Arial"/>
          <w:lang w:bidi="ar-SA"/>
        </w:rPr>
        <w:t>. Available at: https://ustr.gov/about/policy-offices/press-office/press-</w:t>
      </w:r>
      <w:r w:rsidRPr="002F0A09">
        <w:rPr>
          <w:rFonts w:cs="Arial"/>
          <w:lang w:bidi="ar-SA"/>
        </w:rPr>
        <w:lastRenderedPageBreak/>
        <w:t xml:space="preserve">releases/2025/september/ustr-seeks-public-comment-joint-review-usmca (Accessed: 27 February 2026). </w:t>
      </w:r>
    </w:p>
    <w:p w14:paraId="0FB92A1C" w14:textId="77777777" w:rsidR="00DA58CC" w:rsidRPr="00DA58CC" w:rsidRDefault="00DA58CC" w:rsidP="00DA58CC">
      <w:pPr>
        <w:spacing w:before="100" w:beforeAutospacing="1" w:after="100" w:afterAutospacing="1"/>
        <w:ind w:left="567" w:hanging="567"/>
        <w:rPr>
          <w:rFonts w:eastAsia="Times New Roman" w:cs="Arial"/>
          <w:szCs w:val="24"/>
          <w:lang w:bidi="ar-SA"/>
        </w:rPr>
      </w:pPr>
      <w:proofErr w:type="spellStart"/>
      <w:r w:rsidRPr="00DA58CC">
        <w:rPr>
          <w:rFonts w:eastAsia="Times New Roman" w:cs="Arial"/>
          <w:szCs w:val="24"/>
          <w:lang w:bidi="ar-SA"/>
        </w:rPr>
        <w:t>Prodensa</w:t>
      </w:r>
      <w:proofErr w:type="spellEnd"/>
      <w:r w:rsidRPr="00DA58CC">
        <w:rPr>
          <w:rFonts w:eastAsia="Times New Roman" w:cs="Arial"/>
          <w:szCs w:val="24"/>
          <w:lang w:bidi="ar-SA"/>
        </w:rPr>
        <w:t xml:space="preserve"> (2025) </w:t>
      </w:r>
      <w:r w:rsidRPr="00DA58CC">
        <w:rPr>
          <w:rFonts w:eastAsia="Times New Roman" w:cs="Arial"/>
          <w:i/>
          <w:iCs/>
          <w:szCs w:val="24"/>
          <w:lang w:bidi="ar-SA"/>
        </w:rPr>
        <w:t>Mexican automotive industry report [updated for 2025]</w:t>
      </w:r>
      <w:r w:rsidRPr="00DA58CC">
        <w:rPr>
          <w:rFonts w:eastAsia="Times New Roman" w:cs="Arial"/>
          <w:szCs w:val="24"/>
          <w:lang w:bidi="ar-SA"/>
        </w:rPr>
        <w:t xml:space="preserve">, </w:t>
      </w:r>
      <w:r w:rsidRPr="00DA58CC">
        <w:rPr>
          <w:rFonts w:eastAsia="Times New Roman" w:cs="Arial"/>
          <w:i/>
          <w:iCs/>
          <w:szCs w:val="24"/>
          <w:lang w:bidi="ar-SA"/>
        </w:rPr>
        <w:t>Home</w:t>
      </w:r>
      <w:r w:rsidRPr="00DA58CC">
        <w:rPr>
          <w:rFonts w:eastAsia="Times New Roman" w:cs="Arial"/>
          <w:szCs w:val="24"/>
          <w:lang w:bidi="ar-SA"/>
        </w:rPr>
        <w:t xml:space="preserve">. Available at: https://www.prodensa.com/insights/blog/mexican-automotive-industry-report-2024 (Accessed: 19 March 2026). </w:t>
      </w:r>
    </w:p>
    <w:p w14:paraId="4D9133C9" w14:textId="77777777" w:rsidR="00DA58CC" w:rsidRPr="00DA58CC" w:rsidRDefault="00DA58CC" w:rsidP="00DA58CC">
      <w:pPr>
        <w:spacing w:before="100" w:beforeAutospacing="1" w:after="100" w:afterAutospacing="1"/>
        <w:ind w:left="567" w:hanging="567"/>
        <w:rPr>
          <w:rFonts w:eastAsia="Times New Roman" w:cs="Arial"/>
          <w:szCs w:val="24"/>
          <w:lang w:bidi="ar-SA"/>
        </w:rPr>
      </w:pPr>
      <w:proofErr w:type="spellStart"/>
      <w:r w:rsidRPr="00DA58CC">
        <w:rPr>
          <w:rFonts w:eastAsia="Times New Roman" w:cs="Arial"/>
          <w:szCs w:val="24"/>
          <w:lang w:bidi="ar-SA"/>
        </w:rPr>
        <w:t>Promexico</w:t>
      </w:r>
      <w:proofErr w:type="spellEnd"/>
      <w:r w:rsidRPr="00DA58CC">
        <w:rPr>
          <w:rFonts w:eastAsia="Times New Roman" w:cs="Arial"/>
          <w:szCs w:val="24"/>
          <w:lang w:bidi="ar-SA"/>
        </w:rPr>
        <w:t xml:space="preserve"> Industry (2025) </w:t>
      </w:r>
      <w:r w:rsidRPr="00DA58CC">
        <w:rPr>
          <w:rFonts w:eastAsia="Times New Roman" w:cs="Arial"/>
          <w:i/>
          <w:iCs/>
          <w:szCs w:val="24"/>
          <w:lang w:bidi="ar-SA"/>
        </w:rPr>
        <w:t>How many vehicles did Mexico Export in 2024 and where were they sent?</w:t>
      </w:r>
      <w:r w:rsidRPr="00DA58CC">
        <w:rPr>
          <w:rFonts w:eastAsia="Times New Roman" w:cs="Arial"/>
          <w:szCs w:val="24"/>
          <w:lang w:bidi="ar-SA"/>
        </w:rPr>
        <w:t xml:space="preserve">, </w:t>
      </w:r>
      <w:proofErr w:type="spellStart"/>
      <w:r w:rsidRPr="00DA58CC">
        <w:rPr>
          <w:rFonts w:eastAsia="Times New Roman" w:cs="Arial"/>
          <w:i/>
          <w:iCs/>
          <w:szCs w:val="24"/>
          <w:lang w:bidi="ar-SA"/>
        </w:rPr>
        <w:t>Promexico</w:t>
      </w:r>
      <w:proofErr w:type="spellEnd"/>
      <w:r w:rsidRPr="00DA58CC">
        <w:rPr>
          <w:rFonts w:eastAsia="Times New Roman" w:cs="Arial"/>
          <w:i/>
          <w:iCs/>
          <w:szCs w:val="24"/>
          <w:lang w:bidi="ar-SA"/>
        </w:rPr>
        <w:t xml:space="preserve"> Industry</w:t>
      </w:r>
      <w:r w:rsidRPr="00DA58CC">
        <w:rPr>
          <w:rFonts w:eastAsia="Times New Roman" w:cs="Arial"/>
          <w:szCs w:val="24"/>
          <w:lang w:bidi="ar-SA"/>
        </w:rPr>
        <w:t xml:space="preserve">. Available at: https://www.promexicoindustry.com/en/article/how-many-vehicles-did-mexico-export-in-2024-and-where-were-they-sent (Accessed: 19 March 2026). </w:t>
      </w:r>
    </w:p>
    <w:p w14:paraId="567C8806" w14:textId="77777777" w:rsidR="00DA58CC" w:rsidRPr="002F0A09" w:rsidRDefault="00DA58CC" w:rsidP="002F0A09">
      <w:pPr>
        <w:ind w:left="720" w:hanging="720"/>
        <w:rPr>
          <w:rFonts w:cs="Arial"/>
          <w:lang w:bidi="ar-SA"/>
        </w:rPr>
      </w:pPr>
      <w:proofErr w:type="spellStart"/>
      <w:r w:rsidRPr="002F0A09">
        <w:rPr>
          <w:rFonts w:cs="Arial"/>
          <w:lang w:bidi="ar-SA"/>
        </w:rPr>
        <w:t>Rassini</w:t>
      </w:r>
      <w:proofErr w:type="spellEnd"/>
      <w:r w:rsidRPr="002F0A09">
        <w:rPr>
          <w:rFonts w:cs="Arial"/>
          <w:lang w:bidi="ar-SA"/>
        </w:rPr>
        <w:t xml:space="preserve"> (2026) </w:t>
      </w:r>
      <w:proofErr w:type="spellStart"/>
      <w:r w:rsidRPr="002F0A09">
        <w:rPr>
          <w:rFonts w:cs="Arial"/>
          <w:i/>
          <w:iCs/>
          <w:lang w:bidi="ar-SA"/>
        </w:rPr>
        <w:t>Rassini</w:t>
      </w:r>
      <w:proofErr w:type="spellEnd"/>
      <w:r w:rsidRPr="002F0A09">
        <w:rPr>
          <w:rFonts w:cs="Arial"/>
          <w:lang w:bidi="ar-SA"/>
        </w:rPr>
        <w:t xml:space="preserve">. Available at: https://www.rassini.com/en/ (Accessed: 27 February 2026). </w:t>
      </w:r>
    </w:p>
    <w:p w14:paraId="027B3E80" w14:textId="77777777" w:rsidR="00DA58CC" w:rsidRPr="002F0A09" w:rsidRDefault="00DA58CC" w:rsidP="002F0A09">
      <w:pPr>
        <w:ind w:left="720" w:hanging="720"/>
        <w:rPr>
          <w:rFonts w:cs="Arial"/>
          <w:lang w:bidi="ar-SA"/>
        </w:rPr>
      </w:pPr>
      <w:r w:rsidRPr="002F0A09">
        <w:rPr>
          <w:rFonts w:cs="Arial"/>
          <w:lang w:bidi="ar-SA"/>
        </w:rPr>
        <w:t xml:space="preserve">Reuters (2025) </w:t>
      </w:r>
      <w:r w:rsidRPr="002F0A09">
        <w:rPr>
          <w:rFonts w:cs="Arial"/>
          <w:i/>
          <w:iCs/>
          <w:lang w:bidi="ar-SA"/>
        </w:rPr>
        <w:t>Bank of Mexico, flagging new taxes and tariffs, signals support for rate cut pause | Reuters</w:t>
      </w:r>
      <w:r w:rsidRPr="002F0A09">
        <w:rPr>
          <w:rFonts w:cs="Arial"/>
          <w:lang w:bidi="ar-SA"/>
        </w:rPr>
        <w:t xml:space="preserve">, </w:t>
      </w:r>
      <w:r w:rsidRPr="002F0A09">
        <w:rPr>
          <w:rFonts w:cs="Arial"/>
          <w:i/>
          <w:iCs/>
          <w:lang w:bidi="ar-SA"/>
        </w:rPr>
        <w:t>Reuters</w:t>
      </w:r>
      <w:r w:rsidRPr="002F0A09">
        <w:rPr>
          <w:rFonts w:cs="Arial"/>
          <w:lang w:bidi="ar-SA"/>
        </w:rPr>
        <w:t xml:space="preserve">. Available at: https://www.reuters.com/world/americas/bank-mexico-flagging-new-taxes-tariffs-signals-support-rate-cut-pause-2026-01-08/ (Accessed: 27 February 2026). </w:t>
      </w:r>
    </w:p>
    <w:p w14:paraId="4D1972B1" w14:textId="77777777" w:rsidR="00DA58CC" w:rsidRPr="002F0A09" w:rsidRDefault="00DA58CC" w:rsidP="002F0A09">
      <w:pPr>
        <w:ind w:left="720" w:hanging="720"/>
        <w:rPr>
          <w:rFonts w:cs="Arial"/>
          <w:lang w:bidi="ar-SA"/>
        </w:rPr>
      </w:pPr>
      <w:r w:rsidRPr="002F0A09">
        <w:rPr>
          <w:rFonts w:cs="Arial"/>
          <w:lang w:bidi="ar-SA"/>
        </w:rPr>
        <w:t xml:space="preserve">Reuters (2026a) </w:t>
      </w:r>
      <w:r w:rsidRPr="002F0A09">
        <w:rPr>
          <w:rFonts w:cs="Arial"/>
          <w:i/>
          <w:iCs/>
          <w:lang w:bidi="ar-SA"/>
        </w:rPr>
        <w:t>Automakers hunt high and low for chips as supply crisis worsens | Reuters</w:t>
      </w:r>
      <w:r w:rsidRPr="002F0A09">
        <w:rPr>
          <w:rFonts w:cs="Arial"/>
          <w:lang w:bidi="ar-SA"/>
        </w:rPr>
        <w:t xml:space="preserve">, </w:t>
      </w:r>
      <w:r w:rsidRPr="002F0A09">
        <w:rPr>
          <w:rFonts w:cs="Arial"/>
          <w:i/>
          <w:iCs/>
          <w:lang w:bidi="ar-SA"/>
        </w:rPr>
        <w:t>Reuters</w:t>
      </w:r>
      <w:r w:rsidRPr="002F0A09">
        <w:rPr>
          <w:rFonts w:cs="Arial"/>
          <w:lang w:bidi="ar-SA"/>
        </w:rPr>
        <w:t xml:space="preserve">. Available at: https://www.reuters.com/business/autos-transportation/nissan-mercedes-sound-alarm-over-chip-supply-crisis-2025-10-29/ (Accessed: 27 February 2026). </w:t>
      </w:r>
    </w:p>
    <w:p w14:paraId="6451C100" w14:textId="77777777" w:rsidR="00DA58CC" w:rsidRPr="002F0A09" w:rsidRDefault="00DA58CC" w:rsidP="002F0A09">
      <w:pPr>
        <w:ind w:left="720" w:hanging="720"/>
        <w:rPr>
          <w:rFonts w:cs="Arial"/>
          <w:lang w:bidi="ar-SA"/>
        </w:rPr>
      </w:pPr>
      <w:r w:rsidRPr="002F0A09">
        <w:rPr>
          <w:rFonts w:cs="Arial"/>
          <w:lang w:bidi="ar-SA"/>
        </w:rPr>
        <w:t xml:space="preserve">Reuters (2026b) </w:t>
      </w:r>
      <w:r w:rsidRPr="002F0A09">
        <w:rPr>
          <w:rFonts w:cs="Arial"/>
          <w:i/>
          <w:iCs/>
          <w:lang w:bidi="ar-SA"/>
        </w:rPr>
        <w:t>Exclusive: Seeking Mexico Foothold, China’s BYD and Geely bid to buy Car Plant | Reuters</w:t>
      </w:r>
      <w:r w:rsidRPr="002F0A09">
        <w:rPr>
          <w:rFonts w:cs="Arial"/>
          <w:lang w:bidi="ar-SA"/>
        </w:rPr>
        <w:t xml:space="preserve">, </w:t>
      </w:r>
      <w:r w:rsidRPr="002F0A09">
        <w:rPr>
          <w:rFonts w:cs="Arial"/>
          <w:i/>
          <w:iCs/>
          <w:lang w:bidi="ar-SA"/>
        </w:rPr>
        <w:t>Reuters</w:t>
      </w:r>
      <w:r w:rsidRPr="002F0A09">
        <w:rPr>
          <w:rFonts w:cs="Arial"/>
          <w:lang w:bidi="ar-SA"/>
        </w:rPr>
        <w:t xml:space="preserve">. Available at: https://www.reuters.com/business/autos-transportation/seeking-mexico-foothold-chinas-byd-geely-bid-buy-car-plant-2026-02-12/ (Accessed: 27 February 2026). </w:t>
      </w:r>
    </w:p>
    <w:p w14:paraId="2F65FF88" w14:textId="77777777" w:rsidR="00DA58CC" w:rsidRPr="002F0A09" w:rsidRDefault="00DA58CC" w:rsidP="002F0A09">
      <w:pPr>
        <w:ind w:left="720" w:hanging="720"/>
        <w:rPr>
          <w:rFonts w:cs="Arial"/>
          <w:lang w:bidi="ar-SA"/>
        </w:rPr>
      </w:pPr>
      <w:r w:rsidRPr="002F0A09">
        <w:rPr>
          <w:rFonts w:cs="Arial"/>
          <w:lang w:bidi="ar-SA"/>
        </w:rPr>
        <w:t xml:space="preserve">Reuters (2026c) </w:t>
      </w:r>
      <w:r w:rsidRPr="002F0A09">
        <w:rPr>
          <w:rFonts w:cs="Arial"/>
          <w:i/>
          <w:iCs/>
          <w:lang w:bidi="ar-SA"/>
        </w:rPr>
        <w:t xml:space="preserve">Mexico auto industry warns of complex outlook ahead of USMCA Review | </w:t>
      </w:r>
      <w:proofErr w:type="spellStart"/>
      <w:r w:rsidRPr="002F0A09">
        <w:rPr>
          <w:rFonts w:cs="Arial"/>
          <w:i/>
          <w:iCs/>
          <w:lang w:bidi="ar-SA"/>
        </w:rPr>
        <w:t>reuters</w:t>
      </w:r>
      <w:proofErr w:type="spellEnd"/>
      <w:r w:rsidRPr="002F0A09">
        <w:rPr>
          <w:rFonts w:cs="Arial"/>
          <w:lang w:bidi="ar-SA"/>
        </w:rPr>
        <w:t xml:space="preserve">, </w:t>
      </w:r>
      <w:r w:rsidRPr="002F0A09">
        <w:rPr>
          <w:rFonts w:cs="Arial"/>
          <w:i/>
          <w:iCs/>
          <w:lang w:bidi="ar-SA"/>
        </w:rPr>
        <w:t>Reuters</w:t>
      </w:r>
      <w:r w:rsidRPr="002F0A09">
        <w:rPr>
          <w:rFonts w:cs="Arial"/>
          <w:lang w:bidi="ar-SA"/>
        </w:rPr>
        <w:t xml:space="preserve">. Available at: https://www.reuters.com/business/autos-transportation/mexico-auto-industry-warns-complex-outlook-ahead-usmca-review-2025-10-02/ (Accessed: 27 February 2026). </w:t>
      </w:r>
    </w:p>
    <w:p w14:paraId="7708D8C6" w14:textId="77777777" w:rsidR="00DA58CC" w:rsidRPr="002F0A09" w:rsidRDefault="00DA58CC" w:rsidP="002F0A09">
      <w:pPr>
        <w:ind w:left="720" w:hanging="720"/>
        <w:rPr>
          <w:rFonts w:cs="Arial"/>
          <w:lang w:bidi="ar-SA"/>
        </w:rPr>
      </w:pPr>
      <w:r w:rsidRPr="002F0A09">
        <w:rPr>
          <w:rFonts w:cs="Arial"/>
          <w:lang w:bidi="ar-SA"/>
        </w:rPr>
        <w:lastRenderedPageBreak/>
        <w:t xml:space="preserve">Reuters (2026d) </w:t>
      </w:r>
      <w:r w:rsidRPr="002F0A09">
        <w:rPr>
          <w:rFonts w:cs="Arial"/>
          <w:i/>
          <w:iCs/>
          <w:lang w:bidi="ar-SA"/>
        </w:rPr>
        <w:t>Nissan to stop production at Civac Plant in Mexico by March 2026</w:t>
      </w:r>
      <w:r w:rsidRPr="002F0A09">
        <w:rPr>
          <w:rFonts w:cs="Arial"/>
          <w:lang w:bidi="ar-SA"/>
        </w:rPr>
        <w:t xml:space="preserve">, </w:t>
      </w:r>
      <w:r w:rsidRPr="002F0A09">
        <w:rPr>
          <w:rFonts w:cs="Arial"/>
          <w:i/>
          <w:iCs/>
          <w:lang w:bidi="ar-SA"/>
        </w:rPr>
        <w:t>Reuters</w:t>
      </w:r>
      <w:r w:rsidRPr="002F0A09">
        <w:rPr>
          <w:rFonts w:cs="Arial"/>
          <w:lang w:bidi="ar-SA"/>
        </w:rPr>
        <w:t xml:space="preserve">. Available at: https://www.reuters.com/business/autos-transportation/nissan-stop-production-civac-plant-mexico-by-march-2026-2025-07-30/ (Accessed: 27 February 2026). </w:t>
      </w:r>
    </w:p>
    <w:p w14:paraId="29711200" w14:textId="77777777" w:rsidR="00DA58CC" w:rsidRPr="002F0A09" w:rsidRDefault="00DA58CC" w:rsidP="002F0A09">
      <w:pPr>
        <w:ind w:left="720" w:hanging="720"/>
        <w:rPr>
          <w:rFonts w:cs="Arial"/>
          <w:lang w:bidi="ar-SA"/>
        </w:rPr>
      </w:pPr>
      <w:proofErr w:type="spellStart"/>
      <w:r w:rsidRPr="002F0A09">
        <w:rPr>
          <w:rFonts w:cs="Arial"/>
          <w:lang w:bidi="ar-SA"/>
        </w:rPr>
        <w:t>Tourliere</w:t>
      </w:r>
      <w:proofErr w:type="spellEnd"/>
      <w:r w:rsidRPr="002F0A09">
        <w:rPr>
          <w:rFonts w:cs="Arial"/>
          <w:lang w:bidi="ar-SA"/>
        </w:rPr>
        <w:t xml:space="preserve">, M. (2025) </w:t>
      </w:r>
      <w:r w:rsidRPr="002F0A09">
        <w:rPr>
          <w:rFonts w:cs="Arial"/>
          <w:i/>
          <w:iCs/>
          <w:lang w:bidi="ar-SA"/>
        </w:rPr>
        <w:t>Trump’s tariff threat rattles Mexico’s automotive industry</w:t>
      </w:r>
      <w:r w:rsidRPr="002F0A09">
        <w:rPr>
          <w:rFonts w:cs="Arial"/>
          <w:lang w:bidi="ar-SA"/>
        </w:rPr>
        <w:t xml:space="preserve">, </w:t>
      </w:r>
      <w:r w:rsidRPr="002F0A09">
        <w:rPr>
          <w:rFonts w:cs="Arial"/>
          <w:i/>
          <w:iCs/>
          <w:lang w:bidi="ar-SA"/>
        </w:rPr>
        <w:t>Le Monde.fr</w:t>
      </w:r>
      <w:r w:rsidRPr="002F0A09">
        <w:rPr>
          <w:rFonts w:cs="Arial"/>
          <w:lang w:bidi="ar-SA"/>
        </w:rPr>
        <w:t xml:space="preserve">. Available at: https://www.lemonde.fr/en/economy/article/2025/04/02/trump-s-tariff-threat-rattles-mexico-s-automotive-industry_6739752_19.html (Accessed: 27 February 2026). </w:t>
      </w:r>
    </w:p>
    <w:p w14:paraId="71CC5D64" w14:textId="77777777" w:rsidR="00DA58CC" w:rsidRPr="002F0A09" w:rsidRDefault="00DA58CC" w:rsidP="002F0A09">
      <w:pPr>
        <w:ind w:left="720" w:hanging="720"/>
        <w:rPr>
          <w:rFonts w:cs="Arial"/>
          <w:lang w:bidi="ar-SA"/>
        </w:rPr>
      </w:pPr>
      <w:r w:rsidRPr="002F0A09">
        <w:rPr>
          <w:rFonts w:cs="Arial"/>
          <w:lang w:bidi="ar-SA"/>
        </w:rPr>
        <w:t xml:space="preserve">U.S. Department of State (2025) </w:t>
      </w:r>
      <w:r w:rsidRPr="002F0A09">
        <w:rPr>
          <w:rFonts w:cs="Arial"/>
          <w:i/>
          <w:iCs/>
          <w:lang w:bidi="ar-SA"/>
        </w:rPr>
        <w:t>2025 Investment Climate Statements: Mexico</w:t>
      </w:r>
      <w:r w:rsidRPr="002F0A09">
        <w:rPr>
          <w:rFonts w:cs="Arial"/>
          <w:lang w:bidi="ar-SA"/>
        </w:rPr>
        <w:t xml:space="preserve">, </w:t>
      </w:r>
      <w:r w:rsidRPr="002F0A09">
        <w:rPr>
          <w:rFonts w:cs="Arial"/>
          <w:i/>
          <w:iCs/>
          <w:lang w:bidi="ar-SA"/>
        </w:rPr>
        <w:t>U.S. Department of State</w:t>
      </w:r>
      <w:r w:rsidRPr="002F0A09">
        <w:rPr>
          <w:rFonts w:cs="Arial"/>
          <w:lang w:bidi="ar-SA"/>
        </w:rPr>
        <w:t xml:space="preserve">. Available at: https://www.state.gov/reports/2025-investment-climate-statements/mexico (Accessed: 27 February 2026). </w:t>
      </w:r>
    </w:p>
    <w:p w14:paraId="4827CBE6" w14:textId="77777777" w:rsidR="00DA58CC" w:rsidRPr="002F0A09" w:rsidRDefault="00DA58CC" w:rsidP="002F0A09">
      <w:pPr>
        <w:ind w:left="720" w:hanging="720"/>
        <w:rPr>
          <w:rFonts w:cs="Arial"/>
          <w:lang w:bidi="ar-SA"/>
        </w:rPr>
      </w:pPr>
      <w:r w:rsidRPr="002F0A09">
        <w:rPr>
          <w:rFonts w:cs="Arial"/>
          <w:lang w:bidi="ar-SA"/>
        </w:rPr>
        <w:t xml:space="preserve">United States Trade Representative (2026) </w:t>
      </w:r>
      <w:r w:rsidRPr="002F0A09">
        <w:rPr>
          <w:rFonts w:cs="Arial"/>
          <w:i/>
          <w:iCs/>
          <w:lang w:bidi="ar-SA"/>
        </w:rPr>
        <w:t>Public hearing on the first joint review of the USMCA</w:t>
      </w:r>
      <w:r w:rsidRPr="002F0A09">
        <w:rPr>
          <w:rFonts w:cs="Arial"/>
          <w:lang w:bidi="ar-SA"/>
        </w:rPr>
        <w:t xml:space="preserve">, </w:t>
      </w:r>
      <w:r w:rsidRPr="002F0A09">
        <w:rPr>
          <w:rFonts w:cs="Arial"/>
          <w:i/>
          <w:iCs/>
          <w:lang w:bidi="ar-SA"/>
        </w:rPr>
        <w:t>United States Trade Representative</w:t>
      </w:r>
      <w:r w:rsidRPr="002F0A09">
        <w:rPr>
          <w:rFonts w:cs="Arial"/>
          <w:lang w:bidi="ar-SA"/>
        </w:rPr>
        <w:t xml:space="preserve">. Available at: https://ustr.gov/about/policy-offices/press-office/press-releases/2025/december/public-hearing-first-joint-review-usmca (Accessed: 27 February 2026). </w:t>
      </w:r>
    </w:p>
    <w:p w14:paraId="39C61916" w14:textId="77777777" w:rsidR="00DA58CC" w:rsidRPr="002F0A09" w:rsidRDefault="00DA58CC" w:rsidP="002F0A09">
      <w:pPr>
        <w:ind w:left="720" w:hanging="720"/>
        <w:rPr>
          <w:rFonts w:cs="Arial"/>
          <w:lang w:bidi="ar-SA"/>
        </w:rPr>
      </w:pPr>
      <w:r w:rsidRPr="002F0A09">
        <w:rPr>
          <w:rFonts w:cs="Arial"/>
          <w:lang w:bidi="ar-SA"/>
        </w:rPr>
        <w:t xml:space="preserve">World Bank (2025) </w:t>
      </w:r>
      <w:r w:rsidRPr="002F0A09">
        <w:rPr>
          <w:rFonts w:cs="Arial"/>
          <w:i/>
          <w:iCs/>
          <w:lang w:bidi="ar-SA"/>
        </w:rPr>
        <w:t>Mexico </w:t>
      </w:r>
      <w:r w:rsidRPr="002F0A09">
        <w:rPr>
          <w:rFonts w:cs="Arial"/>
          <w:lang w:bidi="ar-SA"/>
        </w:rPr>
        <w:t xml:space="preserve">, </w:t>
      </w:r>
      <w:r w:rsidRPr="002F0A09">
        <w:rPr>
          <w:rFonts w:cs="Arial"/>
          <w:i/>
          <w:iCs/>
          <w:lang w:bidi="ar-SA"/>
        </w:rPr>
        <w:t>World Bank Open Data</w:t>
      </w:r>
      <w:r w:rsidRPr="002F0A09">
        <w:rPr>
          <w:rFonts w:cs="Arial"/>
          <w:lang w:bidi="ar-SA"/>
        </w:rPr>
        <w:t xml:space="preserve">. Available at: https://data.worldbank.org/country/mexico (Accessed: 27 February 2026). </w:t>
      </w:r>
    </w:p>
    <w:p w14:paraId="7FBD355C" w14:textId="77777777" w:rsidR="00DA58CC" w:rsidRPr="002F0A09" w:rsidRDefault="00DA58CC" w:rsidP="002F0A09">
      <w:pPr>
        <w:ind w:left="720" w:hanging="720"/>
        <w:rPr>
          <w:rFonts w:cs="Arial"/>
          <w:lang w:bidi="ar-SA"/>
        </w:rPr>
      </w:pPr>
      <w:r w:rsidRPr="002F0A09">
        <w:rPr>
          <w:rFonts w:cs="Arial"/>
          <w:lang w:bidi="ar-SA"/>
        </w:rPr>
        <w:t xml:space="preserve">World Bank (2026) </w:t>
      </w:r>
      <w:r w:rsidRPr="002F0A09">
        <w:rPr>
          <w:rFonts w:cs="Arial"/>
          <w:i/>
          <w:iCs/>
          <w:lang w:bidi="ar-SA"/>
        </w:rPr>
        <w:t xml:space="preserve">Foreign direct investment, net inflows (BOP, current US$) - </w:t>
      </w:r>
      <w:proofErr w:type="spellStart"/>
      <w:r w:rsidRPr="002F0A09">
        <w:rPr>
          <w:rFonts w:cs="Arial"/>
          <w:i/>
          <w:iCs/>
          <w:lang w:bidi="ar-SA"/>
        </w:rPr>
        <w:t>mexico</w:t>
      </w:r>
      <w:proofErr w:type="spellEnd"/>
      <w:r w:rsidRPr="002F0A09">
        <w:rPr>
          <w:rFonts w:cs="Arial"/>
          <w:lang w:bidi="ar-SA"/>
        </w:rPr>
        <w:t xml:space="preserve">, </w:t>
      </w:r>
      <w:r w:rsidRPr="002F0A09">
        <w:rPr>
          <w:rFonts w:cs="Arial"/>
          <w:i/>
          <w:iCs/>
          <w:lang w:bidi="ar-SA"/>
        </w:rPr>
        <w:t>World Bank Open Data</w:t>
      </w:r>
      <w:r w:rsidRPr="002F0A09">
        <w:rPr>
          <w:rFonts w:cs="Arial"/>
          <w:lang w:bidi="ar-SA"/>
        </w:rPr>
        <w:t xml:space="preserve">. Available at: https://data.worldbank.org/indicator/BX.KLT.DINV.CD.WD?locations=MX (Accessed: 27 February 2026). </w:t>
      </w:r>
    </w:p>
    <w:p w14:paraId="3C91A629" w14:textId="77777777" w:rsidR="004C6819" w:rsidRPr="002F0A09" w:rsidRDefault="004C6819" w:rsidP="002F0A09">
      <w:pPr>
        <w:rPr>
          <w:rFonts w:cs="Arial"/>
        </w:rPr>
      </w:pPr>
    </w:p>
    <w:sectPr w:rsidR="004C6819" w:rsidRPr="002F0A09" w:rsidSect="006B2B18">
      <w:footerReference w:type="default" r:id="rId2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B3460" w14:textId="77777777" w:rsidR="00B9689E" w:rsidRDefault="00B9689E" w:rsidP="006B2B18">
      <w:pPr>
        <w:spacing w:after="0" w:line="240" w:lineRule="auto"/>
      </w:pPr>
      <w:r>
        <w:separator/>
      </w:r>
    </w:p>
  </w:endnote>
  <w:endnote w:type="continuationSeparator" w:id="0">
    <w:p w14:paraId="68E85B82" w14:textId="77777777" w:rsidR="00B9689E" w:rsidRDefault="00B9689E" w:rsidP="006B2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8684391"/>
      <w:docPartObj>
        <w:docPartGallery w:val="Page Numbers (Bottom of Page)"/>
        <w:docPartUnique/>
      </w:docPartObj>
    </w:sdtPr>
    <w:sdtEndPr/>
    <w:sdtContent>
      <w:p w14:paraId="70B8879F" w14:textId="0712ABE8" w:rsidR="006B2B18" w:rsidRDefault="006B2B18">
        <w:pPr>
          <w:pStyle w:val="Footer"/>
          <w:jc w:val="right"/>
        </w:pPr>
        <w:r>
          <w:t xml:space="preserve">Page | </w:t>
        </w:r>
        <w:r>
          <w:fldChar w:fldCharType="begin"/>
        </w:r>
        <w:r>
          <w:instrText xml:space="preserve"> PAGE   \* MERGEFORMAT </w:instrText>
        </w:r>
        <w:r>
          <w:fldChar w:fldCharType="separate"/>
        </w:r>
        <w:r w:rsidR="005B7685">
          <w:rPr>
            <w:noProof/>
          </w:rPr>
          <w:t>30</w:t>
        </w:r>
        <w:r>
          <w:rPr>
            <w:noProof/>
          </w:rPr>
          <w:fldChar w:fldCharType="end"/>
        </w:r>
        <w:r>
          <w:t xml:space="preserve"> </w:t>
        </w:r>
      </w:p>
    </w:sdtContent>
  </w:sdt>
  <w:p w14:paraId="7237DDEA" w14:textId="77777777" w:rsidR="006B2B18" w:rsidRDefault="006B2B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14C92" w14:textId="77777777" w:rsidR="00B9689E" w:rsidRDefault="00B9689E" w:rsidP="006B2B18">
      <w:pPr>
        <w:spacing w:after="0" w:line="240" w:lineRule="auto"/>
      </w:pPr>
      <w:r>
        <w:separator/>
      </w:r>
    </w:p>
  </w:footnote>
  <w:footnote w:type="continuationSeparator" w:id="0">
    <w:p w14:paraId="6B65714F" w14:textId="77777777" w:rsidR="00B9689E" w:rsidRDefault="00B9689E" w:rsidP="006B2B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D2070"/>
    <w:multiLevelType w:val="hybridMultilevel"/>
    <w:tmpl w:val="502C4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0668DD"/>
    <w:multiLevelType w:val="hybridMultilevel"/>
    <w:tmpl w:val="34CE2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210598"/>
    <w:multiLevelType w:val="multilevel"/>
    <w:tmpl w:val="78189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97744A"/>
    <w:multiLevelType w:val="multilevel"/>
    <w:tmpl w:val="20DCE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C3134C"/>
    <w:multiLevelType w:val="hybridMultilevel"/>
    <w:tmpl w:val="F40E7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3D1762"/>
    <w:multiLevelType w:val="hybridMultilevel"/>
    <w:tmpl w:val="A1663E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8C1381"/>
    <w:multiLevelType w:val="hybridMultilevel"/>
    <w:tmpl w:val="358E0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B2A5F74"/>
    <w:multiLevelType w:val="multilevel"/>
    <w:tmpl w:val="54A6B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
  </w:num>
  <w:num w:numId="3">
    <w:abstractNumId w:val="3"/>
  </w:num>
  <w:num w:numId="4">
    <w:abstractNumId w:val="4"/>
  </w:num>
  <w:num w:numId="5">
    <w:abstractNumId w:val="1"/>
  </w:num>
  <w:num w:numId="6">
    <w:abstractNumId w:val="5"/>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M0MbAwMzQ1MrS0NDNW0lEKTi0uzszPAykwrAUAHtbOICwAAAA="/>
  </w:docVars>
  <w:rsids>
    <w:rsidRoot w:val="00F66F10"/>
    <w:rsid w:val="000A7F97"/>
    <w:rsid w:val="000C6780"/>
    <w:rsid w:val="00115078"/>
    <w:rsid w:val="001249DC"/>
    <w:rsid w:val="001D399F"/>
    <w:rsid w:val="00237234"/>
    <w:rsid w:val="002B3EAD"/>
    <w:rsid w:val="002F0A09"/>
    <w:rsid w:val="00310D13"/>
    <w:rsid w:val="00325144"/>
    <w:rsid w:val="003A56B9"/>
    <w:rsid w:val="003B4253"/>
    <w:rsid w:val="003C587B"/>
    <w:rsid w:val="004C6819"/>
    <w:rsid w:val="004E328E"/>
    <w:rsid w:val="004F4078"/>
    <w:rsid w:val="00592ACD"/>
    <w:rsid w:val="00593717"/>
    <w:rsid w:val="005B7685"/>
    <w:rsid w:val="005F55D2"/>
    <w:rsid w:val="0065121E"/>
    <w:rsid w:val="00656069"/>
    <w:rsid w:val="00694D8E"/>
    <w:rsid w:val="006B2B18"/>
    <w:rsid w:val="006F0F24"/>
    <w:rsid w:val="00700F92"/>
    <w:rsid w:val="00756792"/>
    <w:rsid w:val="0078548F"/>
    <w:rsid w:val="0079159B"/>
    <w:rsid w:val="007A09BC"/>
    <w:rsid w:val="00873258"/>
    <w:rsid w:val="009773CA"/>
    <w:rsid w:val="00A07625"/>
    <w:rsid w:val="00A202DA"/>
    <w:rsid w:val="00A25103"/>
    <w:rsid w:val="00A417F4"/>
    <w:rsid w:val="00AD6C08"/>
    <w:rsid w:val="00B17C06"/>
    <w:rsid w:val="00B9689E"/>
    <w:rsid w:val="00C14115"/>
    <w:rsid w:val="00CB48E5"/>
    <w:rsid w:val="00CB691A"/>
    <w:rsid w:val="00D03140"/>
    <w:rsid w:val="00D55594"/>
    <w:rsid w:val="00D700E1"/>
    <w:rsid w:val="00DA58CC"/>
    <w:rsid w:val="00E20F35"/>
    <w:rsid w:val="00E941CE"/>
    <w:rsid w:val="00F10176"/>
    <w:rsid w:val="00F66F10"/>
    <w:rsid w:val="00FF7B9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78F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819"/>
    <w:pPr>
      <w:spacing w:line="360" w:lineRule="auto"/>
      <w:jc w:val="both"/>
    </w:pPr>
    <w:rPr>
      <w:rFonts w:ascii="Arial" w:hAnsi="Arial" w:cs="Vrinda"/>
      <w:sz w:val="24"/>
    </w:rPr>
  </w:style>
  <w:style w:type="paragraph" w:styleId="Heading1">
    <w:name w:val="heading 1"/>
    <w:basedOn w:val="Normal"/>
    <w:next w:val="Normal"/>
    <w:link w:val="Heading1Char"/>
    <w:uiPriority w:val="9"/>
    <w:qFormat/>
    <w:rsid w:val="004C6819"/>
    <w:pPr>
      <w:keepNext/>
      <w:keepLines/>
      <w:spacing w:before="600" w:after="120"/>
      <w:jc w:val="center"/>
      <w:outlineLvl w:val="0"/>
    </w:pPr>
    <w:rPr>
      <w:rFonts w:eastAsiaTheme="majorEastAsia" w:cstheme="majorBidi"/>
      <w:b/>
      <w:bCs/>
      <w:color w:val="17365D" w:themeColor="text2" w:themeShade="BF"/>
      <w:sz w:val="32"/>
      <w:szCs w:val="35"/>
    </w:rPr>
  </w:style>
  <w:style w:type="paragraph" w:styleId="Heading2">
    <w:name w:val="heading 2"/>
    <w:basedOn w:val="Normal"/>
    <w:link w:val="Heading2Char"/>
    <w:uiPriority w:val="9"/>
    <w:qFormat/>
    <w:rsid w:val="004C6819"/>
    <w:pPr>
      <w:spacing w:before="100" w:beforeAutospacing="1" w:after="100" w:afterAutospacing="1" w:line="240" w:lineRule="auto"/>
      <w:outlineLvl w:val="1"/>
    </w:pPr>
    <w:rPr>
      <w:rFonts w:eastAsia="Times New Roman" w:cs="Times New Roman"/>
      <w:b/>
      <w:bCs/>
      <w:sz w:val="28"/>
      <w:szCs w:val="36"/>
      <w:lang w:bidi="ar-SA"/>
    </w:rPr>
  </w:style>
  <w:style w:type="paragraph" w:styleId="Heading3">
    <w:name w:val="heading 3"/>
    <w:basedOn w:val="Normal"/>
    <w:link w:val="Heading3Char"/>
    <w:uiPriority w:val="9"/>
    <w:qFormat/>
    <w:rsid w:val="00F10176"/>
    <w:pPr>
      <w:spacing w:before="220" w:beforeAutospacing="1" w:after="220" w:afterAutospacing="1" w:line="240" w:lineRule="auto"/>
      <w:outlineLvl w:val="2"/>
    </w:pPr>
    <w:rPr>
      <w:rFonts w:eastAsia="Times New Roman" w:cs="Times New Roman"/>
      <w:b/>
      <w:bCs/>
      <w:i/>
      <w:sz w:val="26"/>
      <w:szCs w:val="27"/>
      <w:lang w:bidi="ar-SA"/>
    </w:rPr>
  </w:style>
  <w:style w:type="paragraph" w:styleId="Heading4">
    <w:name w:val="heading 4"/>
    <w:basedOn w:val="Normal"/>
    <w:next w:val="Normal"/>
    <w:link w:val="Heading4Char"/>
    <w:uiPriority w:val="9"/>
    <w:semiHidden/>
    <w:unhideWhenUsed/>
    <w:qFormat/>
    <w:rsid w:val="00F66F1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F10"/>
    <w:pPr>
      <w:ind w:left="720"/>
      <w:contextualSpacing/>
    </w:pPr>
  </w:style>
  <w:style w:type="paragraph" w:styleId="NormalWeb">
    <w:name w:val="Normal (Web)"/>
    <w:basedOn w:val="Normal"/>
    <w:uiPriority w:val="99"/>
    <w:semiHidden/>
    <w:unhideWhenUsed/>
    <w:rsid w:val="00F66F10"/>
    <w:pPr>
      <w:spacing w:before="100" w:beforeAutospacing="1" w:after="100" w:afterAutospacing="1" w:line="240" w:lineRule="auto"/>
    </w:pPr>
    <w:rPr>
      <w:rFonts w:ascii="Times New Roman" w:eastAsia="Times New Roman" w:hAnsi="Times New Roman" w:cs="Times New Roman"/>
      <w:szCs w:val="24"/>
      <w:lang w:bidi="ar-SA"/>
    </w:rPr>
  </w:style>
  <w:style w:type="character" w:styleId="Strong">
    <w:name w:val="Strong"/>
    <w:basedOn w:val="DefaultParagraphFont"/>
    <w:uiPriority w:val="22"/>
    <w:qFormat/>
    <w:rsid w:val="00F66F10"/>
    <w:rPr>
      <w:b/>
      <w:bCs/>
    </w:rPr>
  </w:style>
  <w:style w:type="character" w:customStyle="1" w:styleId="Heading2Char">
    <w:name w:val="Heading 2 Char"/>
    <w:basedOn w:val="DefaultParagraphFont"/>
    <w:link w:val="Heading2"/>
    <w:uiPriority w:val="9"/>
    <w:rsid w:val="004C6819"/>
    <w:rPr>
      <w:rFonts w:ascii="Arial" w:eastAsia="Times New Roman" w:hAnsi="Arial" w:cs="Times New Roman"/>
      <w:b/>
      <w:bCs/>
      <w:sz w:val="28"/>
      <w:szCs w:val="36"/>
      <w:lang w:bidi="ar-SA"/>
    </w:rPr>
  </w:style>
  <w:style w:type="character" w:customStyle="1" w:styleId="Heading3Char">
    <w:name w:val="Heading 3 Char"/>
    <w:basedOn w:val="DefaultParagraphFont"/>
    <w:link w:val="Heading3"/>
    <w:uiPriority w:val="9"/>
    <w:rsid w:val="00F10176"/>
    <w:rPr>
      <w:rFonts w:ascii="Arial" w:eastAsia="Times New Roman" w:hAnsi="Arial" w:cs="Times New Roman"/>
      <w:b/>
      <w:bCs/>
      <w:i/>
      <w:sz w:val="26"/>
      <w:szCs w:val="27"/>
      <w:lang w:bidi="ar-SA"/>
    </w:rPr>
  </w:style>
  <w:style w:type="character" w:customStyle="1" w:styleId="Heading4Char">
    <w:name w:val="Heading 4 Char"/>
    <w:basedOn w:val="DefaultParagraphFont"/>
    <w:link w:val="Heading4"/>
    <w:uiPriority w:val="9"/>
    <w:semiHidden/>
    <w:rsid w:val="00F66F10"/>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4C6819"/>
    <w:rPr>
      <w:rFonts w:ascii="Arial" w:eastAsiaTheme="majorEastAsia" w:hAnsi="Arial" w:cstheme="majorBidi"/>
      <w:b/>
      <w:bCs/>
      <w:color w:val="17365D" w:themeColor="text2" w:themeShade="BF"/>
      <w:sz w:val="32"/>
      <w:szCs w:val="35"/>
    </w:rPr>
  </w:style>
  <w:style w:type="paragraph" w:styleId="BalloonText">
    <w:name w:val="Balloon Text"/>
    <w:basedOn w:val="Normal"/>
    <w:link w:val="BalloonTextChar"/>
    <w:uiPriority w:val="99"/>
    <w:semiHidden/>
    <w:unhideWhenUsed/>
    <w:rsid w:val="0078548F"/>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78548F"/>
    <w:rPr>
      <w:rFonts w:ascii="Tahoma" w:hAnsi="Tahoma" w:cs="Tahoma"/>
      <w:sz w:val="16"/>
      <w:szCs w:val="20"/>
    </w:rPr>
  </w:style>
  <w:style w:type="paragraph" w:styleId="Caption">
    <w:name w:val="caption"/>
    <w:basedOn w:val="Normal"/>
    <w:next w:val="Normal"/>
    <w:uiPriority w:val="35"/>
    <w:unhideWhenUsed/>
    <w:qFormat/>
    <w:rsid w:val="0078548F"/>
    <w:pPr>
      <w:spacing w:line="240" w:lineRule="auto"/>
    </w:pPr>
    <w:rPr>
      <w:b/>
      <w:bCs/>
      <w:color w:val="4F81BD" w:themeColor="accent1"/>
      <w:sz w:val="18"/>
      <w:szCs w:val="22"/>
    </w:rPr>
  </w:style>
  <w:style w:type="paragraph" w:styleId="Header">
    <w:name w:val="header"/>
    <w:basedOn w:val="Normal"/>
    <w:link w:val="HeaderChar"/>
    <w:uiPriority w:val="99"/>
    <w:unhideWhenUsed/>
    <w:rsid w:val="006B2B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B18"/>
    <w:rPr>
      <w:rFonts w:ascii="Arial" w:hAnsi="Arial" w:cs="Vrinda"/>
      <w:sz w:val="24"/>
    </w:rPr>
  </w:style>
  <w:style w:type="paragraph" w:styleId="Footer">
    <w:name w:val="footer"/>
    <w:basedOn w:val="Normal"/>
    <w:link w:val="FooterChar"/>
    <w:uiPriority w:val="99"/>
    <w:unhideWhenUsed/>
    <w:rsid w:val="006B2B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2B18"/>
    <w:rPr>
      <w:rFonts w:ascii="Arial" w:hAnsi="Arial" w:cs="Vrinda"/>
      <w:sz w:val="24"/>
    </w:rPr>
  </w:style>
  <w:style w:type="paragraph" w:styleId="TOCHeading">
    <w:name w:val="TOC Heading"/>
    <w:basedOn w:val="Heading1"/>
    <w:next w:val="Normal"/>
    <w:uiPriority w:val="39"/>
    <w:semiHidden/>
    <w:unhideWhenUsed/>
    <w:qFormat/>
    <w:rsid w:val="001249DC"/>
    <w:pPr>
      <w:spacing w:before="480" w:after="0" w:line="276" w:lineRule="auto"/>
      <w:jc w:val="left"/>
      <w:outlineLvl w:val="9"/>
    </w:pPr>
    <w:rPr>
      <w:rFonts w:asciiTheme="majorHAnsi" w:hAnsiTheme="majorHAnsi"/>
      <w:color w:val="365F91" w:themeColor="accent1" w:themeShade="BF"/>
      <w:sz w:val="28"/>
      <w:szCs w:val="28"/>
      <w:lang w:eastAsia="ja-JP" w:bidi="ar-SA"/>
    </w:rPr>
  </w:style>
  <w:style w:type="paragraph" w:styleId="TOC1">
    <w:name w:val="toc 1"/>
    <w:basedOn w:val="Normal"/>
    <w:next w:val="Normal"/>
    <w:autoRedefine/>
    <w:uiPriority w:val="39"/>
    <w:unhideWhenUsed/>
    <w:rsid w:val="001249DC"/>
    <w:pPr>
      <w:spacing w:after="100"/>
    </w:pPr>
  </w:style>
  <w:style w:type="paragraph" w:styleId="TOC2">
    <w:name w:val="toc 2"/>
    <w:basedOn w:val="Normal"/>
    <w:next w:val="Normal"/>
    <w:autoRedefine/>
    <w:uiPriority w:val="39"/>
    <w:unhideWhenUsed/>
    <w:rsid w:val="001249DC"/>
    <w:pPr>
      <w:spacing w:after="100"/>
      <w:ind w:left="240"/>
    </w:pPr>
  </w:style>
  <w:style w:type="paragraph" w:styleId="TOC3">
    <w:name w:val="toc 3"/>
    <w:basedOn w:val="Normal"/>
    <w:next w:val="Normal"/>
    <w:autoRedefine/>
    <w:uiPriority w:val="39"/>
    <w:unhideWhenUsed/>
    <w:rsid w:val="001249DC"/>
    <w:pPr>
      <w:spacing w:after="100"/>
      <w:ind w:left="480"/>
    </w:pPr>
  </w:style>
  <w:style w:type="character" w:styleId="Hyperlink">
    <w:name w:val="Hyperlink"/>
    <w:basedOn w:val="DefaultParagraphFont"/>
    <w:uiPriority w:val="99"/>
    <w:unhideWhenUsed/>
    <w:rsid w:val="001249DC"/>
    <w:rPr>
      <w:color w:val="0000FF" w:themeColor="hyperlink"/>
      <w:u w:val="single"/>
    </w:rPr>
  </w:style>
  <w:style w:type="paragraph" w:styleId="TableofFigures">
    <w:name w:val="table of figures"/>
    <w:basedOn w:val="Normal"/>
    <w:next w:val="Normal"/>
    <w:uiPriority w:val="99"/>
    <w:unhideWhenUsed/>
    <w:rsid w:val="00873258"/>
    <w:pPr>
      <w:spacing w:after="0"/>
    </w:pPr>
  </w:style>
  <w:style w:type="table" w:styleId="TableGrid">
    <w:name w:val="Table Grid"/>
    <w:basedOn w:val="TableNormal"/>
    <w:uiPriority w:val="59"/>
    <w:rsid w:val="009773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90169">
      <w:bodyDiv w:val="1"/>
      <w:marLeft w:val="0"/>
      <w:marRight w:val="0"/>
      <w:marTop w:val="0"/>
      <w:marBottom w:val="0"/>
      <w:divBdr>
        <w:top w:val="none" w:sz="0" w:space="0" w:color="auto"/>
        <w:left w:val="none" w:sz="0" w:space="0" w:color="auto"/>
        <w:bottom w:val="none" w:sz="0" w:space="0" w:color="auto"/>
        <w:right w:val="none" w:sz="0" w:space="0" w:color="auto"/>
      </w:divBdr>
    </w:div>
    <w:div w:id="247622191">
      <w:bodyDiv w:val="1"/>
      <w:marLeft w:val="0"/>
      <w:marRight w:val="0"/>
      <w:marTop w:val="0"/>
      <w:marBottom w:val="0"/>
      <w:divBdr>
        <w:top w:val="none" w:sz="0" w:space="0" w:color="auto"/>
        <w:left w:val="none" w:sz="0" w:space="0" w:color="auto"/>
        <w:bottom w:val="none" w:sz="0" w:space="0" w:color="auto"/>
        <w:right w:val="none" w:sz="0" w:space="0" w:color="auto"/>
      </w:divBdr>
      <w:divsChild>
        <w:div w:id="613946247">
          <w:marLeft w:val="0"/>
          <w:marRight w:val="0"/>
          <w:marTop w:val="120"/>
          <w:marBottom w:val="120"/>
          <w:divBdr>
            <w:top w:val="none" w:sz="0" w:space="0" w:color="auto"/>
            <w:left w:val="none" w:sz="0" w:space="0" w:color="auto"/>
            <w:bottom w:val="none" w:sz="0" w:space="0" w:color="auto"/>
            <w:right w:val="none" w:sz="0" w:space="0" w:color="auto"/>
          </w:divBdr>
        </w:div>
        <w:div w:id="532153163">
          <w:marLeft w:val="0"/>
          <w:marRight w:val="0"/>
          <w:marTop w:val="120"/>
          <w:marBottom w:val="120"/>
          <w:divBdr>
            <w:top w:val="none" w:sz="0" w:space="0" w:color="auto"/>
            <w:left w:val="none" w:sz="0" w:space="0" w:color="auto"/>
            <w:bottom w:val="none" w:sz="0" w:space="0" w:color="auto"/>
            <w:right w:val="none" w:sz="0" w:space="0" w:color="auto"/>
          </w:divBdr>
        </w:div>
        <w:div w:id="1316950566">
          <w:marLeft w:val="0"/>
          <w:marRight w:val="0"/>
          <w:marTop w:val="120"/>
          <w:marBottom w:val="120"/>
          <w:divBdr>
            <w:top w:val="none" w:sz="0" w:space="0" w:color="auto"/>
            <w:left w:val="none" w:sz="0" w:space="0" w:color="auto"/>
            <w:bottom w:val="none" w:sz="0" w:space="0" w:color="auto"/>
            <w:right w:val="none" w:sz="0" w:space="0" w:color="auto"/>
          </w:divBdr>
        </w:div>
        <w:div w:id="1005128188">
          <w:marLeft w:val="0"/>
          <w:marRight w:val="0"/>
          <w:marTop w:val="120"/>
          <w:marBottom w:val="120"/>
          <w:divBdr>
            <w:top w:val="none" w:sz="0" w:space="0" w:color="auto"/>
            <w:left w:val="none" w:sz="0" w:space="0" w:color="auto"/>
            <w:bottom w:val="none" w:sz="0" w:space="0" w:color="auto"/>
            <w:right w:val="none" w:sz="0" w:space="0" w:color="auto"/>
          </w:divBdr>
        </w:div>
        <w:div w:id="321005074">
          <w:marLeft w:val="0"/>
          <w:marRight w:val="0"/>
          <w:marTop w:val="120"/>
          <w:marBottom w:val="120"/>
          <w:divBdr>
            <w:top w:val="none" w:sz="0" w:space="0" w:color="auto"/>
            <w:left w:val="none" w:sz="0" w:space="0" w:color="auto"/>
            <w:bottom w:val="none" w:sz="0" w:space="0" w:color="auto"/>
            <w:right w:val="none" w:sz="0" w:space="0" w:color="auto"/>
          </w:divBdr>
        </w:div>
        <w:div w:id="403797550">
          <w:marLeft w:val="0"/>
          <w:marRight w:val="0"/>
          <w:marTop w:val="120"/>
          <w:marBottom w:val="120"/>
          <w:divBdr>
            <w:top w:val="none" w:sz="0" w:space="0" w:color="auto"/>
            <w:left w:val="none" w:sz="0" w:space="0" w:color="auto"/>
            <w:bottom w:val="none" w:sz="0" w:space="0" w:color="auto"/>
            <w:right w:val="none" w:sz="0" w:space="0" w:color="auto"/>
          </w:divBdr>
        </w:div>
        <w:div w:id="1526671037">
          <w:marLeft w:val="0"/>
          <w:marRight w:val="0"/>
          <w:marTop w:val="120"/>
          <w:marBottom w:val="120"/>
          <w:divBdr>
            <w:top w:val="none" w:sz="0" w:space="0" w:color="auto"/>
            <w:left w:val="none" w:sz="0" w:space="0" w:color="auto"/>
            <w:bottom w:val="none" w:sz="0" w:space="0" w:color="auto"/>
            <w:right w:val="none" w:sz="0" w:space="0" w:color="auto"/>
          </w:divBdr>
        </w:div>
        <w:div w:id="1188913425">
          <w:marLeft w:val="0"/>
          <w:marRight w:val="0"/>
          <w:marTop w:val="120"/>
          <w:marBottom w:val="120"/>
          <w:divBdr>
            <w:top w:val="none" w:sz="0" w:space="0" w:color="auto"/>
            <w:left w:val="none" w:sz="0" w:space="0" w:color="auto"/>
            <w:bottom w:val="none" w:sz="0" w:space="0" w:color="auto"/>
            <w:right w:val="none" w:sz="0" w:space="0" w:color="auto"/>
          </w:divBdr>
        </w:div>
        <w:div w:id="2115128268">
          <w:marLeft w:val="0"/>
          <w:marRight w:val="0"/>
          <w:marTop w:val="120"/>
          <w:marBottom w:val="120"/>
          <w:divBdr>
            <w:top w:val="none" w:sz="0" w:space="0" w:color="auto"/>
            <w:left w:val="none" w:sz="0" w:space="0" w:color="auto"/>
            <w:bottom w:val="none" w:sz="0" w:space="0" w:color="auto"/>
            <w:right w:val="none" w:sz="0" w:space="0" w:color="auto"/>
          </w:divBdr>
        </w:div>
        <w:div w:id="1830054887">
          <w:marLeft w:val="0"/>
          <w:marRight w:val="0"/>
          <w:marTop w:val="120"/>
          <w:marBottom w:val="120"/>
          <w:divBdr>
            <w:top w:val="none" w:sz="0" w:space="0" w:color="auto"/>
            <w:left w:val="none" w:sz="0" w:space="0" w:color="auto"/>
            <w:bottom w:val="none" w:sz="0" w:space="0" w:color="auto"/>
            <w:right w:val="none" w:sz="0" w:space="0" w:color="auto"/>
          </w:divBdr>
        </w:div>
        <w:div w:id="536045911">
          <w:marLeft w:val="0"/>
          <w:marRight w:val="0"/>
          <w:marTop w:val="120"/>
          <w:marBottom w:val="120"/>
          <w:divBdr>
            <w:top w:val="none" w:sz="0" w:space="0" w:color="auto"/>
            <w:left w:val="none" w:sz="0" w:space="0" w:color="auto"/>
            <w:bottom w:val="none" w:sz="0" w:space="0" w:color="auto"/>
            <w:right w:val="none" w:sz="0" w:space="0" w:color="auto"/>
          </w:divBdr>
        </w:div>
        <w:div w:id="1505632951">
          <w:marLeft w:val="0"/>
          <w:marRight w:val="0"/>
          <w:marTop w:val="120"/>
          <w:marBottom w:val="120"/>
          <w:divBdr>
            <w:top w:val="none" w:sz="0" w:space="0" w:color="auto"/>
            <w:left w:val="none" w:sz="0" w:space="0" w:color="auto"/>
            <w:bottom w:val="none" w:sz="0" w:space="0" w:color="auto"/>
            <w:right w:val="none" w:sz="0" w:space="0" w:color="auto"/>
          </w:divBdr>
        </w:div>
        <w:div w:id="1633561327">
          <w:marLeft w:val="0"/>
          <w:marRight w:val="0"/>
          <w:marTop w:val="120"/>
          <w:marBottom w:val="120"/>
          <w:divBdr>
            <w:top w:val="none" w:sz="0" w:space="0" w:color="auto"/>
            <w:left w:val="none" w:sz="0" w:space="0" w:color="auto"/>
            <w:bottom w:val="none" w:sz="0" w:space="0" w:color="auto"/>
            <w:right w:val="none" w:sz="0" w:space="0" w:color="auto"/>
          </w:divBdr>
        </w:div>
        <w:div w:id="606931735">
          <w:marLeft w:val="0"/>
          <w:marRight w:val="0"/>
          <w:marTop w:val="120"/>
          <w:marBottom w:val="120"/>
          <w:divBdr>
            <w:top w:val="none" w:sz="0" w:space="0" w:color="auto"/>
            <w:left w:val="none" w:sz="0" w:space="0" w:color="auto"/>
            <w:bottom w:val="none" w:sz="0" w:space="0" w:color="auto"/>
            <w:right w:val="none" w:sz="0" w:space="0" w:color="auto"/>
          </w:divBdr>
        </w:div>
        <w:div w:id="239291942">
          <w:marLeft w:val="0"/>
          <w:marRight w:val="0"/>
          <w:marTop w:val="120"/>
          <w:marBottom w:val="120"/>
          <w:divBdr>
            <w:top w:val="none" w:sz="0" w:space="0" w:color="auto"/>
            <w:left w:val="none" w:sz="0" w:space="0" w:color="auto"/>
            <w:bottom w:val="none" w:sz="0" w:space="0" w:color="auto"/>
            <w:right w:val="none" w:sz="0" w:space="0" w:color="auto"/>
          </w:divBdr>
        </w:div>
        <w:div w:id="453599109">
          <w:marLeft w:val="0"/>
          <w:marRight w:val="0"/>
          <w:marTop w:val="120"/>
          <w:marBottom w:val="120"/>
          <w:divBdr>
            <w:top w:val="none" w:sz="0" w:space="0" w:color="auto"/>
            <w:left w:val="none" w:sz="0" w:space="0" w:color="auto"/>
            <w:bottom w:val="none" w:sz="0" w:space="0" w:color="auto"/>
            <w:right w:val="none" w:sz="0" w:space="0" w:color="auto"/>
          </w:divBdr>
        </w:div>
        <w:div w:id="472450687">
          <w:marLeft w:val="0"/>
          <w:marRight w:val="0"/>
          <w:marTop w:val="120"/>
          <w:marBottom w:val="120"/>
          <w:divBdr>
            <w:top w:val="none" w:sz="0" w:space="0" w:color="auto"/>
            <w:left w:val="none" w:sz="0" w:space="0" w:color="auto"/>
            <w:bottom w:val="none" w:sz="0" w:space="0" w:color="auto"/>
            <w:right w:val="none" w:sz="0" w:space="0" w:color="auto"/>
          </w:divBdr>
        </w:div>
        <w:div w:id="1100954298">
          <w:marLeft w:val="0"/>
          <w:marRight w:val="0"/>
          <w:marTop w:val="120"/>
          <w:marBottom w:val="120"/>
          <w:divBdr>
            <w:top w:val="none" w:sz="0" w:space="0" w:color="auto"/>
            <w:left w:val="none" w:sz="0" w:space="0" w:color="auto"/>
            <w:bottom w:val="none" w:sz="0" w:space="0" w:color="auto"/>
            <w:right w:val="none" w:sz="0" w:space="0" w:color="auto"/>
          </w:divBdr>
        </w:div>
        <w:div w:id="30612547">
          <w:marLeft w:val="0"/>
          <w:marRight w:val="0"/>
          <w:marTop w:val="120"/>
          <w:marBottom w:val="120"/>
          <w:divBdr>
            <w:top w:val="none" w:sz="0" w:space="0" w:color="auto"/>
            <w:left w:val="none" w:sz="0" w:space="0" w:color="auto"/>
            <w:bottom w:val="none" w:sz="0" w:space="0" w:color="auto"/>
            <w:right w:val="none" w:sz="0" w:space="0" w:color="auto"/>
          </w:divBdr>
        </w:div>
        <w:div w:id="1293974282">
          <w:marLeft w:val="0"/>
          <w:marRight w:val="0"/>
          <w:marTop w:val="120"/>
          <w:marBottom w:val="120"/>
          <w:divBdr>
            <w:top w:val="none" w:sz="0" w:space="0" w:color="auto"/>
            <w:left w:val="none" w:sz="0" w:space="0" w:color="auto"/>
            <w:bottom w:val="none" w:sz="0" w:space="0" w:color="auto"/>
            <w:right w:val="none" w:sz="0" w:space="0" w:color="auto"/>
          </w:divBdr>
        </w:div>
        <w:div w:id="1804762191">
          <w:marLeft w:val="0"/>
          <w:marRight w:val="0"/>
          <w:marTop w:val="120"/>
          <w:marBottom w:val="120"/>
          <w:divBdr>
            <w:top w:val="none" w:sz="0" w:space="0" w:color="auto"/>
            <w:left w:val="none" w:sz="0" w:space="0" w:color="auto"/>
            <w:bottom w:val="none" w:sz="0" w:space="0" w:color="auto"/>
            <w:right w:val="none" w:sz="0" w:space="0" w:color="auto"/>
          </w:divBdr>
        </w:div>
        <w:div w:id="354309558">
          <w:marLeft w:val="0"/>
          <w:marRight w:val="0"/>
          <w:marTop w:val="120"/>
          <w:marBottom w:val="120"/>
          <w:divBdr>
            <w:top w:val="none" w:sz="0" w:space="0" w:color="auto"/>
            <w:left w:val="none" w:sz="0" w:space="0" w:color="auto"/>
            <w:bottom w:val="none" w:sz="0" w:space="0" w:color="auto"/>
            <w:right w:val="none" w:sz="0" w:space="0" w:color="auto"/>
          </w:divBdr>
        </w:div>
        <w:div w:id="1113400298">
          <w:marLeft w:val="0"/>
          <w:marRight w:val="0"/>
          <w:marTop w:val="120"/>
          <w:marBottom w:val="120"/>
          <w:divBdr>
            <w:top w:val="none" w:sz="0" w:space="0" w:color="auto"/>
            <w:left w:val="none" w:sz="0" w:space="0" w:color="auto"/>
            <w:bottom w:val="none" w:sz="0" w:space="0" w:color="auto"/>
            <w:right w:val="none" w:sz="0" w:space="0" w:color="auto"/>
          </w:divBdr>
        </w:div>
        <w:div w:id="1365789055">
          <w:marLeft w:val="0"/>
          <w:marRight w:val="0"/>
          <w:marTop w:val="120"/>
          <w:marBottom w:val="120"/>
          <w:divBdr>
            <w:top w:val="none" w:sz="0" w:space="0" w:color="auto"/>
            <w:left w:val="none" w:sz="0" w:space="0" w:color="auto"/>
            <w:bottom w:val="none" w:sz="0" w:space="0" w:color="auto"/>
            <w:right w:val="none" w:sz="0" w:space="0" w:color="auto"/>
          </w:divBdr>
        </w:div>
        <w:div w:id="543097509">
          <w:marLeft w:val="0"/>
          <w:marRight w:val="0"/>
          <w:marTop w:val="120"/>
          <w:marBottom w:val="120"/>
          <w:divBdr>
            <w:top w:val="none" w:sz="0" w:space="0" w:color="auto"/>
            <w:left w:val="none" w:sz="0" w:space="0" w:color="auto"/>
            <w:bottom w:val="none" w:sz="0" w:space="0" w:color="auto"/>
            <w:right w:val="none" w:sz="0" w:space="0" w:color="auto"/>
          </w:divBdr>
        </w:div>
        <w:div w:id="223177000">
          <w:marLeft w:val="0"/>
          <w:marRight w:val="0"/>
          <w:marTop w:val="120"/>
          <w:marBottom w:val="120"/>
          <w:divBdr>
            <w:top w:val="none" w:sz="0" w:space="0" w:color="auto"/>
            <w:left w:val="none" w:sz="0" w:space="0" w:color="auto"/>
            <w:bottom w:val="none" w:sz="0" w:space="0" w:color="auto"/>
            <w:right w:val="none" w:sz="0" w:space="0" w:color="auto"/>
          </w:divBdr>
        </w:div>
        <w:div w:id="1270623651">
          <w:marLeft w:val="0"/>
          <w:marRight w:val="0"/>
          <w:marTop w:val="120"/>
          <w:marBottom w:val="120"/>
          <w:divBdr>
            <w:top w:val="none" w:sz="0" w:space="0" w:color="auto"/>
            <w:left w:val="none" w:sz="0" w:space="0" w:color="auto"/>
            <w:bottom w:val="none" w:sz="0" w:space="0" w:color="auto"/>
            <w:right w:val="none" w:sz="0" w:space="0" w:color="auto"/>
          </w:divBdr>
        </w:div>
        <w:div w:id="1830945239">
          <w:marLeft w:val="0"/>
          <w:marRight w:val="0"/>
          <w:marTop w:val="120"/>
          <w:marBottom w:val="120"/>
          <w:divBdr>
            <w:top w:val="none" w:sz="0" w:space="0" w:color="auto"/>
            <w:left w:val="none" w:sz="0" w:space="0" w:color="auto"/>
            <w:bottom w:val="none" w:sz="0" w:space="0" w:color="auto"/>
            <w:right w:val="none" w:sz="0" w:space="0" w:color="auto"/>
          </w:divBdr>
        </w:div>
        <w:div w:id="251205918">
          <w:marLeft w:val="0"/>
          <w:marRight w:val="0"/>
          <w:marTop w:val="120"/>
          <w:marBottom w:val="120"/>
          <w:divBdr>
            <w:top w:val="none" w:sz="0" w:space="0" w:color="auto"/>
            <w:left w:val="none" w:sz="0" w:space="0" w:color="auto"/>
            <w:bottom w:val="none" w:sz="0" w:space="0" w:color="auto"/>
            <w:right w:val="none" w:sz="0" w:space="0" w:color="auto"/>
          </w:divBdr>
        </w:div>
        <w:div w:id="711032315">
          <w:marLeft w:val="0"/>
          <w:marRight w:val="0"/>
          <w:marTop w:val="120"/>
          <w:marBottom w:val="120"/>
          <w:divBdr>
            <w:top w:val="none" w:sz="0" w:space="0" w:color="auto"/>
            <w:left w:val="none" w:sz="0" w:space="0" w:color="auto"/>
            <w:bottom w:val="none" w:sz="0" w:space="0" w:color="auto"/>
            <w:right w:val="none" w:sz="0" w:space="0" w:color="auto"/>
          </w:divBdr>
        </w:div>
        <w:div w:id="774128728">
          <w:marLeft w:val="0"/>
          <w:marRight w:val="0"/>
          <w:marTop w:val="120"/>
          <w:marBottom w:val="120"/>
          <w:divBdr>
            <w:top w:val="none" w:sz="0" w:space="0" w:color="auto"/>
            <w:left w:val="none" w:sz="0" w:space="0" w:color="auto"/>
            <w:bottom w:val="none" w:sz="0" w:space="0" w:color="auto"/>
            <w:right w:val="none" w:sz="0" w:space="0" w:color="auto"/>
          </w:divBdr>
        </w:div>
      </w:divsChild>
    </w:div>
    <w:div w:id="293758306">
      <w:bodyDiv w:val="1"/>
      <w:marLeft w:val="0"/>
      <w:marRight w:val="0"/>
      <w:marTop w:val="0"/>
      <w:marBottom w:val="0"/>
      <w:divBdr>
        <w:top w:val="none" w:sz="0" w:space="0" w:color="auto"/>
        <w:left w:val="none" w:sz="0" w:space="0" w:color="auto"/>
        <w:bottom w:val="none" w:sz="0" w:space="0" w:color="auto"/>
        <w:right w:val="none" w:sz="0" w:space="0" w:color="auto"/>
      </w:divBdr>
      <w:divsChild>
        <w:div w:id="1013610546">
          <w:marLeft w:val="0"/>
          <w:marRight w:val="0"/>
          <w:marTop w:val="120"/>
          <w:marBottom w:val="120"/>
          <w:divBdr>
            <w:top w:val="none" w:sz="0" w:space="0" w:color="auto"/>
            <w:left w:val="none" w:sz="0" w:space="0" w:color="auto"/>
            <w:bottom w:val="none" w:sz="0" w:space="0" w:color="auto"/>
            <w:right w:val="none" w:sz="0" w:space="0" w:color="auto"/>
          </w:divBdr>
        </w:div>
        <w:div w:id="1140457548">
          <w:marLeft w:val="0"/>
          <w:marRight w:val="0"/>
          <w:marTop w:val="120"/>
          <w:marBottom w:val="120"/>
          <w:divBdr>
            <w:top w:val="none" w:sz="0" w:space="0" w:color="auto"/>
            <w:left w:val="none" w:sz="0" w:space="0" w:color="auto"/>
            <w:bottom w:val="none" w:sz="0" w:space="0" w:color="auto"/>
            <w:right w:val="none" w:sz="0" w:space="0" w:color="auto"/>
          </w:divBdr>
        </w:div>
        <w:div w:id="1950579391">
          <w:marLeft w:val="0"/>
          <w:marRight w:val="0"/>
          <w:marTop w:val="120"/>
          <w:marBottom w:val="120"/>
          <w:divBdr>
            <w:top w:val="none" w:sz="0" w:space="0" w:color="auto"/>
            <w:left w:val="none" w:sz="0" w:space="0" w:color="auto"/>
            <w:bottom w:val="none" w:sz="0" w:space="0" w:color="auto"/>
            <w:right w:val="none" w:sz="0" w:space="0" w:color="auto"/>
          </w:divBdr>
        </w:div>
        <w:div w:id="605650337">
          <w:marLeft w:val="0"/>
          <w:marRight w:val="0"/>
          <w:marTop w:val="120"/>
          <w:marBottom w:val="120"/>
          <w:divBdr>
            <w:top w:val="none" w:sz="0" w:space="0" w:color="auto"/>
            <w:left w:val="none" w:sz="0" w:space="0" w:color="auto"/>
            <w:bottom w:val="none" w:sz="0" w:space="0" w:color="auto"/>
            <w:right w:val="none" w:sz="0" w:space="0" w:color="auto"/>
          </w:divBdr>
        </w:div>
        <w:div w:id="1135755951">
          <w:marLeft w:val="0"/>
          <w:marRight w:val="0"/>
          <w:marTop w:val="120"/>
          <w:marBottom w:val="120"/>
          <w:divBdr>
            <w:top w:val="none" w:sz="0" w:space="0" w:color="auto"/>
            <w:left w:val="none" w:sz="0" w:space="0" w:color="auto"/>
            <w:bottom w:val="none" w:sz="0" w:space="0" w:color="auto"/>
            <w:right w:val="none" w:sz="0" w:space="0" w:color="auto"/>
          </w:divBdr>
        </w:div>
        <w:div w:id="1210267903">
          <w:marLeft w:val="0"/>
          <w:marRight w:val="0"/>
          <w:marTop w:val="120"/>
          <w:marBottom w:val="120"/>
          <w:divBdr>
            <w:top w:val="none" w:sz="0" w:space="0" w:color="auto"/>
            <w:left w:val="none" w:sz="0" w:space="0" w:color="auto"/>
            <w:bottom w:val="none" w:sz="0" w:space="0" w:color="auto"/>
            <w:right w:val="none" w:sz="0" w:space="0" w:color="auto"/>
          </w:divBdr>
        </w:div>
        <w:div w:id="783811111">
          <w:marLeft w:val="0"/>
          <w:marRight w:val="0"/>
          <w:marTop w:val="120"/>
          <w:marBottom w:val="120"/>
          <w:divBdr>
            <w:top w:val="none" w:sz="0" w:space="0" w:color="auto"/>
            <w:left w:val="none" w:sz="0" w:space="0" w:color="auto"/>
            <w:bottom w:val="none" w:sz="0" w:space="0" w:color="auto"/>
            <w:right w:val="none" w:sz="0" w:space="0" w:color="auto"/>
          </w:divBdr>
        </w:div>
        <w:div w:id="143818500">
          <w:marLeft w:val="0"/>
          <w:marRight w:val="0"/>
          <w:marTop w:val="120"/>
          <w:marBottom w:val="120"/>
          <w:divBdr>
            <w:top w:val="none" w:sz="0" w:space="0" w:color="auto"/>
            <w:left w:val="none" w:sz="0" w:space="0" w:color="auto"/>
            <w:bottom w:val="none" w:sz="0" w:space="0" w:color="auto"/>
            <w:right w:val="none" w:sz="0" w:space="0" w:color="auto"/>
          </w:divBdr>
        </w:div>
        <w:div w:id="1670407340">
          <w:marLeft w:val="0"/>
          <w:marRight w:val="0"/>
          <w:marTop w:val="120"/>
          <w:marBottom w:val="120"/>
          <w:divBdr>
            <w:top w:val="none" w:sz="0" w:space="0" w:color="auto"/>
            <w:left w:val="none" w:sz="0" w:space="0" w:color="auto"/>
            <w:bottom w:val="none" w:sz="0" w:space="0" w:color="auto"/>
            <w:right w:val="none" w:sz="0" w:space="0" w:color="auto"/>
          </w:divBdr>
        </w:div>
        <w:div w:id="1093010997">
          <w:marLeft w:val="0"/>
          <w:marRight w:val="0"/>
          <w:marTop w:val="120"/>
          <w:marBottom w:val="120"/>
          <w:divBdr>
            <w:top w:val="none" w:sz="0" w:space="0" w:color="auto"/>
            <w:left w:val="none" w:sz="0" w:space="0" w:color="auto"/>
            <w:bottom w:val="none" w:sz="0" w:space="0" w:color="auto"/>
            <w:right w:val="none" w:sz="0" w:space="0" w:color="auto"/>
          </w:divBdr>
        </w:div>
        <w:div w:id="706758658">
          <w:marLeft w:val="0"/>
          <w:marRight w:val="0"/>
          <w:marTop w:val="120"/>
          <w:marBottom w:val="120"/>
          <w:divBdr>
            <w:top w:val="none" w:sz="0" w:space="0" w:color="auto"/>
            <w:left w:val="none" w:sz="0" w:space="0" w:color="auto"/>
            <w:bottom w:val="none" w:sz="0" w:space="0" w:color="auto"/>
            <w:right w:val="none" w:sz="0" w:space="0" w:color="auto"/>
          </w:divBdr>
        </w:div>
        <w:div w:id="39983131">
          <w:marLeft w:val="0"/>
          <w:marRight w:val="0"/>
          <w:marTop w:val="120"/>
          <w:marBottom w:val="120"/>
          <w:divBdr>
            <w:top w:val="none" w:sz="0" w:space="0" w:color="auto"/>
            <w:left w:val="none" w:sz="0" w:space="0" w:color="auto"/>
            <w:bottom w:val="none" w:sz="0" w:space="0" w:color="auto"/>
            <w:right w:val="none" w:sz="0" w:space="0" w:color="auto"/>
          </w:divBdr>
        </w:div>
        <w:div w:id="1141381499">
          <w:marLeft w:val="0"/>
          <w:marRight w:val="0"/>
          <w:marTop w:val="120"/>
          <w:marBottom w:val="120"/>
          <w:divBdr>
            <w:top w:val="none" w:sz="0" w:space="0" w:color="auto"/>
            <w:left w:val="none" w:sz="0" w:space="0" w:color="auto"/>
            <w:bottom w:val="none" w:sz="0" w:space="0" w:color="auto"/>
            <w:right w:val="none" w:sz="0" w:space="0" w:color="auto"/>
          </w:divBdr>
        </w:div>
      </w:divsChild>
    </w:div>
    <w:div w:id="569846422">
      <w:bodyDiv w:val="1"/>
      <w:marLeft w:val="0"/>
      <w:marRight w:val="0"/>
      <w:marTop w:val="0"/>
      <w:marBottom w:val="0"/>
      <w:divBdr>
        <w:top w:val="none" w:sz="0" w:space="0" w:color="auto"/>
        <w:left w:val="none" w:sz="0" w:space="0" w:color="auto"/>
        <w:bottom w:val="none" w:sz="0" w:space="0" w:color="auto"/>
        <w:right w:val="none" w:sz="0" w:space="0" w:color="auto"/>
      </w:divBdr>
    </w:div>
    <w:div w:id="911622166">
      <w:bodyDiv w:val="1"/>
      <w:marLeft w:val="0"/>
      <w:marRight w:val="0"/>
      <w:marTop w:val="0"/>
      <w:marBottom w:val="0"/>
      <w:divBdr>
        <w:top w:val="none" w:sz="0" w:space="0" w:color="auto"/>
        <w:left w:val="none" w:sz="0" w:space="0" w:color="auto"/>
        <w:bottom w:val="none" w:sz="0" w:space="0" w:color="auto"/>
        <w:right w:val="none" w:sz="0" w:space="0" w:color="auto"/>
      </w:divBdr>
      <w:divsChild>
        <w:div w:id="389884348">
          <w:marLeft w:val="0"/>
          <w:marRight w:val="0"/>
          <w:marTop w:val="0"/>
          <w:marBottom w:val="0"/>
          <w:divBdr>
            <w:top w:val="none" w:sz="0" w:space="0" w:color="auto"/>
            <w:left w:val="none" w:sz="0" w:space="0" w:color="auto"/>
            <w:bottom w:val="none" w:sz="0" w:space="0" w:color="auto"/>
            <w:right w:val="none" w:sz="0" w:space="0" w:color="auto"/>
          </w:divBdr>
          <w:divsChild>
            <w:div w:id="17858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007565">
      <w:bodyDiv w:val="1"/>
      <w:marLeft w:val="0"/>
      <w:marRight w:val="0"/>
      <w:marTop w:val="0"/>
      <w:marBottom w:val="0"/>
      <w:divBdr>
        <w:top w:val="none" w:sz="0" w:space="0" w:color="auto"/>
        <w:left w:val="none" w:sz="0" w:space="0" w:color="auto"/>
        <w:bottom w:val="none" w:sz="0" w:space="0" w:color="auto"/>
        <w:right w:val="none" w:sz="0" w:space="0" w:color="auto"/>
      </w:divBdr>
    </w:div>
    <w:div w:id="1092313043">
      <w:bodyDiv w:val="1"/>
      <w:marLeft w:val="0"/>
      <w:marRight w:val="0"/>
      <w:marTop w:val="0"/>
      <w:marBottom w:val="0"/>
      <w:divBdr>
        <w:top w:val="none" w:sz="0" w:space="0" w:color="auto"/>
        <w:left w:val="none" w:sz="0" w:space="0" w:color="auto"/>
        <w:bottom w:val="none" w:sz="0" w:space="0" w:color="auto"/>
        <w:right w:val="none" w:sz="0" w:space="0" w:color="auto"/>
      </w:divBdr>
    </w:div>
    <w:div w:id="1272785854">
      <w:bodyDiv w:val="1"/>
      <w:marLeft w:val="0"/>
      <w:marRight w:val="0"/>
      <w:marTop w:val="0"/>
      <w:marBottom w:val="0"/>
      <w:divBdr>
        <w:top w:val="none" w:sz="0" w:space="0" w:color="auto"/>
        <w:left w:val="none" w:sz="0" w:space="0" w:color="auto"/>
        <w:bottom w:val="none" w:sz="0" w:space="0" w:color="auto"/>
        <w:right w:val="none" w:sz="0" w:space="0" w:color="auto"/>
      </w:divBdr>
      <w:divsChild>
        <w:div w:id="563838835">
          <w:marLeft w:val="0"/>
          <w:marRight w:val="0"/>
          <w:marTop w:val="120"/>
          <w:marBottom w:val="120"/>
          <w:divBdr>
            <w:top w:val="none" w:sz="0" w:space="0" w:color="auto"/>
            <w:left w:val="none" w:sz="0" w:space="0" w:color="auto"/>
            <w:bottom w:val="none" w:sz="0" w:space="0" w:color="auto"/>
            <w:right w:val="none" w:sz="0" w:space="0" w:color="auto"/>
          </w:divBdr>
        </w:div>
        <w:div w:id="339696109">
          <w:marLeft w:val="0"/>
          <w:marRight w:val="0"/>
          <w:marTop w:val="120"/>
          <w:marBottom w:val="120"/>
          <w:divBdr>
            <w:top w:val="none" w:sz="0" w:space="0" w:color="auto"/>
            <w:left w:val="none" w:sz="0" w:space="0" w:color="auto"/>
            <w:bottom w:val="none" w:sz="0" w:space="0" w:color="auto"/>
            <w:right w:val="none" w:sz="0" w:space="0" w:color="auto"/>
          </w:divBdr>
        </w:div>
        <w:div w:id="1873179293">
          <w:marLeft w:val="0"/>
          <w:marRight w:val="0"/>
          <w:marTop w:val="120"/>
          <w:marBottom w:val="120"/>
          <w:divBdr>
            <w:top w:val="none" w:sz="0" w:space="0" w:color="auto"/>
            <w:left w:val="none" w:sz="0" w:space="0" w:color="auto"/>
            <w:bottom w:val="none" w:sz="0" w:space="0" w:color="auto"/>
            <w:right w:val="none" w:sz="0" w:space="0" w:color="auto"/>
          </w:divBdr>
        </w:div>
        <w:div w:id="494415540">
          <w:marLeft w:val="0"/>
          <w:marRight w:val="0"/>
          <w:marTop w:val="120"/>
          <w:marBottom w:val="120"/>
          <w:divBdr>
            <w:top w:val="none" w:sz="0" w:space="0" w:color="auto"/>
            <w:left w:val="none" w:sz="0" w:space="0" w:color="auto"/>
            <w:bottom w:val="none" w:sz="0" w:space="0" w:color="auto"/>
            <w:right w:val="none" w:sz="0" w:space="0" w:color="auto"/>
          </w:divBdr>
        </w:div>
        <w:div w:id="1253050550">
          <w:marLeft w:val="0"/>
          <w:marRight w:val="0"/>
          <w:marTop w:val="120"/>
          <w:marBottom w:val="120"/>
          <w:divBdr>
            <w:top w:val="none" w:sz="0" w:space="0" w:color="auto"/>
            <w:left w:val="none" w:sz="0" w:space="0" w:color="auto"/>
            <w:bottom w:val="none" w:sz="0" w:space="0" w:color="auto"/>
            <w:right w:val="none" w:sz="0" w:space="0" w:color="auto"/>
          </w:divBdr>
        </w:div>
        <w:div w:id="1087921377">
          <w:marLeft w:val="0"/>
          <w:marRight w:val="0"/>
          <w:marTop w:val="120"/>
          <w:marBottom w:val="120"/>
          <w:divBdr>
            <w:top w:val="none" w:sz="0" w:space="0" w:color="auto"/>
            <w:left w:val="none" w:sz="0" w:space="0" w:color="auto"/>
            <w:bottom w:val="none" w:sz="0" w:space="0" w:color="auto"/>
            <w:right w:val="none" w:sz="0" w:space="0" w:color="auto"/>
          </w:divBdr>
        </w:div>
        <w:div w:id="888034197">
          <w:marLeft w:val="0"/>
          <w:marRight w:val="0"/>
          <w:marTop w:val="120"/>
          <w:marBottom w:val="120"/>
          <w:divBdr>
            <w:top w:val="none" w:sz="0" w:space="0" w:color="auto"/>
            <w:left w:val="none" w:sz="0" w:space="0" w:color="auto"/>
            <w:bottom w:val="none" w:sz="0" w:space="0" w:color="auto"/>
            <w:right w:val="none" w:sz="0" w:space="0" w:color="auto"/>
          </w:divBdr>
        </w:div>
        <w:div w:id="698513291">
          <w:marLeft w:val="0"/>
          <w:marRight w:val="0"/>
          <w:marTop w:val="120"/>
          <w:marBottom w:val="120"/>
          <w:divBdr>
            <w:top w:val="none" w:sz="0" w:space="0" w:color="auto"/>
            <w:left w:val="none" w:sz="0" w:space="0" w:color="auto"/>
            <w:bottom w:val="none" w:sz="0" w:space="0" w:color="auto"/>
            <w:right w:val="none" w:sz="0" w:space="0" w:color="auto"/>
          </w:divBdr>
        </w:div>
        <w:div w:id="773551161">
          <w:marLeft w:val="0"/>
          <w:marRight w:val="0"/>
          <w:marTop w:val="120"/>
          <w:marBottom w:val="120"/>
          <w:divBdr>
            <w:top w:val="none" w:sz="0" w:space="0" w:color="auto"/>
            <w:left w:val="none" w:sz="0" w:space="0" w:color="auto"/>
            <w:bottom w:val="none" w:sz="0" w:space="0" w:color="auto"/>
            <w:right w:val="none" w:sz="0" w:space="0" w:color="auto"/>
          </w:divBdr>
        </w:div>
      </w:divsChild>
    </w:div>
    <w:div w:id="1539732360">
      <w:bodyDiv w:val="1"/>
      <w:marLeft w:val="0"/>
      <w:marRight w:val="0"/>
      <w:marTop w:val="0"/>
      <w:marBottom w:val="0"/>
      <w:divBdr>
        <w:top w:val="none" w:sz="0" w:space="0" w:color="auto"/>
        <w:left w:val="none" w:sz="0" w:space="0" w:color="auto"/>
        <w:bottom w:val="none" w:sz="0" w:space="0" w:color="auto"/>
        <w:right w:val="none" w:sz="0" w:space="0" w:color="auto"/>
      </w:divBdr>
    </w:div>
    <w:div w:id="1611816196">
      <w:bodyDiv w:val="1"/>
      <w:marLeft w:val="0"/>
      <w:marRight w:val="0"/>
      <w:marTop w:val="0"/>
      <w:marBottom w:val="0"/>
      <w:divBdr>
        <w:top w:val="none" w:sz="0" w:space="0" w:color="auto"/>
        <w:left w:val="none" w:sz="0" w:space="0" w:color="auto"/>
        <w:bottom w:val="none" w:sz="0" w:space="0" w:color="auto"/>
        <w:right w:val="none" w:sz="0" w:space="0" w:color="auto"/>
      </w:divBdr>
      <w:divsChild>
        <w:div w:id="523595719">
          <w:marLeft w:val="0"/>
          <w:marRight w:val="0"/>
          <w:marTop w:val="0"/>
          <w:marBottom w:val="0"/>
          <w:divBdr>
            <w:top w:val="none" w:sz="0" w:space="0" w:color="auto"/>
            <w:left w:val="none" w:sz="0" w:space="0" w:color="auto"/>
            <w:bottom w:val="none" w:sz="0" w:space="0" w:color="auto"/>
            <w:right w:val="none" w:sz="0" w:space="0" w:color="auto"/>
          </w:divBdr>
          <w:divsChild>
            <w:div w:id="960185306">
              <w:marLeft w:val="0"/>
              <w:marRight w:val="0"/>
              <w:marTop w:val="0"/>
              <w:marBottom w:val="0"/>
              <w:divBdr>
                <w:top w:val="none" w:sz="0" w:space="0" w:color="auto"/>
                <w:left w:val="none" w:sz="0" w:space="0" w:color="auto"/>
                <w:bottom w:val="none" w:sz="0" w:space="0" w:color="auto"/>
                <w:right w:val="none" w:sz="0" w:space="0" w:color="auto"/>
              </w:divBdr>
              <w:divsChild>
                <w:div w:id="1340959820">
                  <w:marLeft w:val="0"/>
                  <w:marRight w:val="0"/>
                  <w:marTop w:val="0"/>
                  <w:marBottom w:val="0"/>
                  <w:divBdr>
                    <w:top w:val="none" w:sz="0" w:space="0" w:color="auto"/>
                    <w:left w:val="none" w:sz="0" w:space="0" w:color="auto"/>
                    <w:bottom w:val="none" w:sz="0" w:space="0" w:color="auto"/>
                    <w:right w:val="none" w:sz="0" w:space="0" w:color="auto"/>
                  </w:divBdr>
                  <w:divsChild>
                    <w:div w:id="309798153">
                      <w:marLeft w:val="0"/>
                      <w:marRight w:val="0"/>
                      <w:marTop w:val="0"/>
                      <w:marBottom w:val="0"/>
                      <w:divBdr>
                        <w:top w:val="none" w:sz="0" w:space="0" w:color="auto"/>
                        <w:left w:val="none" w:sz="0" w:space="0" w:color="auto"/>
                        <w:bottom w:val="none" w:sz="0" w:space="0" w:color="auto"/>
                        <w:right w:val="none" w:sz="0" w:space="0" w:color="auto"/>
                      </w:divBdr>
                      <w:divsChild>
                        <w:div w:id="59402061">
                          <w:marLeft w:val="0"/>
                          <w:marRight w:val="0"/>
                          <w:marTop w:val="0"/>
                          <w:marBottom w:val="0"/>
                          <w:divBdr>
                            <w:top w:val="none" w:sz="0" w:space="0" w:color="auto"/>
                            <w:left w:val="none" w:sz="0" w:space="0" w:color="auto"/>
                            <w:bottom w:val="none" w:sz="0" w:space="0" w:color="auto"/>
                            <w:right w:val="none" w:sz="0" w:space="0" w:color="auto"/>
                          </w:divBdr>
                          <w:divsChild>
                            <w:div w:id="874581813">
                              <w:marLeft w:val="0"/>
                              <w:marRight w:val="0"/>
                              <w:marTop w:val="0"/>
                              <w:marBottom w:val="0"/>
                              <w:divBdr>
                                <w:top w:val="none" w:sz="0" w:space="0" w:color="auto"/>
                                <w:left w:val="none" w:sz="0" w:space="0" w:color="auto"/>
                                <w:bottom w:val="none" w:sz="0" w:space="0" w:color="auto"/>
                                <w:right w:val="none" w:sz="0" w:space="0" w:color="auto"/>
                              </w:divBdr>
                              <w:divsChild>
                                <w:div w:id="33411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3041355">
      <w:bodyDiv w:val="1"/>
      <w:marLeft w:val="0"/>
      <w:marRight w:val="0"/>
      <w:marTop w:val="0"/>
      <w:marBottom w:val="0"/>
      <w:divBdr>
        <w:top w:val="none" w:sz="0" w:space="0" w:color="auto"/>
        <w:left w:val="none" w:sz="0" w:space="0" w:color="auto"/>
        <w:bottom w:val="none" w:sz="0" w:space="0" w:color="auto"/>
        <w:right w:val="none" w:sz="0" w:space="0" w:color="auto"/>
      </w:divBdr>
    </w:div>
    <w:div w:id="1800028634">
      <w:bodyDiv w:val="1"/>
      <w:marLeft w:val="0"/>
      <w:marRight w:val="0"/>
      <w:marTop w:val="0"/>
      <w:marBottom w:val="0"/>
      <w:divBdr>
        <w:top w:val="none" w:sz="0" w:space="0" w:color="auto"/>
        <w:left w:val="none" w:sz="0" w:space="0" w:color="auto"/>
        <w:bottom w:val="none" w:sz="0" w:space="0" w:color="auto"/>
        <w:right w:val="none" w:sz="0" w:space="0" w:color="auto"/>
      </w:divBdr>
      <w:divsChild>
        <w:div w:id="1516266642">
          <w:marLeft w:val="0"/>
          <w:marRight w:val="0"/>
          <w:marTop w:val="0"/>
          <w:marBottom w:val="0"/>
          <w:divBdr>
            <w:top w:val="none" w:sz="0" w:space="0" w:color="auto"/>
            <w:left w:val="none" w:sz="0" w:space="0" w:color="auto"/>
            <w:bottom w:val="none" w:sz="0" w:space="0" w:color="auto"/>
            <w:right w:val="none" w:sz="0" w:space="0" w:color="auto"/>
          </w:divBdr>
          <w:divsChild>
            <w:div w:id="801969072">
              <w:marLeft w:val="0"/>
              <w:marRight w:val="0"/>
              <w:marTop w:val="0"/>
              <w:marBottom w:val="0"/>
              <w:divBdr>
                <w:top w:val="none" w:sz="0" w:space="0" w:color="auto"/>
                <w:left w:val="none" w:sz="0" w:space="0" w:color="auto"/>
                <w:bottom w:val="none" w:sz="0" w:space="0" w:color="auto"/>
                <w:right w:val="none" w:sz="0" w:space="0" w:color="auto"/>
              </w:divBdr>
              <w:divsChild>
                <w:div w:id="1348557261">
                  <w:marLeft w:val="0"/>
                  <w:marRight w:val="0"/>
                  <w:marTop w:val="0"/>
                  <w:marBottom w:val="0"/>
                  <w:divBdr>
                    <w:top w:val="none" w:sz="0" w:space="0" w:color="auto"/>
                    <w:left w:val="none" w:sz="0" w:space="0" w:color="auto"/>
                    <w:bottom w:val="none" w:sz="0" w:space="0" w:color="auto"/>
                    <w:right w:val="none" w:sz="0" w:space="0" w:color="auto"/>
                  </w:divBdr>
                  <w:divsChild>
                    <w:div w:id="1201866601">
                      <w:marLeft w:val="0"/>
                      <w:marRight w:val="0"/>
                      <w:marTop w:val="0"/>
                      <w:marBottom w:val="0"/>
                      <w:divBdr>
                        <w:top w:val="none" w:sz="0" w:space="0" w:color="auto"/>
                        <w:left w:val="none" w:sz="0" w:space="0" w:color="auto"/>
                        <w:bottom w:val="none" w:sz="0" w:space="0" w:color="auto"/>
                        <w:right w:val="none" w:sz="0" w:space="0" w:color="auto"/>
                      </w:divBdr>
                      <w:divsChild>
                        <w:div w:id="2089380073">
                          <w:marLeft w:val="0"/>
                          <w:marRight w:val="0"/>
                          <w:marTop w:val="0"/>
                          <w:marBottom w:val="0"/>
                          <w:divBdr>
                            <w:top w:val="none" w:sz="0" w:space="0" w:color="auto"/>
                            <w:left w:val="none" w:sz="0" w:space="0" w:color="auto"/>
                            <w:bottom w:val="none" w:sz="0" w:space="0" w:color="auto"/>
                            <w:right w:val="none" w:sz="0" w:space="0" w:color="auto"/>
                          </w:divBdr>
                          <w:divsChild>
                            <w:div w:id="1126191593">
                              <w:marLeft w:val="0"/>
                              <w:marRight w:val="0"/>
                              <w:marTop w:val="0"/>
                              <w:marBottom w:val="0"/>
                              <w:divBdr>
                                <w:top w:val="none" w:sz="0" w:space="0" w:color="auto"/>
                                <w:left w:val="none" w:sz="0" w:space="0" w:color="auto"/>
                                <w:bottom w:val="none" w:sz="0" w:space="0" w:color="auto"/>
                                <w:right w:val="none" w:sz="0" w:space="0" w:color="auto"/>
                              </w:divBdr>
                              <w:divsChild>
                                <w:div w:id="1369528067">
                                  <w:marLeft w:val="0"/>
                                  <w:marRight w:val="0"/>
                                  <w:marTop w:val="0"/>
                                  <w:marBottom w:val="0"/>
                                  <w:divBdr>
                                    <w:top w:val="none" w:sz="0" w:space="0" w:color="auto"/>
                                    <w:left w:val="none" w:sz="0" w:space="0" w:color="auto"/>
                                    <w:bottom w:val="none" w:sz="0" w:space="0" w:color="auto"/>
                                    <w:right w:val="none" w:sz="0" w:space="0" w:color="auto"/>
                                  </w:divBdr>
                                  <w:divsChild>
                                    <w:div w:id="115418954">
                                      <w:marLeft w:val="0"/>
                                      <w:marRight w:val="0"/>
                                      <w:marTop w:val="0"/>
                                      <w:marBottom w:val="0"/>
                                      <w:divBdr>
                                        <w:top w:val="none" w:sz="0" w:space="0" w:color="auto"/>
                                        <w:left w:val="none" w:sz="0" w:space="0" w:color="auto"/>
                                        <w:bottom w:val="none" w:sz="0" w:space="0" w:color="auto"/>
                                        <w:right w:val="none" w:sz="0" w:space="0" w:color="auto"/>
                                      </w:divBdr>
                                      <w:divsChild>
                                        <w:div w:id="106197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1740007">
      <w:bodyDiv w:val="1"/>
      <w:marLeft w:val="0"/>
      <w:marRight w:val="0"/>
      <w:marTop w:val="0"/>
      <w:marBottom w:val="0"/>
      <w:divBdr>
        <w:top w:val="none" w:sz="0" w:space="0" w:color="auto"/>
        <w:left w:val="none" w:sz="0" w:space="0" w:color="auto"/>
        <w:bottom w:val="none" w:sz="0" w:space="0" w:color="auto"/>
        <w:right w:val="none" w:sz="0" w:space="0" w:color="auto"/>
      </w:divBdr>
      <w:divsChild>
        <w:div w:id="519662709">
          <w:marLeft w:val="0"/>
          <w:marRight w:val="0"/>
          <w:marTop w:val="120"/>
          <w:marBottom w:val="120"/>
          <w:divBdr>
            <w:top w:val="none" w:sz="0" w:space="0" w:color="auto"/>
            <w:left w:val="none" w:sz="0" w:space="0" w:color="auto"/>
            <w:bottom w:val="none" w:sz="0" w:space="0" w:color="auto"/>
            <w:right w:val="none" w:sz="0" w:space="0" w:color="auto"/>
          </w:divBdr>
        </w:div>
        <w:div w:id="1921213622">
          <w:marLeft w:val="0"/>
          <w:marRight w:val="0"/>
          <w:marTop w:val="120"/>
          <w:marBottom w:val="120"/>
          <w:divBdr>
            <w:top w:val="none" w:sz="0" w:space="0" w:color="auto"/>
            <w:left w:val="none" w:sz="0" w:space="0" w:color="auto"/>
            <w:bottom w:val="none" w:sz="0" w:space="0" w:color="auto"/>
            <w:right w:val="none" w:sz="0" w:space="0" w:color="auto"/>
          </w:divBdr>
        </w:div>
        <w:div w:id="1336346812">
          <w:marLeft w:val="0"/>
          <w:marRight w:val="0"/>
          <w:marTop w:val="120"/>
          <w:marBottom w:val="120"/>
          <w:divBdr>
            <w:top w:val="none" w:sz="0" w:space="0" w:color="auto"/>
            <w:left w:val="none" w:sz="0" w:space="0" w:color="auto"/>
            <w:bottom w:val="none" w:sz="0" w:space="0" w:color="auto"/>
            <w:right w:val="none" w:sz="0" w:space="0" w:color="auto"/>
          </w:divBdr>
        </w:div>
        <w:div w:id="488257465">
          <w:marLeft w:val="0"/>
          <w:marRight w:val="0"/>
          <w:marTop w:val="120"/>
          <w:marBottom w:val="120"/>
          <w:divBdr>
            <w:top w:val="none" w:sz="0" w:space="0" w:color="auto"/>
            <w:left w:val="none" w:sz="0" w:space="0" w:color="auto"/>
            <w:bottom w:val="none" w:sz="0" w:space="0" w:color="auto"/>
            <w:right w:val="none" w:sz="0" w:space="0" w:color="auto"/>
          </w:divBdr>
        </w:div>
        <w:div w:id="1269970303">
          <w:marLeft w:val="0"/>
          <w:marRight w:val="0"/>
          <w:marTop w:val="120"/>
          <w:marBottom w:val="120"/>
          <w:divBdr>
            <w:top w:val="none" w:sz="0" w:space="0" w:color="auto"/>
            <w:left w:val="none" w:sz="0" w:space="0" w:color="auto"/>
            <w:bottom w:val="none" w:sz="0" w:space="0" w:color="auto"/>
            <w:right w:val="none" w:sz="0" w:space="0" w:color="auto"/>
          </w:divBdr>
        </w:div>
        <w:div w:id="1433627853">
          <w:marLeft w:val="0"/>
          <w:marRight w:val="0"/>
          <w:marTop w:val="120"/>
          <w:marBottom w:val="120"/>
          <w:divBdr>
            <w:top w:val="none" w:sz="0" w:space="0" w:color="auto"/>
            <w:left w:val="none" w:sz="0" w:space="0" w:color="auto"/>
            <w:bottom w:val="none" w:sz="0" w:space="0" w:color="auto"/>
            <w:right w:val="none" w:sz="0" w:space="0" w:color="auto"/>
          </w:divBdr>
        </w:div>
        <w:div w:id="363363291">
          <w:marLeft w:val="0"/>
          <w:marRight w:val="0"/>
          <w:marTop w:val="120"/>
          <w:marBottom w:val="120"/>
          <w:divBdr>
            <w:top w:val="none" w:sz="0" w:space="0" w:color="auto"/>
            <w:left w:val="none" w:sz="0" w:space="0" w:color="auto"/>
            <w:bottom w:val="none" w:sz="0" w:space="0" w:color="auto"/>
            <w:right w:val="none" w:sz="0" w:space="0" w:color="auto"/>
          </w:divBdr>
        </w:div>
        <w:div w:id="756557656">
          <w:marLeft w:val="0"/>
          <w:marRight w:val="0"/>
          <w:marTop w:val="120"/>
          <w:marBottom w:val="120"/>
          <w:divBdr>
            <w:top w:val="none" w:sz="0" w:space="0" w:color="auto"/>
            <w:left w:val="none" w:sz="0" w:space="0" w:color="auto"/>
            <w:bottom w:val="none" w:sz="0" w:space="0" w:color="auto"/>
            <w:right w:val="none" w:sz="0" w:space="0" w:color="auto"/>
          </w:divBdr>
        </w:div>
        <w:div w:id="1650399710">
          <w:marLeft w:val="0"/>
          <w:marRight w:val="0"/>
          <w:marTop w:val="120"/>
          <w:marBottom w:val="120"/>
          <w:divBdr>
            <w:top w:val="none" w:sz="0" w:space="0" w:color="auto"/>
            <w:left w:val="none" w:sz="0" w:space="0" w:color="auto"/>
            <w:bottom w:val="none" w:sz="0" w:space="0" w:color="auto"/>
            <w:right w:val="none" w:sz="0" w:space="0" w:color="auto"/>
          </w:divBdr>
        </w:div>
        <w:div w:id="1752508594">
          <w:marLeft w:val="0"/>
          <w:marRight w:val="0"/>
          <w:marTop w:val="120"/>
          <w:marBottom w:val="120"/>
          <w:divBdr>
            <w:top w:val="none" w:sz="0" w:space="0" w:color="auto"/>
            <w:left w:val="none" w:sz="0" w:space="0" w:color="auto"/>
            <w:bottom w:val="none" w:sz="0" w:space="0" w:color="auto"/>
            <w:right w:val="none" w:sz="0" w:space="0" w:color="auto"/>
          </w:divBdr>
        </w:div>
        <w:div w:id="1341470672">
          <w:marLeft w:val="0"/>
          <w:marRight w:val="0"/>
          <w:marTop w:val="120"/>
          <w:marBottom w:val="120"/>
          <w:divBdr>
            <w:top w:val="none" w:sz="0" w:space="0" w:color="auto"/>
            <w:left w:val="none" w:sz="0" w:space="0" w:color="auto"/>
            <w:bottom w:val="none" w:sz="0" w:space="0" w:color="auto"/>
            <w:right w:val="none" w:sz="0" w:space="0" w:color="auto"/>
          </w:divBdr>
        </w:div>
        <w:div w:id="1063794061">
          <w:marLeft w:val="0"/>
          <w:marRight w:val="0"/>
          <w:marTop w:val="120"/>
          <w:marBottom w:val="120"/>
          <w:divBdr>
            <w:top w:val="none" w:sz="0" w:space="0" w:color="auto"/>
            <w:left w:val="none" w:sz="0" w:space="0" w:color="auto"/>
            <w:bottom w:val="none" w:sz="0" w:space="0" w:color="auto"/>
            <w:right w:val="none" w:sz="0" w:space="0" w:color="auto"/>
          </w:divBdr>
        </w:div>
      </w:divsChild>
    </w:div>
    <w:div w:id="1929148859">
      <w:bodyDiv w:val="1"/>
      <w:marLeft w:val="0"/>
      <w:marRight w:val="0"/>
      <w:marTop w:val="0"/>
      <w:marBottom w:val="0"/>
      <w:divBdr>
        <w:top w:val="none" w:sz="0" w:space="0" w:color="auto"/>
        <w:left w:val="none" w:sz="0" w:space="0" w:color="auto"/>
        <w:bottom w:val="none" w:sz="0" w:space="0" w:color="auto"/>
        <w:right w:val="none" w:sz="0" w:space="0" w:color="auto"/>
      </w:divBdr>
      <w:divsChild>
        <w:div w:id="1284387009">
          <w:marLeft w:val="0"/>
          <w:marRight w:val="0"/>
          <w:marTop w:val="0"/>
          <w:marBottom w:val="0"/>
          <w:divBdr>
            <w:top w:val="none" w:sz="0" w:space="0" w:color="auto"/>
            <w:left w:val="none" w:sz="0" w:space="0" w:color="auto"/>
            <w:bottom w:val="none" w:sz="0" w:space="0" w:color="auto"/>
            <w:right w:val="none" w:sz="0" w:space="0" w:color="auto"/>
          </w:divBdr>
          <w:divsChild>
            <w:div w:id="277492294">
              <w:marLeft w:val="0"/>
              <w:marRight w:val="0"/>
              <w:marTop w:val="0"/>
              <w:marBottom w:val="0"/>
              <w:divBdr>
                <w:top w:val="none" w:sz="0" w:space="0" w:color="auto"/>
                <w:left w:val="none" w:sz="0" w:space="0" w:color="auto"/>
                <w:bottom w:val="none" w:sz="0" w:space="0" w:color="auto"/>
                <w:right w:val="none" w:sz="0" w:space="0" w:color="auto"/>
              </w:divBdr>
              <w:divsChild>
                <w:div w:id="2049835462">
                  <w:marLeft w:val="0"/>
                  <w:marRight w:val="0"/>
                  <w:marTop w:val="0"/>
                  <w:marBottom w:val="0"/>
                  <w:divBdr>
                    <w:top w:val="none" w:sz="0" w:space="0" w:color="auto"/>
                    <w:left w:val="none" w:sz="0" w:space="0" w:color="auto"/>
                    <w:bottom w:val="none" w:sz="0" w:space="0" w:color="auto"/>
                    <w:right w:val="none" w:sz="0" w:space="0" w:color="auto"/>
                  </w:divBdr>
                  <w:divsChild>
                    <w:div w:id="1271472934">
                      <w:marLeft w:val="0"/>
                      <w:marRight w:val="0"/>
                      <w:marTop w:val="0"/>
                      <w:marBottom w:val="0"/>
                      <w:divBdr>
                        <w:top w:val="none" w:sz="0" w:space="0" w:color="auto"/>
                        <w:left w:val="none" w:sz="0" w:space="0" w:color="auto"/>
                        <w:bottom w:val="none" w:sz="0" w:space="0" w:color="auto"/>
                        <w:right w:val="none" w:sz="0" w:space="0" w:color="auto"/>
                      </w:divBdr>
                      <w:divsChild>
                        <w:div w:id="2436992">
                          <w:marLeft w:val="0"/>
                          <w:marRight w:val="0"/>
                          <w:marTop w:val="0"/>
                          <w:marBottom w:val="0"/>
                          <w:divBdr>
                            <w:top w:val="none" w:sz="0" w:space="0" w:color="auto"/>
                            <w:left w:val="none" w:sz="0" w:space="0" w:color="auto"/>
                            <w:bottom w:val="none" w:sz="0" w:space="0" w:color="auto"/>
                            <w:right w:val="none" w:sz="0" w:space="0" w:color="auto"/>
                          </w:divBdr>
                          <w:divsChild>
                            <w:div w:id="958220687">
                              <w:marLeft w:val="0"/>
                              <w:marRight w:val="0"/>
                              <w:marTop w:val="0"/>
                              <w:marBottom w:val="0"/>
                              <w:divBdr>
                                <w:top w:val="none" w:sz="0" w:space="0" w:color="auto"/>
                                <w:left w:val="none" w:sz="0" w:space="0" w:color="auto"/>
                                <w:bottom w:val="none" w:sz="0" w:space="0" w:color="auto"/>
                                <w:right w:val="none" w:sz="0" w:space="0" w:color="auto"/>
                              </w:divBdr>
                              <w:divsChild>
                                <w:div w:id="194006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186051">
      <w:bodyDiv w:val="1"/>
      <w:marLeft w:val="0"/>
      <w:marRight w:val="0"/>
      <w:marTop w:val="0"/>
      <w:marBottom w:val="0"/>
      <w:divBdr>
        <w:top w:val="none" w:sz="0" w:space="0" w:color="auto"/>
        <w:left w:val="none" w:sz="0" w:space="0" w:color="auto"/>
        <w:bottom w:val="none" w:sz="0" w:space="0" w:color="auto"/>
        <w:right w:val="none" w:sz="0" w:space="0" w:color="auto"/>
      </w:divBdr>
      <w:divsChild>
        <w:div w:id="1644891509">
          <w:marLeft w:val="0"/>
          <w:marRight w:val="0"/>
          <w:marTop w:val="120"/>
          <w:marBottom w:val="120"/>
          <w:divBdr>
            <w:top w:val="none" w:sz="0" w:space="0" w:color="auto"/>
            <w:left w:val="none" w:sz="0" w:space="0" w:color="auto"/>
            <w:bottom w:val="none" w:sz="0" w:space="0" w:color="auto"/>
            <w:right w:val="none" w:sz="0" w:space="0" w:color="auto"/>
          </w:divBdr>
        </w:div>
        <w:div w:id="1053388634">
          <w:marLeft w:val="0"/>
          <w:marRight w:val="0"/>
          <w:marTop w:val="120"/>
          <w:marBottom w:val="120"/>
          <w:divBdr>
            <w:top w:val="none" w:sz="0" w:space="0" w:color="auto"/>
            <w:left w:val="none" w:sz="0" w:space="0" w:color="auto"/>
            <w:bottom w:val="none" w:sz="0" w:space="0" w:color="auto"/>
            <w:right w:val="none" w:sz="0" w:space="0" w:color="auto"/>
          </w:divBdr>
        </w:div>
        <w:div w:id="1900827499">
          <w:marLeft w:val="0"/>
          <w:marRight w:val="0"/>
          <w:marTop w:val="120"/>
          <w:marBottom w:val="120"/>
          <w:divBdr>
            <w:top w:val="none" w:sz="0" w:space="0" w:color="auto"/>
            <w:left w:val="none" w:sz="0" w:space="0" w:color="auto"/>
            <w:bottom w:val="none" w:sz="0" w:space="0" w:color="auto"/>
            <w:right w:val="none" w:sz="0" w:space="0" w:color="auto"/>
          </w:divBdr>
        </w:div>
        <w:div w:id="1588886332">
          <w:marLeft w:val="0"/>
          <w:marRight w:val="0"/>
          <w:marTop w:val="120"/>
          <w:marBottom w:val="120"/>
          <w:divBdr>
            <w:top w:val="none" w:sz="0" w:space="0" w:color="auto"/>
            <w:left w:val="none" w:sz="0" w:space="0" w:color="auto"/>
            <w:bottom w:val="none" w:sz="0" w:space="0" w:color="auto"/>
            <w:right w:val="none" w:sz="0" w:space="0" w:color="auto"/>
          </w:divBdr>
        </w:div>
        <w:div w:id="1371102327">
          <w:marLeft w:val="0"/>
          <w:marRight w:val="0"/>
          <w:marTop w:val="120"/>
          <w:marBottom w:val="120"/>
          <w:divBdr>
            <w:top w:val="none" w:sz="0" w:space="0" w:color="auto"/>
            <w:left w:val="none" w:sz="0" w:space="0" w:color="auto"/>
            <w:bottom w:val="none" w:sz="0" w:space="0" w:color="auto"/>
            <w:right w:val="none" w:sz="0" w:space="0" w:color="auto"/>
          </w:divBdr>
        </w:div>
        <w:div w:id="1434210023">
          <w:marLeft w:val="0"/>
          <w:marRight w:val="0"/>
          <w:marTop w:val="120"/>
          <w:marBottom w:val="120"/>
          <w:divBdr>
            <w:top w:val="none" w:sz="0" w:space="0" w:color="auto"/>
            <w:left w:val="none" w:sz="0" w:space="0" w:color="auto"/>
            <w:bottom w:val="none" w:sz="0" w:space="0" w:color="auto"/>
            <w:right w:val="none" w:sz="0" w:space="0" w:color="auto"/>
          </w:divBdr>
        </w:div>
        <w:div w:id="211893932">
          <w:marLeft w:val="0"/>
          <w:marRight w:val="0"/>
          <w:marTop w:val="120"/>
          <w:marBottom w:val="120"/>
          <w:divBdr>
            <w:top w:val="none" w:sz="0" w:space="0" w:color="auto"/>
            <w:left w:val="none" w:sz="0" w:space="0" w:color="auto"/>
            <w:bottom w:val="none" w:sz="0" w:space="0" w:color="auto"/>
            <w:right w:val="none" w:sz="0" w:space="0" w:color="auto"/>
          </w:divBdr>
        </w:div>
      </w:divsChild>
    </w:div>
    <w:div w:id="209932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file:///C:\Users\HP\Downloads\International%20Business%20Concepts%20(Report).docx"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33D0F8-FE37-4E93-A5A8-F0C8F8B79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7331</Words>
  <Characters>41791</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2026-03-02T16:01:00Z</dcterms:created>
  <dcterms:modified xsi:type="dcterms:W3CDTF">2026-03-20T02:33:00Z</dcterms:modified>
</cp:coreProperties>
</file>