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67B5C" w14:textId="77777777" w:rsidR="001F5671" w:rsidRPr="00AF08AD" w:rsidRDefault="001F5671" w:rsidP="001F5671">
      <w:pPr>
        <w:jc w:val="center"/>
        <w:rPr>
          <w:rFonts w:ascii="Arial" w:hAnsi="Arial" w:cs="Arial"/>
          <w:szCs w:val="24"/>
        </w:rPr>
      </w:pPr>
    </w:p>
    <w:p w14:paraId="24873A70" w14:textId="77777777" w:rsidR="001F5671" w:rsidRPr="00AF08AD" w:rsidRDefault="001F5671" w:rsidP="001F5671">
      <w:pPr>
        <w:jc w:val="center"/>
        <w:rPr>
          <w:rFonts w:ascii="Arial" w:hAnsi="Arial" w:cs="Arial"/>
          <w:szCs w:val="24"/>
        </w:rPr>
      </w:pPr>
    </w:p>
    <w:p w14:paraId="72D98F22" w14:textId="77777777" w:rsidR="001F5671" w:rsidRPr="00AF08AD" w:rsidRDefault="001F5671" w:rsidP="001F5671">
      <w:pPr>
        <w:jc w:val="center"/>
        <w:rPr>
          <w:rFonts w:ascii="Arial" w:hAnsi="Arial" w:cs="Arial"/>
          <w:szCs w:val="24"/>
        </w:rPr>
      </w:pPr>
    </w:p>
    <w:p w14:paraId="1F551140" w14:textId="377DC7B8" w:rsidR="004E74C4" w:rsidRPr="00AF08AD" w:rsidRDefault="001F5671" w:rsidP="001F5671">
      <w:pPr>
        <w:jc w:val="center"/>
        <w:rPr>
          <w:rFonts w:ascii="Arial" w:hAnsi="Arial" w:cs="Arial"/>
          <w:szCs w:val="24"/>
        </w:rPr>
      </w:pPr>
      <w:r w:rsidRPr="00AF08AD">
        <w:rPr>
          <w:rFonts w:ascii="Arial" w:hAnsi="Arial" w:cs="Arial"/>
          <w:szCs w:val="24"/>
        </w:rPr>
        <w:t xml:space="preserve"> </w:t>
      </w:r>
    </w:p>
    <w:p w14:paraId="1D838E82" w14:textId="77777777" w:rsidR="001F5671" w:rsidRPr="00AF08AD" w:rsidRDefault="001F5671" w:rsidP="001F5671">
      <w:pPr>
        <w:jc w:val="center"/>
        <w:rPr>
          <w:rFonts w:ascii="Arial" w:hAnsi="Arial" w:cs="Arial"/>
          <w:szCs w:val="24"/>
        </w:rPr>
      </w:pPr>
      <w:r w:rsidRPr="00AF08AD">
        <w:rPr>
          <w:rFonts w:ascii="Arial" w:hAnsi="Arial" w:cs="Arial"/>
          <w:szCs w:val="24"/>
        </w:rPr>
        <w:t>Living with Care: The Older Person</w:t>
      </w:r>
    </w:p>
    <w:p w14:paraId="5AFEC4ED" w14:textId="29DD04CA" w:rsidR="001F5671" w:rsidRPr="00AF08AD" w:rsidRDefault="00E86814" w:rsidP="001F5671">
      <w:pPr>
        <w:jc w:val="center"/>
        <w:rPr>
          <w:rFonts w:ascii="Arial" w:hAnsi="Arial" w:cs="Arial"/>
          <w:szCs w:val="24"/>
        </w:rPr>
      </w:pPr>
      <w:r>
        <w:rPr>
          <w:rFonts w:ascii="Arial" w:hAnsi="Arial" w:cs="Arial"/>
          <w:szCs w:val="24"/>
        </w:rPr>
        <w:t>Written report</w:t>
      </w:r>
    </w:p>
    <w:p w14:paraId="7AD59EAC" w14:textId="77777777" w:rsidR="001F5671" w:rsidRPr="00AF08AD" w:rsidRDefault="001F5671" w:rsidP="001F5671">
      <w:pPr>
        <w:jc w:val="center"/>
        <w:rPr>
          <w:rFonts w:ascii="Arial" w:hAnsi="Arial" w:cs="Arial"/>
          <w:szCs w:val="24"/>
        </w:rPr>
      </w:pPr>
      <w:r w:rsidRPr="00AF08AD">
        <w:rPr>
          <w:rFonts w:ascii="Arial" w:hAnsi="Arial" w:cs="Arial"/>
          <w:szCs w:val="24"/>
        </w:rPr>
        <w:t xml:space="preserve">Case Study of Sadie Evans </w:t>
      </w:r>
    </w:p>
    <w:p w14:paraId="70351FDF" w14:textId="00D11194" w:rsidR="00CE0B86" w:rsidRDefault="00CE0B86" w:rsidP="001F5671">
      <w:pPr>
        <w:jc w:val="center"/>
        <w:rPr>
          <w:rFonts w:ascii="Arial" w:hAnsi="Arial" w:cs="Arial"/>
          <w:szCs w:val="24"/>
        </w:rPr>
      </w:pPr>
      <w:r w:rsidRPr="00AF08AD">
        <w:rPr>
          <w:rFonts w:ascii="Arial" w:hAnsi="Arial" w:cs="Arial"/>
          <w:szCs w:val="24"/>
        </w:rPr>
        <w:t>Huma Sham</w:t>
      </w:r>
      <w:r w:rsidR="00AF08AD" w:rsidRPr="00AF08AD">
        <w:rPr>
          <w:rFonts w:ascii="Arial" w:hAnsi="Arial" w:cs="Arial"/>
          <w:szCs w:val="24"/>
        </w:rPr>
        <w:t>a</w:t>
      </w:r>
      <w:r w:rsidRPr="00AF08AD">
        <w:rPr>
          <w:rFonts w:ascii="Arial" w:hAnsi="Arial" w:cs="Arial"/>
          <w:szCs w:val="24"/>
        </w:rPr>
        <w:t>s</w:t>
      </w:r>
    </w:p>
    <w:p w14:paraId="52763FB4" w14:textId="65830EB9" w:rsidR="00E86814" w:rsidRDefault="00E86814" w:rsidP="001F5671">
      <w:pPr>
        <w:jc w:val="center"/>
        <w:rPr>
          <w:rFonts w:ascii="Arial" w:hAnsi="Arial" w:cs="Arial"/>
          <w:szCs w:val="24"/>
        </w:rPr>
      </w:pPr>
      <w:r>
        <w:rPr>
          <w:rFonts w:ascii="Arial" w:hAnsi="Arial" w:cs="Arial"/>
          <w:szCs w:val="24"/>
        </w:rPr>
        <w:t>2030024</w:t>
      </w:r>
    </w:p>
    <w:p w14:paraId="1EE4815F" w14:textId="2799B59D" w:rsidR="00E86814" w:rsidRPr="00AF08AD" w:rsidRDefault="00E86814" w:rsidP="001F5671">
      <w:pPr>
        <w:jc w:val="center"/>
        <w:rPr>
          <w:rFonts w:ascii="Arial" w:hAnsi="Arial" w:cs="Arial"/>
          <w:szCs w:val="24"/>
        </w:rPr>
      </w:pPr>
      <w:r>
        <w:rPr>
          <w:rFonts w:ascii="Arial" w:hAnsi="Arial" w:cs="Arial"/>
          <w:szCs w:val="24"/>
        </w:rPr>
        <w:t>Joanne Davis</w:t>
      </w:r>
    </w:p>
    <w:p w14:paraId="4114A3B9" w14:textId="102A2044" w:rsidR="001F5671" w:rsidRPr="00AF08AD" w:rsidRDefault="001F5671" w:rsidP="001F5671">
      <w:pPr>
        <w:jc w:val="center"/>
        <w:rPr>
          <w:rFonts w:ascii="Arial" w:hAnsi="Arial" w:cs="Arial"/>
          <w:szCs w:val="24"/>
        </w:rPr>
      </w:pPr>
      <w:r w:rsidRPr="00AF08AD">
        <w:rPr>
          <w:rFonts w:ascii="Arial" w:hAnsi="Arial" w:cs="Arial"/>
          <w:szCs w:val="24"/>
        </w:rPr>
        <w:t xml:space="preserve"> </w:t>
      </w:r>
    </w:p>
    <w:p w14:paraId="4FD9D7D5" w14:textId="77777777" w:rsidR="001F5671" w:rsidRPr="00AF08AD" w:rsidRDefault="001F5671" w:rsidP="001F5671">
      <w:pPr>
        <w:jc w:val="center"/>
        <w:rPr>
          <w:rFonts w:ascii="Arial" w:hAnsi="Arial" w:cs="Arial"/>
          <w:szCs w:val="24"/>
        </w:rPr>
      </w:pPr>
    </w:p>
    <w:p w14:paraId="7339E83C" w14:textId="77777777" w:rsidR="001F5671" w:rsidRPr="00AF08AD" w:rsidRDefault="001F5671" w:rsidP="001F5671">
      <w:pPr>
        <w:jc w:val="center"/>
        <w:rPr>
          <w:rFonts w:ascii="Arial" w:hAnsi="Arial" w:cs="Arial"/>
          <w:szCs w:val="24"/>
        </w:rPr>
      </w:pPr>
    </w:p>
    <w:p w14:paraId="0F8F282E" w14:textId="77777777" w:rsidR="001F5671" w:rsidRPr="00AF08AD" w:rsidRDefault="001F5671">
      <w:pPr>
        <w:spacing w:line="259" w:lineRule="auto"/>
        <w:rPr>
          <w:rFonts w:ascii="Arial" w:hAnsi="Arial" w:cs="Arial"/>
          <w:szCs w:val="24"/>
        </w:rPr>
      </w:pPr>
      <w:r w:rsidRPr="00AF08AD">
        <w:rPr>
          <w:rFonts w:ascii="Arial" w:hAnsi="Arial" w:cs="Arial"/>
          <w:szCs w:val="24"/>
        </w:rPr>
        <w:br w:type="page"/>
      </w:r>
    </w:p>
    <w:sdt>
      <w:sdtPr>
        <w:rPr>
          <w:rFonts w:ascii="Arial" w:eastAsiaTheme="minorHAnsi" w:hAnsi="Arial" w:cs="Arial"/>
          <w:color w:val="auto"/>
          <w:sz w:val="24"/>
          <w:szCs w:val="24"/>
        </w:rPr>
        <w:id w:val="151179880"/>
        <w:docPartObj>
          <w:docPartGallery w:val="Table of Contents"/>
          <w:docPartUnique/>
        </w:docPartObj>
      </w:sdtPr>
      <w:sdtEndPr>
        <w:rPr>
          <w:b/>
          <w:bCs/>
          <w:noProof/>
        </w:rPr>
      </w:sdtEndPr>
      <w:sdtContent>
        <w:p w14:paraId="02053339" w14:textId="10A965B1" w:rsidR="005D38CC" w:rsidRPr="00E86814" w:rsidRDefault="005D38CC">
          <w:pPr>
            <w:pStyle w:val="TOCHeading"/>
            <w:rPr>
              <w:rFonts w:ascii="Arial" w:hAnsi="Arial" w:cs="Arial"/>
              <w:color w:val="000000" w:themeColor="text1"/>
              <w:sz w:val="24"/>
              <w:szCs w:val="24"/>
            </w:rPr>
          </w:pPr>
          <w:r w:rsidRPr="00E86814">
            <w:rPr>
              <w:rFonts w:ascii="Arial" w:hAnsi="Arial" w:cs="Arial"/>
              <w:color w:val="000000" w:themeColor="text1"/>
              <w:sz w:val="24"/>
              <w:szCs w:val="24"/>
            </w:rPr>
            <w:t>Contents</w:t>
          </w:r>
        </w:p>
        <w:p w14:paraId="1C8AC243" w14:textId="77777777" w:rsidR="005D38CC" w:rsidRPr="00AF08AD" w:rsidRDefault="005D38CC">
          <w:pPr>
            <w:pStyle w:val="TOC1"/>
            <w:tabs>
              <w:tab w:val="right" w:leader="dot" w:pos="9350"/>
            </w:tabs>
            <w:rPr>
              <w:rFonts w:ascii="Arial" w:eastAsiaTheme="minorEastAsia" w:hAnsi="Arial" w:cs="Arial"/>
              <w:noProof/>
              <w:szCs w:val="24"/>
            </w:rPr>
          </w:pPr>
          <w:r w:rsidRPr="00AF08AD">
            <w:rPr>
              <w:rFonts w:ascii="Arial" w:hAnsi="Arial" w:cs="Arial"/>
              <w:szCs w:val="24"/>
            </w:rPr>
            <w:fldChar w:fldCharType="begin"/>
          </w:r>
          <w:r w:rsidRPr="00AF08AD">
            <w:rPr>
              <w:rFonts w:ascii="Arial" w:hAnsi="Arial" w:cs="Arial"/>
              <w:szCs w:val="24"/>
            </w:rPr>
            <w:instrText xml:space="preserve"> TOC \o "1-3" \h \z \u </w:instrText>
          </w:r>
          <w:r w:rsidRPr="00AF08AD">
            <w:rPr>
              <w:rFonts w:ascii="Arial" w:hAnsi="Arial" w:cs="Arial"/>
              <w:szCs w:val="24"/>
            </w:rPr>
            <w:fldChar w:fldCharType="separate"/>
          </w:r>
          <w:hyperlink w:anchor="_Toc150868106" w:history="1">
            <w:r w:rsidRPr="00AF08AD">
              <w:rPr>
                <w:rStyle w:val="Hyperlink"/>
                <w:rFonts w:ascii="Arial" w:hAnsi="Arial" w:cs="Arial"/>
                <w:noProof/>
                <w:szCs w:val="24"/>
              </w:rPr>
              <w:t>Introduction</w:t>
            </w:r>
            <w:r w:rsidRPr="00AF08AD">
              <w:rPr>
                <w:rFonts w:ascii="Arial" w:hAnsi="Arial" w:cs="Arial"/>
                <w:noProof/>
                <w:webHidden/>
                <w:szCs w:val="24"/>
              </w:rPr>
              <w:tab/>
            </w:r>
            <w:r w:rsidRPr="00AF08AD">
              <w:rPr>
                <w:rFonts w:ascii="Arial" w:hAnsi="Arial" w:cs="Arial"/>
                <w:noProof/>
                <w:webHidden/>
                <w:szCs w:val="24"/>
              </w:rPr>
              <w:fldChar w:fldCharType="begin"/>
            </w:r>
            <w:r w:rsidRPr="00AF08AD">
              <w:rPr>
                <w:rFonts w:ascii="Arial" w:hAnsi="Arial" w:cs="Arial"/>
                <w:noProof/>
                <w:webHidden/>
                <w:szCs w:val="24"/>
              </w:rPr>
              <w:instrText xml:space="preserve"> PAGEREF _Toc150868106 \h </w:instrText>
            </w:r>
            <w:r w:rsidRPr="00AF08AD">
              <w:rPr>
                <w:rFonts w:ascii="Arial" w:hAnsi="Arial" w:cs="Arial"/>
                <w:noProof/>
                <w:webHidden/>
                <w:szCs w:val="24"/>
              </w:rPr>
            </w:r>
            <w:r w:rsidRPr="00AF08AD">
              <w:rPr>
                <w:rFonts w:ascii="Arial" w:hAnsi="Arial" w:cs="Arial"/>
                <w:noProof/>
                <w:webHidden/>
                <w:szCs w:val="24"/>
              </w:rPr>
              <w:fldChar w:fldCharType="separate"/>
            </w:r>
            <w:r w:rsidRPr="00AF08AD">
              <w:rPr>
                <w:rFonts w:ascii="Arial" w:hAnsi="Arial" w:cs="Arial"/>
                <w:noProof/>
                <w:webHidden/>
                <w:szCs w:val="24"/>
              </w:rPr>
              <w:t>3</w:t>
            </w:r>
            <w:r w:rsidRPr="00AF08AD">
              <w:rPr>
                <w:rFonts w:ascii="Arial" w:hAnsi="Arial" w:cs="Arial"/>
                <w:noProof/>
                <w:webHidden/>
                <w:szCs w:val="24"/>
              </w:rPr>
              <w:fldChar w:fldCharType="end"/>
            </w:r>
          </w:hyperlink>
        </w:p>
        <w:p w14:paraId="124B52CC" w14:textId="77777777" w:rsidR="005D38CC" w:rsidRPr="00AF08AD" w:rsidRDefault="00771FAF">
          <w:pPr>
            <w:pStyle w:val="TOC1"/>
            <w:tabs>
              <w:tab w:val="right" w:leader="dot" w:pos="9350"/>
            </w:tabs>
            <w:rPr>
              <w:rFonts w:ascii="Arial" w:eastAsiaTheme="minorEastAsia" w:hAnsi="Arial" w:cs="Arial"/>
              <w:noProof/>
              <w:szCs w:val="24"/>
            </w:rPr>
          </w:pPr>
          <w:hyperlink w:anchor="_Toc150868107" w:history="1">
            <w:r w:rsidR="005D38CC" w:rsidRPr="00AF08AD">
              <w:rPr>
                <w:rStyle w:val="Hyperlink"/>
                <w:rFonts w:ascii="Arial" w:hAnsi="Arial" w:cs="Arial"/>
                <w:noProof/>
                <w:szCs w:val="24"/>
              </w:rPr>
              <w:t>Reasons behind Change in Older people</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_Toc150868107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3</w:t>
            </w:r>
            <w:r w:rsidR="005D38CC" w:rsidRPr="00AF08AD">
              <w:rPr>
                <w:rFonts w:ascii="Arial" w:hAnsi="Arial" w:cs="Arial"/>
                <w:noProof/>
                <w:webHidden/>
                <w:szCs w:val="24"/>
              </w:rPr>
              <w:fldChar w:fldCharType="end"/>
            </w:r>
          </w:hyperlink>
        </w:p>
        <w:p w14:paraId="6EB4070A" w14:textId="77777777" w:rsidR="005D38CC" w:rsidRPr="00AF08AD" w:rsidRDefault="00771FAF">
          <w:pPr>
            <w:pStyle w:val="TOC1"/>
            <w:tabs>
              <w:tab w:val="right" w:leader="dot" w:pos="9350"/>
            </w:tabs>
            <w:rPr>
              <w:rFonts w:ascii="Arial" w:eastAsiaTheme="minorEastAsia" w:hAnsi="Arial" w:cs="Arial"/>
              <w:noProof/>
              <w:szCs w:val="24"/>
            </w:rPr>
          </w:pPr>
          <w:hyperlink w:anchor="_Toc150868108" w:history="1">
            <w:r w:rsidR="005D38CC" w:rsidRPr="00AF08AD">
              <w:rPr>
                <w:rStyle w:val="Hyperlink"/>
                <w:rFonts w:ascii="Arial" w:hAnsi="Arial" w:cs="Arial"/>
                <w:noProof/>
                <w:szCs w:val="24"/>
              </w:rPr>
              <w:t>Aging Population and its Challenges</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_Toc150868108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4</w:t>
            </w:r>
            <w:r w:rsidR="005D38CC" w:rsidRPr="00AF08AD">
              <w:rPr>
                <w:rFonts w:ascii="Arial" w:hAnsi="Arial" w:cs="Arial"/>
                <w:noProof/>
                <w:webHidden/>
                <w:szCs w:val="24"/>
              </w:rPr>
              <w:fldChar w:fldCharType="end"/>
            </w:r>
          </w:hyperlink>
        </w:p>
        <w:p w14:paraId="0B7F0DE9" w14:textId="77777777" w:rsidR="005D38CC" w:rsidRPr="00AF08AD" w:rsidRDefault="00771FAF">
          <w:pPr>
            <w:pStyle w:val="TOC1"/>
            <w:tabs>
              <w:tab w:val="right" w:leader="dot" w:pos="9350"/>
            </w:tabs>
            <w:rPr>
              <w:rFonts w:ascii="Arial" w:eastAsiaTheme="minorEastAsia" w:hAnsi="Arial" w:cs="Arial"/>
              <w:noProof/>
              <w:szCs w:val="24"/>
            </w:rPr>
          </w:pPr>
          <w:hyperlink w:anchor="_Toc150868109" w:history="1">
            <w:r w:rsidR="005D38CC" w:rsidRPr="00AF08AD">
              <w:rPr>
                <w:rStyle w:val="Hyperlink"/>
                <w:rFonts w:ascii="Arial" w:hAnsi="Arial" w:cs="Arial"/>
                <w:noProof/>
                <w:szCs w:val="24"/>
              </w:rPr>
              <w:t>Current Health and Social Care Provision</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_Toc150868109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6</w:t>
            </w:r>
            <w:r w:rsidR="005D38CC" w:rsidRPr="00AF08AD">
              <w:rPr>
                <w:rFonts w:ascii="Arial" w:hAnsi="Arial" w:cs="Arial"/>
                <w:noProof/>
                <w:webHidden/>
                <w:szCs w:val="24"/>
              </w:rPr>
              <w:fldChar w:fldCharType="end"/>
            </w:r>
          </w:hyperlink>
        </w:p>
        <w:p w14:paraId="2445601D" w14:textId="77777777" w:rsidR="005D38CC" w:rsidRPr="00AF08AD" w:rsidRDefault="00771FAF">
          <w:pPr>
            <w:pStyle w:val="TOC1"/>
            <w:tabs>
              <w:tab w:val="right" w:leader="dot" w:pos="9350"/>
            </w:tabs>
            <w:rPr>
              <w:rFonts w:ascii="Arial" w:eastAsiaTheme="minorEastAsia" w:hAnsi="Arial" w:cs="Arial"/>
              <w:noProof/>
              <w:szCs w:val="24"/>
            </w:rPr>
          </w:pPr>
          <w:hyperlink w:anchor="_Toc150868110" w:history="1">
            <w:r w:rsidR="005D38CC" w:rsidRPr="00AF08AD">
              <w:rPr>
                <w:rStyle w:val="Hyperlink"/>
                <w:rFonts w:ascii="Arial" w:hAnsi="Arial" w:cs="Arial"/>
                <w:noProof/>
                <w:szCs w:val="24"/>
              </w:rPr>
              <w:t>Government and Health Service</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_Toc150868110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7</w:t>
            </w:r>
            <w:r w:rsidR="005D38CC" w:rsidRPr="00AF08AD">
              <w:rPr>
                <w:rFonts w:ascii="Arial" w:hAnsi="Arial" w:cs="Arial"/>
                <w:noProof/>
                <w:webHidden/>
                <w:szCs w:val="24"/>
              </w:rPr>
              <w:fldChar w:fldCharType="end"/>
            </w:r>
          </w:hyperlink>
        </w:p>
        <w:p w14:paraId="1485026B" w14:textId="77777777" w:rsidR="005D38CC" w:rsidRPr="00AF08AD" w:rsidRDefault="00771FAF">
          <w:pPr>
            <w:pStyle w:val="TOC1"/>
            <w:tabs>
              <w:tab w:val="right" w:leader="dot" w:pos="9350"/>
            </w:tabs>
            <w:rPr>
              <w:rFonts w:ascii="Arial" w:eastAsiaTheme="minorEastAsia" w:hAnsi="Arial" w:cs="Arial"/>
              <w:noProof/>
              <w:szCs w:val="24"/>
            </w:rPr>
          </w:pPr>
          <w:hyperlink w:anchor="_Toc150868111" w:history="1">
            <w:r w:rsidR="005D38CC" w:rsidRPr="00AF08AD">
              <w:rPr>
                <w:rStyle w:val="Hyperlink"/>
                <w:rFonts w:ascii="Arial" w:hAnsi="Arial" w:cs="Arial"/>
                <w:noProof/>
                <w:szCs w:val="24"/>
              </w:rPr>
              <w:t>Theories related to the Topic</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_Toc150868111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8</w:t>
            </w:r>
            <w:r w:rsidR="005D38CC" w:rsidRPr="00AF08AD">
              <w:rPr>
                <w:rFonts w:ascii="Arial" w:hAnsi="Arial" w:cs="Arial"/>
                <w:noProof/>
                <w:webHidden/>
                <w:szCs w:val="24"/>
              </w:rPr>
              <w:fldChar w:fldCharType="end"/>
            </w:r>
          </w:hyperlink>
        </w:p>
        <w:p w14:paraId="4DBA7A18" w14:textId="77777777" w:rsidR="005D38CC" w:rsidRPr="00AF08AD" w:rsidRDefault="00771FAF">
          <w:pPr>
            <w:pStyle w:val="TOC2"/>
            <w:tabs>
              <w:tab w:val="right" w:leader="dot" w:pos="9350"/>
            </w:tabs>
            <w:rPr>
              <w:rFonts w:ascii="Arial" w:eastAsiaTheme="minorEastAsia" w:hAnsi="Arial" w:cs="Arial"/>
              <w:noProof/>
              <w:szCs w:val="24"/>
            </w:rPr>
          </w:pPr>
          <w:hyperlink w:anchor="_Toc150868112" w:history="1">
            <w:r w:rsidR="005D38CC" w:rsidRPr="00AF08AD">
              <w:rPr>
                <w:rStyle w:val="Hyperlink"/>
                <w:rFonts w:ascii="Arial" w:hAnsi="Arial" w:cs="Arial"/>
                <w:noProof/>
                <w:szCs w:val="24"/>
              </w:rPr>
              <w:t>Maslow theory</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_Toc150868112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8</w:t>
            </w:r>
            <w:r w:rsidR="005D38CC" w:rsidRPr="00AF08AD">
              <w:rPr>
                <w:rFonts w:ascii="Arial" w:hAnsi="Arial" w:cs="Arial"/>
                <w:noProof/>
                <w:webHidden/>
                <w:szCs w:val="24"/>
              </w:rPr>
              <w:fldChar w:fldCharType="end"/>
            </w:r>
          </w:hyperlink>
        </w:p>
        <w:p w14:paraId="05EABF8B" w14:textId="77777777" w:rsidR="005D38CC" w:rsidRPr="00AF08AD" w:rsidRDefault="00771FAF">
          <w:pPr>
            <w:pStyle w:val="TOC2"/>
            <w:tabs>
              <w:tab w:val="right" w:leader="dot" w:pos="9350"/>
            </w:tabs>
            <w:rPr>
              <w:rFonts w:ascii="Arial" w:eastAsiaTheme="minorEastAsia" w:hAnsi="Arial" w:cs="Arial"/>
              <w:noProof/>
              <w:szCs w:val="24"/>
            </w:rPr>
          </w:pPr>
          <w:hyperlink w:anchor="_Toc150868113" w:history="1">
            <w:r w:rsidR="005D38CC" w:rsidRPr="00AF08AD">
              <w:rPr>
                <w:rStyle w:val="Hyperlink"/>
                <w:rFonts w:ascii="Arial" w:hAnsi="Arial" w:cs="Arial"/>
                <w:noProof/>
                <w:szCs w:val="24"/>
              </w:rPr>
              <w:t>Disengagement</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_Toc150868113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9</w:t>
            </w:r>
            <w:r w:rsidR="005D38CC" w:rsidRPr="00AF08AD">
              <w:rPr>
                <w:rFonts w:ascii="Arial" w:hAnsi="Arial" w:cs="Arial"/>
                <w:noProof/>
                <w:webHidden/>
                <w:szCs w:val="24"/>
              </w:rPr>
              <w:fldChar w:fldCharType="end"/>
            </w:r>
          </w:hyperlink>
        </w:p>
        <w:p w14:paraId="19C2DC4A" w14:textId="77777777" w:rsidR="005D38CC" w:rsidRPr="00AF08AD" w:rsidRDefault="00771FAF">
          <w:pPr>
            <w:pStyle w:val="TOC2"/>
            <w:tabs>
              <w:tab w:val="right" w:leader="dot" w:pos="9350"/>
            </w:tabs>
            <w:rPr>
              <w:rFonts w:ascii="Arial" w:eastAsiaTheme="minorEastAsia" w:hAnsi="Arial" w:cs="Arial"/>
              <w:noProof/>
              <w:szCs w:val="24"/>
            </w:rPr>
          </w:pPr>
          <w:hyperlink w:anchor="_Toc150868114" w:history="1">
            <w:r w:rsidR="005D38CC" w:rsidRPr="00AF08AD">
              <w:rPr>
                <w:rStyle w:val="Hyperlink"/>
                <w:rFonts w:ascii="Arial" w:hAnsi="Arial" w:cs="Arial"/>
                <w:noProof/>
                <w:szCs w:val="24"/>
              </w:rPr>
              <w:t>Activity theory of aging</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_Toc150868114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9</w:t>
            </w:r>
            <w:r w:rsidR="005D38CC" w:rsidRPr="00AF08AD">
              <w:rPr>
                <w:rFonts w:ascii="Arial" w:hAnsi="Arial" w:cs="Arial"/>
                <w:noProof/>
                <w:webHidden/>
                <w:szCs w:val="24"/>
              </w:rPr>
              <w:fldChar w:fldCharType="end"/>
            </w:r>
          </w:hyperlink>
        </w:p>
        <w:p w14:paraId="6389BD7A" w14:textId="77777777" w:rsidR="005D38CC" w:rsidRPr="00AF08AD" w:rsidRDefault="00771FAF">
          <w:pPr>
            <w:pStyle w:val="TOC1"/>
            <w:tabs>
              <w:tab w:val="right" w:leader="dot" w:pos="9350"/>
            </w:tabs>
            <w:rPr>
              <w:rFonts w:ascii="Arial" w:eastAsiaTheme="minorEastAsia" w:hAnsi="Arial" w:cs="Arial"/>
              <w:noProof/>
              <w:szCs w:val="24"/>
            </w:rPr>
          </w:pPr>
          <w:hyperlink w:anchor="_Toc150868115" w:history="1">
            <w:r w:rsidR="005D38CC" w:rsidRPr="00AF08AD">
              <w:rPr>
                <w:rStyle w:val="Hyperlink"/>
                <w:rFonts w:ascii="Arial" w:hAnsi="Arial" w:cs="Arial"/>
                <w:noProof/>
                <w:szCs w:val="24"/>
              </w:rPr>
              <w:t>Conclusion</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_Toc150868115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10</w:t>
            </w:r>
            <w:r w:rsidR="005D38CC" w:rsidRPr="00AF08AD">
              <w:rPr>
                <w:rFonts w:ascii="Arial" w:hAnsi="Arial" w:cs="Arial"/>
                <w:noProof/>
                <w:webHidden/>
                <w:szCs w:val="24"/>
              </w:rPr>
              <w:fldChar w:fldCharType="end"/>
            </w:r>
          </w:hyperlink>
        </w:p>
        <w:p w14:paraId="3636CCCF" w14:textId="77777777" w:rsidR="005D38CC" w:rsidRPr="00AF08AD" w:rsidRDefault="00771FAF">
          <w:pPr>
            <w:pStyle w:val="TOC1"/>
            <w:tabs>
              <w:tab w:val="right" w:leader="dot" w:pos="9350"/>
            </w:tabs>
            <w:rPr>
              <w:rFonts w:ascii="Arial" w:eastAsiaTheme="minorEastAsia" w:hAnsi="Arial" w:cs="Arial"/>
              <w:noProof/>
              <w:szCs w:val="24"/>
            </w:rPr>
          </w:pPr>
          <w:hyperlink w:anchor="_Toc150868116" w:history="1">
            <w:r w:rsidR="005D38CC" w:rsidRPr="00AF08AD">
              <w:rPr>
                <w:rStyle w:val="Hyperlink"/>
                <w:rFonts w:ascii="Arial" w:hAnsi="Arial" w:cs="Arial"/>
                <w:noProof/>
                <w:szCs w:val="24"/>
              </w:rPr>
              <w:t>References</w:t>
            </w:r>
            <w:r w:rsidR="005D38CC" w:rsidRPr="00AF08AD">
              <w:rPr>
                <w:rFonts w:ascii="Arial" w:hAnsi="Arial" w:cs="Arial"/>
                <w:noProof/>
                <w:webHidden/>
                <w:szCs w:val="24"/>
              </w:rPr>
              <w:tab/>
            </w:r>
            <w:r w:rsidR="005D38CC" w:rsidRPr="00AF08AD">
              <w:rPr>
                <w:rFonts w:ascii="Arial" w:hAnsi="Arial" w:cs="Arial"/>
                <w:noProof/>
                <w:webHidden/>
                <w:szCs w:val="24"/>
              </w:rPr>
              <w:fldChar w:fldCharType="begin"/>
            </w:r>
            <w:r w:rsidR="005D38CC" w:rsidRPr="00AF08AD">
              <w:rPr>
                <w:rFonts w:ascii="Arial" w:hAnsi="Arial" w:cs="Arial"/>
                <w:noProof/>
                <w:webHidden/>
                <w:szCs w:val="24"/>
              </w:rPr>
              <w:instrText xml:space="preserve"> PAGEREF _Toc150868116 \h </w:instrText>
            </w:r>
            <w:r w:rsidR="005D38CC" w:rsidRPr="00AF08AD">
              <w:rPr>
                <w:rFonts w:ascii="Arial" w:hAnsi="Arial" w:cs="Arial"/>
                <w:noProof/>
                <w:webHidden/>
                <w:szCs w:val="24"/>
              </w:rPr>
            </w:r>
            <w:r w:rsidR="005D38CC" w:rsidRPr="00AF08AD">
              <w:rPr>
                <w:rFonts w:ascii="Arial" w:hAnsi="Arial" w:cs="Arial"/>
                <w:noProof/>
                <w:webHidden/>
                <w:szCs w:val="24"/>
              </w:rPr>
              <w:fldChar w:fldCharType="separate"/>
            </w:r>
            <w:r w:rsidR="005D38CC" w:rsidRPr="00AF08AD">
              <w:rPr>
                <w:rFonts w:ascii="Arial" w:hAnsi="Arial" w:cs="Arial"/>
                <w:noProof/>
                <w:webHidden/>
                <w:szCs w:val="24"/>
              </w:rPr>
              <w:t>11</w:t>
            </w:r>
            <w:r w:rsidR="005D38CC" w:rsidRPr="00AF08AD">
              <w:rPr>
                <w:rFonts w:ascii="Arial" w:hAnsi="Arial" w:cs="Arial"/>
                <w:noProof/>
                <w:webHidden/>
                <w:szCs w:val="24"/>
              </w:rPr>
              <w:fldChar w:fldCharType="end"/>
            </w:r>
          </w:hyperlink>
        </w:p>
        <w:p w14:paraId="6F5BF2B8" w14:textId="77777777" w:rsidR="005D38CC" w:rsidRPr="00AF08AD" w:rsidRDefault="005D38CC">
          <w:pPr>
            <w:rPr>
              <w:rFonts w:ascii="Arial" w:hAnsi="Arial" w:cs="Arial"/>
              <w:szCs w:val="24"/>
            </w:rPr>
          </w:pPr>
          <w:r w:rsidRPr="00AF08AD">
            <w:rPr>
              <w:rFonts w:ascii="Arial" w:hAnsi="Arial" w:cs="Arial"/>
              <w:b/>
              <w:bCs/>
              <w:noProof/>
              <w:szCs w:val="24"/>
            </w:rPr>
            <w:fldChar w:fldCharType="end"/>
          </w:r>
        </w:p>
      </w:sdtContent>
    </w:sdt>
    <w:p w14:paraId="357B6EA9" w14:textId="77777777" w:rsidR="007B3E6F" w:rsidRPr="00AF08AD" w:rsidRDefault="007B3E6F" w:rsidP="001F5671">
      <w:pPr>
        <w:pStyle w:val="Heading1"/>
        <w:rPr>
          <w:rFonts w:ascii="Arial" w:hAnsi="Arial" w:cs="Arial"/>
          <w:sz w:val="24"/>
          <w:szCs w:val="24"/>
        </w:rPr>
      </w:pPr>
    </w:p>
    <w:p w14:paraId="5B511FEF" w14:textId="77777777" w:rsidR="007B3E6F" w:rsidRPr="00AF08AD" w:rsidRDefault="007B3E6F">
      <w:pPr>
        <w:spacing w:line="259" w:lineRule="auto"/>
        <w:rPr>
          <w:rFonts w:ascii="Arial" w:eastAsiaTheme="majorEastAsia" w:hAnsi="Arial" w:cs="Arial"/>
          <w:b/>
          <w:szCs w:val="24"/>
        </w:rPr>
      </w:pPr>
      <w:r w:rsidRPr="00AF08AD">
        <w:rPr>
          <w:rFonts w:ascii="Arial" w:hAnsi="Arial" w:cs="Arial"/>
          <w:szCs w:val="24"/>
        </w:rPr>
        <w:br w:type="page"/>
      </w:r>
    </w:p>
    <w:p w14:paraId="52430C29" w14:textId="77777777" w:rsidR="001F5671" w:rsidRPr="00AF08AD" w:rsidRDefault="001F5671" w:rsidP="00AF08AD">
      <w:pPr>
        <w:pStyle w:val="Heading1"/>
        <w:spacing w:line="360" w:lineRule="auto"/>
        <w:jc w:val="both"/>
        <w:rPr>
          <w:rFonts w:ascii="Arial" w:hAnsi="Arial" w:cs="Arial"/>
          <w:sz w:val="24"/>
          <w:szCs w:val="24"/>
        </w:rPr>
      </w:pPr>
      <w:bookmarkStart w:id="0" w:name="_Toc150868106"/>
      <w:r w:rsidRPr="00AF08AD">
        <w:rPr>
          <w:rFonts w:ascii="Arial" w:hAnsi="Arial" w:cs="Arial"/>
          <w:sz w:val="24"/>
          <w:szCs w:val="24"/>
        </w:rPr>
        <w:lastRenderedPageBreak/>
        <w:t>Introduction</w:t>
      </w:r>
      <w:bookmarkEnd w:id="0"/>
      <w:r w:rsidRPr="00AF08AD">
        <w:rPr>
          <w:rFonts w:ascii="Arial" w:hAnsi="Arial" w:cs="Arial"/>
          <w:sz w:val="24"/>
          <w:szCs w:val="24"/>
        </w:rPr>
        <w:t xml:space="preserve"> </w:t>
      </w:r>
    </w:p>
    <w:p w14:paraId="71364FCB" w14:textId="3BC0CA2D" w:rsidR="00580CA9" w:rsidRPr="00AF08AD" w:rsidRDefault="00580CA9" w:rsidP="00AF08AD">
      <w:pPr>
        <w:jc w:val="both"/>
        <w:rPr>
          <w:rFonts w:ascii="Arial" w:hAnsi="Arial" w:cs="Arial"/>
          <w:szCs w:val="24"/>
        </w:rPr>
      </w:pPr>
      <w:r w:rsidRPr="00AF08AD">
        <w:rPr>
          <w:rFonts w:ascii="Arial" w:hAnsi="Arial" w:cs="Arial"/>
          <w:szCs w:val="24"/>
        </w:rPr>
        <w:t xml:space="preserve">More than one in five people living in the United Kingdom are over 60, and the number of people over 60 is likely to increase from 14.9 million in 2014 to 18.5 million by 2025 (NHS England, 2023). According to Britannica (2023), old age is also considered senescence in human beings, which is also defined as the final stage of the average lifespan. Another definition of old age is years towards the end of a person’s life (Collins, 2023). Moreover, 75% of the 75-year-olds in the United Kingdom have more than one long-term condition and are </w:t>
      </w:r>
      <w:r w:rsidR="002C7CA0" w:rsidRPr="00AF08AD">
        <w:rPr>
          <w:rFonts w:ascii="Arial" w:hAnsi="Arial" w:cs="Arial"/>
          <w:szCs w:val="24"/>
        </w:rPr>
        <w:t>having trouble</w:t>
      </w:r>
      <w:r w:rsidRPr="00AF08AD">
        <w:rPr>
          <w:rFonts w:ascii="Arial" w:hAnsi="Arial" w:cs="Arial"/>
          <w:szCs w:val="24"/>
        </w:rPr>
        <w:t xml:space="preserve"> in managing their health care.  </w:t>
      </w:r>
    </w:p>
    <w:p w14:paraId="4BA002DA" w14:textId="77777777" w:rsidR="00D150E8" w:rsidRPr="00AF08AD" w:rsidRDefault="00580CA9" w:rsidP="00AF08AD">
      <w:pPr>
        <w:jc w:val="both"/>
        <w:rPr>
          <w:rFonts w:ascii="Arial" w:hAnsi="Arial" w:cs="Arial"/>
          <w:szCs w:val="24"/>
        </w:rPr>
      </w:pPr>
      <w:r w:rsidRPr="00AF08AD">
        <w:rPr>
          <w:rFonts w:ascii="Arial" w:hAnsi="Arial" w:cs="Arial"/>
          <w:szCs w:val="24"/>
        </w:rPr>
        <w:t xml:space="preserve">The report is based on a case study regarding Sadie Evans, who is a widow and lost her husband, Jack, due to a sudden heart attack and now lives alone. Furthermore, there is a critical evaluation of identifying, assessing, and outlining the health and social care needs of an elderly individual. The report has explained the elderly population and the health impairments and challenges that are faced by these individuals within the United Kingdom. Different concerns of elderly adults related to health, social, and emotions will be discussed in the report. Moreover, there will be theories and evidence likely to support the overall report and are related to the case study involved within the report. </w:t>
      </w:r>
    </w:p>
    <w:p w14:paraId="549A3272" w14:textId="77777777" w:rsidR="004D04A4" w:rsidRPr="00AF08AD" w:rsidRDefault="004D04A4" w:rsidP="00AF08AD">
      <w:pPr>
        <w:pStyle w:val="Heading1"/>
        <w:spacing w:line="360" w:lineRule="auto"/>
        <w:jc w:val="both"/>
        <w:rPr>
          <w:rFonts w:ascii="Arial" w:hAnsi="Arial" w:cs="Arial"/>
          <w:sz w:val="24"/>
          <w:szCs w:val="24"/>
        </w:rPr>
      </w:pPr>
      <w:bookmarkStart w:id="1" w:name="_Toc150868107"/>
      <w:r w:rsidRPr="00AF08AD">
        <w:rPr>
          <w:rFonts w:ascii="Arial" w:hAnsi="Arial" w:cs="Arial"/>
          <w:sz w:val="24"/>
          <w:szCs w:val="24"/>
        </w:rPr>
        <w:t>Reasons behind Change in Older people</w:t>
      </w:r>
      <w:bookmarkEnd w:id="1"/>
      <w:r w:rsidRPr="00AF08AD">
        <w:rPr>
          <w:rFonts w:ascii="Arial" w:hAnsi="Arial" w:cs="Arial"/>
          <w:sz w:val="24"/>
          <w:szCs w:val="24"/>
        </w:rPr>
        <w:t xml:space="preserve"> </w:t>
      </w:r>
    </w:p>
    <w:p w14:paraId="3A8E23AB"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People are reportedly living longer and healthier in the United Kingdom. For instance, in 2018, a man aged 65 was expected to live another 18.5 years, and a woman was expected to live for 21 more years (Coombs et al., 2019). There are multiple different reasons why there has been a change noticed within the aging population in the UK. For example, the change in medication to modern medicine, improved living conditions, advanced practices and initiates of care services, fewer children being born, and increased technology within the use of care for people are all essential in improving and changing the older population.</w:t>
      </w:r>
    </w:p>
    <w:p w14:paraId="79FB324E"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 xml:space="preserve">Evidence indicates that now, medicines among older adults are not just helping them live longer, but these medicines are helping them live better for longer (Windsor, 2023). Older adults are also getting education regarding how these medicines will help them shorten illness and live healthier. Moreover, prescription drugs are now decreasing disease </w:t>
      </w:r>
      <w:r w:rsidRPr="00AF08AD">
        <w:rPr>
          <w:rFonts w:ascii="Arial" w:hAnsi="Arial" w:cs="Arial"/>
          <w:color w:val="0E101A"/>
        </w:rPr>
        <w:lastRenderedPageBreak/>
        <w:t>processes and prolonging life in almost all areas of medicine and surgical procedures or replacing faulty joints or other organs. Possible support and interventions will also be discussed within the report.</w:t>
      </w:r>
    </w:p>
    <w:p w14:paraId="34C5DCB6"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 global average life expectancy has increased by almost 23 years over the past 60 years between 1955 and 60 and 2015 and 2020. There is a dramatic change noticed within the older population. Medical progress, along with biomedical research, has reported that modern medicine is not just a significant cause of increased life expectancy. Still, it also positively contributes to reducing the morbidity of the aging population, which threatens the social and economic system within the United Kingdom (Brown, 2015).</w:t>
      </w:r>
    </w:p>
    <w:p w14:paraId="25B10E0E"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Living conditions with the help of technology and digital technology are beneficial in improving people's cognitive ability. Evidence indicates that older people can maintain their mental and physical health with the help and use of technolog</w:t>
      </w:r>
      <w:r w:rsidR="00E75128" w:rsidRPr="00AF08AD">
        <w:rPr>
          <w:rFonts w:ascii="Arial" w:hAnsi="Arial" w:cs="Arial"/>
          <w:color w:val="0E101A"/>
        </w:rPr>
        <w:t xml:space="preserve">y (Marston &amp; Musselwhite, 2021). </w:t>
      </w:r>
      <w:r w:rsidRPr="00AF08AD">
        <w:rPr>
          <w:rFonts w:ascii="Arial" w:hAnsi="Arial" w:cs="Arial"/>
          <w:color w:val="0E101A"/>
        </w:rPr>
        <w:t>Technology is helping the elderly become more active, and less than half of the elderly adults carry out the recommended physical activity, which allows them to live healthier and longer lives (</w:t>
      </w:r>
      <w:proofErr w:type="spellStart"/>
      <w:r w:rsidRPr="00AF08AD">
        <w:rPr>
          <w:rFonts w:ascii="Arial" w:hAnsi="Arial" w:cs="Arial"/>
          <w:color w:val="0E101A"/>
        </w:rPr>
        <w:t>Yau</w:t>
      </w:r>
      <w:proofErr w:type="spellEnd"/>
      <w:r w:rsidRPr="00AF08AD">
        <w:rPr>
          <w:rFonts w:ascii="Arial" w:hAnsi="Arial" w:cs="Arial"/>
          <w:color w:val="0E101A"/>
        </w:rPr>
        <w:t xml:space="preserve"> &amp; Hsiao, 2022). The use of technology among older adults is now helping them with safety, health, and illness, which increases the potential for these adults.</w:t>
      </w:r>
    </w:p>
    <w:p w14:paraId="1475040F"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 older adults of today have borne their children during the timeframe when fertility was high and deliberate control on the size of each family was rare. However, the current social change in many countries to reduce the number of children among couples substantially helps the elderly get support from their families. Fertility-decline families have significant support for the elderly and help them live longer (</w:t>
      </w:r>
      <w:proofErr w:type="spellStart"/>
      <w:r w:rsidRPr="00AF08AD">
        <w:rPr>
          <w:rFonts w:ascii="Arial" w:hAnsi="Arial" w:cs="Arial"/>
          <w:color w:val="0E101A"/>
        </w:rPr>
        <w:t>Knodel</w:t>
      </w:r>
      <w:proofErr w:type="spellEnd"/>
      <w:r w:rsidRPr="00AF08AD">
        <w:rPr>
          <w:rFonts w:ascii="Arial" w:hAnsi="Arial" w:cs="Arial"/>
          <w:color w:val="0E101A"/>
        </w:rPr>
        <w:t xml:space="preserve"> et al., 1992). Evidence indicates that family size will likely affect psycho-social, economic, and health well-being among older people with declining fertility (Diaz-Venegas et al., 2018).</w:t>
      </w:r>
    </w:p>
    <w:p w14:paraId="6829662C" w14:textId="77777777" w:rsidR="00BB2D0C" w:rsidRPr="00AF08AD" w:rsidRDefault="00BB2D0C" w:rsidP="00AF08AD">
      <w:pPr>
        <w:pStyle w:val="Heading1"/>
        <w:spacing w:line="360" w:lineRule="auto"/>
        <w:jc w:val="both"/>
        <w:rPr>
          <w:rFonts w:ascii="Arial" w:hAnsi="Arial" w:cs="Arial"/>
          <w:sz w:val="24"/>
          <w:szCs w:val="24"/>
        </w:rPr>
      </w:pPr>
      <w:bookmarkStart w:id="2" w:name="_Toc150868108"/>
      <w:r w:rsidRPr="00AF08AD">
        <w:rPr>
          <w:rFonts w:ascii="Arial" w:hAnsi="Arial" w:cs="Arial"/>
          <w:sz w:val="24"/>
          <w:szCs w:val="24"/>
        </w:rPr>
        <w:t>Aging Population and its Challenges</w:t>
      </w:r>
      <w:bookmarkEnd w:id="2"/>
    </w:p>
    <w:p w14:paraId="1741A511" w14:textId="4183943E" w:rsidR="00BB2D0C" w:rsidRPr="00AF08AD" w:rsidRDefault="0063460A"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There is has been an increase rate of older adults in the UK facing challenges in terms of getting better health and care services. Moreover,</w:t>
      </w:r>
      <w:r w:rsidR="00BB2D0C" w:rsidRPr="00AF08AD">
        <w:rPr>
          <w:rFonts w:ascii="Arial" w:hAnsi="Arial" w:cs="Arial"/>
          <w:color w:val="0E101A"/>
        </w:rPr>
        <w:t xml:space="preserve"> a quarter of 29% of all households within the UK were reportedly led by someone aged 65 or over (Lewis et al., 2021). </w:t>
      </w:r>
      <w:r w:rsidRPr="00AF08AD">
        <w:rPr>
          <w:rFonts w:ascii="Arial" w:hAnsi="Arial" w:cs="Arial"/>
          <w:color w:val="0E101A"/>
        </w:rPr>
        <w:t xml:space="preserve">These older adults are aged 65 or above and are likely to face increased difficulties mainly related to their health concerns. </w:t>
      </w:r>
      <w:r w:rsidR="00BB2D0C" w:rsidRPr="00AF08AD">
        <w:rPr>
          <w:rFonts w:ascii="Arial" w:hAnsi="Arial" w:cs="Arial"/>
          <w:color w:val="0E101A"/>
        </w:rPr>
        <w:t xml:space="preserve">This shows that the UK has an increased number of </w:t>
      </w:r>
      <w:r w:rsidR="00BB2D0C" w:rsidRPr="00AF08AD">
        <w:rPr>
          <w:rFonts w:ascii="Arial" w:hAnsi="Arial" w:cs="Arial"/>
          <w:color w:val="0E101A"/>
        </w:rPr>
        <w:lastRenderedPageBreak/>
        <w:t xml:space="preserve">people aging and will be in the next coming years. The aging population within the UK faces multiple challenges. For instance, older people frequently need support in maintaining their homes (Lewis et al., 2021). The case study of Sadie serves as an example in this regard. Sadie’s house is increasingly messy and dirty in places. While she offered assistance by </w:t>
      </w:r>
      <w:r w:rsidR="00DD3D60" w:rsidRPr="00AF08AD">
        <w:rPr>
          <w:rFonts w:ascii="Arial" w:hAnsi="Arial" w:cs="Arial"/>
          <w:color w:val="0E101A"/>
        </w:rPr>
        <w:t>neighbors,</w:t>
      </w:r>
      <w:r w:rsidR="00A45760" w:rsidRPr="00AF08AD">
        <w:rPr>
          <w:rFonts w:ascii="Arial" w:hAnsi="Arial" w:cs="Arial"/>
          <w:color w:val="0E101A"/>
        </w:rPr>
        <w:t xml:space="preserve"> but she feels that the neighbor </w:t>
      </w:r>
      <w:proofErr w:type="gramStart"/>
      <w:r w:rsidR="00A45760" w:rsidRPr="00AF08AD">
        <w:rPr>
          <w:rFonts w:ascii="Arial" w:hAnsi="Arial" w:cs="Arial"/>
          <w:color w:val="0E101A"/>
        </w:rPr>
        <w:t>are</w:t>
      </w:r>
      <w:proofErr w:type="gramEnd"/>
      <w:r w:rsidR="00A45760" w:rsidRPr="00AF08AD">
        <w:rPr>
          <w:rFonts w:ascii="Arial" w:hAnsi="Arial" w:cs="Arial"/>
          <w:color w:val="0E101A"/>
        </w:rPr>
        <w:t xml:space="preserve"> being nosey.  </w:t>
      </w:r>
    </w:p>
    <w:p w14:paraId="4C66330C"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 aging population is changing due to lifestyle changes and advancement</w:t>
      </w:r>
      <w:r w:rsidR="00393AD3" w:rsidRPr="00AF08AD">
        <w:rPr>
          <w:rFonts w:ascii="Arial" w:hAnsi="Arial" w:cs="Arial"/>
          <w:color w:val="0E101A"/>
        </w:rPr>
        <w:t xml:space="preserve"> in healthcare and its practices with the help of increased changes and adopting towards technology within the health and social care</w:t>
      </w:r>
      <w:r w:rsidRPr="00AF08AD">
        <w:rPr>
          <w:rFonts w:ascii="Arial" w:hAnsi="Arial" w:cs="Arial"/>
          <w:color w:val="0E101A"/>
        </w:rPr>
        <w:t xml:space="preserve">. There is evidence indicating that as people age, they are more likely to develop the risk of developing illnesses </w:t>
      </w:r>
      <w:r w:rsidR="00A45760" w:rsidRPr="00AF08AD">
        <w:rPr>
          <w:rFonts w:ascii="Arial" w:hAnsi="Arial" w:cs="Arial"/>
          <w:color w:val="0E101A"/>
        </w:rPr>
        <w:t xml:space="preserve">and becomes frail which results into elderly seeking support for their </w:t>
      </w:r>
      <w:r w:rsidRPr="00AF08AD">
        <w:rPr>
          <w:rFonts w:ascii="Arial" w:hAnsi="Arial" w:cs="Arial"/>
          <w:color w:val="0E101A"/>
        </w:rPr>
        <w:t xml:space="preserve">health and social care (Raymond et al., 2021). Similarly, </w:t>
      </w:r>
      <w:r w:rsidR="00E21341" w:rsidRPr="00AF08AD">
        <w:rPr>
          <w:rFonts w:ascii="Arial" w:hAnsi="Arial" w:cs="Arial"/>
          <w:color w:val="0E101A"/>
        </w:rPr>
        <w:t>in Sadie’s case she</w:t>
      </w:r>
      <w:r w:rsidRPr="00AF08AD">
        <w:rPr>
          <w:rFonts w:ascii="Arial" w:hAnsi="Arial" w:cs="Arial"/>
          <w:color w:val="0E101A"/>
        </w:rPr>
        <w:t xml:space="preserve"> needs health and social care. She used to be actively involved and mobilized within her community, but this has changed since she lost her husband. She has lost most of her friends who are not alive, and due to her behavior as a proud woman, she feels embarrassed about her situation.</w:t>
      </w:r>
    </w:p>
    <w:p w14:paraId="07C14435" w14:textId="77777777"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There are other challenges as well that are experienced by the aging population, such as older people being required to seek access to information and advice on housing options and support services</w:t>
      </w:r>
      <w:r w:rsidR="001C4661" w:rsidRPr="00AF08AD">
        <w:rPr>
          <w:rFonts w:ascii="Arial" w:hAnsi="Arial" w:cs="Arial"/>
          <w:color w:val="0E101A"/>
        </w:rPr>
        <w:t xml:space="preserve"> </w:t>
      </w:r>
      <w:sdt>
        <w:sdtPr>
          <w:rPr>
            <w:rFonts w:ascii="Arial" w:hAnsi="Arial" w:cs="Arial"/>
            <w:color w:val="0E101A"/>
          </w:rPr>
          <w:id w:val="-323202468"/>
          <w:citation/>
        </w:sdtPr>
        <w:sdtEndPr/>
        <w:sdtContent>
          <w:r w:rsidR="001C4661" w:rsidRPr="00AF08AD">
            <w:rPr>
              <w:rFonts w:ascii="Arial" w:hAnsi="Arial" w:cs="Arial"/>
              <w:color w:val="0E101A"/>
            </w:rPr>
            <w:fldChar w:fldCharType="begin"/>
          </w:r>
          <w:r w:rsidR="001C4661" w:rsidRPr="00AF08AD">
            <w:rPr>
              <w:rFonts w:ascii="Arial" w:hAnsi="Arial" w:cs="Arial"/>
              <w:color w:val="0E101A"/>
            </w:rPr>
            <w:instrText xml:space="preserve"> CITATION Abd19 \l 1033 </w:instrText>
          </w:r>
          <w:r w:rsidR="001C4661" w:rsidRPr="00AF08AD">
            <w:rPr>
              <w:rFonts w:ascii="Arial" w:hAnsi="Arial" w:cs="Arial"/>
              <w:color w:val="0E101A"/>
            </w:rPr>
            <w:fldChar w:fldCharType="separate"/>
          </w:r>
          <w:r w:rsidR="00E24B77" w:rsidRPr="00AF08AD">
            <w:rPr>
              <w:rFonts w:ascii="Arial" w:hAnsi="Arial" w:cs="Arial"/>
              <w:noProof/>
              <w:color w:val="0E101A"/>
            </w:rPr>
            <w:t>(Abdi, Spann, Borilovic, Witte, &amp; Hawley, 2019)</w:t>
          </w:r>
          <w:r w:rsidR="001C4661" w:rsidRPr="00AF08AD">
            <w:rPr>
              <w:rFonts w:ascii="Arial" w:hAnsi="Arial" w:cs="Arial"/>
              <w:color w:val="0E101A"/>
            </w:rPr>
            <w:fldChar w:fldCharType="end"/>
          </w:r>
        </w:sdtContent>
      </w:sdt>
      <w:r w:rsidRPr="00AF08AD">
        <w:rPr>
          <w:rFonts w:ascii="Arial" w:hAnsi="Arial" w:cs="Arial"/>
          <w:color w:val="0E101A"/>
        </w:rPr>
        <w:t>, which is not possible and accessible for the majority of the older adults living in rural areas like Sadie residing in a rural area with limited resource. Moreover, these elderly adults require education and counseling</w:t>
      </w:r>
      <w:r w:rsidR="001C4661" w:rsidRPr="00AF08AD">
        <w:rPr>
          <w:rFonts w:ascii="Arial" w:hAnsi="Arial" w:cs="Arial"/>
          <w:color w:val="0E101A"/>
        </w:rPr>
        <w:t xml:space="preserve"> </w:t>
      </w:r>
      <w:sdt>
        <w:sdtPr>
          <w:rPr>
            <w:rFonts w:ascii="Arial" w:hAnsi="Arial" w:cs="Arial"/>
            <w:color w:val="0E101A"/>
          </w:rPr>
          <w:id w:val="1451350136"/>
          <w:citation/>
        </w:sdtPr>
        <w:sdtEndPr/>
        <w:sdtContent>
          <w:r w:rsidR="001C4661" w:rsidRPr="00AF08AD">
            <w:rPr>
              <w:rFonts w:ascii="Arial" w:hAnsi="Arial" w:cs="Arial"/>
              <w:color w:val="0E101A"/>
            </w:rPr>
            <w:fldChar w:fldCharType="begin"/>
          </w:r>
          <w:r w:rsidR="001C4661" w:rsidRPr="00AF08AD">
            <w:rPr>
              <w:rFonts w:ascii="Arial" w:hAnsi="Arial" w:cs="Arial"/>
              <w:color w:val="0E101A"/>
            </w:rPr>
            <w:instrText xml:space="preserve"> CITATION Abd19 \l 1033 </w:instrText>
          </w:r>
          <w:r w:rsidR="001C4661" w:rsidRPr="00AF08AD">
            <w:rPr>
              <w:rFonts w:ascii="Arial" w:hAnsi="Arial" w:cs="Arial"/>
              <w:color w:val="0E101A"/>
            </w:rPr>
            <w:fldChar w:fldCharType="separate"/>
          </w:r>
          <w:r w:rsidR="00E24B77" w:rsidRPr="00AF08AD">
            <w:rPr>
              <w:rFonts w:ascii="Arial" w:hAnsi="Arial" w:cs="Arial"/>
              <w:noProof/>
              <w:color w:val="0E101A"/>
            </w:rPr>
            <w:t>(Abdi, Spann, Borilovic, Witte, &amp; Hawley, 2019)</w:t>
          </w:r>
          <w:r w:rsidR="001C4661" w:rsidRPr="00AF08AD">
            <w:rPr>
              <w:rFonts w:ascii="Arial" w:hAnsi="Arial" w:cs="Arial"/>
              <w:color w:val="0E101A"/>
            </w:rPr>
            <w:fldChar w:fldCharType="end"/>
          </w:r>
        </w:sdtContent>
      </w:sdt>
      <w:r w:rsidRPr="00AF08AD">
        <w:rPr>
          <w:rFonts w:ascii="Arial" w:hAnsi="Arial" w:cs="Arial"/>
          <w:color w:val="0E101A"/>
        </w:rPr>
        <w:t>, which is lacking in Sadie's case; she has reported facing increased health concerns and failing to listen due to a lack of ability to understand. She is getting very forgetful and forgets to take medication, as well as shows she requires personal help and care support from a care provider or a friend.</w:t>
      </w:r>
    </w:p>
    <w:p w14:paraId="1C624780" w14:textId="7707FF88"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There is an increased shortage of accessible and specialist housing for older adults, for example, retirement housing, housing with care, and sheltering housing. Moreover, there is an increased number of older adults living within private rented accommodations, which has raised a significant concern regarding their living conditions, difficulties in their security, and their ability to live a secure life</w:t>
      </w:r>
      <w:r w:rsidR="001C4661" w:rsidRPr="00AF08AD">
        <w:rPr>
          <w:rFonts w:ascii="Arial" w:hAnsi="Arial" w:cs="Arial"/>
          <w:color w:val="0E101A"/>
        </w:rPr>
        <w:t xml:space="preserve"> </w:t>
      </w:r>
      <w:sdt>
        <w:sdtPr>
          <w:rPr>
            <w:rFonts w:ascii="Arial" w:hAnsi="Arial" w:cs="Arial"/>
            <w:color w:val="0E101A"/>
          </w:rPr>
          <w:id w:val="194501944"/>
          <w:citation/>
        </w:sdtPr>
        <w:sdtEndPr/>
        <w:sdtContent>
          <w:r w:rsidR="001C4661" w:rsidRPr="00AF08AD">
            <w:rPr>
              <w:rFonts w:ascii="Arial" w:hAnsi="Arial" w:cs="Arial"/>
              <w:color w:val="0E101A"/>
            </w:rPr>
            <w:fldChar w:fldCharType="begin"/>
          </w:r>
          <w:r w:rsidR="001C4661" w:rsidRPr="00AF08AD">
            <w:rPr>
              <w:rFonts w:ascii="Arial" w:hAnsi="Arial" w:cs="Arial"/>
              <w:color w:val="0E101A"/>
            </w:rPr>
            <w:instrText xml:space="preserve">CITATION Rel33 \l 1033 </w:instrText>
          </w:r>
          <w:r w:rsidR="001C4661" w:rsidRPr="00AF08AD">
            <w:rPr>
              <w:rFonts w:ascii="Arial" w:hAnsi="Arial" w:cs="Arial"/>
              <w:color w:val="0E101A"/>
            </w:rPr>
            <w:fldChar w:fldCharType="separate"/>
          </w:r>
          <w:r w:rsidR="00E24B77" w:rsidRPr="00AF08AD">
            <w:rPr>
              <w:rFonts w:ascii="Arial" w:hAnsi="Arial" w:cs="Arial"/>
              <w:noProof/>
              <w:color w:val="0E101A"/>
            </w:rPr>
            <w:t>(Aplin &amp; Petersen, 2023)</w:t>
          </w:r>
          <w:r w:rsidR="001C4661" w:rsidRPr="00AF08AD">
            <w:rPr>
              <w:rFonts w:ascii="Arial" w:hAnsi="Arial" w:cs="Arial"/>
              <w:color w:val="0E101A"/>
            </w:rPr>
            <w:fldChar w:fldCharType="end"/>
          </w:r>
        </w:sdtContent>
      </w:sdt>
      <w:r w:rsidRPr="00AF08AD">
        <w:rPr>
          <w:rFonts w:ascii="Arial" w:hAnsi="Arial" w:cs="Arial"/>
          <w:color w:val="0E101A"/>
        </w:rPr>
        <w:t>.</w:t>
      </w:r>
      <w:r w:rsidR="00E21341" w:rsidRPr="00AF08AD">
        <w:rPr>
          <w:rFonts w:ascii="Arial" w:hAnsi="Arial" w:cs="Arial"/>
          <w:color w:val="0E101A"/>
        </w:rPr>
        <w:t xml:space="preserve"> In Sadie’s case she is facing difficulties in terms of the situation she is currently living in but fails to ask </w:t>
      </w:r>
      <w:r w:rsidR="00E21341" w:rsidRPr="00AF08AD">
        <w:rPr>
          <w:rFonts w:ascii="Arial" w:hAnsi="Arial" w:cs="Arial"/>
          <w:color w:val="0E101A"/>
        </w:rPr>
        <w:lastRenderedPageBreak/>
        <w:t xml:space="preserve">help from friends or neighbor because firstly she is proud and </w:t>
      </w:r>
      <w:r w:rsidR="00DD3D60" w:rsidRPr="00AF08AD">
        <w:rPr>
          <w:rFonts w:ascii="Arial" w:hAnsi="Arial" w:cs="Arial"/>
          <w:color w:val="0E101A"/>
        </w:rPr>
        <w:t>secondly,</w:t>
      </w:r>
      <w:r w:rsidR="00E21341" w:rsidRPr="00AF08AD">
        <w:rPr>
          <w:rFonts w:ascii="Arial" w:hAnsi="Arial" w:cs="Arial"/>
          <w:color w:val="0E101A"/>
        </w:rPr>
        <w:t xml:space="preserve"> she feels embarrassed of the situation she is living in and do not want anyone to visit her</w:t>
      </w:r>
      <w:r w:rsidRPr="00AF08AD">
        <w:rPr>
          <w:rFonts w:ascii="Arial" w:hAnsi="Arial" w:cs="Arial"/>
          <w:color w:val="0E101A"/>
        </w:rPr>
        <w:t>.</w:t>
      </w:r>
    </w:p>
    <w:p w14:paraId="015DAD5B" w14:textId="383C7B3F" w:rsidR="00BB2D0C" w:rsidRPr="00AF08AD" w:rsidRDefault="00BB2D0C"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 xml:space="preserve">There are several challenges and changes these elderly </w:t>
      </w:r>
      <w:r w:rsidR="00DD3D60" w:rsidRPr="00AF08AD">
        <w:rPr>
          <w:rFonts w:ascii="Arial" w:hAnsi="Arial" w:cs="Arial"/>
          <w:color w:val="0E101A"/>
        </w:rPr>
        <w:t>individual’s</w:t>
      </w:r>
      <w:r w:rsidRPr="00AF08AD">
        <w:rPr>
          <w:rFonts w:ascii="Arial" w:hAnsi="Arial" w:cs="Arial"/>
          <w:color w:val="0E101A"/>
        </w:rPr>
        <w:t xml:space="preserve"> experience. For instance, as a person enters the old age period, they are likely to experience age-related and handicaps issues such as</w:t>
      </w:r>
      <w:r w:rsidR="00393AD3" w:rsidRPr="00AF08AD">
        <w:rPr>
          <w:rFonts w:ascii="Arial" w:hAnsi="Arial" w:cs="Arial"/>
          <w:color w:val="0E101A"/>
        </w:rPr>
        <w:t xml:space="preserve"> decline in their interpersonal support during care services, lack of proper care given to the elderly adults. </w:t>
      </w:r>
      <w:r w:rsidR="00DD3D60" w:rsidRPr="00AF08AD">
        <w:rPr>
          <w:rFonts w:ascii="Arial" w:hAnsi="Arial" w:cs="Arial"/>
          <w:color w:val="0E101A"/>
        </w:rPr>
        <w:t>Moreover,</w:t>
      </w:r>
      <w:r w:rsidR="00393AD3" w:rsidRPr="00AF08AD">
        <w:rPr>
          <w:rFonts w:ascii="Arial" w:hAnsi="Arial" w:cs="Arial"/>
          <w:color w:val="0E101A"/>
        </w:rPr>
        <w:t xml:space="preserve"> there are challenges that are </w:t>
      </w:r>
      <w:proofErr w:type="gramStart"/>
      <w:r w:rsidR="00393AD3" w:rsidRPr="00AF08AD">
        <w:rPr>
          <w:rFonts w:ascii="Arial" w:hAnsi="Arial" w:cs="Arial"/>
          <w:color w:val="0E101A"/>
        </w:rPr>
        <w:t>most commonly experienced</w:t>
      </w:r>
      <w:proofErr w:type="gramEnd"/>
      <w:r w:rsidR="00393AD3" w:rsidRPr="00AF08AD">
        <w:rPr>
          <w:rFonts w:ascii="Arial" w:hAnsi="Arial" w:cs="Arial"/>
          <w:color w:val="0E101A"/>
        </w:rPr>
        <w:t xml:space="preserve"> by the older adults </w:t>
      </w:r>
      <w:r w:rsidRPr="00AF08AD">
        <w:rPr>
          <w:rFonts w:ascii="Arial" w:hAnsi="Arial" w:cs="Arial"/>
          <w:color w:val="0E101A"/>
        </w:rPr>
        <w:t>(</w:t>
      </w:r>
      <w:proofErr w:type="spellStart"/>
      <w:r w:rsidRPr="00AF08AD">
        <w:rPr>
          <w:rFonts w:ascii="Arial" w:hAnsi="Arial" w:cs="Arial"/>
          <w:color w:val="0E101A"/>
        </w:rPr>
        <w:t>Arslantas</w:t>
      </w:r>
      <w:proofErr w:type="spellEnd"/>
      <w:r w:rsidRPr="00AF08AD">
        <w:rPr>
          <w:rFonts w:ascii="Arial" w:hAnsi="Arial" w:cs="Arial"/>
          <w:color w:val="0E101A"/>
        </w:rPr>
        <w:t xml:space="preserve"> et al., 2015).</w:t>
      </w:r>
      <w:r w:rsidR="00393AD3" w:rsidRPr="00AF08AD">
        <w:rPr>
          <w:rFonts w:ascii="Arial" w:hAnsi="Arial" w:cs="Arial"/>
          <w:color w:val="0E101A"/>
        </w:rPr>
        <w:t xml:space="preserve"> Most of the elderly adults face difficulties to even build rapport with their care provider because of the fear of getting their personal information public and some of them due to lack of trust. </w:t>
      </w:r>
      <w:r w:rsidRPr="00AF08AD">
        <w:rPr>
          <w:rFonts w:ascii="Arial" w:hAnsi="Arial" w:cs="Arial"/>
          <w:color w:val="0E101A"/>
        </w:rPr>
        <w:t>Loneliness and social isolation are crucial growing concerns in an aging society (</w:t>
      </w:r>
      <w:proofErr w:type="spellStart"/>
      <w:r w:rsidRPr="00AF08AD">
        <w:rPr>
          <w:rFonts w:ascii="Arial" w:hAnsi="Arial" w:cs="Arial"/>
          <w:color w:val="0E101A"/>
        </w:rPr>
        <w:t>Fakoya</w:t>
      </w:r>
      <w:proofErr w:type="spellEnd"/>
      <w:r w:rsidRPr="00AF08AD">
        <w:rPr>
          <w:rFonts w:ascii="Arial" w:hAnsi="Arial" w:cs="Arial"/>
          <w:color w:val="0E101A"/>
        </w:rPr>
        <w:t xml:space="preserve"> et al., 2020). These elderly individuals also experience abuse in different forms. For instance, physical abuse, emotional, sexual, psychological, and financial abuse. About 10% of people over 65 are likely to experience some form of abuse (Patel et al., 2021).</w:t>
      </w:r>
    </w:p>
    <w:p w14:paraId="01D023DA" w14:textId="0019502D" w:rsidR="00F6345E" w:rsidRPr="00AF08AD" w:rsidRDefault="00F6345E" w:rsidP="00AF08AD">
      <w:pPr>
        <w:pStyle w:val="NormalWeb"/>
        <w:spacing w:before="0" w:beforeAutospacing="0" w:after="0" w:afterAutospacing="0" w:line="360" w:lineRule="auto"/>
        <w:jc w:val="both"/>
        <w:rPr>
          <w:rFonts w:ascii="Arial" w:hAnsi="Arial" w:cs="Arial"/>
          <w:color w:val="0E101A"/>
        </w:rPr>
      </w:pPr>
      <w:r w:rsidRPr="00AF08AD">
        <w:rPr>
          <w:rFonts w:ascii="Arial" w:hAnsi="Arial" w:cs="Arial"/>
          <w:color w:val="0E101A"/>
        </w:rPr>
        <w:t xml:space="preserve">According to Vickery et al. (2023), the pandemic has negatively challenged the independence and autonomy of elderly individuals. Moreover, these older adults could not socially interact and communicate with their family and friends due to the restrictions implemented within the UK due to the pandemic. This has resulted in </w:t>
      </w:r>
      <w:r w:rsidR="00D90DDD" w:rsidRPr="00AF08AD">
        <w:rPr>
          <w:rFonts w:ascii="Arial" w:hAnsi="Arial" w:cs="Arial"/>
          <w:color w:val="0E101A"/>
        </w:rPr>
        <w:t>most</w:t>
      </w:r>
      <w:r w:rsidRPr="00AF08AD">
        <w:rPr>
          <w:rFonts w:ascii="Arial" w:hAnsi="Arial" w:cs="Arial"/>
          <w:color w:val="0E101A"/>
        </w:rPr>
        <w:t xml:space="preserve"> older adults experiencing anxiety and depression because of staying alone and away from their families. The well-being of older adults worldwide was disrupted because of the pandemic. Most older adults reported having a tough time alone at home and taking care of themselves during the pandemic (</w:t>
      </w:r>
      <w:proofErr w:type="spellStart"/>
      <w:r w:rsidRPr="00AF08AD">
        <w:rPr>
          <w:rFonts w:ascii="Arial" w:hAnsi="Arial" w:cs="Arial"/>
          <w:color w:val="0E101A"/>
        </w:rPr>
        <w:t>Derrer</w:t>
      </w:r>
      <w:proofErr w:type="spellEnd"/>
      <w:r w:rsidRPr="00AF08AD">
        <w:rPr>
          <w:rFonts w:ascii="Arial" w:hAnsi="Arial" w:cs="Arial"/>
          <w:color w:val="0E101A"/>
        </w:rPr>
        <w:t>-Merk et al., 2023).</w:t>
      </w:r>
    </w:p>
    <w:p w14:paraId="28FC009E" w14:textId="77777777" w:rsidR="001E743A" w:rsidRPr="00AF08AD" w:rsidRDefault="001E743A" w:rsidP="00AF08AD">
      <w:pPr>
        <w:pStyle w:val="Heading1"/>
        <w:spacing w:line="360" w:lineRule="auto"/>
        <w:jc w:val="both"/>
        <w:rPr>
          <w:rFonts w:ascii="Arial" w:hAnsi="Arial" w:cs="Arial"/>
          <w:sz w:val="24"/>
          <w:szCs w:val="24"/>
        </w:rPr>
      </w:pPr>
      <w:bookmarkStart w:id="3" w:name="_Toc150868109"/>
      <w:r w:rsidRPr="00AF08AD">
        <w:rPr>
          <w:rFonts w:ascii="Arial" w:hAnsi="Arial" w:cs="Arial"/>
          <w:sz w:val="24"/>
          <w:szCs w:val="24"/>
        </w:rPr>
        <w:t>Current Health and Social Care Provision</w:t>
      </w:r>
      <w:bookmarkEnd w:id="3"/>
      <w:r w:rsidRPr="00AF08AD">
        <w:rPr>
          <w:rFonts w:ascii="Arial" w:hAnsi="Arial" w:cs="Arial"/>
          <w:sz w:val="24"/>
          <w:szCs w:val="24"/>
        </w:rPr>
        <w:t xml:space="preserve"> </w:t>
      </w:r>
    </w:p>
    <w:p w14:paraId="66B088FE" w14:textId="77777777" w:rsidR="001455AC" w:rsidRPr="00AF08AD" w:rsidRDefault="001455AC" w:rsidP="00AF08AD">
      <w:pPr>
        <w:jc w:val="both"/>
        <w:rPr>
          <w:rFonts w:ascii="Arial" w:hAnsi="Arial" w:cs="Arial"/>
          <w:szCs w:val="24"/>
        </w:rPr>
      </w:pPr>
      <w:r w:rsidRPr="00AF08AD">
        <w:rPr>
          <w:rFonts w:ascii="Arial" w:hAnsi="Arial" w:cs="Arial"/>
          <w:szCs w:val="24"/>
        </w:rPr>
        <w:t>There needs to be more health and social care services for older adults. Evidence indicates that access to healthcare services among adults with daily life activities is limited. Only some older people can access daily activities that increase their health and social care (Mai et al., 2022). Factors such as economic status, affordability for everyday life, limited resources, and other factors result in delivering insignificant care support to these people.</w:t>
      </w:r>
    </w:p>
    <w:p w14:paraId="1D8476CB" w14:textId="77777777" w:rsidR="001455AC" w:rsidRPr="00AF08AD" w:rsidRDefault="001455AC" w:rsidP="00AF08AD">
      <w:pPr>
        <w:jc w:val="both"/>
        <w:rPr>
          <w:rFonts w:ascii="Arial" w:hAnsi="Arial" w:cs="Arial"/>
          <w:szCs w:val="24"/>
        </w:rPr>
      </w:pPr>
      <w:r w:rsidRPr="00AF08AD">
        <w:rPr>
          <w:rFonts w:ascii="Arial" w:hAnsi="Arial" w:cs="Arial"/>
          <w:szCs w:val="24"/>
        </w:rPr>
        <w:t xml:space="preserve">According to Wu et al. (2022), primary care services are essential in addressing health inequalities and challenges of population aging. Older people are reportedly experiencing </w:t>
      </w:r>
      <w:r w:rsidRPr="00AF08AD">
        <w:rPr>
          <w:rFonts w:ascii="Arial" w:hAnsi="Arial" w:cs="Arial"/>
          <w:szCs w:val="24"/>
        </w:rPr>
        <w:lastRenderedPageBreak/>
        <w:t>chronic conditions and health problems that have more significant needs for healthcare, which is often lacking, and due to no proper implementations, older adults are left untreated and neglected. It is also reported that the current health and social care crisis affects the whole of society, but mostly older adults. People aged 65years or over 65 account for over 40% of hospital admissions. These older adults occupy around 2/3 of the hospital inpatient beds and are the most frequent health and social care service users (Royal College of Physicians, 2023).</w:t>
      </w:r>
    </w:p>
    <w:p w14:paraId="7DCE04F0" w14:textId="77777777" w:rsidR="001455AC" w:rsidRPr="00AF08AD" w:rsidRDefault="001455AC" w:rsidP="00AF08AD">
      <w:pPr>
        <w:jc w:val="both"/>
        <w:rPr>
          <w:rFonts w:ascii="Arial" w:hAnsi="Arial" w:cs="Arial"/>
          <w:szCs w:val="24"/>
        </w:rPr>
      </w:pPr>
      <w:r w:rsidRPr="00AF08AD">
        <w:rPr>
          <w:rFonts w:ascii="Arial" w:hAnsi="Arial" w:cs="Arial"/>
          <w:szCs w:val="24"/>
        </w:rPr>
        <w:t>Evidence indicates that the provision of adult social care is currently the responsibility of local authorities within the United Kingdom (Royal College of Physicians, 2018). These authorities are working differently and are funding social care, which is complex; adult social care is only given to some. Some older adults are likely to pay for their health care and the social care that is given to these individuals. Most elderly individuals are assessed by local authority social services that can help them identify their needs and funding options so that they can be treated with complete care (Royal College of Physicians, 2018).</w:t>
      </w:r>
    </w:p>
    <w:p w14:paraId="63A0580E" w14:textId="26382094" w:rsidR="009F7BAE" w:rsidRPr="00AF08AD" w:rsidRDefault="009F7BAE" w:rsidP="00AF08AD">
      <w:pPr>
        <w:tabs>
          <w:tab w:val="left" w:pos="2311"/>
        </w:tabs>
        <w:jc w:val="both"/>
        <w:rPr>
          <w:rFonts w:ascii="Arial" w:hAnsi="Arial" w:cs="Arial"/>
          <w:szCs w:val="24"/>
        </w:rPr>
      </w:pPr>
      <w:r w:rsidRPr="00AF08AD">
        <w:rPr>
          <w:rFonts w:ascii="Arial" w:hAnsi="Arial" w:cs="Arial"/>
          <w:szCs w:val="24"/>
        </w:rPr>
        <w:t xml:space="preserve">The number of older people </w:t>
      </w:r>
      <w:r w:rsidR="008D3D90" w:rsidRPr="00AF08AD">
        <w:rPr>
          <w:rFonts w:ascii="Arial" w:hAnsi="Arial" w:cs="Arial"/>
          <w:szCs w:val="24"/>
        </w:rPr>
        <w:t>is</w:t>
      </w:r>
      <w:r w:rsidRPr="00AF08AD">
        <w:rPr>
          <w:rFonts w:ascii="Arial" w:hAnsi="Arial" w:cs="Arial"/>
          <w:szCs w:val="24"/>
        </w:rPr>
        <w:t xml:space="preserve"> getting impacted because of lack of support available for everyone in need. Similarly, in Sadie case </w:t>
      </w:r>
      <w:r w:rsidR="00A12752" w:rsidRPr="00AF08AD">
        <w:rPr>
          <w:rFonts w:ascii="Arial" w:hAnsi="Arial" w:cs="Arial"/>
          <w:szCs w:val="24"/>
        </w:rPr>
        <w:t xml:space="preserve">if she will fail to receive proper care and health practices based on her need of care it will automatically impact her health and mental stability. It is important for Sadie to get care based on her needs which can help them eliminate the current challenges and live a better lifestyle. Poor care and lack of access to primary care will worse her condition and lead her to severe health impairments. Therefore, Sadie needs to be consulted by health professional who are focused and can deliver her the exact care she seeks for improvement in her health and social interactions.  </w:t>
      </w:r>
    </w:p>
    <w:p w14:paraId="195F0E72" w14:textId="77777777" w:rsidR="00082DB7" w:rsidRPr="00AF08AD" w:rsidRDefault="00082DB7" w:rsidP="00AF08AD">
      <w:pPr>
        <w:pStyle w:val="Heading1"/>
        <w:spacing w:line="360" w:lineRule="auto"/>
        <w:jc w:val="both"/>
        <w:rPr>
          <w:rFonts w:ascii="Arial" w:hAnsi="Arial" w:cs="Arial"/>
          <w:sz w:val="24"/>
          <w:szCs w:val="24"/>
        </w:rPr>
      </w:pPr>
      <w:bookmarkStart w:id="4" w:name="_Toc150868110"/>
      <w:r w:rsidRPr="00AF08AD">
        <w:rPr>
          <w:rFonts w:ascii="Arial" w:hAnsi="Arial" w:cs="Arial"/>
          <w:sz w:val="24"/>
          <w:szCs w:val="24"/>
        </w:rPr>
        <w:t>Government and Health Service</w:t>
      </w:r>
      <w:bookmarkEnd w:id="4"/>
      <w:r w:rsidRPr="00AF08AD">
        <w:rPr>
          <w:rFonts w:ascii="Arial" w:hAnsi="Arial" w:cs="Arial"/>
          <w:sz w:val="24"/>
          <w:szCs w:val="24"/>
        </w:rPr>
        <w:t xml:space="preserve"> </w:t>
      </w:r>
    </w:p>
    <w:p w14:paraId="6EB9DA77" w14:textId="77777777" w:rsidR="00145D9A" w:rsidRPr="00AF08AD" w:rsidRDefault="00145D9A" w:rsidP="00AF08AD">
      <w:pPr>
        <w:jc w:val="both"/>
        <w:rPr>
          <w:rFonts w:ascii="Arial" w:hAnsi="Arial" w:cs="Arial"/>
          <w:szCs w:val="24"/>
        </w:rPr>
      </w:pPr>
      <w:r w:rsidRPr="00AF08AD">
        <w:rPr>
          <w:rFonts w:ascii="Arial" w:hAnsi="Arial" w:cs="Arial"/>
          <w:szCs w:val="24"/>
        </w:rPr>
        <w:t xml:space="preserve">The government and the NHS are introducing and adopting different interventions and practices to help and support older adults to live better lifestyles and overcome the challenges and difficulties they face in accessing better care. The government has decided to include more healthcare workers in care homes and the healthcare system to avoid delays in care services and access to healthcare for older adults. Adding more </w:t>
      </w:r>
      <w:r w:rsidRPr="00AF08AD">
        <w:rPr>
          <w:rFonts w:ascii="Arial" w:hAnsi="Arial" w:cs="Arial"/>
          <w:szCs w:val="24"/>
        </w:rPr>
        <w:lastRenderedPageBreak/>
        <w:t>healthcare workers can provide adequate care to older adults and avoid failures, lack of access, and delays in care services.</w:t>
      </w:r>
    </w:p>
    <w:p w14:paraId="6AFF0A21" w14:textId="60918C5C" w:rsidR="00145D9A" w:rsidRPr="00AF08AD" w:rsidRDefault="003E5700" w:rsidP="00AF08AD">
      <w:pPr>
        <w:jc w:val="both"/>
        <w:rPr>
          <w:rFonts w:ascii="Arial" w:hAnsi="Arial" w:cs="Arial"/>
          <w:szCs w:val="24"/>
        </w:rPr>
      </w:pPr>
      <w:r w:rsidRPr="00AF08AD">
        <w:rPr>
          <w:rFonts w:ascii="Arial" w:hAnsi="Arial" w:cs="Arial"/>
          <w:szCs w:val="24"/>
        </w:rPr>
        <w:t xml:space="preserve">The </w:t>
      </w:r>
      <w:r w:rsidR="00145D9A" w:rsidRPr="00AF08AD">
        <w:rPr>
          <w:rFonts w:ascii="Arial" w:hAnsi="Arial" w:cs="Arial"/>
          <w:szCs w:val="24"/>
        </w:rPr>
        <w:t>NHS England</w:t>
      </w:r>
      <w:r w:rsidRPr="00AF08AD">
        <w:rPr>
          <w:rFonts w:ascii="Arial" w:hAnsi="Arial" w:cs="Arial"/>
          <w:szCs w:val="24"/>
        </w:rPr>
        <w:t xml:space="preserve"> is working with different individuals and </w:t>
      </w:r>
      <w:r w:rsidR="008D3D90" w:rsidRPr="00AF08AD">
        <w:rPr>
          <w:rFonts w:ascii="Arial" w:hAnsi="Arial" w:cs="Arial"/>
          <w:szCs w:val="24"/>
        </w:rPr>
        <w:t>organizations</w:t>
      </w:r>
      <w:r w:rsidRPr="00AF08AD">
        <w:rPr>
          <w:rFonts w:ascii="Arial" w:hAnsi="Arial" w:cs="Arial"/>
          <w:szCs w:val="24"/>
        </w:rPr>
        <w:t xml:space="preserve"> in terms of developing and improving living standards of older adults. The </w:t>
      </w:r>
      <w:r w:rsidR="008D3D90" w:rsidRPr="00AF08AD">
        <w:rPr>
          <w:rFonts w:ascii="Arial" w:hAnsi="Arial" w:cs="Arial"/>
          <w:szCs w:val="24"/>
        </w:rPr>
        <w:t>goal</w:t>
      </w:r>
      <w:r w:rsidRPr="00AF08AD">
        <w:rPr>
          <w:rFonts w:ascii="Arial" w:hAnsi="Arial" w:cs="Arial"/>
          <w:szCs w:val="24"/>
        </w:rPr>
        <w:t xml:space="preserve"> of the NHS is to support older adults in need of care and are aging within the UK. </w:t>
      </w:r>
      <w:r w:rsidR="00727AC5" w:rsidRPr="00AF08AD">
        <w:rPr>
          <w:rFonts w:ascii="Arial" w:hAnsi="Arial" w:cs="Arial"/>
          <w:szCs w:val="24"/>
        </w:rPr>
        <w:t xml:space="preserve">The NHS has also introduced effective </w:t>
      </w:r>
      <w:proofErr w:type="spellStart"/>
      <w:r w:rsidR="00727AC5" w:rsidRPr="00AF08AD">
        <w:rPr>
          <w:rFonts w:ascii="Arial" w:hAnsi="Arial" w:cs="Arial"/>
          <w:szCs w:val="24"/>
        </w:rPr>
        <w:t>programmes</w:t>
      </w:r>
      <w:proofErr w:type="spellEnd"/>
      <w:r w:rsidR="00727AC5" w:rsidRPr="00AF08AD">
        <w:rPr>
          <w:rFonts w:ascii="Arial" w:hAnsi="Arial" w:cs="Arial"/>
          <w:szCs w:val="24"/>
        </w:rPr>
        <w:t xml:space="preserve"> and practices within the UK that have resulted into positive outcomes on healthcare of older adults. Moreover, another effective initiative is </w:t>
      </w:r>
      <w:r w:rsidR="00145D9A" w:rsidRPr="00AF08AD">
        <w:rPr>
          <w:rFonts w:ascii="Arial" w:hAnsi="Arial" w:cs="Arial"/>
          <w:szCs w:val="24"/>
        </w:rPr>
        <w:t xml:space="preserve">a toolkit for general practice in supporting older people living with frailty, and personalized care planning </w:t>
      </w:r>
      <w:r w:rsidR="008D3D90" w:rsidRPr="00AF08AD">
        <w:rPr>
          <w:rFonts w:ascii="Arial" w:hAnsi="Arial" w:cs="Arial"/>
          <w:szCs w:val="24"/>
        </w:rPr>
        <w:t>is</w:t>
      </w:r>
      <w:r w:rsidR="00145D9A" w:rsidRPr="00AF08AD">
        <w:rPr>
          <w:rFonts w:ascii="Arial" w:hAnsi="Arial" w:cs="Arial"/>
          <w:szCs w:val="24"/>
        </w:rPr>
        <w:t xml:space="preserve"> an effective implementation by the government of the UK to improve the living standards of these older adults within the UK. According to Carvalho et al. (2017), fundamental shifts occur in countries focusing on clinical care for older people in need. For instance, interventions that optimize older adults' physical and mental capacities enable them to do what they value. For example, the NHS had spent most of its budget on people over 65.</w:t>
      </w:r>
    </w:p>
    <w:p w14:paraId="55347A6A" w14:textId="24C985CC" w:rsidR="001B3280" w:rsidRPr="00AF08AD" w:rsidRDefault="00145D9A" w:rsidP="00AF08AD">
      <w:pPr>
        <w:jc w:val="both"/>
        <w:rPr>
          <w:rFonts w:ascii="Arial" w:hAnsi="Arial" w:cs="Arial"/>
          <w:szCs w:val="24"/>
        </w:rPr>
      </w:pPr>
      <w:r w:rsidRPr="00AF08AD">
        <w:rPr>
          <w:rFonts w:ascii="Arial" w:hAnsi="Arial" w:cs="Arial"/>
          <w:szCs w:val="24"/>
        </w:rPr>
        <w:t>Modernizing social services is an effective plan that sets out the government's proposal to achieve social services that promote people's independence. Moreover, it improves protection for vulnerable people and raises standards across the board. On the other hand, the National Service Framework for Older People is considered the critical vehicle th</w:t>
      </w:r>
      <w:r w:rsidR="00727AC5" w:rsidRPr="00AF08AD">
        <w:rPr>
          <w:rFonts w:ascii="Arial" w:hAnsi="Arial" w:cs="Arial"/>
          <w:szCs w:val="24"/>
        </w:rPr>
        <w:t>at make sure that every need of older</w:t>
      </w:r>
      <w:r w:rsidRPr="00AF08AD">
        <w:rPr>
          <w:rFonts w:ascii="Arial" w:hAnsi="Arial" w:cs="Arial"/>
          <w:szCs w:val="24"/>
        </w:rPr>
        <w:t xml:space="preserve"> people </w:t>
      </w:r>
      <w:r w:rsidR="008D3D90" w:rsidRPr="00AF08AD">
        <w:rPr>
          <w:rFonts w:ascii="Arial" w:hAnsi="Arial" w:cs="Arial"/>
          <w:szCs w:val="24"/>
        </w:rPr>
        <w:t>is</w:t>
      </w:r>
      <w:r w:rsidRPr="00AF08AD">
        <w:rPr>
          <w:rFonts w:ascii="Arial" w:hAnsi="Arial" w:cs="Arial"/>
          <w:szCs w:val="24"/>
        </w:rPr>
        <w:t xml:space="preserve"> </w:t>
      </w:r>
      <w:r w:rsidR="00726FA3" w:rsidRPr="00AF08AD">
        <w:rPr>
          <w:rFonts w:ascii="Arial" w:hAnsi="Arial" w:cs="Arial"/>
          <w:szCs w:val="24"/>
        </w:rPr>
        <w:t xml:space="preserve">at </w:t>
      </w:r>
      <w:r w:rsidRPr="00AF08AD">
        <w:rPr>
          <w:rFonts w:ascii="Arial" w:hAnsi="Arial" w:cs="Arial"/>
          <w:szCs w:val="24"/>
        </w:rPr>
        <w:t xml:space="preserve">the priority and </w:t>
      </w:r>
      <w:r w:rsidR="00727AC5" w:rsidRPr="00AF08AD">
        <w:rPr>
          <w:rFonts w:ascii="Arial" w:hAnsi="Arial" w:cs="Arial"/>
          <w:szCs w:val="24"/>
        </w:rPr>
        <w:t xml:space="preserve">crucial for health and social service </w:t>
      </w:r>
      <w:r w:rsidRPr="00AF08AD">
        <w:rPr>
          <w:rFonts w:ascii="Arial" w:hAnsi="Arial" w:cs="Arial"/>
          <w:szCs w:val="24"/>
        </w:rPr>
        <w:t>reform program</w:t>
      </w:r>
      <w:r w:rsidR="002F5C3E" w:rsidRPr="00AF08AD">
        <w:rPr>
          <w:rFonts w:ascii="Arial" w:hAnsi="Arial" w:cs="Arial"/>
          <w:szCs w:val="24"/>
        </w:rPr>
        <w:t xml:space="preserve"> </w:t>
      </w:r>
      <w:sdt>
        <w:sdtPr>
          <w:rPr>
            <w:rFonts w:ascii="Arial" w:hAnsi="Arial" w:cs="Arial"/>
            <w:szCs w:val="24"/>
          </w:rPr>
          <w:id w:val="-485099153"/>
          <w:citation/>
        </w:sdtPr>
        <w:sdtEndPr/>
        <w:sdtContent>
          <w:r w:rsidR="002F5C3E" w:rsidRPr="00AF08AD">
            <w:rPr>
              <w:rFonts w:ascii="Arial" w:hAnsi="Arial" w:cs="Arial"/>
              <w:szCs w:val="24"/>
            </w:rPr>
            <w:fldChar w:fldCharType="begin"/>
          </w:r>
          <w:r w:rsidR="002F5C3E" w:rsidRPr="00AF08AD">
            <w:rPr>
              <w:rFonts w:ascii="Arial" w:hAnsi="Arial" w:cs="Arial"/>
              <w:szCs w:val="24"/>
            </w:rPr>
            <w:instrText xml:space="preserve"> CITATION Dep01 \l 1033 </w:instrText>
          </w:r>
          <w:r w:rsidR="002F5C3E" w:rsidRPr="00AF08AD">
            <w:rPr>
              <w:rFonts w:ascii="Arial" w:hAnsi="Arial" w:cs="Arial"/>
              <w:szCs w:val="24"/>
            </w:rPr>
            <w:fldChar w:fldCharType="separate"/>
          </w:r>
          <w:r w:rsidR="002F5C3E" w:rsidRPr="00AF08AD">
            <w:rPr>
              <w:rFonts w:ascii="Arial" w:hAnsi="Arial" w:cs="Arial"/>
              <w:noProof/>
              <w:szCs w:val="24"/>
            </w:rPr>
            <w:t>(Department of Health, 2001)</w:t>
          </w:r>
          <w:r w:rsidR="002F5C3E" w:rsidRPr="00AF08AD">
            <w:rPr>
              <w:rFonts w:ascii="Arial" w:hAnsi="Arial" w:cs="Arial"/>
              <w:szCs w:val="24"/>
            </w:rPr>
            <w:fldChar w:fldCharType="end"/>
          </w:r>
        </w:sdtContent>
      </w:sdt>
      <w:r w:rsidRPr="00AF08AD">
        <w:rPr>
          <w:rFonts w:ascii="Arial" w:hAnsi="Arial" w:cs="Arial"/>
          <w:szCs w:val="24"/>
        </w:rPr>
        <w:t xml:space="preserve">. The NHS has also developed NSF for older people, the National Service Framework for Older People. </w:t>
      </w:r>
    </w:p>
    <w:p w14:paraId="59491A09" w14:textId="48B6365A" w:rsidR="00145D9A" w:rsidRPr="00AF08AD" w:rsidRDefault="00145D9A" w:rsidP="00AF08AD">
      <w:pPr>
        <w:jc w:val="both"/>
        <w:rPr>
          <w:rFonts w:ascii="Arial" w:hAnsi="Arial" w:cs="Arial"/>
          <w:szCs w:val="24"/>
        </w:rPr>
      </w:pPr>
      <w:r w:rsidRPr="00AF08AD">
        <w:rPr>
          <w:rFonts w:ascii="Arial" w:hAnsi="Arial" w:cs="Arial"/>
          <w:szCs w:val="24"/>
        </w:rPr>
        <w:t xml:space="preserve">The agenda </w:t>
      </w:r>
      <w:r w:rsidR="001B3280" w:rsidRPr="00AF08AD">
        <w:rPr>
          <w:rFonts w:ascii="Arial" w:hAnsi="Arial" w:cs="Arial"/>
          <w:szCs w:val="24"/>
        </w:rPr>
        <w:t xml:space="preserve">of NSF </w:t>
      </w:r>
      <w:r w:rsidRPr="00AF08AD">
        <w:rPr>
          <w:rFonts w:ascii="Arial" w:hAnsi="Arial" w:cs="Arial"/>
          <w:szCs w:val="24"/>
        </w:rPr>
        <w:t>outlines eight standards to govern older adults’ services</w:t>
      </w:r>
      <w:r w:rsidR="00CC2874" w:rsidRPr="00AF08AD">
        <w:rPr>
          <w:rFonts w:ascii="Arial" w:hAnsi="Arial" w:cs="Arial"/>
          <w:szCs w:val="24"/>
        </w:rPr>
        <w:t xml:space="preserve"> </w:t>
      </w:r>
      <w:sdt>
        <w:sdtPr>
          <w:rPr>
            <w:rFonts w:ascii="Arial" w:hAnsi="Arial" w:cs="Arial"/>
            <w:szCs w:val="24"/>
          </w:rPr>
          <w:id w:val="-919562526"/>
          <w:citation/>
        </w:sdtPr>
        <w:sdtEndPr/>
        <w:sdtContent>
          <w:r w:rsidR="00CC2874" w:rsidRPr="00AF08AD">
            <w:rPr>
              <w:rFonts w:ascii="Arial" w:hAnsi="Arial" w:cs="Arial"/>
              <w:szCs w:val="24"/>
            </w:rPr>
            <w:fldChar w:fldCharType="begin"/>
          </w:r>
          <w:r w:rsidR="00CC2874" w:rsidRPr="00AF08AD">
            <w:rPr>
              <w:rFonts w:ascii="Arial" w:hAnsi="Arial" w:cs="Arial"/>
              <w:szCs w:val="24"/>
            </w:rPr>
            <w:instrText xml:space="preserve"> CITATION The01 \l 1033 </w:instrText>
          </w:r>
          <w:r w:rsidR="00CC2874" w:rsidRPr="00AF08AD">
            <w:rPr>
              <w:rFonts w:ascii="Arial" w:hAnsi="Arial" w:cs="Arial"/>
              <w:szCs w:val="24"/>
            </w:rPr>
            <w:fldChar w:fldCharType="separate"/>
          </w:r>
          <w:r w:rsidR="00CC2874" w:rsidRPr="00AF08AD">
            <w:rPr>
              <w:rFonts w:ascii="Arial" w:hAnsi="Arial" w:cs="Arial"/>
              <w:noProof/>
              <w:szCs w:val="24"/>
            </w:rPr>
            <w:t>(The Health Foundation, 2001)</w:t>
          </w:r>
          <w:r w:rsidR="00CC2874" w:rsidRPr="00AF08AD">
            <w:rPr>
              <w:rFonts w:ascii="Arial" w:hAnsi="Arial" w:cs="Arial"/>
              <w:szCs w:val="24"/>
            </w:rPr>
            <w:fldChar w:fldCharType="end"/>
          </w:r>
        </w:sdtContent>
      </w:sdt>
      <w:r w:rsidRPr="00AF08AD">
        <w:rPr>
          <w:rFonts w:ascii="Arial" w:hAnsi="Arial" w:cs="Arial"/>
          <w:szCs w:val="24"/>
        </w:rPr>
        <w:t>. Two measures are related to eliminating age discrimination and promoting person-centered care among older adults.</w:t>
      </w:r>
      <w:r w:rsidR="00AD7243" w:rsidRPr="00AF08AD">
        <w:rPr>
          <w:rFonts w:ascii="Arial" w:hAnsi="Arial" w:cs="Arial"/>
          <w:szCs w:val="24"/>
        </w:rPr>
        <w:t xml:space="preserve"> </w:t>
      </w:r>
      <w:r w:rsidR="008D3D90" w:rsidRPr="00AF08AD">
        <w:rPr>
          <w:rFonts w:ascii="Arial" w:hAnsi="Arial" w:cs="Arial"/>
          <w:szCs w:val="24"/>
        </w:rPr>
        <w:t>Moreover,</w:t>
      </w:r>
      <w:r w:rsidR="00AD7243" w:rsidRPr="00AF08AD">
        <w:rPr>
          <w:rFonts w:ascii="Arial" w:hAnsi="Arial" w:cs="Arial"/>
          <w:szCs w:val="24"/>
        </w:rPr>
        <w:t xml:space="preserve"> the initiative promotes respect for the older adults and development of intermediate care between primary and hospital care services for the older adults. It also includes uses of specialist care and assistances for older adults who are seeking care to fulfill their health and care needs. </w:t>
      </w:r>
    </w:p>
    <w:p w14:paraId="6478A9D4" w14:textId="0AB006B6" w:rsidR="00C5591F" w:rsidRPr="00AF08AD" w:rsidRDefault="00C5591F" w:rsidP="00AF08AD">
      <w:pPr>
        <w:jc w:val="both"/>
        <w:rPr>
          <w:rFonts w:ascii="Arial" w:hAnsi="Arial" w:cs="Arial"/>
          <w:szCs w:val="24"/>
        </w:rPr>
      </w:pPr>
      <w:r w:rsidRPr="00AF08AD">
        <w:rPr>
          <w:rFonts w:ascii="Arial" w:hAnsi="Arial" w:cs="Arial"/>
          <w:szCs w:val="24"/>
        </w:rPr>
        <w:t xml:space="preserve">World Health </w:t>
      </w:r>
      <w:r w:rsidR="00736CAB" w:rsidRPr="00AF08AD">
        <w:rPr>
          <w:rFonts w:ascii="Arial" w:hAnsi="Arial" w:cs="Arial"/>
          <w:szCs w:val="24"/>
        </w:rPr>
        <w:t>Organization</w:t>
      </w:r>
      <w:r w:rsidRPr="00AF08AD">
        <w:rPr>
          <w:rFonts w:ascii="Arial" w:hAnsi="Arial" w:cs="Arial"/>
          <w:szCs w:val="24"/>
        </w:rPr>
        <w:t xml:space="preserve"> (WHO) has also initiated approach and has described the type of care needed for aging population as an integrated health care for older adults. The WHO states that the care needs to be integrated at macro level, policy level, </w:t>
      </w:r>
      <w:proofErr w:type="spellStart"/>
      <w:r w:rsidRPr="00AF08AD">
        <w:rPr>
          <w:rFonts w:ascii="Arial" w:hAnsi="Arial" w:cs="Arial"/>
          <w:szCs w:val="24"/>
        </w:rPr>
        <w:t>meso</w:t>
      </w:r>
      <w:proofErr w:type="spellEnd"/>
      <w:r w:rsidRPr="00AF08AD">
        <w:rPr>
          <w:rFonts w:ascii="Arial" w:hAnsi="Arial" w:cs="Arial"/>
          <w:szCs w:val="24"/>
        </w:rPr>
        <w:t xml:space="preserve"> level, </w:t>
      </w:r>
      <w:r w:rsidRPr="00AF08AD">
        <w:rPr>
          <w:rFonts w:ascii="Arial" w:hAnsi="Arial" w:cs="Arial"/>
          <w:szCs w:val="24"/>
        </w:rPr>
        <w:lastRenderedPageBreak/>
        <w:t xml:space="preserve">at organizational and professional level so that older adults are able to get the care and services they aim to achieve in order to change their living standard and have positive health outcomes </w:t>
      </w:r>
      <w:sdt>
        <w:sdtPr>
          <w:rPr>
            <w:rFonts w:ascii="Arial" w:hAnsi="Arial" w:cs="Arial"/>
            <w:szCs w:val="24"/>
          </w:rPr>
          <w:id w:val="-1995090829"/>
          <w:citation/>
        </w:sdtPr>
        <w:sdtEndPr/>
        <w:sdtContent>
          <w:r w:rsidRPr="00AF08AD">
            <w:rPr>
              <w:rFonts w:ascii="Arial" w:hAnsi="Arial" w:cs="Arial"/>
              <w:szCs w:val="24"/>
            </w:rPr>
            <w:fldChar w:fldCharType="begin"/>
          </w:r>
          <w:r w:rsidRPr="00AF08AD">
            <w:rPr>
              <w:rFonts w:ascii="Arial" w:hAnsi="Arial" w:cs="Arial"/>
              <w:szCs w:val="24"/>
            </w:rPr>
            <w:instrText xml:space="preserve"> CITATION Car172 \l 1033 </w:instrText>
          </w:r>
          <w:r w:rsidRPr="00AF08AD">
            <w:rPr>
              <w:rFonts w:ascii="Arial" w:hAnsi="Arial" w:cs="Arial"/>
              <w:szCs w:val="24"/>
            </w:rPr>
            <w:fldChar w:fldCharType="separate"/>
          </w:r>
          <w:r w:rsidRPr="00AF08AD">
            <w:rPr>
              <w:rFonts w:ascii="Arial" w:hAnsi="Arial" w:cs="Arial"/>
              <w:noProof/>
              <w:szCs w:val="24"/>
            </w:rPr>
            <w:t>(Carvalho, et al., 2017)</w:t>
          </w:r>
          <w:r w:rsidRPr="00AF08AD">
            <w:rPr>
              <w:rFonts w:ascii="Arial" w:hAnsi="Arial" w:cs="Arial"/>
              <w:szCs w:val="24"/>
            </w:rPr>
            <w:fldChar w:fldCharType="end"/>
          </w:r>
        </w:sdtContent>
      </w:sdt>
      <w:r w:rsidRPr="00AF08AD">
        <w:rPr>
          <w:rFonts w:ascii="Arial" w:hAnsi="Arial" w:cs="Arial"/>
          <w:szCs w:val="24"/>
        </w:rPr>
        <w:t>.</w:t>
      </w:r>
    </w:p>
    <w:p w14:paraId="29ABEAF9" w14:textId="77777777" w:rsidR="002776DE" w:rsidRPr="00AF08AD" w:rsidRDefault="002776DE" w:rsidP="00AF08AD">
      <w:pPr>
        <w:pStyle w:val="Heading2"/>
        <w:jc w:val="both"/>
        <w:rPr>
          <w:rFonts w:ascii="Arial" w:hAnsi="Arial" w:cs="Arial"/>
          <w:sz w:val="24"/>
          <w:szCs w:val="24"/>
        </w:rPr>
      </w:pPr>
      <w:bookmarkStart w:id="5" w:name="_Toc150868112"/>
      <w:r w:rsidRPr="00AF08AD">
        <w:rPr>
          <w:rFonts w:ascii="Arial" w:hAnsi="Arial" w:cs="Arial"/>
          <w:sz w:val="24"/>
          <w:szCs w:val="24"/>
        </w:rPr>
        <w:t>Maslow theory</w:t>
      </w:r>
      <w:bookmarkEnd w:id="5"/>
      <w:r w:rsidRPr="00AF08AD">
        <w:rPr>
          <w:rFonts w:ascii="Arial" w:hAnsi="Arial" w:cs="Arial"/>
          <w:sz w:val="24"/>
          <w:szCs w:val="24"/>
        </w:rPr>
        <w:t xml:space="preserve"> </w:t>
      </w:r>
    </w:p>
    <w:p w14:paraId="436211EC" w14:textId="77777777" w:rsidR="00DE4E48" w:rsidRPr="00AF08AD" w:rsidRDefault="00DE4E48" w:rsidP="00AF08AD">
      <w:pPr>
        <w:jc w:val="both"/>
        <w:rPr>
          <w:rFonts w:ascii="Arial" w:hAnsi="Arial" w:cs="Arial"/>
          <w:szCs w:val="24"/>
        </w:rPr>
      </w:pPr>
      <w:r w:rsidRPr="00AF08AD">
        <w:rPr>
          <w:rFonts w:ascii="Arial" w:hAnsi="Arial" w:cs="Arial"/>
          <w:szCs w:val="24"/>
        </w:rPr>
        <w:t>Maslow's theory is another practical theory based on the hierarchy of five needs that help and motivate human behavior. The theory suggests that people are encouraged to fulfill their needs hierarchically. Similarly, older people are satisfied and motivated when they can meet their needs. The theory's main point is that, in general, people are motivated to achieve specific needs and that some needs take precedence over others.</w:t>
      </w:r>
    </w:p>
    <w:p w14:paraId="24565ECE" w14:textId="107A43E4" w:rsidR="00DE4E48" w:rsidRPr="00AF08AD" w:rsidRDefault="00DE4E48" w:rsidP="00AF08AD">
      <w:pPr>
        <w:jc w:val="both"/>
        <w:rPr>
          <w:rFonts w:ascii="Arial" w:hAnsi="Arial" w:cs="Arial"/>
          <w:szCs w:val="24"/>
        </w:rPr>
      </w:pPr>
      <w:r w:rsidRPr="00AF08AD">
        <w:rPr>
          <w:rFonts w:ascii="Arial" w:hAnsi="Arial" w:cs="Arial"/>
          <w:szCs w:val="24"/>
        </w:rPr>
        <w:t xml:space="preserve">Older people think differently than adults or younger people. The elderly see, feel, and believe differently in the environment and their functions, relationships, safety, and esteem. Therefore, these older adults' self-actualization will likely be in a different construct than someone half their age. When a person </w:t>
      </w:r>
      <w:r w:rsidR="00D9633F" w:rsidRPr="00AF08AD">
        <w:rPr>
          <w:rFonts w:ascii="Arial" w:hAnsi="Arial" w:cs="Arial"/>
          <w:szCs w:val="24"/>
        </w:rPr>
        <w:t>ages</w:t>
      </w:r>
      <w:r w:rsidRPr="00AF08AD">
        <w:rPr>
          <w:rFonts w:ascii="Arial" w:hAnsi="Arial" w:cs="Arial"/>
          <w:szCs w:val="24"/>
        </w:rPr>
        <w:t>, the</w:t>
      </w:r>
      <w:r w:rsidR="00D9633F">
        <w:rPr>
          <w:rFonts w:ascii="Arial" w:hAnsi="Arial" w:cs="Arial"/>
          <w:szCs w:val="24"/>
        </w:rPr>
        <w:t>ir</w:t>
      </w:r>
      <w:r w:rsidRPr="00AF08AD">
        <w:rPr>
          <w:rFonts w:ascii="Arial" w:hAnsi="Arial" w:cs="Arial"/>
          <w:szCs w:val="24"/>
        </w:rPr>
        <w:t xml:space="preserve"> priorities </w:t>
      </w:r>
      <w:r w:rsidR="00D9633F" w:rsidRPr="00AF08AD">
        <w:rPr>
          <w:rFonts w:ascii="Arial" w:hAnsi="Arial" w:cs="Arial"/>
          <w:szCs w:val="24"/>
        </w:rPr>
        <w:t>start</w:t>
      </w:r>
      <w:r w:rsidRPr="00AF08AD">
        <w:rPr>
          <w:rFonts w:ascii="Arial" w:hAnsi="Arial" w:cs="Arial"/>
          <w:szCs w:val="24"/>
        </w:rPr>
        <w:t xml:space="preserve"> to change. For example, for a younger adult, earning money and fulfilling the needs of the family and children is essential. At the same time, older people will think of using the money they save on their care to live healthier. However, both require basic needs in life to live a better lifestyle.</w:t>
      </w:r>
      <w:r w:rsidR="00E77F68" w:rsidRPr="00AF08AD">
        <w:rPr>
          <w:rFonts w:ascii="Arial" w:hAnsi="Arial" w:cs="Arial"/>
          <w:szCs w:val="24"/>
        </w:rPr>
        <w:t xml:space="preserve"> </w:t>
      </w:r>
    </w:p>
    <w:p w14:paraId="207FD709" w14:textId="77777777" w:rsidR="005E6D52" w:rsidRPr="00AF08AD" w:rsidRDefault="002776DE" w:rsidP="00AF08AD">
      <w:pPr>
        <w:pStyle w:val="Heading2"/>
        <w:jc w:val="both"/>
        <w:rPr>
          <w:rFonts w:ascii="Arial" w:hAnsi="Arial" w:cs="Arial"/>
          <w:sz w:val="24"/>
          <w:szCs w:val="24"/>
        </w:rPr>
      </w:pPr>
      <w:bookmarkStart w:id="6" w:name="_Toc150868113"/>
      <w:r w:rsidRPr="00AF08AD">
        <w:rPr>
          <w:rFonts w:ascii="Arial" w:hAnsi="Arial" w:cs="Arial"/>
          <w:sz w:val="24"/>
          <w:szCs w:val="24"/>
        </w:rPr>
        <w:t>Disengagement</w:t>
      </w:r>
      <w:bookmarkEnd w:id="6"/>
      <w:r w:rsidRPr="00AF08AD">
        <w:rPr>
          <w:rFonts w:ascii="Arial" w:hAnsi="Arial" w:cs="Arial"/>
          <w:sz w:val="24"/>
          <w:szCs w:val="24"/>
        </w:rPr>
        <w:t xml:space="preserve"> </w:t>
      </w:r>
    </w:p>
    <w:p w14:paraId="636931B5" w14:textId="77777777" w:rsidR="008B0068" w:rsidRPr="00AF08AD" w:rsidRDefault="008B0068" w:rsidP="00AF08AD">
      <w:pPr>
        <w:jc w:val="both"/>
        <w:rPr>
          <w:rFonts w:ascii="Arial" w:hAnsi="Arial" w:cs="Arial"/>
          <w:szCs w:val="24"/>
        </w:rPr>
      </w:pPr>
      <w:r w:rsidRPr="00AF08AD">
        <w:rPr>
          <w:rFonts w:ascii="Arial" w:hAnsi="Arial" w:cs="Arial"/>
          <w:szCs w:val="24"/>
        </w:rPr>
        <w:t>The disengagement theory outlines a process focused on disengagement from social life experienced by individuals as they age and become older (Crossman, 2019). Over time, when a person starts to turn old, they start to withdraw or disengage themselves from social roles and relationships central to their adulthood life. Similarly, when older adults start to age or develop the habit of staying alone away from their families, they are often disengaged from the social lifestyle and habits that used to be the most important part of life.</w:t>
      </w:r>
    </w:p>
    <w:p w14:paraId="55A4EADB" w14:textId="77777777" w:rsidR="008B0068" w:rsidRPr="00AF08AD" w:rsidRDefault="008B0068" w:rsidP="00AF08AD">
      <w:pPr>
        <w:jc w:val="both"/>
        <w:rPr>
          <w:rFonts w:ascii="Arial" w:hAnsi="Arial" w:cs="Arial"/>
          <w:szCs w:val="24"/>
        </w:rPr>
      </w:pPr>
      <w:r w:rsidRPr="00AF08AD">
        <w:rPr>
          <w:rFonts w:ascii="Arial" w:hAnsi="Arial" w:cs="Arial"/>
          <w:szCs w:val="24"/>
        </w:rPr>
        <w:t>Most elderly adults disengage from social interactions because of their ability to engage with others, which decreases over time. Moreover, these older adults freed themselves from the social norms because of the change in their personality (</w:t>
      </w:r>
      <w:proofErr w:type="spellStart"/>
      <w:r w:rsidRPr="00AF08AD">
        <w:rPr>
          <w:rFonts w:ascii="Arial" w:hAnsi="Arial" w:cs="Arial"/>
          <w:szCs w:val="24"/>
        </w:rPr>
        <w:t>Pruchno</w:t>
      </w:r>
      <w:proofErr w:type="spellEnd"/>
      <w:r w:rsidRPr="00AF08AD">
        <w:rPr>
          <w:rFonts w:ascii="Arial" w:hAnsi="Arial" w:cs="Arial"/>
          <w:szCs w:val="24"/>
        </w:rPr>
        <w:t xml:space="preserve">, 2021). Some </w:t>
      </w:r>
      <w:r w:rsidRPr="00AF08AD">
        <w:rPr>
          <w:rFonts w:ascii="Arial" w:hAnsi="Arial" w:cs="Arial"/>
          <w:szCs w:val="24"/>
        </w:rPr>
        <w:lastRenderedPageBreak/>
        <w:t>of them lose touch with norms, leading them to disengage from others and from socializing with their communities and friends.</w:t>
      </w:r>
    </w:p>
    <w:p w14:paraId="32D2C84C" w14:textId="77777777" w:rsidR="008B0068" w:rsidRPr="00AF08AD" w:rsidRDefault="008B0068" w:rsidP="00AF08AD">
      <w:pPr>
        <w:jc w:val="both"/>
        <w:rPr>
          <w:rFonts w:ascii="Arial" w:hAnsi="Arial" w:cs="Arial"/>
          <w:szCs w:val="24"/>
        </w:rPr>
      </w:pPr>
      <w:r w:rsidRPr="00AF08AD">
        <w:rPr>
          <w:rFonts w:ascii="Arial" w:hAnsi="Arial" w:cs="Arial"/>
          <w:szCs w:val="24"/>
        </w:rPr>
        <w:t>There is evidence indicating that growing old is not a cheerful time. However, it is a time when older adults try to discontinue interaction with most people. These older adults gradually fade from the social system, which was once an essential part of adulthood (Zhang &amp; Lin, 2022).</w:t>
      </w:r>
    </w:p>
    <w:p w14:paraId="5B5AE54C" w14:textId="77777777" w:rsidR="002776DE" w:rsidRPr="00AF08AD" w:rsidRDefault="002776DE" w:rsidP="00AF08AD">
      <w:pPr>
        <w:pStyle w:val="Heading2"/>
        <w:jc w:val="both"/>
        <w:rPr>
          <w:rFonts w:ascii="Arial" w:hAnsi="Arial" w:cs="Arial"/>
          <w:sz w:val="24"/>
          <w:szCs w:val="24"/>
        </w:rPr>
      </w:pPr>
      <w:bookmarkStart w:id="7" w:name="_Toc150868114"/>
      <w:r w:rsidRPr="00AF08AD">
        <w:rPr>
          <w:rFonts w:ascii="Arial" w:hAnsi="Arial" w:cs="Arial"/>
          <w:sz w:val="24"/>
          <w:szCs w:val="24"/>
        </w:rPr>
        <w:t>Activity theory of aging</w:t>
      </w:r>
      <w:bookmarkEnd w:id="7"/>
      <w:r w:rsidRPr="00AF08AD">
        <w:rPr>
          <w:rFonts w:ascii="Arial" w:hAnsi="Arial" w:cs="Arial"/>
          <w:sz w:val="24"/>
          <w:szCs w:val="24"/>
        </w:rPr>
        <w:t xml:space="preserve"> </w:t>
      </w:r>
    </w:p>
    <w:p w14:paraId="491B7EB5" w14:textId="77777777" w:rsidR="00EF4E2B" w:rsidRPr="00AF08AD" w:rsidRDefault="00EF4E2B" w:rsidP="00AF08AD">
      <w:pPr>
        <w:jc w:val="both"/>
        <w:rPr>
          <w:rFonts w:ascii="Arial" w:hAnsi="Arial" w:cs="Arial"/>
          <w:szCs w:val="24"/>
        </w:rPr>
      </w:pPr>
      <w:r w:rsidRPr="00AF08AD">
        <w:rPr>
          <w:rFonts w:ascii="Arial" w:hAnsi="Arial" w:cs="Arial"/>
          <w:szCs w:val="24"/>
        </w:rPr>
        <w:t>This theory is based on the aging hypothesis that elderly adults are happiest when they stay active or are involved in activities that keep them present mind, active, and able to maintain social interactions (Drew, 2023). The theory is more like a notion that maintaining an engaged and active lifestyle can help build and positively affect how a person ages and the overall well-being of the individual (</w:t>
      </w:r>
      <w:proofErr w:type="spellStart"/>
      <w:r w:rsidRPr="00AF08AD">
        <w:rPr>
          <w:rFonts w:ascii="Arial" w:hAnsi="Arial" w:cs="Arial"/>
          <w:szCs w:val="24"/>
        </w:rPr>
        <w:t>Teles</w:t>
      </w:r>
      <w:proofErr w:type="spellEnd"/>
      <w:r w:rsidRPr="00AF08AD">
        <w:rPr>
          <w:rFonts w:ascii="Arial" w:hAnsi="Arial" w:cs="Arial"/>
          <w:szCs w:val="24"/>
        </w:rPr>
        <w:t xml:space="preserve"> &amp; Ribeiro, 2019). Therefore, elderly adults need to prioritize taking care of older individuals and the activities that make them happy and keep them actively involved.</w:t>
      </w:r>
    </w:p>
    <w:p w14:paraId="3ED8C763" w14:textId="77777777" w:rsidR="00EF4E2B" w:rsidRPr="00AF08AD" w:rsidRDefault="00EF4E2B" w:rsidP="00AF08AD">
      <w:pPr>
        <w:jc w:val="both"/>
        <w:rPr>
          <w:rFonts w:ascii="Arial" w:hAnsi="Arial" w:cs="Arial"/>
          <w:szCs w:val="24"/>
        </w:rPr>
      </w:pPr>
      <w:r w:rsidRPr="00AF08AD">
        <w:rPr>
          <w:rFonts w:ascii="Arial" w:hAnsi="Arial" w:cs="Arial"/>
          <w:szCs w:val="24"/>
        </w:rPr>
        <w:t>Based on the theory, successful aging within older people occurs when they remain active and maintain social interaction (Ritual, 2023). Moreover, families and caretakers need to encourage older people to continue to go to church groups, be involved in house activities, go on group holidays with their friends and family, and keep themselves involved within the family and in other activities taking place in their daily lives. The theory is significant in helping older adults replace lost life roles after they retire from their professional careers.</w:t>
      </w:r>
    </w:p>
    <w:p w14:paraId="1D65EE71" w14:textId="77777777" w:rsidR="006D57BC" w:rsidRPr="00AF08AD" w:rsidRDefault="00EF4E2B" w:rsidP="00AF08AD">
      <w:pPr>
        <w:jc w:val="both"/>
        <w:rPr>
          <w:rFonts w:ascii="Arial" w:hAnsi="Arial" w:cs="Arial"/>
          <w:szCs w:val="24"/>
        </w:rPr>
      </w:pPr>
      <w:r w:rsidRPr="00AF08AD">
        <w:rPr>
          <w:rFonts w:ascii="Arial" w:hAnsi="Arial" w:cs="Arial"/>
          <w:szCs w:val="24"/>
        </w:rPr>
        <w:t>The theory also helps elderly adults to increase their well-being and participation in activities that can keep them active and help them recover from any illness more quickly; by focusing on the theory and its suggestions that are stated within the theory, older adults can also reduce the risk of getting chronic diseases and preventing falls which keep them motivated and physically active in their daily activities and life.</w:t>
      </w:r>
    </w:p>
    <w:p w14:paraId="6A7937D8" w14:textId="77777777" w:rsidR="006D57BC" w:rsidRPr="00AF08AD" w:rsidRDefault="006D57BC" w:rsidP="00AF08AD">
      <w:pPr>
        <w:pStyle w:val="Heading1"/>
        <w:spacing w:line="360" w:lineRule="auto"/>
        <w:jc w:val="both"/>
        <w:rPr>
          <w:rFonts w:ascii="Arial" w:hAnsi="Arial" w:cs="Arial"/>
          <w:sz w:val="24"/>
          <w:szCs w:val="24"/>
        </w:rPr>
      </w:pPr>
      <w:bookmarkStart w:id="8" w:name="_Toc150868115"/>
      <w:r w:rsidRPr="00AF08AD">
        <w:rPr>
          <w:rFonts w:ascii="Arial" w:hAnsi="Arial" w:cs="Arial"/>
          <w:sz w:val="24"/>
          <w:szCs w:val="24"/>
        </w:rPr>
        <w:lastRenderedPageBreak/>
        <w:t>Conclusion</w:t>
      </w:r>
      <w:bookmarkEnd w:id="8"/>
      <w:r w:rsidRPr="00AF08AD">
        <w:rPr>
          <w:rFonts w:ascii="Arial" w:hAnsi="Arial" w:cs="Arial"/>
          <w:sz w:val="24"/>
          <w:szCs w:val="24"/>
        </w:rPr>
        <w:t xml:space="preserve"> </w:t>
      </w:r>
    </w:p>
    <w:p w14:paraId="47604EA8" w14:textId="77777777" w:rsidR="001E743A" w:rsidRPr="00AF08AD" w:rsidRDefault="006D57BC" w:rsidP="00AF08AD">
      <w:pPr>
        <w:jc w:val="both"/>
        <w:rPr>
          <w:rFonts w:ascii="Arial" w:hAnsi="Arial" w:cs="Arial"/>
          <w:szCs w:val="24"/>
        </w:rPr>
      </w:pPr>
      <w:r w:rsidRPr="00AF08AD">
        <w:rPr>
          <w:rFonts w:ascii="Arial" w:hAnsi="Arial" w:cs="Arial"/>
          <w:szCs w:val="24"/>
        </w:rPr>
        <w:t xml:space="preserve">Quality of care and health services is crucial for older adults seeking care and cannot access care. The NHS and the UK government are implementing essential practices and interventions to help more aged adult’s access care and live healthier lifestyles. The research and case study has helped effectively evaluate the local and global provision of services for older adults. It also emphasizes the care of older adults and the critical factors and related theories that can help address their needs and deliver a better living standard and application of advancement within their social and health care services. </w:t>
      </w:r>
      <w:r w:rsidR="001E743A" w:rsidRPr="00AF08AD">
        <w:rPr>
          <w:rFonts w:ascii="Arial" w:hAnsi="Arial" w:cs="Arial"/>
          <w:szCs w:val="24"/>
        </w:rPr>
        <w:br w:type="page"/>
      </w:r>
    </w:p>
    <w:bookmarkStart w:id="9" w:name="_Toc150868116" w:displacedByCustomXml="next"/>
    <w:sdt>
      <w:sdtPr>
        <w:rPr>
          <w:rFonts w:ascii="Arial" w:eastAsiaTheme="minorHAnsi" w:hAnsi="Arial" w:cs="Arial"/>
          <w:b w:val="0"/>
          <w:sz w:val="24"/>
          <w:szCs w:val="24"/>
        </w:rPr>
        <w:id w:val="-1711800355"/>
        <w:docPartObj>
          <w:docPartGallery w:val="Bibliographies"/>
          <w:docPartUnique/>
        </w:docPartObj>
      </w:sdtPr>
      <w:sdtEndPr/>
      <w:sdtContent>
        <w:p w14:paraId="54B6602B" w14:textId="77777777" w:rsidR="005D38CC" w:rsidRPr="00AF08AD" w:rsidRDefault="005D38CC" w:rsidP="00AF08AD">
          <w:pPr>
            <w:pStyle w:val="Heading1"/>
            <w:spacing w:line="360" w:lineRule="auto"/>
            <w:jc w:val="both"/>
            <w:rPr>
              <w:rFonts w:ascii="Arial" w:hAnsi="Arial" w:cs="Arial"/>
              <w:sz w:val="24"/>
              <w:szCs w:val="24"/>
            </w:rPr>
          </w:pPr>
          <w:r w:rsidRPr="00AF08AD">
            <w:rPr>
              <w:rFonts w:ascii="Arial" w:hAnsi="Arial" w:cs="Arial"/>
              <w:sz w:val="24"/>
              <w:szCs w:val="24"/>
            </w:rPr>
            <w:t>References</w:t>
          </w:r>
          <w:bookmarkEnd w:id="9"/>
        </w:p>
        <w:sdt>
          <w:sdtPr>
            <w:rPr>
              <w:rFonts w:ascii="Arial" w:hAnsi="Arial" w:cs="Arial"/>
              <w:szCs w:val="24"/>
            </w:rPr>
            <w:id w:val="-573587230"/>
            <w:bibliography/>
          </w:sdtPr>
          <w:sdtEndPr/>
          <w:sdtContent>
            <w:p w14:paraId="739422FE"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szCs w:val="24"/>
                </w:rPr>
                <w:fldChar w:fldCharType="begin"/>
              </w:r>
              <w:r w:rsidRPr="00AF08AD">
                <w:rPr>
                  <w:rFonts w:ascii="Arial" w:hAnsi="Arial" w:cs="Arial"/>
                  <w:szCs w:val="24"/>
                </w:rPr>
                <w:instrText xml:space="preserve"> BIBLIOGRAPHY </w:instrText>
              </w:r>
              <w:r w:rsidRPr="00AF08AD">
                <w:rPr>
                  <w:rFonts w:ascii="Arial" w:hAnsi="Arial" w:cs="Arial"/>
                  <w:szCs w:val="24"/>
                </w:rPr>
                <w:fldChar w:fldCharType="separate"/>
              </w:r>
              <w:r w:rsidRPr="00AF08AD">
                <w:rPr>
                  <w:rFonts w:ascii="Arial" w:hAnsi="Arial" w:cs="Arial"/>
                  <w:noProof/>
                  <w:szCs w:val="24"/>
                </w:rPr>
                <w:t xml:space="preserve">Abdi, S., Spann, A., Borilovic, J., Witte, D. L., &amp; Hawley, M. (2019). Understanding the care and support needs of older people: a scoping review and categorisation using the WHO international classification of functioning, disability and health framework (ICF). </w:t>
              </w:r>
              <w:r w:rsidRPr="00AF08AD">
                <w:rPr>
                  <w:rFonts w:ascii="Arial" w:hAnsi="Arial" w:cs="Arial"/>
                  <w:i/>
                  <w:iCs/>
                  <w:noProof/>
                  <w:szCs w:val="24"/>
                </w:rPr>
                <w:t>BMC Geriatrics , 19</w:t>
              </w:r>
              <w:r w:rsidRPr="00AF08AD">
                <w:rPr>
                  <w:rFonts w:ascii="Arial" w:hAnsi="Arial" w:cs="Arial"/>
                  <w:noProof/>
                  <w:szCs w:val="24"/>
                </w:rPr>
                <w:t>(195), 2-8.</w:t>
              </w:r>
            </w:p>
            <w:p w14:paraId="150F4E28"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Aplin, T., &amp; Petersen, M. (2023). Relationships between housing and health for older private renters: evidence from a pilot study in Australia. </w:t>
              </w:r>
              <w:r w:rsidRPr="00AF08AD">
                <w:rPr>
                  <w:rFonts w:ascii="Arial" w:hAnsi="Arial" w:cs="Arial"/>
                  <w:i/>
                  <w:iCs/>
                  <w:noProof/>
                  <w:szCs w:val="24"/>
                </w:rPr>
                <w:t>Journal of Housing and the Built Envrionment, 38</w:t>
              </w:r>
              <w:r w:rsidRPr="00AF08AD">
                <w:rPr>
                  <w:rFonts w:ascii="Arial" w:hAnsi="Arial" w:cs="Arial"/>
                  <w:noProof/>
                  <w:szCs w:val="24"/>
                </w:rPr>
                <w:t>(1), 1869-1888.</w:t>
              </w:r>
            </w:p>
            <w:p w14:paraId="07360CF5"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Arslantas, H., Adana, F., Ergin, A. F., Kayar, D., &amp; Acar, G. (2015). Loneliness in Elderly People, Associated Factors and Its Correlation with Quality of Life: A Field Study from Western Turkey. </w:t>
              </w:r>
              <w:r w:rsidRPr="00AF08AD">
                <w:rPr>
                  <w:rFonts w:ascii="Arial" w:hAnsi="Arial" w:cs="Arial"/>
                  <w:i/>
                  <w:iCs/>
                  <w:noProof/>
                  <w:szCs w:val="24"/>
                </w:rPr>
                <w:t>Iranian Journal of Public Health, 44</w:t>
              </w:r>
              <w:r w:rsidRPr="00AF08AD">
                <w:rPr>
                  <w:rFonts w:ascii="Arial" w:hAnsi="Arial" w:cs="Arial"/>
                  <w:noProof/>
                  <w:szCs w:val="24"/>
                </w:rPr>
                <w:t>(1), 43-50.</w:t>
              </w:r>
            </w:p>
            <w:p w14:paraId="3F9BBDD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Britannica. (2023). </w:t>
              </w:r>
              <w:r w:rsidRPr="00AF08AD">
                <w:rPr>
                  <w:rFonts w:ascii="Arial" w:hAnsi="Arial" w:cs="Arial"/>
                  <w:i/>
                  <w:iCs/>
                  <w:noProof/>
                  <w:szCs w:val="24"/>
                </w:rPr>
                <w:t>Old age</w:t>
              </w:r>
              <w:r w:rsidRPr="00AF08AD">
                <w:rPr>
                  <w:rFonts w:ascii="Arial" w:hAnsi="Arial" w:cs="Arial"/>
                  <w:noProof/>
                  <w:szCs w:val="24"/>
                </w:rPr>
                <w:t>. Retrieved Novemeber 03, 2023, from https://www.youtube.com/watch?v=7xOZqYJF1H0</w:t>
              </w:r>
            </w:p>
            <w:p w14:paraId="54CF9D3A"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Brown, C. G. (2015). Living too long. </w:t>
              </w:r>
              <w:r w:rsidRPr="00AF08AD">
                <w:rPr>
                  <w:rFonts w:ascii="Arial" w:hAnsi="Arial" w:cs="Arial"/>
                  <w:i/>
                  <w:iCs/>
                  <w:noProof/>
                  <w:szCs w:val="24"/>
                </w:rPr>
                <w:t>EMBO Reports, 16</w:t>
              </w:r>
              <w:r w:rsidRPr="00AF08AD">
                <w:rPr>
                  <w:rFonts w:ascii="Arial" w:hAnsi="Arial" w:cs="Arial"/>
                  <w:noProof/>
                  <w:szCs w:val="24"/>
                </w:rPr>
                <w:t>(2), 137-141.</w:t>
              </w:r>
            </w:p>
            <w:p w14:paraId="3BCFA106"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Carvalho, D. A., Epping-Jordan, J., Pot, M. A., Kelley, E., Toro, N., Thiyagarajan, A. J., &amp; Beard, R. J. (2017). Organizing integrated health-care services to meet older people’s needs. </w:t>
              </w:r>
              <w:r w:rsidRPr="00AF08AD">
                <w:rPr>
                  <w:rFonts w:ascii="Arial" w:hAnsi="Arial" w:cs="Arial"/>
                  <w:i/>
                  <w:iCs/>
                  <w:noProof/>
                  <w:szCs w:val="24"/>
                </w:rPr>
                <w:t>Bullentin World Health Organisation, 95</w:t>
              </w:r>
              <w:r w:rsidRPr="00AF08AD">
                <w:rPr>
                  <w:rFonts w:ascii="Arial" w:hAnsi="Arial" w:cs="Arial"/>
                  <w:noProof/>
                  <w:szCs w:val="24"/>
                </w:rPr>
                <w:t>(11), 756-763.</w:t>
              </w:r>
            </w:p>
            <w:p w14:paraId="27612CB0"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Collins. (2023). </w:t>
              </w:r>
              <w:r w:rsidRPr="00AF08AD">
                <w:rPr>
                  <w:rFonts w:ascii="Arial" w:hAnsi="Arial" w:cs="Arial"/>
                  <w:i/>
                  <w:iCs/>
                  <w:noProof/>
                  <w:szCs w:val="24"/>
                </w:rPr>
                <w:t>Old age</w:t>
              </w:r>
              <w:r w:rsidRPr="00AF08AD">
                <w:rPr>
                  <w:rFonts w:ascii="Arial" w:hAnsi="Arial" w:cs="Arial"/>
                  <w:noProof/>
                  <w:szCs w:val="24"/>
                </w:rPr>
                <w:t>. Retrieved November 03, 2023, from https://www.collinsdictionary.com/dictionary/english/old-age</w:t>
              </w:r>
            </w:p>
            <w:p w14:paraId="55FC16AE"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Coombs, N., Storey, A., &amp; Giddings, R. (2019, November 19). </w:t>
              </w:r>
              <w:r w:rsidRPr="00AF08AD">
                <w:rPr>
                  <w:rFonts w:ascii="Arial" w:hAnsi="Arial" w:cs="Arial"/>
                  <w:i/>
                  <w:iCs/>
                  <w:noProof/>
                  <w:szCs w:val="24"/>
                </w:rPr>
                <w:t>Living longer: is age 70 the new age 65?</w:t>
              </w:r>
              <w:r w:rsidRPr="00AF08AD">
                <w:rPr>
                  <w:rFonts w:ascii="Arial" w:hAnsi="Arial" w:cs="Arial"/>
                  <w:noProof/>
                  <w:szCs w:val="24"/>
                </w:rPr>
                <w:t xml:space="preserve"> Retrieved November 03, 2023, from https://www.ons.gov.uk/peoplepopulationandcommunity/birthsdeathsandmarriages/ageing/articles/livinglongerisage70thenewage65/2019-11-19</w:t>
              </w:r>
            </w:p>
            <w:p w14:paraId="42FEFAA3"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Crossman, A. (2019, January 18). </w:t>
              </w:r>
              <w:r w:rsidRPr="00AF08AD">
                <w:rPr>
                  <w:rFonts w:ascii="Arial" w:hAnsi="Arial" w:cs="Arial"/>
                  <w:i/>
                  <w:iCs/>
                  <w:noProof/>
                  <w:szCs w:val="24"/>
                </w:rPr>
                <w:t>Disengagement theory.</w:t>
              </w:r>
              <w:r w:rsidRPr="00AF08AD">
                <w:rPr>
                  <w:rFonts w:ascii="Arial" w:hAnsi="Arial" w:cs="Arial"/>
                  <w:noProof/>
                  <w:szCs w:val="24"/>
                </w:rPr>
                <w:t xml:space="preserve"> Retrieved from https://www.thoughtco.com/disengagement-theory-3026258</w:t>
              </w:r>
            </w:p>
            <w:p w14:paraId="4AE2087F"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CWC. (2019). </w:t>
              </w:r>
              <w:r w:rsidRPr="00AF08AD">
                <w:rPr>
                  <w:rFonts w:ascii="Arial" w:hAnsi="Arial" w:cs="Arial"/>
                  <w:i/>
                  <w:iCs/>
                  <w:noProof/>
                  <w:szCs w:val="24"/>
                </w:rPr>
                <w:t>Health and Social Care Services: The Essential Guide (2019)</w:t>
              </w:r>
              <w:r w:rsidRPr="00AF08AD">
                <w:rPr>
                  <w:rFonts w:ascii="Arial" w:hAnsi="Arial" w:cs="Arial"/>
                  <w:noProof/>
                  <w:szCs w:val="24"/>
                </w:rPr>
                <w:t>. Retrieved November 14, 2023, from https://www.thecareworkerscharity.org.uk/blog/health-</w:t>
              </w:r>
              <w:r w:rsidRPr="00AF08AD">
                <w:rPr>
                  <w:rFonts w:ascii="Arial" w:hAnsi="Arial" w:cs="Arial"/>
                  <w:noProof/>
                  <w:szCs w:val="24"/>
                </w:rPr>
                <w:lastRenderedPageBreak/>
                <w:t>and-social-care-services/#:~:text=What%20is%20Health%20and%20Social,local%20authorities%20administer%20social%20care.</w:t>
              </w:r>
            </w:p>
            <w:p w14:paraId="5C6CBC56"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Department of Health. (2001). </w:t>
              </w:r>
              <w:r w:rsidRPr="00AF08AD">
                <w:rPr>
                  <w:rFonts w:ascii="Arial" w:hAnsi="Arial" w:cs="Arial"/>
                  <w:i/>
                  <w:iCs/>
                  <w:noProof/>
                  <w:szCs w:val="24"/>
                </w:rPr>
                <w:t>National Service Framework for Older People.</w:t>
              </w:r>
              <w:r w:rsidRPr="00AF08AD">
                <w:rPr>
                  <w:rFonts w:ascii="Arial" w:hAnsi="Arial" w:cs="Arial"/>
                  <w:noProof/>
                  <w:szCs w:val="24"/>
                </w:rPr>
                <w:t xml:space="preserve"> Department of Health.</w:t>
              </w:r>
            </w:p>
            <w:p w14:paraId="5282250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Derrer-Merk, E., Reyes-Rodriguez, F. M., Soulsby, K. L., Roper, L., &amp; Bennett, M. K. (2023). Older adults’ experiences during the COVID-19 pandemic: a qualitative systematic literature review. </w:t>
              </w:r>
              <w:r w:rsidRPr="00AF08AD">
                <w:rPr>
                  <w:rFonts w:ascii="Arial" w:hAnsi="Arial" w:cs="Arial"/>
                  <w:i/>
                  <w:iCs/>
                  <w:noProof/>
                  <w:szCs w:val="24"/>
                </w:rPr>
                <w:t>BMC Geriatrics, 23</w:t>
              </w:r>
              <w:r w:rsidRPr="00AF08AD">
                <w:rPr>
                  <w:rFonts w:ascii="Arial" w:hAnsi="Arial" w:cs="Arial"/>
                  <w:noProof/>
                  <w:szCs w:val="24"/>
                </w:rPr>
                <w:t>(580), 2-12.</w:t>
              </w:r>
            </w:p>
            <w:p w14:paraId="65D36C0F"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Diaz-Venegas, C., Saenz, L. J., &amp; Wong, R. (2018). Family size and old-age wellbeing: effects of the fertility transition in Mexico. </w:t>
              </w:r>
              <w:r w:rsidRPr="00AF08AD">
                <w:rPr>
                  <w:rFonts w:ascii="Arial" w:hAnsi="Arial" w:cs="Arial"/>
                  <w:i/>
                  <w:iCs/>
                  <w:noProof/>
                  <w:szCs w:val="24"/>
                </w:rPr>
                <w:t>Aging Society, 37</w:t>
              </w:r>
              <w:r w:rsidRPr="00AF08AD">
                <w:rPr>
                  <w:rFonts w:ascii="Arial" w:hAnsi="Arial" w:cs="Arial"/>
                  <w:noProof/>
                  <w:szCs w:val="24"/>
                </w:rPr>
                <w:t>(3), 495-516.</w:t>
              </w:r>
            </w:p>
            <w:p w14:paraId="7AE57894"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Drew, C. (2023, August 24). </w:t>
              </w:r>
              <w:r w:rsidRPr="00AF08AD">
                <w:rPr>
                  <w:rFonts w:ascii="Arial" w:hAnsi="Arial" w:cs="Arial"/>
                  <w:i/>
                  <w:iCs/>
                  <w:noProof/>
                  <w:szCs w:val="24"/>
                </w:rPr>
                <w:t>Activity Theory Of Aging: Definition, Examples &amp; Criticisms.</w:t>
              </w:r>
              <w:r w:rsidRPr="00AF08AD">
                <w:rPr>
                  <w:rFonts w:ascii="Arial" w:hAnsi="Arial" w:cs="Arial"/>
                  <w:noProof/>
                  <w:szCs w:val="24"/>
                </w:rPr>
                <w:t xml:space="preserve"> Retrieved November 14, 2023, from https://helpfulprofessor.com/activity-theory-of-aging/</w:t>
              </w:r>
            </w:p>
            <w:p w14:paraId="504FACA4"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Fakoya, A. O., McCorry, K. N., &amp; Donnelly, M. (2020). Loneliness and social isolation interventions for older adults: a scoping review of reviews. </w:t>
              </w:r>
              <w:r w:rsidRPr="00AF08AD">
                <w:rPr>
                  <w:rFonts w:ascii="Arial" w:hAnsi="Arial" w:cs="Arial"/>
                  <w:i/>
                  <w:iCs/>
                  <w:noProof/>
                  <w:szCs w:val="24"/>
                </w:rPr>
                <w:t>BMC Public Health volume, 20</w:t>
              </w:r>
              <w:r w:rsidRPr="00AF08AD">
                <w:rPr>
                  <w:rFonts w:ascii="Arial" w:hAnsi="Arial" w:cs="Arial"/>
                  <w:noProof/>
                  <w:szCs w:val="24"/>
                </w:rPr>
                <w:t>(129), 2-8.</w:t>
              </w:r>
            </w:p>
            <w:p w14:paraId="1B9EF88E"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Knodel, J., Chayovan, N., &amp; Siriboon, S. (1992). The Impact of Fertility Decline on Familial Support for the Elderly: An Illustration from Thailand. </w:t>
              </w:r>
              <w:r w:rsidRPr="00AF08AD">
                <w:rPr>
                  <w:rFonts w:ascii="Arial" w:hAnsi="Arial" w:cs="Arial"/>
                  <w:i/>
                  <w:iCs/>
                  <w:noProof/>
                  <w:szCs w:val="24"/>
                </w:rPr>
                <w:t>Population and Development Review, 18</w:t>
              </w:r>
              <w:r w:rsidRPr="00AF08AD">
                <w:rPr>
                  <w:rFonts w:ascii="Arial" w:hAnsi="Arial" w:cs="Arial"/>
                  <w:noProof/>
                  <w:szCs w:val="24"/>
                </w:rPr>
                <w:t>(1), 79-103.</w:t>
              </w:r>
            </w:p>
            <w:p w14:paraId="3CB2256B"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Lewis, A., Cromarty, H., &amp; Barton, C. (2021, June 03). </w:t>
              </w:r>
              <w:r w:rsidRPr="00AF08AD">
                <w:rPr>
                  <w:rFonts w:ascii="Arial" w:hAnsi="Arial" w:cs="Arial"/>
                  <w:i/>
                  <w:iCs/>
                  <w:noProof/>
                  <w:szCs w:val="24"/>
                </w:rPr>
                <w:t>Housing an ageing population: a reading list.</w:t>
              </w:r>
              <w:r w:rsidRPr="00AF08AD">
                <w:rPr>
                  <w:rFonts w:ascii="Arial" w:hAnsi="Arial" w:cs="Arial"/>
                  <w:noProof/>
                  <w:szCs w:val="24"/>
                </w:rPr>
                <w:t xml:space="preserve"> Retrieved November 3, 2023, from https://commonslibrary.parliament.uk/research-briefings/cbp-9239/#:~:text=The%20UK's%20ageing%20population,or%20around%2012.3%20million%20people.</w:t>
              </w:r>
            </w:p>
            <w:p w14:paraId="19525EC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Mai, S., Cai, J., &amp; Li, L. (2022). Factors associated with access to healthcare services for older adults with limited activities of daily living. </w:t>
              </w:r>
              <w:r w:rsidRPr="00AF08AD">
                <w:rPr>
                  <w:rFonts w:ascii="Arial" w:hAnsi="Arial" w:cs="Arial"/>
                  <w:i/>
                  <w:iCs/>
                  <w:noProof/>
                  <w:szCs w:val="24"/>
                </w:rPr>
                <w:t>Frontiers in Public Health, 10</w:t>
              </w:r>
              <w:r w:rsidRPr="00AF08AD">
                <w:rPr>
                  <w:rFonts w:ascii="Arial" w:hAnsi="Arial" w:cs="Arial"/>
                  <w:noProof/>
                  <w:szCs w:val="24"/>
                </w:rPr>
                <w:t>(921980), 2-6.</w:t>
              </w:r>
            </w:p>
            <w:p w14:paraId="080BABA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lastRenderedPageBreak/>
                <w:t xml:space="preserve">Marston, R. H., &amp; Musselwhite, A. B. (2021). Improving Older People’s Lives Through Digital Technology and Practices. </w:t>
              </w:r>
              <w:r w:rsidRPr="00AF08AD">
                <w:rPr>
                  <w:rFonts w:ascii="Arial" w:hAnsi="Arial" w:cs="Arial"/>
                  <w:i/>
                  <w:iCs/>
                  <w:noProof/>
                  <w:szCs w:val="24"/>
                </w:rPr>
                <w:t>Gerontology and Geriatric Medicine, 1</w:t>
              </w:r>
              <w:r w:rsidRPr="00AF08AD">
                <w:rPr>
                  <w:rFonts w:ascii="Arial" w:hAnsi="Arial" w:cs="Arial"/>
                  <w:noProof/>
                  <w:szCs w:val="24"/>
                </w:rPr>
                <w:t>(1), 1-6.</w:t>
              </w:r>
            </w:p>
            <w:p w14:paraId="42C4DC9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NHS England. (2023, November 03). </w:t>
              </w:r>
              <w:r w:rsidRPr="00AF08AD">
                <w:rPr>
                  <w:rFonts w:ascii="Arial" w:hAnsi="Arial" w:cs="Arial"/>
                  <w:i/>
                  <w:iCs/>
                  <w:noProof/>
                  <w:szCs w:val="24"/>
                </w:rPr>
                <w:t>Improving care for older people</w:t>
              </w:r>
              <w:r w:rsidRPr="00AF08AD">
                <w:rPr>
                  <w:rFonts w:ascii="Arial" w:hAnsi="Arial" w:cs="Arial"/>
                  <w:noProof/>
                  <w:szCs w:val="24"/>
                </w:rPr>
                <w:t>. Retrieved from https://www.england.nhs.uk/ourwork/clinical-policy/older-people/improving-care-for-older-people/#:~:text=How%20old%20is%20an%20older,healthier%20than%20someone%20aged%2060.</w:t>
              </w:r>
            </w:p>
            <w:p w14:paraId="154F6C2B"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Patel, Bunachita, S., Chiu, H., Suresh, P., &amp; Patel, K. U. (2021). Elder Abuse: A Comprehensive Overview and Physician-Associated Challenges. </w:t>
              </w:r>
              <w:r w:rsidRPr="00AF08AD">
                <w:rPr>
                  <w:rFonts w:ascii="Arial" w:hAnsi="Arial" w:cs="Arial"/>
                  <w:i/>
                  <w:iCs/>
                  <w:noProof/>
                  <w:szCs w:val="24"/>
                </w:rPr>
                <w:t>Cureus, 13</w:t>
              </w:r>
              <w:r w:rsidRPr="00AF08AD">
                <w:rPr>
                  <w:rFonts w:ascii="Arial" w:hAnsi="Arial" w:cs="Arial"/>
                  <w:noProof/>
                  <w:szCs w:val="24"/>
                </w:rPr>
                <w:t>(4), e14375-e14380.</w:t>
              </w:r>
            </w:p>
            <w:p w14:paraId="22F562E6"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Pruchno, R. (2021). Chapter 19 - Successful aging: an obscure but obvious construct. In </w:t>
              </w:r>
              <w:r w:rsidRPr="00AF08AD">
                <w:rPr>
                  <w:rFonts w:ascii="Arial" w:hAnsi="Arial" w:cs="Arial"/>
                  <w:i/>
                  <w:iCs/>
                  <w:noProof/>
                  <w:szCs w:val="24"/>
                </w:rPr>
                <w:t>Handbook of the Psychology of Aging</w:t>
              </w:r>
              <w:r w:rsidRPr="00AF08AD">
                <w:rPr>
                  <w:rFonts w:ascii="Arial" w:hAnsi="Arial" w:cs="Arial"/>
                  <w:noProof/>
                  <w:szCs w:val="24"/>
                </w:rPr>
                <w:t xml:space="preserve"> (pp. 301-318). Elsevier Inc.</w:t>
              </w:r>
            </w:p>
            <w:p w14:paraId="3ADFCAA7"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Raymond, A., Bazeer, N., Barclay, C., Krelle, H., Idriss, O., Tallack, C., &amp; Kelly, E. (2021, December). </w:t>
              </w:r>
              <w:r w:rsidRPr="00AF08AD">
                <w:rPr>
                  <w:rFonts w:ascii="Arial" w:hAnsi="Arial" w:cs="Arial"/>
                  <w:i/>
                  <w:iCs/>
                  <w:noProof/>
                  <w:szCs w:val="24"/>
                </w:rPr>
                <w:t>How ageing affects health and care need in England.</w:t>
              </w:r>
              <w:r w:rsidRPr="00AF08AD">
                <w:rPr>
                  <w:rFonts w:ascii="Arial" w:hAnsi="Arial" w:cs="Arial"/>
                  <w:noProof/>
                  <w:szCs w:val="24"/>
                </w:rPr>
                <w:t xml:space="preserve"> Retrieved November 3, 2023, from https://www.health.org.uk/publications/our-ageing-population</w:t>
              </w:r>
            </w:p>
            <w:p w14:paraId="366E2BE1"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Ritual. (2023). </w:t>
              </w:r>
              <w:r w:rsidRPr="00AF08AD">
                <w:rPr>
                  <w:rFonts w:ascii="Arial" w:hAnsi="Arial" w:cs="Arial"/>
                  <w:i/>
                  <w:iCs/>
                  <w:noProof/>
                  <w:szCs w:val="24"/>
                </w:rPr>
                <w:t>What is Activity Theory?</w:t>
              </w:r>
              <w:r w:rsidRPr="00AF08AD">
                <w:rPr>
                  <w:rFonts w:ascii="Arial" w:hAnsi="Arial" w:cs="Arial"/>
                  <w:noProof/>
                  <w:szCs w:val="24"/>
                </w:rPr>
                <w:t xml:space="preserve"> Retrieved November 14, 2023, from https://ritual.com/articles/activity-theory-of-aging</w:t>
              </w:r>
            </w:p>
            <w:p w14:paraId="3B962DF5"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Royal College of Physicians. (2018). </w:t>
              </w:r>
              <w:r w:rsidRPr="00AF08AD">
                <w:rPr>
                  <w:rFonts w:ascii="Arial" w:hAnsi="Arial" w:cs="Arial"/>
                  <w:i/>
                  <w:iCs/>
                  <w:noProof/>
                  <w:szCs w:val="24"/>
                </w:rPr>
                <w:t>Health and Soical Care in England: A quick guide</w:t>
              </w:r>
              <w:r w:rsidRPr="00AF08AD">
                <w:rPr>
                  <w:rFonts w:ascii="Arial" w:hAnsi="Arial" w:cs="Arial"/>
                  <w:noProof/>
                  <w:szCs w:val="24"/>
                </w:rPr>
                <w:t>. Retrieved November 14, 2023, from file:///C:/Users/DELL/Downloads/Health%20and%20social%20care%20-%20RCP%20quick%20guide_0.pdf</w:t>
              </w:r>
            </w:p>
            <w:p w14:paraId="0B6DD3F8"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Royal College of Physicians. (2023, January 10). </w:t>
              </w:r>
              <w:r w:rsidRPr="00AF08AD">
                <w:rPr>
                  <w:rFonts w:ascii="Arial" w:hAnsi="Arial" w:cs="Arial"/>
                  <w:i/>
                  <w:iCs/>
                  <w:noProof/>
                  <w:szCs w:val="24"/>
                </w:rPr>
                <w:t>Protecting the rights of older people to health and social care.</w:t>
              </w:r>
              <w:r w:rsidRPr="00AF08AD">
                <w:rPr>
                  <w:rFonts w:ascii="Arial" w:hAnsi="Arial" w:cs="Arial"/>
                  <w:noProof/>
                  <w:szCs w:val="24"/>
                </w:rPr>
                <w:t xml:space="preserve"> Retrieved November 14, 2023, from https://www.bgs.org.uk/policy-and-media/protecting-the-rights-of-older-people-to-health-and-social-care</w:t>
              </w:r>
            </w:p>
            <w:p w14:paraId="0F697AE8"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Teles, S., &amp; Ribeiro, O. (2019). Activity Theory. In </w:t>
              </w:r>
              <w:r w:rsidRPr="00AF08AD">
                <w:rPr>
                  <w:rFonts w:ascii="Arial" w:hAnsi="Arial" w:cs="Arial"/>
                  <w:i/>
                  <w:iCs/>
                  <w:noProof/>
                  <w:szCs w:val="24"/>
                </w:rPr>
                <w:t>Encyclopedia of Gerontology and Population Aging</w:t>
              </w:r>
              <w:r w:rsidRPr="00AF08AD">
                <w:rPr>
                  <w:rFonts w:ascii="Arial" w:hAnsi="Arial" w:cs="Arial"/>
                  <w:noProof/>
                  <w:szCs w:val="24"/>
                </w:rPr>
                <w:t xml:space="preserve"> (pp. 1-8). New York: Springer, Cham.</w:t>
              </w:r>
            </w:p>
            <w:p w14:paraId="5C9CD764"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lastRenderedPageBreak/>
                <w:t xml:space="preserve">The Health Foundation. (2001, March 10). </w:t>
              </w:r>
              <w:r w:rsidRPr="00AF08AD">
                <w:rPr>
                  <w:rFonts w:ascii="Arial" w:hAnsi="Arial" w:cs="Arial"/>
                  <w:i/>
                  <w:iCs/>
                  <w:noProof/>
                  <w:szCs w:val="24"/>
                </w:rPr>
                <w:t>National service framework for older people.</w:t>
              </w:r>
              <w:r w:rsidRPr="00AF08AD">
                <w:rPr>
                  <w:rFonts w:ascii="Arial" w:hAnsi="Arial" w:cs="Arial"/>
                  <w:noProof/>
                  <w:szCs w:val="24"/>
                </w:rPr>
                <w:t xml:space="preserve"> Retrieved from https://navigator.health.org.uk/theme/national-service-framework-older-people#:~:text=The%20National%20Service%20Framework%20for,and%20promoting%20person%2Dcentred%20care.</w:t>
              </w:r>
            </w:p>
            <w:p w14:paraId="0800119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Vickery, A., Willis, P., Powell, J., Beach, B., Cameron, A., Johnson, E., &amp; Smith, R. (2023). The impact of COVID-19 lockdown measures on older residents' social connections and everyday wellbeing within housing schemes that provide care and support in England and Wales. </w:t>
              </w:r>
              <w:r w:rsidRPr="00AF08AD">
                <w:rPr>
                  <w:rFonts w:ascii="Arial" w:hAnsi="Arial" w:cs="Arial"/>
                  <w:i/>
                  <w:iCs/>
                  <w:noProof/>
                  <w:szCs w:val="24"/>
                </w:rPr>
                <w:t>Journal of Aging Studies, 65</w:t>
              </w:r>
              <w:r w:rsidRPr="00AF08AD">
                <w:rPr>
                  <w:rFonts w:ascii="Arial" w:hAnsi="Arial" w:cs="Arial"/>
                  <w:noProof/>
                  <w:szCs w:val="24"/>
                </w:rPr>
                <w:t>(101126), 2-12.</w:t>
              </w:r>
            </w:p>
            <w:p w14:paraId="05B0784C"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Windsor, A. (2023). </w:t>
              </w:r>
              <w:r w:rsidRPr="00AF08AD">
                <w:rPr>
                  <w:rFonts w:ascii="Arial" w:hAnsi="Arial" w:cs="Arial"/>
                  <w:i/>
                  <w:iCs/>
                  <w:noProof/>
                  <w:szCs w:val="24"/>
                </w:rPr>
                <w:t>Medicine will not only make us live longer, but live better</w:t>
              </w:r>
              <w:r w:rsidRPr="00AF08AD">
                <w:rPr>
                  <w:rFonts w:ascii="Arial" w:hAnsi="Arial" w:cs="Arial"/>
                  <w:noProof/>
                  <w:szCs w:val="24"/>
                </w:rPr>
                <w:t>. Retrieved November 03, 2023, from https://www.theguardian.com/zurichfuturology/story/0,,1952688,00.html</w:t>
              </w:r>
            </w:p>
            <w:p w14:paraId="5E03C14B"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Wu, T. Y., Pring, M., &amp; Matthews, F. (2022). The availability of local primary care services, satisfaction with health services and self-rated health in older English adults: A population-based study. </w:t>
              </w:r>
              <w:r w:rsidRPr="00AF08AD">
                <w:rPr>
                  <w:rFonts w:ascii="Arial" w:hAnsi="Arial" w:cs="Arial"/>
                  <w:i/>
                  <w:iCs/>
                  <w:noProof/>
                  <w:szCs w:val="24"/>
                </w:rPr>
                <w:t>Preventive Medicine Reports, 27</w:t>
              </w:r>
              <w:r w:rsidRPr="00AF08AD">
                <w:rPr>
                  <w:rFonts w:ascii="Arial" w:hAnsi="Arial" w:cs="Arial"/>
                  <w:noProof/>
                  <w:szCs w:val="24"/>
                </w:rPr>
                <w:t>(101786), 2-4.</w:t>
              </w:r>
            </w:p>
            <w:p w14:paraId="511B313D"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Yau, Y., &amp; Hsiao, H. C. (2022). The Technology Acceptance Model and Older Adults’ Exercise Intentions—A Systematic Literature Review. </w:t>
              </w:r>
              <w:r w:rsidRPr="00AF08AD">
                <w:rPr>
                  <w:rFonts w:ascii="Arial" w:hAnsi="Arial" w:cs="Arial"/>
                  <w:i/>
                  <w:iCs/>
                  <w:noProof/>
                  <w:szCs w:val="24"/>
                </w:rPr>
                <w:t>Geriatrics, 7</w:t>
              </w:r>
              <w:r w:rsidRPr="00AF08AD">
                <w:rPr>
                  <w:rFonts w:ascii="Arial" w:hAnsi="Arial" w:cs="Arial"/>
                  <w:noProof/>
                  <w:szCs w:val="24"/>
                </w:rPr>
                <w:t>(6), 124-130.</w:t>
              </w:r>
            </w:p>
            <w:p w14:paraId="1B3CC695" w14:textId="77777777" w:rsidR="005D38CC" w:rsidRPr="00AF08AD" w:rsidRDefault="005D38CC" w:rsidP="00AF08AD">
              <w:pPr>
                <w:pStyle w:val="Bibliography"/>
                <w:ind w:left="720" w:hanging="720"/>
                <w:jc w:val="both"/>
                <w:rPr>
                  <w:rFonts w:ascii="Arial" w:hAnsi="Arial" w:cs="Arial"/>
                  <w:noProof/>
                  <w:szCs w:val="24"/>
                </w:rPr>
              </w:pPr>
              <w:r w:rsidRPr="00AF08AD">
                <w:rPr>
                  <w:rFonts w:ascii="Arial" w:hAnsi="Arial" w:cs="Arial"/>
                  <w:noProof/>
                  <w:szCs w:val="24"/>
                </w:rPr>
                <w:t xml:space="preserve">Zhang, X., &amp; Lin, H. (2022). Disengagement Theory. In </w:t>
              </w:r>
              <w:r w:rsidRPr="00AF08AD">
                <w:rPr>
                  <w:rFonts w:ascii="Arial" w:hAnsi="Arial" w:cs="Arial"/>
                  <w:i/>
                  <w:iCs/>
                  <w:noProof/>
                  <w:szCs w:val="24"/>
                </w:rPr>
                <w:t>Encyclopedia of Gerontology and Population Aging</w:t>
              </w:r>
              <w:r w:rsidRPr="00AF08AD">
                <w:rPr>
                  <w:rFonts w:ascii="Arial" w:hAnsi="Arial" w:cs="Arial"/>
                  <w:noProof/>
                  <w:szCs w:val="24"/>
                </w:rPr>
                <w:t xml:space="preserve"> (pp. 1471-1476). Springer, Cham.</w:t>
              </w:r>
            </w:p>
            <w:p w14:paraId="059AF84E" w14:textId="77777777" w:rsidR="005D38CC" w:rsidRPr="00AF08AD" w:rsidRDefault="005D38CC" w:rsidP="00AF08AD">
              <w:pPr>
                <w:jc w:val="both"/>
                <w:rPr>
                  <w:rFonts w:ascii="Arial" w:hAnsi="Arial" w:cs="Arial"/>
                  <w:szCs w:val="24"/>
                </w:rPr>
              </w:pPr>
              <w:r w:rsidRPr="00AF08AD">
                <w:rPr>
                  <w:rFonts w:ascii="Arial" w:hAnsi="Arial" w:cs="Arial"/>
                  <w:b/>
                  <w:bCs/>
                  <w:noProof/>
                  <w:szCs w:val="24"/>
                </w:rPr>
                <w:fldChar w:fldCharType="end"/>
              </w:r>
            </w:p>
          </w:sdtContent>
        </w:sdt>
      </w:sdtContent>
    </w:sdt>
    <w:p w14:paraId="25348854" w14:textId="77777777" w:rsidR="00336224" w:rsidRPr="00AF08AD" w:rsidRDefault="00336224" w:rsidP="00AF08AD">
      <w:pPr>
        <w:jc w:val="both"/>
        <w:rPr>
          <w:rFonts w:ascii="Arial" w:hAnsi="Arial" w:cs="Arial"/>
          <w:szCs w:val="24"/>
        </w:rPr>
      </w:pPr>
    </w:p>
    <w:p w14:paraId="6B5EB6A2" w14:textId="77777777" w:rsidR="00145D9A" w:rsidRPr="00AF08AD" w:rsidRDefault="00145D9A" w:rsidP="00AF08AD">
      <w:pPr>
        <w:jc w:val="both"/>
        <w:rPr>
          <w:rFonts w:ascii="Arial" w:hAnsi="Arial" w:cs="Arial"/>
          <w:szCs w:val="24"/>
        </w:rPr>
      </w:pPr>
    </w:p>
    <w:p w14:paraId="2B9166EE" w14:textId="77777777" w:rsidR="00E24B77" w:rsidRPr="00AF08AD" w:rsidRDefault="00E24B77" w:rsidP="00AF08AD">
      <w:pPr>
        <w:jc w:val="both"/>
        <w:rPr>
          <w:rFonts w:ascii="Arial" w:hAnsi="Arial" w:cs="Arial"/>
          <w:szCs w:val="24"/>
        </w:rPr>
      </w:pPr>
    </w:p>
    <w:p w14:paraId="04267887" w14:textId="77777777" w:rsidR="00203471" w:rsidRPr="00AF08AD" w:rsidRDefault="00203471" w:rsidP="00AF08AD">
      <w:pPr>
        <w:jc w:val="both"/>
        <w:rPr>
          <w:rFonts w:ascii="Arial" w:hAnsi="Arial" w:cs="Arial"/>
          <w:szCs w:val="24"/>
        </w:rPr>
      </w:pPr>
    </w:p>
    <w:p w14:paraId="52EA9222" w14:textId="77777777" w:rsidR="00C55CD6" w:rsidRPr="00AF08AD" w:rsidRDefault="00C55CD6" w:rsidP="00AF08AD">
      <w:pPr>
        <w:jc w:val="both"/>
        <w:rPr>
          <w:rFonts w:ascii="Arial" w:hAnsi="Arial" w:cs="Arial"/>
          <w:szCs w:val="24"/>
        </w:rPr>
      </w:pPr>
    </w:p>
    <w:sectPr w:rsidR="00C55CD6" w:rsidRPr="00AF08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671"/>
    <w:rsid w:val="00037FDD"/>
    <w:rsid w:val="00082DB7"/>
    <w:rsid w:val="00135092"/>
    <w:rsid w:val="001455AC"/>
    <w:rsid w:val="00145D9A"/>
    <w:rsid w:val="00167F75"/>
    <w:rsid w:val="00183D3D"/>
    <w:rsid w:val="00192EAB"/>
    <w:rsid w:val="001A1A5B"/>
    <w:rsid w:val="001B16DA"/>
    <w:rsid w:val="001B3280"/>
    <w:rsid w:val="001C1545"/>
    <w:rsid w:val="001C4661"/>
    <w:rsid w:val="001E743A"/>
    <w:rsid w:val="001F5671"/>
    <w:rsid w:val="00203471"/>
    <w:rsid w:val="00221488"/>
    <w:rsid w:val="00264796"/>
    <w:rsid w:val="002776DE"/>
    <w:rsid w:val="002C7CA0"/>
    <w:rsid w:val="002F5C3E"/>
    <w:rsid w:val="002F7E8C"/>
    <w:rsid w:val="00311EEE"/>
    <w:rsid w:val="00336224"/>
    <w:rsid w:val="0037679D"/>
    <w:rsid w:val="00393AD3"/>
    <w:rsid w:val="003D2649"/>
    <w:rsid w:val="003E5700"/>
    <w:rsid w:val="003F6CF9"/>
    <w:rsid w:val="00425821"/>
    <w:rsid w:val="00466D0A"/>
    <w:rsid w:val="004712F2"/>
    <w:rsid w:val="004B258A"/>
    <w:rsid w:val="004B5779"/>
    <w:rsid w:val="004C4D40"/>
    <w:rsid w:val="004D04A4"/>
    <w:rsid w:val="004E74C4"/>
    <w:rsid w:val="004F56C7"/>
    <w:rsid w:val="005035C6"/>
    <w:rsid w:val="00516876"/>
    <w:rsid w:val="00546504"/>
    <w:rsid w:val="00580CA9"/>
    <w:rsid w:val="0059706F"/>
    <w:rsid w:val="005B4886"/>
    <w:rsid w:val="005D38CC"/>
    <w:rsid w:val="005E5D46"/>
    <w:rsid w:val="005E6D52"/>
    <w:rsid w:val="006158C7"/>
    <w:rsid w:val="0063460A"/>
    <w:rsid w:val="006456B9"/>
    <w:rsid w:val="006858EC"/>
    <w:rsid w:val="006B26DE"/>
    <w:rsid w:val="006D57BC"/>
    <w:rsid w:val="006F03BB"/>
    <w:rsid w:val="006F7110"/>
    <w:rsid w:val="00716FE1"/>
    <w:rsid w:val="00726FA3"/>
    <w:rsid w:val="00727AC5"/>
    <w:rsid w:val="00736CAB"/>
    <w:rsid w:val="0076126A"/>
    <w:rsid w:val="007626DD"/>
    <w:rsid w:val="0076308F"/>
    <w:rsid w:val="00771FAF"/>
    <w:rsid w:val="007B00F7"/>
    <w:rsid w:val="007B3E6F"/>
    <w:rsid w:val="007F3906"/>
    <w:rsid w:val="007F599A"/>
    <w:rsid w:val="008B0068"/>
    <w:rsid w:val="008D3D90"/>
    <w:rsid w:val="008D48AE"/>
    <w:rsid w:val="008E52F8"/>
    <w:rsid w:val="00967403"/>
    <w:rsid w:val="0097077F"/>
    <w:rsid w:val="00972D3E"/>
    <w:rsid w:val="00980536"/>
    <w:rsid w:val="009C0312"/>
    <w:rsid w:val="009D0B9C"/>
    <w:rsid w:val="009F781F"/>
    <w:rsid w:val="009F7BAE"/>
    <w:rsid w:val="00A00AE1"/>
    <w:rsid w:val="00A12752"/>
    <w:rsid w:val="00A3246F"/>
    <w:rsid w:val="00A45760"/>
    <w:rsid w:val="00A562BA"/>
    <w:rsid w:val="00A90640"/>
    <w:rsid w:val="00A97E49"/>
    <w:rsid w:val="00AA550B"/>
    <w:rsid w:val="00AB0CF9"/>
    <w:rsid w:val="00AD7243"/>
    <w:rsid w:val="00AF08AD"/>
    <w:rsid w:val="00B321A4"/>
    <w:rsid w:val="00B429AA"/>
    <w:rsid w:val="00B91FDC"/>
    <w:rsid w:val="00BB2D0C"/>
    <w:rsid w:val="00BD36CC"/>
    <w:rsid w:val="00C5591F"/>
    <w:rsid w:val="00C55CD6"/>
    <w:rsid w:val="00C71450"/>
    <w:rsid w:val="00CB1014"/>
    <w:rsid w:val="00CC2874"/>
    <w:rsid w:val="00CE0B86"/>
    <w:rsid w:val="00D10B12"/>
    <w:rsid w:val="00D10E7F"/>
    <w:rsid w:val="00D150E8"/>
    <w:rsid w:val="00D15C59"/>
    <w:rsid w:val="00D67CEB"/>
    <w:rsid w:val="00D70126"/>
    <w:rsid w:val="00D90DDD"/>
    <w:rsid w:val="00D9633F"/>
    <w:rsid w:val="00DD0CA6"/>
    <w:rsid w:val="00DD3D60"/>
    <w:rsid w:val="00DE4E48"/>
    <w:rsid w:val="00E0727D"/>
    <w:rsid w:val="00E13EA7"/>
    <w:rsid w:val="00E1431E"/>
    <w:rsid w:val="00E21341"/>
    <w:rsid w:val="00E24B77"/>
    <w:rsid w:val="00E56F72"/>
    <w:rsid w:val="00E75128"/>
    <w:rsid w:val="00E77F68"/>
    <w:rsid w:val="00E86814"/>
    <w:rsid w:val="00EA0EEC"/>
    <w:rsid w:val="00EC3C01"/>
    <w:rsid w:val="00EF4E2B"/>
    <w:rsid w:val="00F02010"/>
    <w:rsid w:val="00F469DE"/>
    <w:rsid w:val="00F6345E"/>
    <w:rsid w:val="00F741B6"/>
    <w:rsid w:val="00FB7184"/>
    <w:rsid w:val="00FE5C05"/>
    <w:rsid w:val="00FF3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D53A0"/>
  <w15:chartTrackingRefBased/>
  <w15:docId w15:val="{54667C05-837E-4723-969E-611EA07D8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EAB"/>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B7184"/>
    <w:pPr>
      <w:keepNext/>
      <w:keepLines/>
      <w:spacing w:before="240" w:line="240" w:lineRule="auto"/>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FB718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B7184"/>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184"/>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FB718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FB7184"/>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7B3E6F"/>
    <w:pPr>
      <w:spacing w:after="0"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B3E6F"/>
    <w:pPr>
      <w:spacing w:after="100"/>
    </w:pPr>
  </w:style>
  <w:style w:type="character" w:styleId="Hyperlink">
    <w:name w:val="Hyperlink"/>
    <w:basedOn w:val="DefaultParagraphFont"/>
    <w:uiPriority w:val="99"/>
    <w:unhideWhenUsed/>
    <w:rsid w:val="007B3E6F"/>
    <w:rPr>
      <w:color w:val="0563C1" w:themeColor="hyperlink"/>
      <w:u w:val="single"/>
    </w:rPr>
  </w:style>
  <w:style w:type="paragraph" w:styleId="Bibliography">
    <w:name w:val="Bibliography"/>
    <w:basedOn w:val="Normal"/>
    <w:next w:val="Normal"/>
    <w:uiPriority w:val="37"/>
    <w:unhideWhenUsed/>
    <w:rsid w:val="001E743A"/>
  </w:style>
  <w:style w:type="paragraph" w:styleId="NormalWeb">
    <w:name w:val="Normal (Web)"/>
    <w:basedOn w:val="Normal"/>
    <w:uiPriority w:val="99"/>
    <w:unhideWhenUsed/>
    <w:rsid w:val="00BB2D0C"/>
    <w:pPr>
      <w:spacing w:before="100" w:beforeAutospacing="1" w:after="100" w:afterAutospacing="1" w:line="240" w:lineRule="auto"/>
    </w:pPr>
    <w:rPr>
      <w:rFonts w:eastAsia="Times New Roman" w:cs="Times New Roman"/>
      <w:szCs w:val="24"/>
    </w:rPr>
  </w:style>
  <w:style w:type="paragraph" w:styleId="TOC2">
    <w:name w:val="toc 2"/>
    <w:basedOn w:val="Normal"/>
    <w:next w:val="Normal"/>
    <w:autoRedefine/>
    <w:uiPriority w:val="39"/>
    <w:unhideWhenUsed/>
    <w:rsid w:val="00A562B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967">
      <w:bodyDiv w:val="1"/>
      <w:marLeft w:val="0"/>
      <w:marRight w:val="0"/>
      <w:marTop w:val="0"/>
      <w:marBottom w:val="0"/>
      <w:divBdr>
        <w:top w:val="none" w:sz="0" w:space="0" w:color="auto"/>
        <w:left w:val="none" w:sz="0" w:space="0" w:color="auto"/>
        <w:bottom w:val="none" w:sz="0" w:space="0" w:color="auto"/>
        <w:right w:val="none" w:sz="0" w:space="0" w:color="auto"/>
      </w:divBdr>
    </w:div>
    <w:div w:id="37244190">
      <w:bodyDiv w:val="1"/>
      <w:marLeft w:val="0"/>
      <w:marRight w:val="0"/>
      <w:marTop w:val="0"/>
      <w:marBottom w:val="0"/>
      <w:divBdr>
        <w:top w:val="none" w:sz="0" w:space="0" w:color="auto"/>
        <w:left w:val="none" w:sz="0" w:space="0" w:color="auto"/>
        <w:bottom w:val="none" w:sz="0" w:space="0" w:color="auto"/>
        <w:right w:val="none" w:sz="0" w:space="0" w:color="auto"/>
      </w:divBdr>
    </w:div>
    <w:div w:id="61292104">
      <w:bodyDiv w:val="1"/>
      <w:marLeft w:val="0"/>
      <w:marRight w:val="0"/>
      <w:marTop w:val="0"/>
      <w:marBottom w:val="0"/>
      <w:divBdr>
        <w:top w:val="none" w:sz="0" w:space="0" w:color="auto"/>
        <w:left w:val="none" w:sz="0" w:space="0" w:color="auto"/>
        <w:bottom w:val="none" w:sz="0" w:space="0" w:color="auto"/>
        <w:right w:val="none" w:sz="0" w:space="0" w:color="auto"/>
      </w:divBdr>
    </w:div>
    <w:div w:id="110587992">
      <w:bodyDiv w:val="1"/>
      <w:marLeft w:val="0"/>
      <w:marRight w:val="0"/>
      <w:marTop w:val="0"/>
      <w:marBottom w:val="0"/>
      <w:divBdr>
        <w:top w:val="none" w:sz="0" w:space="0" w:color="auto"/>
        <w:left w:val="none" w:sz="0" w:space="0" w:color="auto"/>
        <w:bottom w:val="none" w:sz="0" w:space="0" w:color="auto"/>
        <w:right w:val="none" w:sz="0" w:space="0" w:color="auto"/>
      </w:divBdr>
    </w:div>
    <w:div w:id="112096143">
      <w:bodyDiv w:val="1"/>
      <w:marLeft w:val="0"/>
      <w:marRight w:val="0"/>
      <w:marTop w:val="0"/>
      <w:marBottom w:val="0"/>
      <w:divBdr>
        <w:top w:val="none" w:sz="0" w:space="0" w:color="auto"/>
        <w:left w:val="none" w:sz="0" w:space="0" w:color="auto"/>
        <w:bottom w:val="none" w:sz="0" w:space="0" w:color="auto"/>
        <w:right w:val="none" w:sz="0" w:space="0" w:color="auto"/>
      </w:divBdr>
    </w:div>
    <w:div w:id="125002945">
      <w:bodyDiv w:val="1"/>
      <w:marLeft w:val="0"/>
      <w:marRight w:val="0"/>
      <w:marTop w:val="0"/>
      <w:marBottom w:val="0"/>
      <w:divBdr>
        <w:top w:val="none" w:sz="0" w:space="0" w:color="auto"/>
        <w:left w:val="none" w:sz="0" w:space="0" w:color="auto"/>
        <w:bottom w:val="none" w:sz="0" w:space="0" w:color="auto"/>
        <w:right w:val="none" w:sz="0" w:space="0" w:color="auto"/>
      </w:divBdr>
    </w:div>
    <w:div w:id="126506631">
      <w:bodyDiv w:val="1"/>
      <w:marLeft w:val="0"/>
      <w:marRight w:val="0"/>
      <w:marTop w:val="0"/>
      <w:marBottom w:val="0"/>
      <w:divBdr>
        <w:top w:val="none" w:sz="0" w:space="0" w:color="auto"/>
        <w:left w:val="none" w:sz="0" w:space="0" w:color="auto"/>
        <w:bottom w:val="none" w:sz="0" w:space="0" w:color="auto"/>
        <w:right w:val="none" w:sz="0" w:space="0" w:color="auto"/>
      </w:divBdr>
    </w:div>
    <w:div w:id="170874523">
      <w:bodyDiv w:val="1"/>
      <w:marLeft w:val="0"/>
      <w:marRight w:val="0"/>
      <w:marTop w:val="0"/>
      <w:marBottom w:val="0"/>
      <w:divBdr>
        <w:top w:val="none" w:sz="0" w:space="0" w:color="auto"/>
        <w:left w:val="none" w:sz="0" w:space="0" w:color="auto"/>
        <w:bottom w:val="none" w:sz="0" w:space="0" w:color="auto"/>
        <w:right w:val="none" w:sz="0" w:space="0" w:color="auto"/>
      </w:divBdr>
    </w:div>
    <w:div w:id="174922569">
      <w:bodyDiv w:val="1"/>
      <w:marLeft w:val="0"/>
      <w:marRight w:val="0"/>
      <w:marTop w:val="0"/>
      <w:marBottom w:val="0"/>
      <w:divBdr>
        <w:top w:val="none" w:sz="0" w:space="0" w:color="auto"/>
        <w:left w:val="none" w:sz="0" w:space="0" w:color="auto"/>
        <w:bottom w:val="none" w:sz="0" w:space="0" w:color="auto"/>
        <w:right w:val="none" w:sz="0" w:space="0" w:color="auto"/>
      </w:divBdr>
    </w:div>
    <w:div w:id="190538962">
      <w:bodyDiv w:val="1"/>
      <w:marLeft w:val="0"/>
      <w:marRight w:val="0"/>
      <w:marTop w:val="0"/>
      <w:marBottom w:val="0"/>
      <w:divBdr>
        <w:top w:val="none" w:sz="0" w:space="0" w:color="auto"/>
        <w:left w:val="none" w:sz="0" w:space="0" w:color="auto"/>
        <w:bottom w:val="none" w:sz="0" w:space="0" w:color="auto"/>
        <w:right w:val="none" w:sz="0" w:space="0" w:color="auto"/>
      </w:divBdr>
    </w:div>
    <w:div w:id="225184360">
      <w:bodyDiv w:val="1"/>
      <w:marLeft w:val="0"/>
      <w:marRight w:val="0"/>
      <w:marTop w:val="0"/>
      <w:marBottom w:val="0"/>
      <w:divBdr>
        <w:top w:val="none" w:sz="0" w:space="0" w:color="auto"/>
        <w:left w:val="none" w:sz="0" w:space="0" w:color="auto"/>
        <w:bottom w:val="none" w:sz="0" w:space="0" w:color="auto"/>
        <w:right w:val="none" w:sz="0" w:space="0" w:color="auto"/>
      </w:divBdr>
    </w:div>
    <w:div w:id="272176367">
      <w:bodyDiv w:val="1"/>
      <w:marLeft w:val="0"/>
      <w:marRight w:val="0"/>
      <w:marTop w:val="0"/>
      <w:marBottom w:val="0"/>
      <w:divBdr>
        <w:top w:val="none" w:sz="0" w:space="0" w:color="auto"/>
        <w:left w:val="none" w:sz="0" w:space="0" w:color="auto"/>
        <w:bottom w:val="none" w:sz="0" w:space="0" w:color="auto"/>
        <w:right w:val="none" w:sz="0" w:space="0" w:color="auto"/>
      </w:divBdr>
    </w:div>
    <w:div w:id="290718963">
      <w:bodyDiv w:val="1"/>
      <w:marLeft w:val="0"/>
      <w:marRight w:val="0"/>
      <w:marTop w:val="0"/>
      <w:marBottom w:val="0"/>
      <w:divBdr>
        <w:top w:val="none" w:sz="0" w:space="0" w:color="auto"/>
        <w:left w:val="none" w:sz="0" w:space="0" w:color="auto"/>
        <w:bottom w:val="none" w:sz="0" w:space="0" w:color="auto"/>
        <w:right w:val="none" w:sz="0" w:space="0" w:color="auto"/>
      </w:divBdr>
    </w:div>
    <w:div w:id="311371477">
      <w:bodyDiv w:val="1"/>
      <w:marLeft w:val="0"/>
      <w:marRight w:val="0"/>
      <w:marTop w:val="0"/>
      <w:marBottom w:val="0"/>
      <w:divBdr>
        <w:top w:val="none" w:sz="0" w:space="0" w:color="auto"/>
        <w:left w:val="none" w:sz="0" w:space="0" w:color="auto"/>
        <w:bottom w:val="none" w:sz="0" w:space="0" w:color="auto"/>
        <w:right w:val="none" w:sz="0" w:space="0" w:color="auto"/>
      </w:divBdr>
    </w:div>
    <w:div w:id="335234123">
      <w:bodyDiv w:val="1"/>
      <w:marLeft w:val="0"/>
      <w:marRight w:val="0"/>
      <w:marTop w:val="0"/>
      <w:marBottom w:val="0"/>
      <w:divBdr>
        <w:top w:val="none" w:sz="0" w:space="0" w:color="auto"/>
        <w:left w:val="none" w:sz="0" w:space="0" w:color="auto"/>
        <w:bottom w:val="none" w:sz="0" w:space="0" w:color="auto"/>
        <w:right w:val="none" w:sz="0" w:space="0" w:color="auto"/>
      </w:divBdr>
    </w:div>
    <w:div w:id="370232895">
      <w:bodyDiv w:val="1"/>
      <w:marLeft w:val="0"/>
      <w:marRight w:val="0"/>
      <w:marTop w:val="0"/>
      <w:marBottom w:val="0"/>
      <w:divBdr>
        <w:top w:val="none" w:sz="0" w:space="0" w:color="auto"/>
        <w:left w:val="none" w:sz="0" w:space="0" w:color="auto"/>
        <w:bottom w:val="none" w:sz="0" w:space="0" w:color="auto"/>
        <w:right w:val="none" w:sz="0" w:space="0" w:color="auto"/>
      </w:divBdr>
    </w:div>
    <w:div w:id="429397933">
      <w:bodyDiv w:val="1"/>
      <w:marLeft w:val="0"/>
      <w:marRight w:val="0"/>
      <w:marTop w:val="0"/>
      <w:marBottom w:val="0"/>
      <w:divBdr>
        <w:top w:val="none" w:sz="0" w:space="0" w:color="auto"/>
        <w:left w:val="none" w:sz="0" w:space="0" w:color="auto"/>
        <w:bottom w:val="none" w:sz="0" w:space="0" w:color="auto"/>
        <w:right w:val="none" w:sz="0" w:space="0" w:color="auto"/>
      </w:divBdr>
    </w:div>
    <w:div w:id="468672312">
      <w:bodyDiv w:val="1"/>
      <w:marLeft w:val="0"/>
      <w:marRight w:val="0"/>
      <w:marTop w:val="0"/>
      <w:marBottom w:val="0"/>
      <w:divBdr>
        <w:top w:val="none" w:sz="0" w:space="0" w:color="auto"/>
        <w:left w:val="none" w:sz="0" w:space="0" w:color="auto"/>
        <w:bottom w:val="none" w:sz="0" w:space="0" w:color="auto"/>
        <w:right w:val="none" w:sz="0" w:space="0" w:color="auto"/>
      </w:divBdr>
    </w:div>
    <w:div w:id="537670472">
      <w:bodyDiv w:val="1"/>
      <w:marLeft w:val="0"/>
      <w:marRight w:val="0"/>
      <w:marTop w:val="0"/>
      <w:marBottom w:val="0"/>
      <w:divBdr>
        <w:top w:val="none" w:sz="0" w:space="0" w:color="auto"/>
        <w:left w:val="none" w:sz="0" w:space="0" w:color="auto"/>
        <w:bottom w:val="none" w:sz="0" w:space="0" w:color="auto"/>
        <w:right w:val="none" w:sz="0" w:space="0" w:color="auto"/>
      </w:divBdr>
    </w:div>
    <w:div w:id="543370704">
      <w:bodyDiv w:val="1"/>
      <w:marLeft w:val="0"/>
      <w:marRight w:val="0"/>
      <w:marTop w:val="0"/>
      <w:marBottom w:val="0"/>
      <w:divBdr>
        <w:top w:val="none" w:sz="0" w:space="0" w:color="auto"/>
        <w:left w:val="none" w:sz="0" w:space="0" w:color="auto"/>
        <w:bottom w:val="none" w:sz="0" w:space="0" w:color="auto"/>
        <w:right w:val="none" w:sz="0" w:space="0" w:color="auto"/>
      </w:divBdr>
    </w:div>
    <w:div w:id="671684395">
      <w:bodyDiv w:val="1"/>
      <w:marLeft w:val="0"/>
      <w:marRight w:val="0"/>
      <w:marTop w:val="0"/>
      <w:marBottom w:val="0"/>
      <w:divBdr>
        <w:top w:val="none" w:sz="0" w:space="0" w:color="auto"/>
        <w:left w:val="none" w:sz="0" w:space="0" w:color="auto"/>
        <w:bottom w:val="none" w:sz="0" w:space="0" w:color="auto"/>
        <w:right w:val="none" w:sz="0" w:space="0" w:color="auto"/>
      </w:divBdr>
    </w:div>
    <w:div w:id="710618961">
      <w:bodyDiv w:val="1"/>
      <w:marLeft w:val="0"/>
      <w:marRight w:val="0"/>
      <w:marTop w:val="0"/>
      <w:marBottom w:val="0"/>
      <w:divBdr>
        <w:top w:val="none" w:sz="0" w:space="0" w:color="auto"/>
        <w:left w:val="none" w:sz="0" w:space="0" w:color="auto"/>
        <w:bottom w:val="none" w:sz="0" w:space="0" w:color="auto"/>
        <w:right w:val="none" w:sz="0" w:space="0" w:color="auto"/>
      </w:divBdr>
    </w:div>
    <w:div w:id="730612494">
      <w:bodyDiv w:val="1"/>
      <w:marLeft w:val="0"/>
      <w:marRight w:val="0"/>
      <w:marTop w:val="0"/>
      <w:marBottom w:val="0"/>
      <w:divBdr>
        <w:top w:val="none" w:sz="0" w:space="0" w:color="auto"/>
        <w:left w:val="none" w:sz="0" w:space="0" w:color="auto"/>
        <w:bottom w:val="none" w:sz="0" w:space="0" w:color="auto"/>
        <w:right w:val="none" w:sz="0" w:space="0" w:color="auto"/>
      </w:divBdr>
    </w:div>
    <w:div w:id="736631617">
      <w:bodyDiv w:val="1"/>
      <w:marLeft w:val="0"/>
      <w:marRight w:val="0"/>
      <w:marTop w:val="0"/>
      <w:marBottom w:val="0"/>
      <w:divBdr>
        <w:top w:val="none" w:sz="0" w:space="0" w:color="auto"/>
        <w:left w:val="none" w:sz="0" w:space="0" w:color="auto"/>
        <w:bottom w:val="none" w:sz="0" w:space="0" w:color="auto"/>
        <w:right w:val="none" w:sz="0" w:space="0" w:color="auto"/>
      </w:divBdr>
    </w:div>
    <w:div w:id="787896626">
      <w:bodyDiv w:val="1"/>
      <w:marLeft w:val="0"/>
      <w:marRight w:val="0"/>
      <w:marTop w:val="0"/>
      <w:marBottom w:val="0"/>
      <w:divBdr>
        <w:top w:val="none" w:sz="0" w:space="0" w:color="auto"/>
        <w:left w:val="none" w:sz="0" w:space="0" w:color="auto"/>
        <w:bottom w:val="none" w:sz="0" w:space="0" w:color="auto"/>
        <w:right w:val="none" w:sz="0" w:space="0" w:color="auto"/>
      </w:divBdr>
    </w:div>
    <w:div w:id="802697951">
      <w:bodyDiv w:val="1"/>
      <w:marLeft w:val="0"/>
      <w:marRight w:val="0"/>
      <w:marTop w:val="0"/>
      <w:marBottom w:val="0"/>
      <w:divBdr>
        <w:top w:val="none" w:sz="0" w:space="0" w:color="auto"/>
        <w:left w:val="none" w:sz="0" w:space="0" w:color="auto"/>
        <w:bottom w:val="none" w:sz="0" w:space="0" w:color="auto"/>
        <w:right w:val="none" w:sz="0" w:space="0" w:color="auto"/>
      </w:divBdr>
    </w:div>
    <w:div w:id="963073419">
      <w:bodyDiv w:val="1"/>
      <w:marLeft w:val="0"/>
      <w:marRight w:val="0"/>
      <w:marTop w:val="0"/>
      <w:marBottom w:val="0"/>
      <w:divBdr>
        <w:top w:val="none" w:sz="0" w:space="0" w:color="auto"/>
        <w:left w:val="none" w:sz="0" w:space="0" w:color="auto"/>
        <w:bottom w:val="none" w:sz="0" w:space="0" w:color="auto"/>
        <w:right w:val="none" w:sz="0" w:space="0" w:color="auto"/>
      </w:divBdr>
    </w:div>
    <w:div w:id="999046234">
      <w:bodyDiv w:val="1"/>
      <w:marLeft w:val="0"/>
      <w:marRight w:val="0"/>
      <w:marTop w:val="0"/>
      <w:marBottom w:val="0"/>
      <w:divBdr>
        <w:top w:val="none" w:sz="0" w:space="0" w:color="auto"/>
        <w:left w:val="none" w:sz="0" w:space="0" w:color="auto"/>
        <w:bottom w:val="none" w:sz="0" w:space="0" w:color="auto"/>
        <w:right w:val="none" w:sz="0" w:space="0" w:color="auto"/>
      </w:divBdr>
    </w:div>
    <w:div w:id="1143811200">
      <w:bodyDiv w:val="1"/>
      <w:marLeft w:val="0"/>
      <w:marRight w:val="0"/>
      <w:marTop w:val="0"/>
      <w:marBottom w:val="0"/>
      <w:divBdr>
        <w:top w:val="none" w:sz="0" w:space="0" w:color="auto"/>
        <w:left w:val="none" w:sz="0" w:space="0" w:color="auto"/>
        <w:bottom w:val="none" w:sz="0" w:space="0" w:color="auto"/>
        <w:right w:val="none" w:sz="0" w:space="0" w:color="auto"/>
      </w:divBdr>
    </w:div>
    <w:div w:id="1170410404">
      <w:bodyDiv w:val="1"/>
      <w:marLeft w:val="0"/>
      <w:marRight w:val="0"/>
      <w:marTop w:val="0"/>
      <w:marBottom w:val="0"/>
      <w:divBdr>
        <w:top w:val="none" w:sz="0" w:space="0" w:color="auto"/>
        <w:left w:val="none" w:sz="0" w:space="0" w:color="auto"/>
        <w:bottom w:val="none" w:sz="0" w:space="0" w:color="auto"/>
        <w:right w:val="none" w:sz="0" w:space="0" w:color="auto"/>
      </w:divBdr>
    </w:div>
    <w:div w:id="1176731086">
      <w:bodyDiv w:val="1"/>
      <w:marLeft w:val="0"/>
      <w:marRight w:val="0"/>
      <w:marTop w:val="0"/>
      <w:marBottom w:val="0"/>
      <w:divBdr>
        <w:top w:val="none" w:sz="0" w:space="0" w:color="auto"/>
        <w:left w:val="none" w:sz="0" w:space="0" w:color="auto"/>
        <w:bottom w:val="none" w:sz="0" w:space="0" w:color="auto"/>
        <w:right w:val="none" w:sz="0" w:space="0" w:color="auto"/>
      </w:divBdr>
    </w:div>
    <w:div w:id="1177307978">
      <w:bodyDiv w:val="1"/>
      <w:marLeft w:val="0"/>
      <w:marRight w:val="0"/>
      <w:marTop w:val="0"/>
      <w:marBottom w:val="0"/>
      <w:divBdr>
        <w:top w:val="none" w:sz="0" w:space="0" w:color="auto"/>
        <w:left w:val="none" w:sz="0" w:space="0" w:color="auto"/>
        <w:bottom w:val="none" w:sz="0" w:space="0" w:color="auto"/>
        <w:right w:val="none" w:sz="0" w:space="0" w:color="auto"/>
      </w:divBdr>
    </w:div>
    <w:div w:id="1185752001">
      <w:bodyDiv w:val="1"/>
      <w:marLeft w:val="0"/>
      <w:marRight w:val="0"/>
      <w:marTop w:val="0"/>
      <w:marBottom w:val="0"/>
      <w:divBdr>
        <w:top w:val="none" w:sz="0" w:space="0" w:color="auto"/>
        <w:left w:val="none" w:sz="0" w:space="0" w:color="auto"/>
        <w:bottom w:val="none" w:sz="0" w:space="0" w:color="auto"/>
        <w:right w:val="none" w:sz="0" w:space="0" w:color="auto"/>
      </w:divBdr>
    </w:div>
    <w:div w:id="1220703146">
      <w:bodyDiv w:val="1"/>
      <w:marLeft w:val="0"/>
      <w:marRight w:val="0"/>
      <w:marTop w:val="0"/>
      <w:marBottom w:val="0"/>
      <w:divBdr>
        <w:top w:val="none" w:sz="0" w:space="0" w:color="auto"/>
        <w:left w:val="none" w:sz="0" w:space="0" w:color="auto"/>
        <w:bottom w:val="none" w:sz="0" w:space="0" w:color="auto"/>
        <w:right w:val="none" w:sz="0" w:space="0" w:color="auto"/>
      </w:divBdr>
    </w:div>
    <w:div w:id="1274827278">
      <w:bodyDiv w:val="1"/>
      <w:marLeft w:val="0"/>
      <w:marRight w:val="0"/>
      <w:marTop w:val="0"/>
      <w:marBottom w:val="0"/>
      <w:divBdr>
        <w:top w:val="none" w:sz="0" w:space="0" w:color="auto"/>
        <w:left w:val="none" w:sz="0" w:space="0" w:color="auto"/>
        <w:bottom w:val="none" w:sz="0" w:space="0" w:color="auto"/>
        <w:right w:val="none" w:sz="0" w:space="0" w:color="auto"/>
      </w:divBdr>
    </w:div>
    <w:div w:id="1284196008">
      <w:bodyDiv w:val="1"/>
      <w:marLeft w:val="0"/>
      <w:marRight w:val="0"/>
      <w:marTop w:val="0"/>
      <w:marBottom w:val="0"/>
      <w:divBdr>
        <w:top w:val="none" w:sz="0" w:space="0" w:color="auto"/>
        <w:left w:val="none" w:sz="0" w:space="0" w:color="auto"/>
        <w:bottom w:val="none" w:sz="0" w:space="0" w:color="auto"/>
        <w:right w:val="none" w:sz="0" w:space="0" w:color="auto"/>
      </w:divBdr>
    </w:div>
    <w:div w:id="1336959625">
      <w:bodyDiv w:val="1"/>
      <w:marLeft w:val="0"/>
      <w:marRight w:val="0"/>
      <w:marTop w:val="0"/>
      <w:marBottom w:val="0"/>
      <w:divBdr>
        <w:top w:val="none" w:sz="0" w:space="0" w:color="auto"/>
        <w:left w:val="none" w:sz="0" w:space="0" w:color="auto"/>
        <w:bottom w:val="none" w:sz="0" w:space="0" w:color="auto"/>
        <w:right w:val="none" w:sz="0" w:space="0" w:color="auto"/>
      </w:divBdr>
    </w:div>
    <w:div w:id="1342121800">
      <w:bodyDiv w:val="1"/>
      <w:marLeft w:val="0"/>
      <w:marRight w:val="0"/>
      <w:marTop w:val="0"/>
      <w:marBottom w:val="0"/>
      <w:divBdr>
        <w:top w:val="none" w:sz="0" w:space="0" w:color="auto"/>
        <w:left w:val="none" w:sz="0" w:space="0" w:color="auto"/>
        <w:bottom w:val="none" w:sz="0" w:space="0" w:color="auto"/>
        <w:right w:val="none" w:sz="0" w:space="0" w:color="auto"/>
      </w:divBdr>
    </w:div>
    <w:div w:id="1351491618">
      <w:bodyDiv w:val="1"/>
      <w:marLeft w:val="0"/>
      <w:marRight w:val="0"/>
      <w:marTop w:val="0"/>
      <w:marBottom w:val="0"/>
      <w:divBdr>
        <w:top w:val="none" w:sz="0" w:space="0" w:color="auto"/>
        <w:left w:val="none" w:sz="0" w:space="0" w:color="auto"/>
        <w:bottom w:val="none" w:sz="0" w:space="0" w:color="auto"/>
        <w:right w:val="none" w:sz="0" w:space="0" w:color="auto"/>
      </w:divBdr>
    </w:div>
    <w:div w:id="1438521437">
      <w:bodyDiv w:val="1"/>
      <w:marLeft w:val="0"/>
      <w:marRight w:val="0"/>
      <w:marTop w:val="0"/>
      <w:marBottom w:val="0"/>
      <w:divBdr>
        <w:top w:val="none" w:sz="0" w:space="0" w:color="auto"/>
        <w:left w:val="none" w:sz="0" w:space="0" w:color="auto"/>
        <w:bottom w:val="none" w:sz="0" w:space="0" w:color="auto"/>
        <w:right w:val="none" w:sz="0" w:space="0" w:color="auto"/>
      </w:divBdr>
    </w:div>
    <w:div w:id="1474057677">
      <w:bodyDiv w:val="1"/>
      <w:marLeft w:val="0"/>
      <w:marRight w:val="0"/>
      <w:marTop w:val="0"/>
      <w:marBottom w:val="0"/>
      <w:divBdr>
        <w:top w:val="none" w:sz="0" w:space="0" w:color="auto"/>
        <w:left w:val="none" w:sz="0" w:space="0" w:color="auto"/>
        <w:bottom w:val="none" w:sz="0" w:space="0" w:color="auto"/>
        <w:right w:val="none" w:sz="0" w:space="0" w:color="auto"/>
      </w:divBdr>
    </w:div>
    <w:div w:id="1497765984">
      <w:bodyDiv w:val="1"/>
      <w:marLeft w:val="0"/>
      <w:marRight w:val="0"/>
      <w:marTop w:val="0"/>
      <w:marBottom w:val="0"/>
      <w:divBdr>
        <w:top w:val="none" w:sz="0" w:space="0" w:color="auto"/>
        <w:left w:val="none" w:sz="0" w:space="0" w:color="auto"/>
        <w:bottom w:val="none" w:sz="0" w:space="0" w:color="auto"/>
        <w:right w:val="none" w:sz="0" w:space="0" w:color="auto"/>
      </w:divBdr>
    </w:div>
    <w:div w:id="1542474592">
      <w:bodyDiv w:val="1"/>
      <w:marLeft w:val="0"/>
      <w:marRight w:val="0"/>
      <w:marTop w:val="0"/>
      <w:marBottom w:val="0"/>
      <w:divBdr>
        <w:top w:val="none" w:sz="0" w:space="0" w:color="auto"/>
        <w:left w:val="none" w:sz="0" w:space="0" w:color="auto"/>
        <w:bottom w:val="none" w:sz="0" w:space="0" w:color="auto"/>
        <w:right w:val="none" w:sz="0" w:space="0" w:color="auto"/>
      </w:divBdr>
    </w:div>
    <w:div w:id="1548294240">
      <w:bodyDiv w:val="1"/>
      <w:marLeft w:val="0"/>
      <w:marRight w:val="0"/>
      <w:marTop w:val="0"/>
      <w:marBottom w:val="0"/>
      <w:divBdr>
        <w:top w:val="none" w:sz="0" w:space="0" w:color="auto"/>
        <w:left w:val="none" w:sz="0" w:space="0" w:color="auto"/>
        <w:bottom w:val="none" w:sz="0" w:space="0" w:color="auto"/>
        <w:right w:val="none" w:sz="0" w:space="0" w:color="auto"/>
      </w:divBdr>
    </w:div>
    <w:div w:id="1583180050">
      <w:bodyDiv w:val="1"/>
      <w:marLeft w:val="0"/>
      <w:marRight w:val="0"/>
      <w:marTop w:val="0"/>
      <w:marBottom w:val="0"/>
      <w:divBdr>
        <w:top w:val="none" w:sz="0" w:space="0" w:color="auto"/>
        <w:left w:val="none" w:sz="0" w:space="0" w:color="auto"/>
        <w:bottom w:val="none" w:sz="0" w:space="0" w:color="auto"/>
        <w:right w:val="none" w:sz="0" w:space="0" w:color="auto"/>
      </w:divBdr>
    </w:div>
    <w:div w:id="1613050788">
      <w:bodyDiv w:val="1"/>
      <w:marLeft w:val="0"/>
      <w:marRight w:val="0"/>
      <w:marTop w:val="0"/>
      <w:marBottom w:val="0"/>
      <w:divBdr>
        <w:top w:val="none" w:sz="0" w:space="0" w:color="auto"/>
        <w:left w:val="none" w:sz="0" w:space="0" w:color="auto"/>
        <w:bottom w:val="none" w:sz="0" w:space="0" w:color="auto"/>
        <w:right w:val="none" w:sz="0" w:space="0" w:color="auto"/>
      </w:divBdr>
    </w:div>
    <w:div w:id="1677342880">
      <w:bodyDiv w:val="1"/>
      <w:marLeft w:val="0"/>
      <w:marRight w:val="0"/>
      <w:marTop w:val="0"/>
      <w:marBottom w:val="0"/>
      <w:divBdr>
        <w:top w:val="none" w:sz="0" w:space="0" w:color="auto"/>
        <w:left w:val="none" w:sz="0" w:space="0" w:color="auto"/>
        <w:bottom w:val="none" w:sz="0" w:space="0" w:color="auto"/>
        <w:right w:val="none" w:sz="0" w:space="0" w:color="auto"/>
      </w:divBdr>
    </w:div>
    <w:div w:id="1709526525">
      <w:bodyDiv w:val="1"/>
      <w:marLeft w:val="0"/>
      <w:marRight w:val="0"/>
      <w:marTop w:val="0"/>
      <w:marBottom w:val="0"/>
      <w:divBdr>
        <w:top w:val="none" w:sz="0" w:space="0" w:color="auto"/>
        <w:left w:val="none" w:sz="0" w:space="0" w:color="auto"/>
        <w:bottom w:val="none" w:sz="0" w:space="0" w:color="auto"/>
        <w:right w:val="none" w:sz="0" w:space="0" w:color="auto"/>
      </w:divBdr>
    </w:div>
    <w:div w:id="1731686293">
      <w:bodyDiv w:val="1"/>
      <w:marLeft w:val="0"/>
      <w:marRight w:val="0"/>
      <w:marTop w:val="0"/>
      <w:marBottom w:val="0"/>
      <w:divBdr>
        <w:top w:val="none" w:sz="0" w:space="0" w:color="auto"/>
        <w:left w:val="none" w:sz="0" w:space="0" w:color="auto"/>
        <w:bottom w:val="none" w:sz="0" w:space="0" w:color="auto"/>
        <w:right w:val="none" w:sz="0" w:space="0" w:color="auto"/>
      </w:divBdr>
    </w:div>
    <w:div w:id="1756318963">
      <w:bodyDiv w:val="1"/>
      <w:marLeft w:val="0"/>
      <w:marRight w:val="0"/>
      <w:marTop w:val="0"/>
      <w:marBottom w:val="0"/>
      <w:divBdr>
        <w:top w:val="none" w:sz="0" w:space="0" w:color="auto"/>
        <w:left w:val="none" w:sz="0" w:space="0" w:color="auto"/>
        <w:bottom w:val="none" w:sz="0" w:space="0" w:color="auto"/>
        <w:right w:val="none" w:sz="0" w:space="0" w:color="auto"/>
      </w:divBdr>
    </w:div>
    <w:div w:id="1783920367">
      <w:bodyDiv w:val="1"/>
      <w:marLeft w:val="0"/>
      <w:marRight w:val="0"/>
      <w:marTop w:val="0"/>
      <w:marBottom w:val="0"/>
      <w:divBdr>
        <w:top w:val="none" w:sz="0" w:space="0" w:color="auto"/>
        <w:left w:val="none" w:sz="0" w:space="0" w:color="auto"/>
        <w:bottom w:val="none" w:sz="0" w:space="0" w:color="auto"/>
        <w:right w:val="none" w:sz="0" w:space="0" w:color="auto"/>
      </w:divBdr>
    </w:div>
    <w:div w:id="1816993087">
      <w:bodyDiv w:val="1"/>
      <w:marLeft w:val="0"/>
      <w:marRight w:val="0"/>
      <w:marTop w:val="0"/>
      <w:marBottom w:val="0"/>
      <w:divBdr>
        <w:top w:val="none" w:sz="0" w:space="0" w:color="auto"/>
        <w:left w:val="none" w:sz="0" w:space="0" w:color="auto"/>
        <w:bottom w:val="none" w:sz="0" w:space="0" w:color="auto"/>
        <w:right w:val="none" w:sz="0" w:space="0" w:color="auto"/>
      </w:divBdr>
    </w:div>
    <w:div w:id="1979340226">
      <w:bodyDiv w:val="1"/>
      <w:marLeft w:val="0"/>
      <w:marRight w:val="0"/>
      <w:marTop w:val="0"/>
      <w:marBottom w:val="0"/>
      <w:divBdr>
        <w:top w:val="none" w:sz="0" w:space="0" w:color="auto"/>
        <w:left w:val="none" w:sz="0" w:space="0" w:color="auto"/>
        <w:bottom w:val="none" w:sz="0" w:space="0" w:color="auto"/>
        <w:right w:val="none" w:sz="0" w:space="0" w:color="auto"/>
      </w:divBdr>
    </w:div>
    <w:div w:id="1998264824">
      <w:bodyDiv w:val="1"/>
      <w:marLeft w:val="0"/>
      <w:marRight w:val="0"/>
      <w:marTop w:val="0"/>
      <w:marBottom w:val="0"/>
      <w:divBdr>
        <w:top w:val="none" w:sz="0" w:space="0" w:color="auto"/>
        <w:left w:val="none" w:sz="0" w:space="0" w:color="auto"/>
        <w:bottom w:val="none" w:sz="0" w:space="0" w:color="auto"/>
        <w:right w:val="none" w:sz="0" w:space="0" w:color="auto"/>
      </w:divBdr>
    </w:div>
    <w:div w:id="2072460601">
      <w:bodyDiv w:val="1"/>
      <w:marLeft w:val="0"/>
      <w:marRight w:val="0"/>
      <w:marTop w:val="0"/>
      <w:marBottom w:val="0"/>
      <w:divBdr>
        <w:top w:val="none" w:sz="0" w:space="0" w:color="auto"/>
        <w:left w:val="none" w:sz="0" w:space="0" w:color="auto"/>
        <w:bottom w:val="none" w:sz="0" w:space="0" w:color="auto"/>
        <w:right w:val="none" w:sz="0" w:space="0" w:color="auto"/>
      </w:divBdr>
    </w:div>
    <w:div w:id="2082437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NHS232</b:Tag>
    <b:SourceType>InternetSite</b:SourceType>
    <b:Guid>{4D9AA21F-B2F7-40B1-B52C-773816C0DF37}</b:Guid>
    <b:Author>
      <b:Author>
        <b:Corporate>NHS England</b:Corporate>
      </b:Author>
    </b:Author>
    <b:Title>Improving care for older people</b:Title>
    <b:Year>2023</b:Year>
    <b:Month>November</b:Month>
    <b:Day>03</b:Day>
    <b:URL>https://www.england.nhs.uk/ourwork/clinical-policy/older-people/improving-care-for-older-people/#:~:text=How%20old%20is%20an%20older,healthier%20than%20someone%20aged%2060.</b:URL>
    <b:RefOrder>6</b:RefOrder>
  </b:Source>
  <b:Source>
    <b:Tag>Bri236</b:Tag>
    <b:SourceType>InternetSite</b:SourceType>
    <b:Guid>{549CC92A-16C2-4F33-B560-163F0F7BE185}</b:Guid>
    <b:Author>
      <b:Author>
        <b:Corporate>Britannica</b:Corporate>
      </b:Author>
    </b:Author>
    <b:Title>Old age</b:Title>
    <b:Year>2023</b:Year>
    <b:YearAccessed>2023</b:YearAccessed>
    <b:MonthAccessed>Novemeber </b:MonthAccessed>
    <b:DayAccessed>03</b:DayAccessed>
    <b:URL>https://www.youtube.com/watch?v=7xOZqYJF1H0</b:URL>
    <b:RefOrder>7</b:RefOrder>
  </b:Source>
  <b:Source>
    <b:Tag>Col23</b:Tag>
    <b:SourceType>InternetSite</b:SourceType>
    <b:Guid>{7D593F20-184F-41E5-89C9-A521EABFBB44}</b:Guid>
    <b:Author>
      <b:Author>
        <b:Corporate>Collins</b:Corporate>
      </b:Author>
    </b:Author>
    <b:Title>Old age</b:Title>
    <b:Year>2023</b:Year>
    <b:YearAccessed>2023</b:YearAccessed>
    <b:MonthAccessed>November</b:MonthAccessed>
    <b:DayAccessed>03</b:DayAccessed>
    <b:URL>https://www.collinsdictionary.com/dictionary/english/old-age</b:URL>
    <b:RefOrder>8</b:RefOrder>
  </b:Source>
  <b:Source>
    <b:Tag>Lew21</b:Tag>
    <b:SourceType>DocumentFromInternetSite</b:SourceType>
    <b:Guid>{F3618955-8F3C-4AA1-B2AA-25B3B5CF5F42}</b:Guid>
    <b:Title>Housing an ageing population: a reading list</b:Title>
    <b:Year>2021</b:Year>
    <b:YearAccessed>2023</b:YearAccessed>
    <b:MonthAccessed>November</b:MonthAccessed>
    <b:DayAccessed>3</b:DayAccessed>
    <b:URL>https://commonslibrary.parliament.uk/research-briefings/cbp-9239/#:~:text=The%20UK's%20ageing%20population,or%20around%2012.3%20million%20people.</b:URL>
    <b:Author>
      <b:Author>
        <b:NameList>
          <b:Person>
            <b:Last>Lewis</b:Last>
            <b:First>A</b:First>
          </b:Person>
          <b:Person>
            <b:Last>Cromarty</b:Last>
            <b:First>H</b:First>
          </b:Person>
          <b:Person>
            <b:Last>Barton</b:Last>
            <b:First>C.</b:First>
          </b:Person>
        </b:NameList>
      </b:Author>
    </b:Author>
    <b:Month>June</b:Month>
    <b:Day>03</b:Day>
    <b:RefOrder>9</b:RefOrder>
  </b:Source>
  <b:Source>
    <b:Tag>Ray21</b:Tag>
    <b:SourceType>DocumentFromInternetSite</b:SourceType>
    <b:Guid>{075D72EA-5076-4866-AE65-DEFEC807C4C4}</b:Guid>
    <b:Author>
      <b:Author>
        <b:NameList>
          <b:Person>
            <b:Last>Raymond</b:Last>
            <b:First>A</b:First>
          </b:Person>
          <b:Person>
            <b:Last>Bazeer</b:Last>
            <b:First>N</b:First>
          </b:Person>
          <b:Person>
            <b:Last>Barclay</b:Last>
            <b:First>C</b:First>
          </b:Person>
          <b:Person>
            <b:Last>Krelle</b:Last>
            <b:First>H</b:First>
          </b:Person>
          <b:Person>
            <b:Last>Idriss</b:Last>
            <b:First>O</b:First>
          </b:Person>
          <b:Person>
            <b:Last>Tallack</b:Last>
            <b:First>C</b:First>
          </b:Person>
          <b:Person>
            <b:Last>Kelly</b:Last>
            <b:First>Elaine</b:First>
          </b:Person>
        </b:NameList>
      </b:Author>
    </b:Author>
    <b:Title>How ageing affects health and care need in England</b:Title>
    <b:Year>2021</b:Year>
    <b:Month>December</b:Month>
    <b:YearAccessed>2023</b:YearAccessed>
    <b:MonthAccessed>November</b:MonthAccessed>
    <b:DayAccessed>3</b:DayAccessed>
    <b:URL>https://www.health.org.uk/publications/our-ageing-population</b:URL>
    <b:RefOrder>10</b:RefOrder>
  </b:Source>
  <b:Source>
    <b:Tag>Coo19</b:Tag>
    <b:SourceType>DocumentFromInternetSite</b:SourceType>
    <b:Guid>{3060BEBD-C40C-41A3-B97E-7F30766052E3}</b:Guid>
    <b:Author>
      <b:Author>
        <b:NameList>
          <b:Person>
            <b:Last>Coombs</b:Last>
            <b:First>N</b:First>
          </b:Person>
          <b:Person>
            <b:Last>Storey</b:Last>
            <b:First>A</b:First>
          </b:Person>
          <b:Person>
            <b:Last>Giddings</b:Last>
            <b:First>R.</b:First>
          </b:Person>
        </b:NameList>
      </b:Author>
    </b:Author>
    <b:Title>Living longer: is age 70 the new age 65?</b:Title>
    <b:Year>2019</b:Year>
    <b:Month>November</b:Month>
    <b:Day>19</b:Day>
    <b:YearAccessed>2023</b:YearAccessed>
    <b:MonthAccessed>November</b:MonthAccessed>
    <b:DayAccessed>03</b:DayAccessed>
    <b:URL>https://www.ons.gov.uk/peoplepopulationandcommunity/birthsdeathsandmarriages/ageing/articles/livinglongerisage70thenewage65/2019-11-19</b:URL>
    <b:RefOrder>11</b:RefOrder>
  </b:Source>
  <b:Source>
    <b:Tag>Win231</b:Tag>
    <b:SourceType>InternetSite</b:SourceType>
    <b:Guid>{D9219F20-7A0C-4C15-87CD-F456F0FF228C}</b:Guid>
    <b:Title>Medicine will not only make us live longer, but live better</b:Title>
    <b:Year>2023</b:Year>
    <b:YearAccessed>2023</b:YearAccessed>
    <b:MonthAccessed>November</b:MonthAccessed>
    <b:DayAccessed>03</b:DayAccessed>
    <b:URL>https://www.theguardian.com/zurichfuturology/story/0,,1952688,00.html</b:URL>
    <b:Author>
      <b:Author>
        <b:NameList>
          <b:Person>
            <b:Last>Windsor</b:Last>
            <b:First>A.</b:First>
          </b:Person>
        </b:NameList>
      </b:Author>
    </b:Author>
    <b:RefOrder>12</b:RefOrder>
  </b:Source>
  <b:Source>
    <b:Tag>Bro15</b:Tag>
    <b:SourceType>JournalArticle</b:SourceType>
    <b:Guid>{173F4136-56EB-4D78-A195-FDEA2DB38F43}</b:Guid>
    <b:Title>Living too long</b:Title>
    <b:Year>2015</b:Year>
    <b:Author>
      <b:Author>
        <b:NameList>
          <b:Person>
            <b:Last>Brown</b:Last>
            <b:First>C.</b:First>
            <b:Middle>G.</b:Middle>
          </b:Person>
        </b:NameList>
      </b:Author>
    </b:Author>
    <b:JournalName>EMBO Reports</b:JournalName>
    <b:Pages>137-141</b:Pages>
    <b:Volume>16</b:Volume>
    <b:Issue>2</b:Issue>
    <b:RefOrder>13</b:RefOrder>
  </b:Source>
  <b:Source>
    <b:Tag>Mar214</b:Tag>
    <b:SourceType>JournalArticle</b:SourceType>
    <b:Guid>{A892641C-9D93-4858-A6B8-3E857DB6E347}</b:Guid>
    <b:Author>
      <b:Author>
        <b:NameList>
          <b:Person>
            <b:Last>Marston</b:Last>
            <b:First>R.</b:First>
            <b:Middle>H</b:Middle>
          </b:Person>
          <b:Person>
            <b:Last>Musselwhite</b:Last>
            <b:First>A.</b:First>
            <b:Middle>B. C.</b:Middle>
          </b:Person>
        </b:NameList>
      </b:Author>
    </b:Author>
    <b:Title>Improving Older People’s Lives Through Digital Technology and Practices</b:Title>
    <b:JournalName>Gerontology and Geriatric Medicine</b:JournalName>
    <b:Year>2021</b:Year>
    <b:Pages>1-6</b:Pages>
    <b:Volume>1</b:Volume>
    <b:Issue>1</b:Issue>
    <b:RefOrder>14</b:RefOrder>
  </b:Source>
  <b:Source>
    <b:Tag>Yau22</b:Tag>
    <b:SourceType>JournalArticle</b:SourceType>
    <b:Guid>{3BE0D186-27F5-4DFD-83C2-1D0C5BFB20A8}</b:Guid>
    <b:Author>
      <b:Author>
        <b:NameList>
          <b:Person>
            <b:Last>Yau</b:Last>
            <b:First>Y</b:First>
          </b:Person>
          <b:Person>
            <b:Last>Hsiao</b:Last>
            <b:First>H.</b:First>
            <b:Middle>C.</b:Middle>
          </b:Person>
        </b:NameList>
      </b:Author>
    </b:Author>
    <b:Title>The Technology Acceptance Model and Older Adults’ Exercise Intentions—A Systematic Literature Review</b:Title>
    <b:JournalName>Geriatrics</b:JournalName>
    <b:Year>2022</b:Year>
    <b:Pages>124-130</b:Pages>
    <b:Volume>7</b:Volume>
    <b:Issue>6</b:Issue>
    <b:RefOrder>15</b:RefOrder>
  </b:Source>
  <b:Source>
    <b:Tag>Kno92</b:Tag>
    <b:SourceType>JournalArticle</b:SourceType>
    <b:Guid>{52E6A96B-AE39-4C5C-928E-B022078A591C}</b:Guid>
    <b:Author>
      <b:Author>
        <b:NameList>
          <b:Person>
            <b:Last>Knodel</b:Last>
            <b:First>J</b:First>
          </b:Person>
          <b:Person>
            <b:Last>Chayovan</b:Last>
            <b:First>N</b:First>
          </b:Person>
          <b:Person>
            <b:Last>Siriboon</b:Last>
            <b:First>S.</b:First>
          </b:Person>
        </b:NameList>
      </b:Author>
    </b:Author>
    <b:Title>The Impact of Fertility Decline on Familial Support for the Elderly: An Illustration from Thailand</b:Title>
    <b:JournalName>Population and Development Review</b:JournalName>
    <b:Year>1992</b:Year>
    <b:Pages>79-103</b:Pages>
    <b:Volume>18</b:Volume>
    <b:Issue>1</b:Issue>
    <b:RefOrder>16</b:RefOrder>
  </b:Source>
  <b:Source>
    <b:Tag>Dia18</b:Tag>
    <b:SourceType>JournalArticle</b:SourceType>
    <b:Guid>{79807113-14B1-424E-93B9-FEE16B6EBDD1}</b:Guid>
    <b:Author>
      <b:Author>
        <b:NameList>
          <b:Person>
            <b:Last>Diaz-Venegas</b:Last>
            <b:First>C</b:First>
          </b:Person>
          <b:Person>
            <b:Last>Saenz</b:Last>
            <b:First>L.</b:First>
            <b:Middle>J</b:Middle>
          </b:Person>
          <b:Person>
            <b:Last>Wong</b:Last>
            <b:First>R.</b:First>
          </b:Person>
        </b:NameList>
      </b:Author>
    </b:Author>
    <b:Title>Family size and old-age wellbeing: effects of the fertility transition in Mexico</b:Title>
    <b:JournalName>Aging Society</b:JournalName>
    <b:Year>2018</b:Year>
    <b:Pages>495-516</b:Pages>
    <b:Volume>37</b:Volume>
    <b:Issue>3</b:Issue>
    <b:RefOrder>17</b:RefOrder>
  </b:Source>
  <b:Source>
    <b:Tag>Ars15</b:Tag>
    <b:SourceType>JournalArticle</b:SourceType>
    <b:Guid>{55F04ED2-778F-4804-845A-B3FC4471F361}</b:Guid>
    <b:Author>
      <b:Author>
        <b:NameList>
          <b:Person>
            <b:Last>Arslantas</b:Last>
            <b:First>H</b:First>
          </b:Person>
          <b:Person>
            <b:Last>Adana</b:Last>
            <b:First>F</b:First>
          </b:Person>
          <b:Person>
            <b:Last>Ergin</b:Last>
            <b:First>A.</b:First>
            <b:Middle>F</b:Middle>
          </b:Person>
          <b:Person>
            <b:Last>Kayar</b:Last>
            <b:First>D</b:First>
          </b:Person>
          <b:Person>
            <b:Last>Acar</b:Last>
            <b:First>G.</b:First>
          </b:Person>
        </b:NameList>
      </b:Author>
    </b:Author>
    <b:Title>Loneliness in Elderly People, Associated Factors and Its Correlation with Quality of Life: A Field Study from Western Turkey</b:Title>
    <b:JournalName>Iranian Journal of Public Health</b:JournalName>
    <b:Year>2015</b:Year>
    <b:Pages>43-50</b:Pages>
    <b:Volume>44</b:Volume>
    <b:Issue>1</b:Issue>
    <b:RefOrder>18</b:RefOrder>
  </b:Source>
  <b:Source>
    <b:Tag>Fak20</b:Tag>
    <b:SourceType>JournalArticle</b:SourceType>
    <b:Guid>{4F85C3A0-369E-4AB0-825C-06E8E597BBCF}</b:Guid>
    <b:Author>
      <b:Author>
        <b:NameList>
          <b:Person>
            <b:Last>Fakoya</b:Last>
            <b:First>A.</b:First>
            <b:Middle>O</b:Middle>
          </b:Person>
          <b:Person>
            <b:Last>McCorry</b:Last>
            <b:First>K.</b:First>
            <b:Middle>N</b:Middle>
          </b:Person>
          <b:Person>
            <b:Last>Donnelly</b:Last>
            <b:First>M.</b:First>
          </b:Person>
        </b:NameList>
      </b:Author>
    </b:Author>
    <b:Title>Loneliness and social isolation interventions for older adults: a scoping review of reviews</b:Title>
    <b:JournalName>BMC Public Health volume</b:JournalName>
    <b:Year>2020</b:Year>
    <b:Pages>2-8</b:Pages>
    <b:Volume>20</b:Volume>
    <b:Issue>129</b:Issue>
    <b:RefOrder>19</b:RefOrder>
  </b:Source>
  <b:Source>
    <b:Tag>Pat211</b:Tag>
    <b:SourceType>JournalArticle</b:SourceType>
    <b:Guid>{F35C2D9D-B47A-4541-9B38-B5AF0AC116FD}</b:Guid>
    <b:Author>
      <b:Author>
        <b:NameList>
          <b:Person>
            <b:Last>Patel</b:Last>
          </b:Person>
          <b:Person>
            <b:Last>Bunachita</b:Last>
            <b:First>S</b:First>
          </b:Person>
          <b:Person>
            <b:Last>Chiu</b:Last>
            <b:First>H</b:First>
          </b:Person>
          <b:Person>
            <b:Last>Suresh</b:Last>
            <b:First>P</b:First>
          </b:Person>
          <b:Person>
            <b:Last>Patel</b:Last>
            <b:First>K.</b:First>
            <b:Middle>U.</b:Middle>
          </b:Person>
        </b:NameList>
      </b:Author>
    </b:Author>
    <b:Title>Elder Abuse: A Comprehensive Overview and Physician-Associated Challenges</b:Title>
    <b:JournalName>Cureus</b:JournalName>
    <b:Year>2021</b:Year>
    <b:Pages>e14375-e14380</b:Pages>
    <b:Volume>13</b:Volume>
    <b:Issue>4</b:Issue>
    <b:RefOrder>20</b:RefOrder>
  </b:Source>
  <b:Source>
    <b:Tag>Mai22</b:Tag>
    <b:SourceType>JournalArticle</b:SourceType>
    <b:Guid>{DD3E2FB2-D18F-4586-A13C-01BCAEA79959}</b:Guid>
    <b:Author>
      <b:Author>
        <b:NameList>
          <b:Person>
            <b:Last>Mai</b:Last>
            <b:First>S</b:First>
          </b:Person>
          <b:Person>
            <b:Last>Cai</b:Last>
            <b:First>J</b:First>
          </b:Person>
          <b:Person>
            <b:Last>Li</b:Last>
            <b:First>L.</b:First>
          </b:Person>
        </b:NameList>
      </b:Author>
    </b:Author>
    <b:Title>Factors associated with access to healthcare services for older adults with limited activities of daily living</b:Title>
    <b:JournalName>Frontiers in Public Health</b:JournalName>
    <b:Year>2022</b:Year>
    <b:Pages>2-6</b:Pages>
    <b:Volume>10</b:Volume>
    <b:Issue>921980</b:Issue>
    <b:RefOrder>21</b:RefOrder>
  </b:Source>
  <b:Source>
    <b:Tag>WuT22</b:Tag>
    <b:SourceType>JournalArticle</b:SourceType>
    <b:Guid>{E0C6F85C-F114-4122-9DD6-A6F3ADE883FD}</b:Guid>
    <b:Author>
      <b:Author>
        <b:NameList>
          <b:Person>
            <b:Last>Wu</b:Last>
            <b:First>T.</b:First>
            <b:Middle>Y</b:Middle>
          </b:Person>
          <b:Person>
            <b:Last>Pring</b:Last>
            <b:First>M</b:First>
          </b:Person>
          <b:Person>
            <b:Last>Matthews</b:Last>
            <b:First>F.</b:First>
          </b:Person>
        </b:NameList>
      </b:Author>
    </b:Author>
    <b:Title>The availability of local primary care services, satisfaction with health services and self-rated health in older English adults: A population-based study</b:Title>
    <b:JournalName>Preventive Medicine Reports</b:JournalName>
    <b:Year>2022</b:Year>
    <b:Pages>2-4</b:Pages>
    <b:Volume>27</b:Volume>
    <b:Issue>101786</b:Issue>
    <b:RefOrder>22</b:RefOrder>
  </b:Source>
  <b:Source>
    <b:Tag>CWC19</b:Tag>
    <b:SourceType>InternetSite</b:SourceType>
    <b:Guid>{73C4E8DA-4BAD-4773-A68E-EB827FD9FC10}</b:Guid>
    <b:Title>Health and Social Care Services: The Essential Guide (2019)</b:Title>
    <b:Year>2019</b:Year>
    <b:Author>
      <b:Author>
        <b:Corporate>CWC</b:Corporate>
      </b:Author>
    </b:Author>
    <b:YearAccessed>2023</b:YearAccessed>
    <b:MonthAccessed>November</b:MonthAccessed>
    <b:DayAccessed>14</b:DayAccessed>
    <b:URL>https://www.thecareworkerscharity.org.uk/blog/health-and-social-care-services/#:~:text=What%20is%20Health%20and%20Social,local%20authorities%20administer%20social%20care.</b:URL>
    <b:RefOrder>23</b:RefOrder>
  </b:Source>
  <b:Source>
    <b:Tag>Roy18</b:Tag>
    <b:SourceType>InternetSite</b:SourceType>
    <b:Guid>{0F945198-4A01-41A7-9D24-B11C96E32E08}</b:Guid>
    <b:Author>
      <b:Author>
        <b:Corporate>Royal College of Physicians</b:Corporate>
      </b:Author>
    </b:Author>
    <b:Title>Health and Soical Care in England: A quick guide</b:Title>
    <b:Year>2018</b:Year>
    <b:YearAccessed>2023</b:YearAccessed>
    <b:MonthAccessed>November</b:MonthAccessed>
    <b:DayAccessed>14</b:DayAccessed>
    <b:URL>file:///C:/Users/DELL/Downloads/Health%20and%20social%20care%20-%20RCP%20quick%20guide_0.pdf</b:URL>
    <b:RefOrder>24</b:RefOrder>
  </b:Source>
  <b:Source>
    <b:Tag>Roy23</b:Tag>
    <b:SourceType>DocumentFromInternetSite</b:SourceType>
    <b:Guid>{03F5B61A-B5E0-41AF-BBDC-598A58D8F933}</b:Guid>
    <b:Title>Protecting the rights of older people to health and social care</b:Title>
    <b:Year>2023</b:Year>
    <b:YearAccessed>2023</b:YearAccessed>
    <b:MonthAccessed>November</b:MonthAccessed>
    <b:DayAccessed>14</b:DayAccessed>
    <b:URL>https://www.bgs.org.uk/policy-and-media/protecting-the-rights-of-older-people-to-health-and-social-care</b:URL>
    <b:Author>
      <b:Author>
        <b:Corporate>Royal College of Physicians</b:Corporate>
      </b:Author>
    </b:Author>
    <b:Month>January</b:Month>
    <b:Day>10</b:Day>
    <b:RefOrder>25</b:RefOrder>
  </b:Source>
  <b:Source>
    <b:Tag>Abd19</b:Tag>
    <b:SourceType>JournalArticle</b:SourceType>
    <b:Guid>{8576D8B8-C650-4649-B2E9-30DD988CD928}</b:Guid>
    <b:Title>Understanding the care and support needs of older people: a scoping review and categorisation using the WHO international classification of functioning, disability and health framework (ICF)</b:Title>
    <b:Year>2019</b:Year>
    <b:Author>
      <b:Author>
        <b:NameList>
          <b:Person>
            <b:Last>Abdi</b:Last>
            <b:First>S</b:First>
          </b:Person>
          <b:Person>
            <b:Last>Spann</b:Last>
            <b:First>A</b:First>
          </b:Person>
          <b:Person>
            <b:Last>Borilovic</b:Last>
            <b:First>J</b:First>
          </b:Person>
          <b:Person>
            <b:Last>Witte</b:Last>
            <b:First>D.</b:First>
            <b:Middle>L</b:Middle>
          </b:Person>
          <b:Person>
            <b:Last>Hawley</b:Last>
            <b:First>M.</b:First>
          </b:Person>
        </b:NameList>
      </b:Author>
    </b:Author>
    <b:JournalName>BMC Geriatrics </b:JournalName>
    <b:Pages>2-8</b:Pages>
    <b:Volume>19</b:Volume>
    <b:Issue>195</b:Issue>
    <b:RefOrder>1</b:RefOrder>
  </b:Source>
  <b:Source>
    <b:Tag>Rel33</b:Tag>
    <b:SourceType>JournalArticle</b:SourceType>
    <b:Guid>{ED9AF0D9-1D60-407D-9123-31C30CE2BB88}</b:Guid>
    <b:Title>Relationships between housing and health for older private renters: evidence from a pilot study in Australia</b:Title>
    <b:JournalName>Journal of Housing and the Built Envrionment</b:JournalName>
    <b:Year>2023</b:Year>
    <b:Author>
      <b:Author>
        <b:NameList>
          <b:Person>
            <b:Last>Aplin</b:Last>
            <b:First>T</b:First>
          </b:Person>
          <b:Person>
            <b:Last>Petersen</b:Last>
            <b:First>M.</b:First>
          </b:Person>
        </b:NameList>
      </b:Author>
    </b:Author>
    <b:Pages>1869-1888</b:Pages>
    <b:Volume>38</b:Volume>
    <b:Issue>1</b:Issue>
    <b:RefOrder>2</b:RefOrder>
  </b:Source>
  <b:Source>
    <b:Tag>Dre23</b:Tag>
    <b:SourceType>DocumentFromInternetSite</b:SourceType>
    <b:Guid>{7B908734-BE22-4231-B023-D0C034692BF8}</b:Guid>
    <b:Title>Activity Theory Of Aging: Definition, Examples &amp; Criticisms</b:Title>
    <b:Year>2023</b:Year>
    <b:Author>
      <b:Author>
        <b:NameList>
          <b:Person>
            <b:Last>Drew</b:Last>
            <b:First>C.</b:First>
          </b:Person>
        </b:NameList>
      </b:Author>
    </b:Author>
    <b:Month>August</b:Month>
    <b:Day>24</b:Day>
    <b:YearAccessed>2023</b:YearAccessed>
    <b:MonthAccessed>November</b:MonthAccessed>
    <b:DayAccessed>14</b:DayAccessed>
    <b:URL>https://helpfulprofessor.com/activity-theory-of-aging/</b:URL>
    <b:RefOrder>26</b:RefOrder>
  </b:Source>
  <b:Source>
    <b:Tag>Tel19</b:Tag>
    <b:SourceType>BookSection</b:SourceType>
    <b:Guid>{F8B61FBC-5419-4899-9111-9B9C1E81F89B}</b:Guid>
    <b:Title>Activity Theory</b:Title>
    <b:Year>2019</b:Year>
    <b:Author>
      <b:Author>
        <b:NameList>
          <b:Person>
            <b:Last>Teles</b:Last>
            <b:First>S</b:First>
          </b:Person>
          <b:Person>
            <b:Last>Ribeiro</b:Last>
            <b:First>O.</b:First>
          </b:Person>
        </b:NameList>
      </b:Author>
    </b:Author>
    <b:Pages>1-8</b:Pages>
    <b:BookTitle>Encyclopedia of Gerontology and Population Aging</b:BookTitle>
    <b:City>New York</b:City>
    <b:Publisher>Springer, Cham</b:Publisher>
    <b:RefOrder>27</b:RefOrder>
  </b:Source>
  <b:Source>
    <b:Tag>Rit231</b:Tag>
    <b:SourceType>InternetSite</b:SourceType>
    <b:Guid>{EBB231FC-B55C-4A51-9B52-1A081ED908E7}</b:Guid>
    <b:Title>What is Activity Theory?</b:Title>
    <b:Year>2023</b:Year>
    <b:Author>
      <b:Author>
        <b:Corporate>Ritual</b:Corporate>
      </b:Author>
    </b:Author>
    <b:YearAccessed>2023</b:YearAccessed>
    <b:MonthAccessed>November</b:MonthAccessed>
    <b:DayAccessed>14</b:DayAccessed>
    <b:URL>https://ritual.com/articles/activity-theory-of-aging</b:URL>
    <b:RefOrder>28</b:RefOrder>
  </b:Source>
  <b:Source>
    <b:Tag>Vic23</b:Tag>
    <b:SourceType>JournalArticle</b:SourceType>
    <b:Guid>{3FA4CBD0-D7B0-4B53-888A-B8861CA36293}</b:Guid>
    <b:Title>The impact of COVID-19 lockdown measures on older residents' social connections and everyday wellbeing within housing schemes that provide care and support in England and Wales</b:Title>
    <b:Year>2023</b:Year>
    <b:Author>
      <b:Author>
        <b:NameList>
          <b:Person>
            <b:Last>Vickery</b:Last>
            <b:First>A</b:First>
          </b:Person>
          <b:Person>
            <b:Last>Willis</b:Last>
            <b:First>P</b:First>
          </b:Person>
          <b:Person>
            <b:Last>Powell</b:Last>
            <b:First>J</b:First>
          </b:Person>
          <b:Person>
            <b:Last>Beach</b:Last>
            <b:First>B</b:First>
          </b:Person>
          <b:Person>
            <b:Last>Cameron</b:Last>
            <b:First>A</b:First>
          </b:Person>
          <b:Person>
            <b:Last>Johnson</b:Last>
            <b:First>E</b:First>
          </b:Person>
          <b:Person>
            <b:Last>Smith</b:Last>
            <b:First>R.</b:First>
          </b:Person>
        </b:NameList>
      </b:Author>
    </b:Author>
    <b:JournalName>Journal of Aging Studies</b:JournalName>
    <b:Pages>2-12</b:Pages>
    <b:Volume>65</b:Volume>
    <b:Issue>101126</b:Issue>
    <b:RefOrder>29</b:RefOrder>
  </b:Source>
  <b:Source>
    <b:Tag>Der23</b:Tag>
    <b:SourceType>JournalArticle</b:SourceType>
    <b:Guid>{ED40CAC1-385C-411F-8B6F-F49526BA60E4}</b:Guid>
    <b:Author>
      <b:Author>
        <b:NameList>
          <b:Person>
            <b:Last>Derrer-Merk</b:Last>
            <b:First>E</b:First>
          </b:Person>
          <b:Person>
            <b:Last>Reyes-Rodriguez</b:Last>
            <b:First>F.</b:First>
            <b:Middle>M</b:Middle>
          </b:Person>
          <b:Person>
            <b:Last>Soulsby</b:Last>
            <b:First>K.</b:First>
            <b:Middle>L</b:Middle>
          </b:Person>
          <b:Person>
            <b:Last>Roper</b:Last>
            <b:First>L</b:First>
          </b:Person>
          <b:Person>
            <b:Last>Bennett</b:Last>
            <b:First>M.</b:First>
            <b:Middle>K.</b:Middle>
          </b:Person>
        </b:NameList>
      </b:Author>
    </b:Author>
    <b:Title>Older adults’ experiences during the COVID-19 pandemic: a qualitative systematic literature review</b:Title>
    <b:JournalName>BMC Geriatrics</b:JournalName>
    <b:Year>2023</b:Year>
    <b:Pages>2-12</b:Pages>
    <b:Volume>23</b:Volume>
    <b:Issue>580</b:Issue>
    <b:RefOrder>30</b:RefOrder>
  </b:Source>
  <b:Source>
    <b:Tag>Cro19</b:Tag>
    <b:SourceType>DocumentFromInternetSite</b:SourceType>
    <b:Guid>{B6CBCF9D-1A4E-473F-82B1-D1B3514EC5BE}</b:Guid>
    <b:Title>Disengagement theory</b:Title>
    <b:Year>2019</b:Year>
    <b:Author>
      <b:Author>
        <b:NameList>
          <b:Person>
            <b:Last>Crossman</b:Last>
            <b:First>A.</b:First>
          </b:Person>
        </b:NameList>
      </b:Author>
    </b:Author>
    <b:Month>January</b:Month>
    <b:Day>18</b:Day>
    <b:URL>https://www.thoughtco.com/disengagement-theory-3026258</b:URL>
    <b:RefOrder>31</b:RefOrder>
  </b:Source>
  <b:Source>
    <b:Tag>Zha221</b:Tag>
    <b:SourceType>BookSection</b:SourceType>
    <b:Guid>{D8B329AB-64A0-45D9-8888-2A999A775401}</b:Guid>
    <b:Title>Disengagement Theory</b:Title>
    <b:Year>2022</b:Year>
    <b:Author>
      <b:Author>
        <b:NameList>
          <b:Person>
            <b:Last>Zhang</b:Last>
            <b:First>X</b:First>
          </b:Person>
          <b:Person>
            <b:Last>Lin</b:Last>
            <b:First>H.</b:First>
          </b:Person>
        </b:NameList>
      </b:Author>
    </b:Author>
    <b:BookTitle> Encyclopedia of Gerontology and Population Aging</b:BookTitle>
    <b:Pages>1471-1476</b:Pages>
    <b:Publisher>Springer, Cham</b:Publisher>
    <b:RefOrder>32</b:RefOrder>
  </b:Source>
  <b:Source>
    <b:Tag>Pru21</b:Tag>
    <b:SourceType>BookSection</b:SourceType>
    <b:Guid>{B0F6916B-97B9-4F56-8F67-0C10D980A79C}</b:Guid>
    <b:Author>
      <b:Author>
        <b:NameList>
          <b:Person>
            <b:Last>Pruchno</b:Last>
            <b:First>R.</b:First>
          </b:Person>
        </b:NameList>
      </b:Author>
    </b:Author>
    <b:Title>Chapter 19 - Successful aging: an obscure but obvious construct</b:Title>
    <b:BookTitle>Handbook of the Psychology of Aging</b:BookTitle>
    <b:Year>2021</b:Year>
    <b:Pages>301-318</b:Pages>
    <b:Publisher>Elsevier Inc</b:Publisher>
    <b:RefOrder>33</b:RefOrder>
  </b:Source>
  <b:Source>
    <b:Tag>Car172</b:Tag>
    <b:SourceType>JournalArticle</b:SourceType>
    <b:Guid>{3634CE66-4511-4FD5-9B56-C4BD07A3C43C}</b:Guid>
    <b:Title>Organizing integrated health-care services to meet older people’s needs</b:Title>
    <b:Year>2017</b:Year>
    <b:Pages>756-763</b:Pages>
    <b:Author>
      <b:Author>
        <b:NameList>
          <b:Person>
            <b:Last>Carvalho</b:Last>
            <b:First>D.</b:First>
            <b:Middle>A. I</b:Middle>
          </b:Person>
          <b:Person>
            <b:Last>Epping-Jordan</b:Last>
            <b:First>J</b:First>
          </b:Person>
          <b:Person>
            <b:Last>Pot</b:Last>
            <b:First>M.</b:First>
            <b:Middle>A</b:Middle>
          </b:Person>
          <b:Person>
            <b:Last>Kelley</b:Last>
            <b:First>E</b:First>
          </b:Person>
          <b:Person>
            <b:Last>Toro</b:Last>
            <b:First>N</b:First>
          </b:Person>
          <b:Person>
            <b:Last>Thiyagarajan</b:Last>
            <b:First>A.</b:First>
            <b:Middle>J</b:Middle>
          </b:Person>
          <b:Person>
            <b:Last>Beard</b:Last>
            <b:First>R.</b:First>
            <b:Middle>J.</b:Middle>
          </b:Person>
        </b:NameList>
      </b:Author>
    </b:Author>
    <b:JournalName>Bullentin World Health Organisation</b:JournalName>
    <b:Volume>95</b:Volume>
    <b:Issue>11</b:Issue>
    <b:RefOrder>5</b:RefOrder>
  </b:Source>
  <b:Source>
    <b:Tag>The01</b:Tag>
    <b:SourceType>DocumentFromInternetSite</b:SourceType>
    <b:Guid>{03963F71-6AD0-42F7-9568-23B61C235CFB}</b:Guid>
    <b:Title>National service framework for older people</b:Title>
    <b:Year>2001</b:Year>
    <b:Author>
      <b:Author>
        <b:Corporate>The Health Foundation</b:Corporate>
      </b:Author>
    </b:Author>
    <b:Month>March</b:Month>
    <b:Day>10</b:Day>
    <b:URL>https://navigator.health.org.uk/theme/national-service-framework-older-people#:~:text=The%20National%20Service%20Framework%20for,and%20promoting%20person%2Dcentred%20care.</b:URL>
    <b:RefOrder>4</b:RefOrder>
  </b:Source>
  <b:Source>
    <b:Tag>Dep01</b:Tag>
    <b:SourceType>Report</b:SourceType>
    <b:Guid>{50980F0F-E90F-41E8-9B4E-F33F74D88AE0}</b:Guid>
    <b:Title>National Service Framework for Older People</b:Title>
    <b:Year>2001</b:Year>
    <b:Author>
      <b:Author>
        <b:Corporate>Department of Health</b:Corporate>
      </b:Author>
    </b:Author>
    <b:Publisher>Department of Health</b:Publisher>
    <b:RefOrder>3</b:RefOrder>
  </b:Source>
</b:Sources>
</file>

<file path=customXml/itemProps1.xml><?xml version="1.0" encoding="utf-8"?>
<ds:datastoreItem xmlns:ds="http://schemas.openxmlformats.org/officeDocument/2006/customXml" ds:itemID="{C31846B2-2F36-4792-B938-D4D1081B8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Shamas (2030024)</dc:creator>
  <cp:keywords/>
  <dc:description/>
  <cp:lastModifiedBy>Huma Shamas (2030024)</cp:lastModifiedBy>
  <cp:revision>2</cp:revision>
  <dcterms:created xsi:type="dcterms:W3CDTF">2023-11-30T23:19:00Z</dcterms:created>
  <dcterms:modified xsi:type="dcterms:W3CDTF">2023-11-30T23:19:00Z</dcterms:modified>
</cp:coreProperties>
</file>