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73EDD" w14:textId="7AF4360A" w:rsidR="00AB175D" w:rsidRDefault="00B909D5">
      <w:hyperlink r:id="rId4" w:history="1">
        <w:r w:rsidRPr="00232C28">
          <w:rPr>
            <w:rStyle w:val="Hyperlink"/>
          </w:rPr>
          <w:t>https://www.uwtsd.ac.uk/experience-facilities/student-support-wellbeing</w:t>
        </w:r>
      </w:hyperlink>
    </w:p>
    <w:p w14:paraId="2E5AEC37" w14:textId="77777777" w:rsidR="00B909D5" w:rsidRDefault="00B909D5"/>
    <w:sectPr w:rsidR="00B90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9D5"/>
    <w:rsid w:val="003F361E"/>
    <w:rsid w:val="00AB175D"/>
    <w:rsid w:val="00B9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27D66"/>
  <w15:chartTrackingRefBased/>
  <w15:docId w15:val="{F12C9258-1378-4B45-B7B6-0C70B0CB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09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9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9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9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9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9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9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9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9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9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9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9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9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9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9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9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9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9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0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9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9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9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09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09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09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9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9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9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09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09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wtsd.ac.uk/experience-facilities/student-support-wellbe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2024-09-12T18:09:00Z</dcterms:created>
  <dcterms:modified xsi:type="dcterms:W3CDTF">2024-09-12T18:09:00Z</dcterms:modified>
</cp:coreProperties>
</file>