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806E5" w14:textId="77777777" w:rsidR="002B15AB" w:rsidRPr="002B15AB" w:rsidRDefault="002B15AB" w:rsidP="002B15AB">
      <w:pPr>
        <w:jc w:val="center"/>
        <w:rPr>
          <w:rFonts w:ascii="Georgia" w:hAnsi="Georgia"/>
          <w:sz w:val="28"/>
          <w:szCs w:val="28"/>
        </w:rPr>
      </w:pPr>
      <w:r w:rsidRPr="002B15AB">
        <w:rPr>
          <w:rFonts w:ascii="Georgia" w:hAnsi="Georgia"/>
          <w:sz w:val="28"/>
          <w:szCs w:val="28"/>
        </w:rPr>
        <w:t>How can battlefield archaeology contribute positively to the process of bereavement, commemoration and reconciliation?</w:t>
      </w:r>
    </w:p>
    <w:p w14:paraId="66AD3A75" w14:textId="77777777" w:rsidR="002B15AB" w:rsidRPr="002B15AB" w:rsidRDefault="002B15AB" w:rsidP="002B15AB">
      <w:pPr>
        <w:rPr>
          <w:rFonts w:ascii="Georgia" w:hAnsi="Georgia"/>
        </w:rPr>
      </w:pPr>
    </w:p>
    <w:p w14:paraId="1EA88E58" w14:textId="77777777" w:rsidR="002B15AB" w:rsidRPr="002B15AB" w:rsidRDefault="002B15AB" w:rsidP="002B15AB">
      <w:pPr>
        <w:rPr>
          <w:rFonts w:ascii="Georgia" w:hAnsi="Georgia"/>
        </w:rPr>
      </w:pPr>
      <w:r w:rsidRPr="002B15AB">
        <w:rPr>
          <w:rFonts w:ascii="Georgia" w:hAnsi="Georgia"/>
        </w:rPr>
        <w:t>Battlefield archaeology is defined as the comprehensive study of ‘ancient or historical conflict’ (Holst and Sutherland, 2024), though the term is debated for implying attention on the terrain alone rather than the full complexity of the battle (Holst and Sutherland, 2024). By facilitating a holistic examination of battles, it provides an evidence heavy counterbalance to historical biases that are present in documented accounts, mitigating the framework that history was ‘written by the victor’ (Pollard and Oliver, 2011). However, the study itself is placed in an emotionally provocative position as it works with events that hold lasting generational trauma and therefore has the responsibility of presenting the dead in a manner that is both ethically sensitive and analytically factual.</w:t>
      </w:r>
    </w:p>
    <w:p w14:paraId="436998C4" w14:textId="77777777" w:rsidR="002B15AB" w:rsidRPr="002B15AB" w:rsidRDefault="002B15AB" w:rsidP="002B15AB">
      <w:pPr>
        <w:rPr>
          <w:rFonts w:ascii="Georgia" w:hAnsi="Georgia"/>
        </w:rPr>
      </w:pPr>
    </w:p>
    <w:p w14:paraId="45166607" w14:textId="30D7A888" w:rsidR="002B15AB" w:rsidRPr="002B15AB" w:rsidRDefault="002B15AB" w:rsidP="002B15AB">
      <w:pPr>
        <w:rPr>
          <w:rFonts w:ascii="Georgia" w:hAnsi="Georgia"/>
        </w:rPr>
      </w:pPr>
      <w:r w:rsidRPr="002B15AB">
        <w:rPr>
          <w:rFonts w:ascii="Georgia" w:hAnsi="Georgia"/>
        </w:rPr>
        <w:t>Having its roots in antiquity, battlefield archaeology is a moderately new sub-discipline that mainly developed in the later 1900s. Despite their largely negative reputation, antiquarians' interests come from a place of intellectual curiosity and therefore are the first investigators into battlefield memorabilia (Sweet, 2026), even if it was predominantly stolen. However, it would not be until the 1970’s where the techniques for this discipline were built upon by Peter Newman. His extensive surveys of the 1644 Battle of Marston Moor where he systematically documented the distribution of musket balls (</w:t>
      </w:r>
      <w:proofErr w:type="spellStart"/>
      <w:r w:rsidRPr="002B15AB">
        <w:rPr>
          <w:rFonts w:ascii="Georgia" w:hAnsi="Georgia"/>
        </w:rPr>
        <w:t>Holsts</w:t>
      </w:r>
      <w:proofErr w:type="spellEnd"/>
      <w:r w:rsidRPr="002B15AB">
        <w:rPr>
          <w:rFonts w:ascii="Georgia" w:hAnsi="Georgia"/>
        </w:rPr>
        <w:t xml:space="preserve"> and Sutherland, 2024). This documentation allows for people to understand the directions in which the opposing forces attacked and therefore create a factually accurate account of the battle (</w:t>
      </w:r>
      <w:proofErr w:type="spellStart"/>
      <w:r w:rsidRPr="002B15AB">
        <w:rPr>
          <w:rFonts w:ascii="Georgia" w:hAnsi="Georgia"/>
        </w:rPr>
        <w:t>Holsts</w:t>
      </w:r>
      <w:proofErr w:type="spellEnd"/>
      <w:r w:rsidRPr="002B15AB">
        <w:rPr>
          <w:rFonts w:ascii="Georgia" w:hAnsi="Georgia"/>
        </w:rPr>
        <w:t xml:space="preserve"> and Sutherland, 2024). Further developments were made in the early 1980s with the surveys done on the site of the Little Bighorn battle where multidisciplinary action began to take place through the use of metal detectors (</w:t>
      </w:r>
      <w:proofErr w:type="spellStart"/>
      <w:r w:rsidRPr="002B15AB">
        <w:rPr>
          <w:rFonts w:ascii="Georgia" w:hAnsi="Georgia"/>
        </w:rPr>
        <w:t>Holsts</w:t>
      </w:r>
      <w:proofErr w:type="spellEnd"/>
      <w:r w:rsidRPr="002B15AB">
        <w:rPr>
          <w:rFonts w:ascii="Georgia" w:hAnsi="Georgia"/>
        </w:rPr>
        <w:t xml:space="preserve"> and Sutherland, 2024). Despite their earlier appearances, systematic multidisciplinary projects in battlefield archaeology were stagnant until the excavation of the Towton battlefield by Tim Sutherland whose team began with the aim to look at the mediaeval conflict from all angles (</w:t>
      </w:r>
      <w:proofErr w:type="spellStart"/>
      <w:r w:rsidRPr="002B15AB">
        <w:rPr>
          <w:rFonts w:ascii="Georgia" w:hAnsi="Georgia"/>
        </w:rPr>
        <w:t>Holsts</w:t>
      </w:r>
      <w:proofErr w:type="spellEnd"/>
      <w:r w:rsidRPr="002B15AB">
        <w:rPr>
          <w:rFonts w:ascii="Georgia" w:hAnsi="Georgia"/>
        </w:rPr>
        <w:t xml:space="preserve"> and Sutherland, 2024). </w:t>
      </w:r>
    </w:p>
    <w:p w14:paraId="0754F7AF" w14:textId="77777777" w:rsidR="002B15AB" w:rsidRPr="002B15AB" w:rsidRDefault="002B15AB" w:rsidP="002B15AB">
      <w:pPr>
        <w:rPr>
          <w:rFonts w:ascii="Georgia" w:hAnsi="Georgia"/>
        </w:rPr>
      </w:pPr>
    </w:p>
    <w:p w14:paraId="61AE9F95" w14:textId="77777777" w:rsidR="002B15AB" w:rsidRPr="002B15AB" w:rsidRDefault="002B15AB" w:rsidP="002B15AB">
      <w:pPr>
        <w:rPr>
          <w:rFonts w:ascii="Georgia" w:hAnsi="Georgia"/>
        </w:rPr>
      </w:pPr>
      <w:r w:rsidRPr="002B15AB">
        <w:rPr>
          <w:rFonts w:ascii="Georgia" w:hAnsi="Georgia"/>
        </w:rPr>
        <w:t>This essay will revolve around three main themes, bereavement, commemoration and reconciliation. Bereavement in this context will refer to the grief that befalls someone after they experience the death of a loved one (Britannica, 2025), within this essay it will be looked at from both an individual and national lens. Furthermore, the term commemoration will be defined as the way people honour those who have died (Britannica, 2026), be it through war memorials or otherwise. Reconciliation will follow a similar formula with it being situationally defined as the harmonisation of parties after an argument or disagreement (The Britannica Dictionary, 2025), nationally or individually. </w:t>
      </w:r>
    </w:p>
    <w:p w14:paraId="032CFB03" w14:textId="77777777" w:rsidR="002B15AB" w:rsidRPr="002B15AB" w:rsidRDefault="002B15AB" w:rsidP="002B15AB">
      <w:pPr>
        <w:rPr>
          <w:rFonts w:ascii="Georgia" w:hAnsi="Georgia"/>
        </w:rPr>
      </w:pPr>
    </w:p>
    <w:p w14:paraId="6FA65A6F" w14:textId="4D681802" w:rsidR="002B15AB" w:rsidRPr="002B15AB" w:rsidRDefault="002B15AB" w:rsidP="002B15AB">
      <w:pPr>
        <w:rPr>
          <w:rFonts w:ascii="Georgia" w:hAnsi="Georgia"/>
        </w:rPr>
      </w:pPr>
      <w:r w:rsidRPr="002B15AB">
        <w:rPr>
          <w:rFonts w:ascii="Georgia" w:hAnsi="Georgia"/>
        </w:rPr>
        <w:t xml:space="preserve">Bereavement blankets a wide range of behaviours, spanning those that are culturally ingrained to those that are religiously influenced. Battlefield archaeology offers the tangible material through which the bereaved can physically engage with the past, enabling both emotional processing and narrative closure for their deceased. A multitude of different organisations have been set up in different countries that contribute to the ways in which those cultures grieve. Japan’s government created the JARRWC, the Japan Association for Recovery and Repatriation of War Casualties, which aims to excavate and recover the remains of Japanese war dead, mainly from the second world war (Ministry of Health, </w:t>
      </w:r>
      <w:r w:rsidRPr="002B15AB">
        <w:rPr>
          <w:rFonts w:ascii="Georgia" w:hAnsi="Georgia"/>
        </w:rPr>
        <w:lastRenderedPageBreak/>
        <w:t>Labour and Welfare, 2023). Certain investigations have been set up in order to fill out this responsibility, one of them being the recovery of those lost in the Battle of Peleliu. A memorial group had received information documenting the mass graves on the islands from the US Navy Seabee Museum (</w:t>
      </w:r>
      <w:proofErr w:type="spellStart"/>
      <w:r w:rsidRPr="002B15AB">
        <w:rPr>
          <w:rFonts w:ascii="Georgia" w:eastAsia="MS Gothic" w:hAnsi="Georgia" w:cs="MS Gothic"/>
        </w:rPr>
        <w:t>新間</w:t>
      </w:r>
      <w:proofErr w:type="spellEnd"/>
      <w:r w:rsidRPr="002B15AB">
        <w:rPr>
          <w:rFonts w:ascii="Georgia" w:hAnsi="Georgia"/>
        </w:rPr>
        <w:t>, 2024) and by relaying it to the Japanese government it spearheaded an investigation on the island (Fitzgerald, 2024). Expectations of mass graves were due to the high mortality rate in the battle with 12,000 Japanese soldiers dying leaving only 450 remaining (Fitzgerald, 2024). During the first surveying of the area the organisation set up 10 excavation points before finding metal rods in the central forested area which they believed were indicators of these mass graves (</w:t>
      </w:r>
      <w:proofErr w:type="spellStart"/>
      <w:r w:rsidRPr="002B15AB">
        <w:rPr>
          <w:rFonts w:ascii="Georgia" w:eastAsia="MS Gothic" w:hAnsi="Georgia" w:cs="MS Gothic"/>
        </w:rPr>
        <w:t>新間</w:t>
      </w:r>
      <w:proofErr w:type="spellEnd"/>
      <w:r w:rsidRPr="002B15AB">
        <w:rPr>
          <w:rFonts w:ascii="Georgia" w:hAnsi="Georgia"/>
        </w:rPr>
        <w:t>, 2024). However, after deforesting the area and digging to the depth of 60 centimetres, the 900 square-metre area brought up little in results (</w:t>
      </w:r>
      <w:proofErr w:type="spellStart"/>
      <w:r w:rsidRPr="002B15AB">
        <w:rPr>
          <w:rFonts w:ascii="Georgia" w:eastAsia="MS Gothic" w:hAnsi="Georgia" w:cs="MS Gothic"/>
        </w:rPr>
        <w:t>新間</w:t>
      </w:r>
      <w:proofErr w:type="spellEnd"/>
      <w:r w:rsidRPr="002B15AB">
        <w:rPr>
          <w:rFonts w:ascii="Georgia" w:hAnsi="Georgia"/>
        </w:rPr>
        <w:t>, 2024). From the 1,086 that were expected to be still present on the island, the organisation only brought up 10 bodies in the span of a few months (</w:t>
      </w:r>
      <w:proofErr w:type="spellStart"/>
      <w:r w:rsidRPr="002B15AB">
        <w:rPr>
          <w:rFonts w:ascii="Georgia" w:eastAsia="MS Gothic" w:hAnsi="Georgia" w:cs="MS Gothic"/>
        </w:rPr>
        <w:t>新間</w:t>
      </w:r>
      <w:proofErr w:type="spellEnd"/>
      <w:r w:rsidRPr="002B15AB">
        <w:rPr>
          <w:rFonts w:ascii="Georgia" w:hAnsi="Georgia"/>
        </w:rPr>
        <w:t>, 2024). Despite these efforts being lacklustre in results, the effort was not diminished and the government set up a higher budget for later excavations until they are entirely repatriated (</w:t>
      </w:r>
      <w:proofErr w:type="spellStart"/>
      <w:r w:rsidRPr="002B15AB">
        <w:rPr>
          <w:rFonts w:ascii="Georgia" w:eastAsia="MS Gothic" w:hAnsi="Georgia" w:cs="MS Gothic"/>
        </w:rPr>
        <w:t>新間</w:t>
      </w:r>
      <w:proofErr w:type="spellEnd"/>
      <w:r w:rsidRPr="002B15AB">
        <w:rPr>
          <w:rFonts w:ascii="Georgia" w:hAnsi="Georgia"/>
        </w:rPr>
        <w:t>, 2024). </w:t>
      </w:r>
    </w:p>
    <w:p w14:paraId="5BE844F1" w14:textId="77777777" w:rsidR="002B15AB" w:rsidRPr="002B15AB" w:rsidRDefault="002B15AB" w:rsidP="002B15AB">
      <w:pPr>
        <w:rPr>
          <w:rFonts w:ascii="Georgia" w:hAnsi="Georgia"/>
        </w:rPr>
      </w:pPr>
    </w:p>
    <w:p w14:paraId="78A9C29D" w14:textId="69458643" w:rsidR="002B15AB" w:rsidRPr="002B15AB" w:rsidRDefault="002B15AB" w:rsidP="002B15AB">
      <w:pPr>
        <w:rPr>
          <w:rFonts w:ascii="Georgia" w:hAnsi="Georgia"/>
        </w:rPr>
      </w:pPr>
      <w:r w:rsidRPr="002B15AB">
        <w:rPr>
          <w:rFonts w:ascii="Georgia" w:hAnsi="Georgia"/>
        </w:rPr>
        <w:t>This recovery of bodies, despite being less than what was wanted, positively helps the families that are in bereavement as they now have the remains of their loved ones in which they are then able to perform their traditional burial ceremonies. With 67.6% of Japan identifying themselves as Buddhist since 2020 (Britannica, 2023) the burials are often woven with both their ancestral beliefs and Buddhists. Bones of the dead are not a necessity in a majority of their burial ceremonies, however, certain aspects of their beliefs revolve around the ways in which their lost ones are washed and dressed after death (Ever loved, 2023). After washing the bodies they are dressed in white to signify not only purity but death itself (Reader, 2001, p.122) by not doing this they are therefore hindering the spirit's transition and creating spiritual discomforts for the family (Final Transitions, LLC, 2025). Therefore, by retrieving these remains it is not just a matter of familial grievances but a cultural need in which the family must put the spirit of their lost one to rest in order for them to complete the transition into the afterlife. Battlefield archaeology is therefore having a positive impact on individual bereavement as without it the bodies of their loved ones would remain away from home and unable to be properly put to rest. </w:t>
      </w:r>
    </w:p>
    <w:p w14:paraId="239C04E9" w14:textId="77777777" w:rsidR="002B15AB" w:rsidRPr="002B15AB" w:rsidRDefault="002B15AB" w:rsidP="002B15AB">
      <w:pPr>
        <w:rPr>
          <w:rFonts w:ascii="Georgia" w:hAnsi="Georgia"/>
        </w:rPr>
      </w:pPr>
    </w:p>
    <w:p w14:paraId="33752C7F" w14:textId="77777777" w:rsidR="002B15AB" w:rsidRPr="002B15AB" w:rsidRDefault="002B15AB" w:rsidP="002B15AB">
      <w:pPr>
        <w:rPr>
          <w:rFonts w:ascii="Georgia" w:hAnsi="Georgia"/>
        </w:rPr>
      </w:pPr>
      <w:r w:rsidRPr="002B15AB">
        <w:rPr>
          <w:rFonts w:ascii="Georgia" w:hAnsi="Georgia"/>
        </w:rPr>
        <w:t>In addition to this there are smaller examples of bereavement affected positively by battlefield archaeology, mainly in the recovery of not just the bones but also the objects of those who died. By retrieving these items they are then humanising the dead from just a casualty statistic and therefore gives them back the dignity of their names and personalities. </w:t>
      </w:r>
    </w:p>
    <w:p w14:paraId="3138D369" w14:textId="77777777" w:rsidR="002B15AB" w:rsidRPr="002B15AB" w:rsidRDefault="002B15AB" w:rsidP="002B15AB">
      <w:pPr>
        <w:rPr>
          <w:rFonts w:ascii="Georgia" w:hAnsi="Georgia"/>
        </w:rPr>
      </w:pPr>
    </w:p>
    <w:p w14:paraId="6C1343BA" w14:textId="4CAC2F44" w:rsidR="002B15AB" w:rsidRPr="002B15AB" w:rsidRDefault="002B15AB" w:rsidP="002B15AB">
      <w:pPr>
        <w:rPr>
          <w:rFonts w:ascii="Georgia" w:hAnsi="Georgia"/>
        </w:rPr>
      </w:pPr>
      <w:r w:rsidRPr="002B15AB">
        <w:rPr>
          <w:rFonts w:ascii="Georgia" w:hAnsi="Georgia"/>
        </w:rPr>
        <w:t xml:space="preserve">This then follows on to the theme of commemoration as it involves the crucial role battlefield archaeology has on collective memory and how objects are utilised in presenting the dead. Materiality found in battlefield archaeology transforms battlefields from places of bloodshed to landscapes of memory, forming comprehensible narratives in which people can rely on. Even materiality that is not able to be picked up, such as the trenches and bomb shelters, elicit emotive responses from communities as it anchors embodied commemoration. Battlefield archaeology generates empirically grounded narratives that extract mythologised accounts from the material realities of conflicts, establishing what is significant at the site rather than what is traditionally believed. With the power it has to shape community belief, this sub-discipline has aided in ‘fixing’ the romanticised version of battles such as those at </w:t>
      </w:r>
      <w:r w:rsidRPr="002B15AB">
        <w:rPr>
          <w:rFonts w:ascii="Georgia" w:hAnsi="Georgia"/>
        </w:rPr>
        <w:lastRenderedPageBreak/>
        <w:t>Culloden. The battle, fought between the British Government army and the Jacobite’s, consisted of less than an hour of fighting on the Drummossie Moor in 1746 (George, 2025). The battle marked the end of an eight month campaign between those who supported the British government and those who sided with the exiled Stuarts, the conflict was caused by a disagreement on succession and religion (George, 2025). With the leadership of Prince William Augustus, Duke of Cumberland, the government began their attack with heavy fire from artillery, utilising the sloped landscape with a bogie track running through it to surround the centre and right of the Jacobite forces (George, 2025). After being surrounded, the Jacobite began to advance only to be positioned between Hanoverian muskets and bayonets from the front and second lines (George, 2025). This caused them to lose their battle, wilting to the struggles caused by the terrain and the musket fire. With the victory given to the British Governmental army, any injured Jacobite’s that were left were dispatched (George, 2025). </w:t>
      </w:r>
    </w:p>
    <w:p w14:paraId="3A1A1594" w14:textId="77777777" w:rsidR="002B15AB" w:rsidRPr="002B15AB" w:rsidRDefault="002B15AB" w:rsidP="002B15AB">
      <w:pPr>
        <w:rPr>
          <w:rFonts w:ascii="Georgia" w:hAnsi="Georgia"/>
        </w:rPr>
      </w:pPr>
    </w:p>
    <w:p w14:paraId="15BAB4E5" w14:textId="77777777" w:rsidR="002B15AB" w:rsidRPr="002B15AB" w:rsidRDefault="002B15AB" w:rsidP="002B15AB">
      <w:pPr>
        <w:rPr>
          <w:rFonts w:ascii="Georgia" w:hAnsi="Georgia"/>
        </w:rPr>
      </w:pPr>
      <w:r w:rsidRPr="002B15AB">
        <w:rPr>
          <w:rFonts w:ascii="Georgia" w:hAnsi="Georgia"/>
        </w:rPr>
        <w:t>The battle had been shrouded in myths and misinformation for decades as it became one of the most prolific fights between the Scottish and the English, however, the archaeology done later showed that the simplified story of the Culloden battle was wrong. Collectively there was a belief that the highlanders, Jacobites, were swordsmen and therefore ran into battle highly underequipped and shot down by the Government’s army before they had a chance to fight (Prebble, 1967, p.89). This myth that Prebble promoted throughout his book ‘Culloden’ has been since disproved through the archaeological evidence, stating how there were only 190 broadswords found at the battle grounds compared to the 2,320 muskets (Provan, 2017). Due to the battle becoming so deeply embedded in the national consciousness as a straightforward Scottish against English battle, its historical complexities are often obscured, specifically how the battle was more diverse in its soldiers with Jacobites containing over 22,000 men and approximately only 11 to 12,000 were Scottish (Immediate Media, 2021). These pieces of disinformation cause tensions to build between communities, correcting these through the use of battlefield archaeology allow for this strain to ease and for those who died in the battle to be remembered for what it was rather than the simplified version. By ensuring that remembrance is based on accurate information over national myths it allows for communities to commemorate the dead with greater respect and therefore positively impacts their relationship with not only their history but flattens prejudices built upon bias. </w:t>
      </w:r>
    </w:p>
    <w:p w14:paraId="36BA7EC6" w14:textId="77777777" w:rsidR="002B15AB" w:rsidRPr="002B15AB" w:rsidRDefault="002B15AB" w:rsidP="002B15AB">
      <w:pPr>
        <w:rPr>
          <w:rFonts w:ascii="Georgia" w:hAnsi="Georgia"/>
        </w:rPr>
      </w:pPr>
    </w:p>
    <w:p w14:paraId="2B9E33A5" w14:textId="6995E067" w:rsidR="002B15AB" w:rsidRPr="002B15AB" w:rsidRDefault="002B15AB" w:rsidP="002B15AB">
      <w:pPr>
        <w:rPr>
          <w:rFonts w:ascii="Georgia" w:hAnsi="Georgia"/>
        </w:rPr>
      </w:pPr>
      <w:r w:rsidRPr="002B15AB">
        <w:rPr>
          <w:rFonts w:ascii="Georgia" w:hAnsi="Georgia"/>
        </w:rPr>
        <w:t>When referencing commemoration museum spaces must be taken into account for their purpose of presenting the materialities found throughout battlefield archaeological excavations to the public in an ethically sensitive manner. Museums handle a multitude of different materiality and therefore combat commemoration in different forms, some by using the physicality of their location (Cutcher et al., 2015) to evoke the respect for the dead such as the Culloden battleground, whereas others use objects or recreations to symbolise the conflict or trauma. Both employ battlefield archaeology in different ways. Museums such as the In Flanders Fields Museum which makes use of materials found through excavations to bring forward emotive narratives which the visitors can track throughout the museum</w:t>
      </w:r>
      <w:r w:rsidR="00DD4283">
        <w:rPr>
          <w:rFonts w:ascii="Georgia" w:hAnsi="Georgia"/>
        </w:rPr>
        <w:t xml:space="preserve"> </w:t>
      </w:r>
      <w:r w:rsidR="00DD4283" w:rsidRPr="002B15AB">
        <w:rPr>
          <w:rFonts w:ascii="Georgia" w:hAnsi="Georgia"/>
        </w:rPr>
        <w:t>(In Flanders Fields Museum, 2026)</w:t>
      </w:r>
      <w:r w:rsidRPr="002B15AB">
        <w:rPr>
          <w:rFonts w:ascii="Georgia" w:hAnsi="Georgia"/>
        </w:rPr>
        <w:t>. Located in the Cloth Hall in the centre of Ypres, the museum sits within the landscape that is greater known as Flanders fields, which refers to the region in which the Ypres Salient witnessed intense fighting during the first world war (</w:t>
      </w:r>
      <w:proofErr w:type="spellStart"/>
      <w:r w:rsidRPr="002B15AB">
        <w:rPr>
          <w:rFonts w:ascii="Georgia" w:hAnsi="Georgia"/>
        </w:rPr>
        <w:t>Stichelbaut</w:t>
      </w:r>
      <w:proofErr w:type="spellEnd"/>
      <w:r w:rsidRPr="002B15AB">
        <w:rPr>
          <w:rFonts w:ascii="Georgia" w:hAnsi="Georgia"/>
        </w:rPr>
        <w:t xml:space="preserve"> et al., 2017). The museum predominantly uses personal items in order to humanise those that were killed in World War One and through digital media presents the visitor with an immersive experience (In Flanders Fields Museum, 2026). Visitors are </w:t>
      </w:r>
      <w:r w:rsidRPr="002B15AB">
        <w:rPr>
          <w:rFonts w:ascii="Georgia" w:hAnsi="Georgia"/>
        </w:rPr>
        <w:lastRenderedPageBreak/>
        <w:t>presented with the selection of people that were in a range of different situations at the beginning of the war, refugees, soldiers and others, allowing them to select one of them and then follow their story as they make their way through the museum (In Flanders Fields Museum, 2026). Despite the lack of physical items, battlefield archaeology, being a largely multidisciplinary area of study, creates the foundations in which these stories can be retold. Gathering the empirical data such as excavating the person's last resting place or tracking down their family connections to present them with their personal belongings. Presenting it in such a way in a museum not only allows for people to commemorate them in a more personal manner but also shows the positive impact battlefield archaeology has on the process as without it the closure given to those that had fallen would never have been retold. </w:t>
      </w:r>
    </w:p>
    <w:p w14:paraId="6F2FFFE1" w14:textId="77777777" w:rsidR="002B15AB" w:rsidRPr="002B15AB" w:rsidRDefault="002B15AB" w:rsidP="002B15AB">
      <w:pPr>
        <w:rPr>
          <w:rFonts w:ascii="Georgia" w:hAnsi="Georgia"/>
        </w:rPr>
      </w:pPr>
    </w:p>
    <w:p w14:paraId="1F784AC2" w14:textId="7B5E747F" w:rsidR="002B15AB" w:rsidRPr="002B15AB" w:rsidRDefault="002B15AB" w:rsidP="002B15AB">
      <w:pPr>
        <w:rPr>
          <w:rFonts w:ascii="Georgia" w:hAnsi="Georgia"/>
        </w:rPr>
      </w:pPr>
      <w:r w:rsidRPr="002B15AB">
        <w:rPr>
          <w:rFonts w:ascii="Georgia" w:hAnsi="Georgia"/>
        </w:rPr>
        <w:t xml:space="preserve">As the third part of the essay will revolve around reconciliation it is important to note that this theme has been present within the other sectors as the harmonisation of two parties can mean both national and individual. Particularly, relations between the Scottish and English may not have been fully harmonised through the discovery of the factual events of the Battle of Culloden, however, though this discovery prejudices from both sides can be minimised when taught to younger generations. Furthermore, this is representative of battlefield archaeology helping positively the process specifically, it does not complete the full reconciliation but it adds foundations for which the future can be built upon. Furthermore, collaborative efforts made to prompt government action in Japan through the recovery of documentation given by the US Navy Seabee Museum showcases how the action of performing battlefield archaeology can bring together once opposing sides. This reconciliation is again seen in the Anglo- Zulu excavations in which the two factions work together despite the past of brutal battles. The Anglo- Zulu war began in 1879 with the invasion of British forces into the slopes of Isandlwana where almost 1,400 British soldiers were defeated by Native forces (Greaves, 2000).  Decades later groups began to become curious on how the battle deteriorated so rapidly despite the belief that the British soldiers were armed with greater weaponry and therefore should not have lost (Greaves, 2000). The excavation was led by the principal investigator Dr Tony Pollard from Glasgow University with the aid of many other volunteers and professionals (Greaves, 2000). As the excavations were done on private homesteads it was up to the locals to allow for the archaeologists to dig which therefore shows the reconciliation between the British and the Zulu despite a checkered history. There was an extensive use of technologies in order to understand the trajectories of the bullets and weaponry dispersion, understanding the ways in which the operation began to decay throughout the battle (Greaves, 2000). This shows the positive impacts battlefield archaeology has on the reconciliation of once opposing </w:t>
      </w:r>
      <w:r w:rsidR="001B02AA">
        <w:rPr>
          <w:rFonts w:ascii="Georgia" w:hAnsi="Georgia"/>
        </w:rPr>
        <w:t>factions</w:t>
      </w:r>
      <w:r w:rsidRPr="002B15AB">
        <w:rPr>
          <w:rFonts w:ascii="Georgia" w:hAnsi="Georgia"/>
        </w:rPr>
        <w:t xml:space="preserve"> as not only does it show the trust the Zulu people had towards giving up their land for 4 weeks (Greaves, 2000) but also the agreement that understanding the battle would be historically beneficial. </w:t>
      </w:r>
    </w:p>
    <w:p w14:paraId="5AFB8D28" w14:textId="77777777" w:rsidR="00314B32" w:rsidRDefault="00314B32" w:rsidP="002B15AB">
      <w:pPr>
        <w:rPr>
          <w:rFonts w:ascii="Georgia" w:hAnsi="Georgia"/>
        </w:rPr>
      </w:pPr>
    </w:p>
    <w:p w14:paraId="64D8BD3B" w14:textId="7FB19705" w:rsidR="002B15AB" w:rsidRPr="002B15AB" w:rsidRDefault="002B15AB" w:rsidP="002B15AB">
      <w:pPr>
        <w:rPr>
          <w:rFonts w:ascii="Georgia" w:hAnsi="Georgia"/>
        </w:rPr>
      </w:pPr>
      <w:r w:rsidRPr="002B15AB">
        <w:rPr>
          <w:rFonts w:ascii="Georgia" w:hAnsi="Georgia"/>
        </w:rPr>
        <w:t xml:space="preserve">It is no question that battlefield archaeology has had a positive impact on the themes of this essay for the decades that it has been operable, however, by dealing with the dead there are certain ethical considerations that need to be taken into account due to the subject's sensitivity. Dark tourism holds a shadow over archaeology as it utilises its findings and twists them to create a simplified, glorified version of history by mitigating certain aspects of the evidence to fit their narrative. Archaeological discoveries no longer hold precedence in their historical impacts but rather become spectacles for people to consume without understanding its complexities. Battlefield archaeology unknowingly feeds into these forms of sensationalised dark tourism, particularly on sites which have histories of extreme </w:t>
      </w:r>
      <w:r w:rsidRPr="002B15AB">
        <w:rPr>
          <w:rFonts w:ascii="Georgia" w:hAnsi="Georgia"/>
        </w:rPr>
        <w:lastRenderedPageBreak/>
        <w:t xml:space="preserve">violence and therefore become spectacles rather than places of respect. This kind of tension is evident in locations such as Auschwitz-Birkenau where it is noted that behaviours are often set with negative intentions and people become more voyeuristic in their approaches than desiring for education (Stone, 2006). Similar instances happen in Culloden where reenactments have been more prevalent (Living History Archive, 2019), trivialising the complexities in which the battle was fought to a </w:t>
      </w:r>
      <w:proofErr w:type="spellStart"/>
      <w:r w:rsidRPr="002B15AB">
        <w:rPr>
          <w:rFonts w:ascii="Georgia" w:hAnsi="Georgia"/>
        </w:rPr>
        <w:t>dramatised</w:t>
      </w:r>
      <w:proofErr w:type="spellEnd"/>
      <w:r w:rsidRPr="002B15AB">
        <w:rPr>
          <w:rFonts w:ascii="Georgia" w:hAnsi="Georgia"/>
        </w:rPr>
        <w:t xml:space="preserve"> performance which employs little historical factuality. Such developments, linked mainly to the monetary value these locations hold, hold battlefield archaeology back from being a solely positive piece in processing bereavement and commemoration as it transforms areas into palatable experiences. This therefore means that it can both positively contribute to the themes and take away from them equally, challenging it on ethical grounds. </w:t>
      </w:r>
    </w:p>
    <w:p w14:paraId="17B22EC5" w14:textId="77777777" w:rsidR="00314B32" w:rsidRDefault="00314B32" w:rsidP="002B15AB">
      <w:pPr>
        <w:rPr>
          <w:rFonts w:ascii="Georgia" w:hAnsi="Georgia"/>
        </w:rPr>
      </w:pPr>
    </w:p>
    <w:p w14:paraId="69E06895" w14:textId="5F672667" w:rsidR="002B15AB" w:rsidRPr="002B15AB" w:rsidRDefault="002B15AB" w:rsidP="002B15AB">
      <w:pPr>
        <w:rPr>
          <w:rFonts w:ascii="Georgia" w:hAnsi="Georgia"/>
        </w:rPr>
      </w:pPr>
      <w:r w:rsidRPr="002B15AB">
        <w:rPr>
          <w:rFonts w:ascii="Georgia" w:hAnsi="Georgia"/>
        </w:rPr>
        <w:t xml:space="preserve">Through the excavation of battlefields there is an inevitability that there will be ethical questions surrounding the treatment of human remains and how they should be handled depending on the culture which they were discovered from. Disturbing the graves of those that had been buried, be that intentionally or not, can cause adverse effects such as the building of state tensions and the rise of controversy </w:t>
      </w:r>
      <w:r w:rsidR="00CC1D99">
        <w:rPr>
          <w:rFonts w:ascii="Georgia" w:hAnsi="Georgia"/>
        </w:rPr>
        <w:t>between</w:t>
      </w:r>
      <w:r w:rsidRPr="002B15AB">
        <w:rPr>
          <w:rFonts w:ascii="Georgia" w:hAnsi="Georgia"/>
        </w:rPr>
        <w:t xml:space="preserve"> the perpetrators and the victims’ relatives. Examples of this include the post-genocide excavation in Rwanda where forensic teams uncovered the truth towards the atrocities that were enacted and therefore re-opening the wounds that the community had once hidden (</w:t>
      </w:r>
      <w:proofErr w:type="spellStart"/>
      <w:r w:rsidRPr="002B15AB">
        <w:rPr>
          <w:rFonts w:ascii="Georgia" w:hAnsi="Georgia"/>
        </w:rPr>
        <w:t>Karčić</w:t>
      </w:r>
      <w:proofErr w:type="spellEnd"/>
      <w:r w:rsidRPr="002B15AB">
        <w:rPr>
          <w:rFonts w:ascii="Georgia" w:hAnsi="Georgia"/>
        </w:rPr>
        <w:t>, 2015, p.204). Tensions between not only international powers but the supporters of the sides of the growing conflict lead to tensions between the people and the Bosnian state, creating the opposite of reconciliation and therefore forming a gap instead of a bridge (</w:t>
      </w:r>
      <w:proofErr w:type="spellStart"/>
      <w:r w:rsidRPr="002B15AB">
        <w:rPr>
          <w:rFonts w:ascii="Georgia" w:hAnsi="Georgia"/>
        </w:rPr>
        <w:t>Karčić</w:t>
      </w:r>
      <w:proofErr w:type="spellEnd"/>
      <w:r w:rsidRPr="002B15AB">
        <w:rPr>
          <w:rFonts w:ascii="Georgia" w:hAnsi="Georgia"/>
        </w:rPr>
        <w:t>, 2015, p.206). These examples showcase the importance of sensitivity towards what can be culturally insensitive topics and the forethought to understand whether the information provided will give a community closure or tear it apart. By recovering these human remains without a clear ethical framework the impact was highly negative and therefore retracts from the positive impact battlefield archaeology has on the process of reconciliation and bereavement in this instance.</w:t>
      </w:r>
    </w:p>
    <w:p w14:paraId="3A9F9DAA" w14:textId="77777777" w:rsidR="00314B32" w:rsidRDefault="00314B32" w:rsidP="002B15AB">
      <w:pPr>
        <w:rPr>
          <w:rFonts w:ascii="Georgia" w:hAnsi="Georgia"/>
        </w:rPr>
      </w:pPr>
    </w:p>
    <w:p w14:paraId="61190866" w14:textId="258702DE" w:rsidR="002B15AB" w:rsidRPr="002B15AB" w:rsidRDefault="002B15AB" w:rsidP="002B15AB">
      <w:pPr>
        <w:rPr>
          <w:rFonts w:ascii="Georgia" w:hAnsi="Georgia"/>
        </w:rPr>
      </w:pPr>
      <w:r w:rsidRPr="002B15AB">
        <w:rPr>
          <w:rFonts w:ascii="Georgia" w:hAnsi="Georgia"/>
        </w:rPr>
        <w:t xml:space="preserve">In conclusion, battlefield archaeology demonstrates that the materiality of conflict plays a large and meaningful role in the process of bereavement, commemoration and reconciliation. As this essay has argued, this sub-disciplines purpose is not only to recover evidence to create a narrative but to present these findings in a way that encloses the complexities of conflict and form a framework where the dead can be factually acknowledged and respected. Battlefield archaeology humanises the dead and provides closure for the bereaved as it gives empirical evidence rather than historical documentation. Additionally, it aids in commemoration by grounding organisations such as museums to the material evidence and challenges mythologised or romanticised narratives that may promote or reflect individualistic biases. Finally, it contributes to reconciliation through its multidisciplinary nature, fostering a collaborative environment which eludes truth based recovery and therefore overturns tensions present in </w:t>
      </w:r>
      <w:r w:rsidR="00AA3097">
        <w:rPr>
          <w:rFonts w:ascii="Georgia" w:hAnsi="Georgia"/>
        </w:rPr>
        <w:t xml:space="preserve">modern </w:t>
      </w:r>
      <w:r w:rsidRPr="002B15AB">
        <w:rPr>
          <w:rFonts w:ascii="Georgia" w:hAnsi="Georgia"/>
        </w:rPr>
        <w:t>communities. </w:t>
      </w:r>
    </w:p>
    <w:p w14:paraId="2F41254E" w14:textId="77777777" w:rsidR="006E52E6" w:rsidRDefault="006E52E6">
      <w:pPr>
        <w:rPr>
          <w:rFonts w:ascii="Georgia" w:hAnsi="Georgia"/>
        </w:rPr>
      </w:pPr>
    </w:p>
    <w:p w14:paraId="41F422C1" w14:textId="77777777" w:rsidR="002B15AB" w:rsidRDefault="002B15AB">
      <w:pPr>
        <w:rPr>
          <w:rFonts w:ascii="Georgia" w:hAnsi="Georgia"/>
        </w:rPr>
      </w:pPr>
    </w:p>
    <w:p w14:paraId="0E877AC9" w14:textId="77777777" w:rsidR="002B15AB" w:rsidRDefault="002B15AB">
      <w:pPr>
        <w:rPr>
          <w:rFonts w:ascii="Georgia" w:hAnsi="Georgia"/>
        </w:rPr>
      </w:pPr>
    </w:p>
    <w:p w14:paraId="474279B5" w14:textId="77777777" w:rsidR="002B15AB" w:rsidRDefault="002B15AB">
      <w:pPr>
        <w:rPr>
          <w:rFonts w:ascii="Georgia" w:hAnsi="Georgia"/>
        </w:rPr>
      </w:pPr>
    </w:p>
    <w:p w14:paraId="423E2C8A" w14:textId="77777777" w:rsidR="002B15AB" w:rsidRDefault="002B15AB">
      <w:pPr>
        <w:rPr>
          <w:rFonts w:ascii="Georgia" w:hAnsi="Georgia"/>
        </w:rPr>
      </w:pPr>
    </w:p>
    <w:p w14:paraId="2B2196E0" w14:textId="43AD0DEB" w:rsidR="002B15AB" w:rsidRPr="00314B32" w:rsidRDefault="002B15AB">
      <w:pPr>
        <w:rPr>
          <w:rFonts w:ascii="Georgia" w:hAnsi="Georgia"/>
          <w:b/>
          <w:bCs/>
        </w:rPr>
      </w:pPr>
      <w:r w:rsidRPr="00314B32">
        <w:rPr>
          <w:rFonts w:ascii="Georgia" w:hAnsi="Georgia"/>
          <w:b/>
          <w:bCs/>
        </w:rPr>
        <w:t xml:space="preserve">Bibliography: </w:t>
      </w:r>
    </w:p>
    <w:p w14:paraId="06F66829" w14:textId="460EF239" w:rsidR="002B15AB" w:rsidRPr="002B15AB" w:rsidRDefault="002B15AB" w:rsidP="002B15AB">
      <w:pPr>
        <w:rPr>
          <w:rFonts w:ascii="Georgia" w:hAnsi="Georgia"/>
        </w:rPr>
      </w:pPr>
      <w:r w:rsidRPr="00314B32">
        <w:rPr>
          <w:rFonts w:ascii="Georgia" w:hAnsi="Georgia"/>
          <w:b/>
          <w:bCs/>
        </w:rPr>
        <w:t>Britannica (2023).</w:t>
      </w:r>
      <w:r w:rsidRPr="00314B32">
        <w:rPr>
          <w:rFonts w:ascii="Georgia" w:hAnsi="Georgia"/>
        </w:rPr>
        <w:t xml:space="preserve"> </w:t>
      </w:r>
      <w:r w:rsidRPr="00314B32">
        <w:rPr>
          <w:rFonts w:ascii="Georgia" w:hAnsi="Georgia"/>
          <w:i/>
          <w:iCs/>
        </w:rPr>
        <w:t>Japanese religion</w:t>
      </w:r>
      <w:r w:rsidRPr="00314B32">
        <w:rPr>
          <w:rFonts w:ascii="Georgia" w:hAnsi="Georgia"/>
        </w:rPr>
        <w:t xml:space="preserve">. [online] </w:t>
      </w:r>
      <w:proofErr w:type="spellStart"/>
      <w:r w:rsidRPr="00314B32">
        <w:rPr>
          <w:rFonts w:ascii="Georgia" w:hAnsi="Georgia"/>
        </w:rPr>
        <w:t>Encyclopedia</w:t>
      </w:r>
      <w:proofErr w:type="spellEnd"/>
      <w:r w:rsidRPr="00314B32">
        <w:rPr>
          <w:rFonts w:ascii="Georgia" w:hAnsi="Georgia"/>
        </w:rPr>
        <w:t xml:space="preserve"> Britannica. </w:t>
      </w:r>
      <w:r w:rsidRPr="002B15AB">
        <w:rPr>
          <w:rFonts w:ascii="Georgia" w:hAnsi="Georgia"/>
        </w:rPr>
        <w:t>Available at: https://www.britannica.com/topic/Japanese-religion..</w:t>
      </w:r>
    </w:p>
    <w:p w14:paraId="3606974E" w14:textId="0D45B3CA" w:rsidR="002B15AB" w:rsidRPr="002B15AB" w:rsidRDefault="002B15AB" w:rsidP="002B15AB">
      <w:pPr>
        <w:rPr>
          <w:rFonts w:ascii="Georgia" w:hAnsi="Georgia"/>
        </w:rPr>
      </w:pPr>
      <w:r w:rsidRPr="002B15AB">
        <w:rPr>
          <w:rFonts w:ascii="Georgia" w:hAnsi="Georgia"/>
          <w:b/>
          <w:bCs/>
        </w:rPr>
        <w:t>Britannica (2025).</w:t>
      </w:r>
      <w:r w:rsidRPr="002B15AB">
        <w:rPr>
          <w:rFonts w:ascii="Georgia" w:hAnsi="Georgia"/>
        </w:rPr>
        <w:t xml:space="preserve"> </w:t>
      </w:r>
      <w:r w:rsidRPr="002B15AB">
        <w:rPr>
          <w:rFonts w:ascii="Georgia" w:hAnsi="Georgia"/>
          <w:i/>
          <w:iCs/>
        </w:rPr>
        <w:t>Bereavement Definition &amp; Meaning | Britannica Dictionary</w:t>
      </w:r>
      <w:r w:rsidRPr="002B15AB">
        <w:rPr>
          <w:rFonts w:ascii="Georgia" w:hAnsi="Georgia"/>
        </w:rPr>
        <w:t>. [online] @Britannica. Available at: https://www.britannica.com/dictionary/bereavement..</w:t>
      </w:r>
    </w:p>
    <w:p w14:paraId="35E75DD5" w14:textId="614ACA74" w:rsidR="002B15AB" w:rsidRPr="002B15AB" w:rsidRDefault="002B15AB" w:rsidP="002B15AB">
      <w:pPr>
        <w:rPr>
          <w:rFonts w:ascii="Georgia" w:hAnsi="Georgia"/>
        </w:rPr>
      </w:pPr>
      <w:r w:rsidRPr="002B15AB">
        <w:rPr>
          <w:rFonts w:ascii="Georgia" w:hAnsi="Georgia"/>
          <w:b/>
          <w:bCs/>
        </w:rPr>
        <w:t>Britannica (2026).</w:t>
      </w:r>
      <w:r w:rsidRPr="002B15AB">
        <w:rPr>
          <w:rFonts w:ascii="Georgia" w:hAnsi="Georgia"/>
        </w:rPr>
        <w:t xml:space="preserve"> </w:t>
      </w:r>
      <w:r w:rsidRPr="002B15AB">
        <w:rPr>
          <w:rFonts w:ascii="Georgia" w:hAnsi="Georgia"/>
          <w:i/>
          <w:iCs/>
        </w:rPr>
        <w:t>Commemoration Definition &amp; Meaning | Britannica Dictionary</w:t>
      </w:r>
      <w:r w:rsidRPr="002B15AB">
        <w:rPr>
          <w:rFonts w:ascii="Georgia" w:hAnsi="Georgia"/>
        </w:rPr>
        <w:t>. [online] @Britannica. Available at: https://www.britannica.com/dictionary/commemoration [Accessed 20 Feb. 2026].</w:t>
      </w:r>
    </w:p>
    <w:p w14:paraId="08078DB2" w14:textId="048444A9" w:rsidR="002B15AB" w:rsidRPr="002B15AB" w:rsidRDefault="002B15AB" w:rsidP="002B15AB">
      <w:pPr>
        <w:rPr>
          <w:rFonts w:ascii="Georgia" w:hAnsi="Georgia"/>
        </w:rPr>
      </w:pPr>
      <w:r w:rsidRPr="002B15AB">
        <w:rPr>
          <w:rFonts w:ascii="Georgia" w:hAnsi="Georgia"/>
          <w:b/>
          <w:bCs/>
        </w:rPr>
        <w:t xml:space="preserve">Cutcher, L., Dale, K., Hancock, P. and Tyler, M. (2015). </w:t>
      </w:r>
      <w:r w:rsidRPr="002B15AB">
        <w:rPr>
          <w:rFonts w:ascii="Georgia" w:hAnsi="Georgia"/>
          <w:i/>
          <w:iCs/>
        </w:rPr>
        <w:t>Spaces and places of remembering and commemoration</w:t>
      </w:r>
      <w:r w:rsidRPr="002B15AB">
        <w:rPr>
          <w:rFonts w:ascii="Georgia" w:hAnsi="Georgia"/>
        </w:rPr>
        <w:t xml:space="preserve">. Organization, 23(1), pp.3–9. </w:t>
      </w:r>
      <w:proofErr w:type="spellStart"/>
      <w:r w:rsidRPr="002B15AB">
        <w:rPr>
          <w:rFonts w:ascii="Georgia" w:hAnsi="Georgia"/>
        </w:rPr>
        <w:t>doi:https</w:t>
      </w:r>
      <w:proofErr w:type="spellEnd"/>
      <w:r w:rsidRPr="002B15AB">
        <w:rPr>
          <w:rFonts w:ascii="Georgia" w:hAnsi="Georgia"/>
        </w:rPr>
        <w:t>://doi.org/10.1177/1350508415605111.</w:t>
      </w:r>
    </w:p>
    <w:p w14:paraId="24D3ACEC" w14:textId="6FCC1D13" w:rsidR="002B15AB" w:rsidRPr="002B15AB" w:rsidRDefault="002B15AB" w:rsidP="002B15AB">
      <w:pPr>
        <w:rPr>
          <w:rFonts w:ascii="Georgia" w:hAnsi="Georgia"/>
        </w:rPr>
      </w:pPr>
      <w:r w:rsidRPr="002B15AB">
        <w:rPr>
          <w:rFonts w:ascii="Georgia" w:hAnsi="Georgia"/>
          <w:b/>
          <w:bCs/>
        </w:rPr>
        <w:t>Ever Loved (2023)</w:t>
      </w:r>
      <w:r w:rsidRPr="002B15AB">
        <w:rPr>
          <w:rFonts w:ascii="Georgia" w:hAnsi="Georgia"/>
        </w:rPr>
        <w:t xml:space="preserve">. </w:t>
      </w:r>
      <w:r w:rsidRPr="002B15AB">
        <w:rPr>
          <w:rFonts w:ascii="Georgia" w:hAnsi="Georgia"/>
          <w:i/>
          <w:iCs/>
        </w:rPr>
        <w:t>Japanese Funeral Traditions, Customs, And Beliefs | Ever Loved</w:t>
      </w:r>
      <w:r w:rsidRPr="002B15AB">
        <w:rPr>
          <w:rFonts w:ascii="Georgia" w:hAnsi="Georgia"/>
        </w:rPr>
        <w:t>. [online] everloved.com. . Available at: https://everloved.com/articles/funeral-customs/japanese-funeral-traditions-customs-and-beliefs/..</w:t>
      </w:r>
    </w:p>
    <w:p w14:paraId="679DA99B" w14:textId="152CB944" w:rsidR="002B15AB" w:rsidRPr="002B15AB" w:rsidRDefault="002B15AB" w:rsidP="002B15AB">
      <w:pPr>
        <w:rPr>
          <w:rFonts w:ascii="Georgia" w:hAnsi="Georgia"/>
        </w:rPr>
      </w:pPr>
      <w:r w:rsidRPr="002B15AB">
        <w:rPr>
          <w:rFonts w:ascii="Georgia" w:hAnsi="Georgia"/>
          <w:b/>
          <w:bCs/>
        </w:rPr>
        <w:t>Fitzgerald, C. (2024).</w:t>
      </w:r>
      <w:r w:rsidRPr="002B15AB">
        <w:rPr>
          <w:rFonts w:ascii="Georgia" w:hAnsi="Georgia"/>
        </w:rPr>
        <w:t xml:space="preserve"> </w:t>
      </w:r>
      <w:r w:rsidRPr="002B15AB">
        <w:rPr>
          <w:rFonts w:ascii="Georgia" w:hAnsi="Georgia"/>
          <w:i/>
          <w:iCs/>
        </w:rPr>
        <w:t>Japan to Exhume Over 1,000 War Dead on Peleliu</w:t>
      </w:r>
      <w:r w:rsidRPr="002B15AB">
        <w:rPr>
          <w:rFonts w:ascii="Georgia" w:hAnsi="Georgia"/>
        </w:rPr>
        <w:t>. [online] Warhistoryonline.com. . Available at: https://www.warhistoryonline.com/news/battle-of-peleliu-japan-war-dead.html [Accessed 21 Feb. 2026].</w:t>
      </w:r>
    </w:p>
    <w:p w14:paraId="26809147" w14:textId="35959482" w:rsidR="002B15AB" w:rsidRPr="002B15AB" w:rsidRDefault="002B15AB" w:rsidP="002B15AB">
      <w:pPr>
        <w:rPr>
          <w:rFonts w:ascii="Georgia" w:hAnsi="Georgia"/>
        </w:rPr>
      </w:pPr>
      <w:r w:rsidRPr="002B15AB">
        <w:rPr>
          <w:rFonts w:ascii="Georgia" w:hAnsi="Georgia"/>
          <w:b/>
          <w:bCs/>
        </w:rPr>
        <w:t>Final Transitions, LLC (2025).</w:t>
      </w:r>
      <w:r w:rsidRPr="002B15AB">
        <w:rPr>
          <w:rFonts w:ascii="Georgia" w:hAnsi="Georgia"/>
        </w:rPr>
        <w:t xml:space="preserve"> </w:t>
      </w:r>
      <w:r w:rsidRPr="002B15AB">
        <w:rPr>
          <w:rFonts w:ascii="Georgia" w:hAnsi="Georgia"/>
          <w:i/>
          <w:iCs/>
        </w:rPr>
        <w:t>Welcome To Zscaler Directory Authentication</w:t>
      </w:r>
      <w:r w:rsidRPr="002B15AB">
        <w:rPr>
          <w:rFonts w:ascii="Georgia" w:hAnsi="Georgia"/>
        </w:rPr>
        <w:t>. [online] Mykajabi.com. . Available at: https://joe-l-maldonado.mykajabi.com/blog/Japanese%20Death</w:t>
      </w:r>
    </w:p>
    <w:p w14:paraId="2D520ED6" w14:textId="2EAB9827" w:rsidR="002B15AB" w:rsidRPr="002B15AB" w:rsidRDefault="002B15AB" w:rsidP="002B15AB">
      <w:pPr>
        <w:rPr>
          <w:rFonts w:ascii="Georgia" w:hAnsi="Georgia"/>
        </w:rPr>
      </w:pPr>
      <w:r w:rsidRPr="002B15AB">
        <w:rPr>
          <w:rFonts w:ascii="Georgia" w:hAnsi="Georgia"/>
          <w:b/>
          <w:bCs/>
        </w:rPr>
        <w:t xml:space="preserve">George, A. (2025). </w:t>
      </w:r>
      <w:r w:rsidRPr="002B15AB">
        <w:rPr>
          <w:rFonts w:ascii="Georgia" w:hAnsi="Georgia"/>
          <w:i/>
          <w:iCs/>
        </w:rPr>
        <w:t>The Battle of Culloden: Five Key Questions Answered - Historic Environment Scotland Blog</w:t>
      </w:r>
      <w:r w:rsidRPr="002B15AB">
        <w:rPr>
          <w:rFonts w:ascii="Georgia" w:hAnsi="Georgia"/>
        </w:rPr>
        <w:t>. [online] Historic Environment Scotland Blog. Available at: https://blog.historicenvironment.scot/2025/04/battle-of-culloden/</w:t>
      </w:r>
    </w:p>
    <w:p w14:paraId="400FEA81" w14:textId="029233CB" w:rsidR="002B15AB" w:rsidRPr="002B15AB" w:rsidRDefault="002B15AB" w:rsidP="002B15AB">
      <w:pPr>
        <w:rPr>
          <w:rFonts w:ascii="Georgia" w:hAnsi="Georgia"/>
        </w:rPr>
      </w:pPr>
      <w:r w:rsidRPr="002B15AB">
        <w:rPr>
          <w:rFonts w:ascii="Georgia" w:hAnsi="Georgia"/>
          <w:b/>
          <w:bCs/>
          <w:lang w:val="fr-FR"/>
        </w:rPr>
        <w:t>Greaves, S.R. (2000).</w:t>
      </w:r>
      <w:r w:rsidRPr="002B15AB">
        <w:rPr>
          <w:rFonts w:ascii="Georgia" w:hAnsi="Georgia"/>
          <w:lang w:val="fr-FR"/>
        </w:rPr>
        <w:t xml:space="preserve"> </w:t>
      </w:r>
      <w:r w:rsidRPr="002B15AB">
        <w:rPr>
          <w:rFonts w:ascii="Georgia" w:hAnsi="Georgia"/>
          <w:i/>
          <w:iCs/>
          <w:lang w:val="fr-FR"/>
        </w:rPr>
        <w:t>Avant-propos</w:t>
      </w:r>
      <w:r w:rsidRPr="002B15AB">
        <w:rPr>
          <w:rFonts w:ascii="Georgia" w:hAnsi="Georgia"/>
          <w:lang w:val="fr-FR"/>
        </w:rPr>
        <w:t xml:space="preserve">. </w:t>
      </w:r>
      <w:proofErr w:type="spellStart"/>
      <w:r w:rsidRPr="002B15AB">
        <w:rPr>
          <w:rFonts w:ascii="Georgia" w:hAnsi="Georgia"/>
        </w:rPr>
        <w:t>Palimpsestes</w:t>
      </w:r>
      <w:proofErr w:type="spellEnd"/>
      <w:r w:rsidRPr="002B15AB">
        <w:rPr>
          <w:rFonts w:ascii="Georgia" w:hAnsi="Georgia"/>
        </w:rPr>
        <w:t xml:space="preserve">, (12), p.101. </w:t>
      </w:r>
      <w:proofErr w:type="spellStart"/>
      <w:r w:rsidRPr="002B15AB">
        <w:rPr>
          <w:rFonts w:ascii="Georgia" w:hAnsi="Georgia"/>
        </w:rPr>
        <w:t>doi:https</w:t>
      </w:r>
      <w:proofErr w:type="spellEnd"/>
      <w:r w:rsidRPr="002B15AB">
        <w:rPr>
          <w:rFonts w:ascii="Georgia" w:hAnsi="Georgia"/>
        </w:rPr>
        <w:t>://doi.org/10.4000/palimpsestes.1642.</w:t>
      </w:r>
    </w:p>
    <w:p w14:paraId="3DA42AA2" w14:textId="153A8F25" w:rsidR="002B15AB" w:rsidRPr="002B15AB" w:rsidRDefault="002B15AB" w:rsidP="002B15AB">
      <w:pPr>
        <w:rPr>
          <w:rFonts w:ascii="Georgia" w:hAnsi="Georgia"/>
        </w:rPr>
      </w:pPr>
      <w:proofErr w:type="spellStart"/>
      <w:r w:rsidRPr="002B15AB">
        <w:rPr>
          <w:rFonts w:ascii="Georgia" w:hAnsi="Georgia"/>
          <w:b/>
          <w:bCs/>
        </w:rPr>
        <w:t>Holsts</w:t>
      </w:r>
      <w:proofErr w:type="spellEnd"/>
      <w:r w:rsidRPr="002B15AB">
        <w:rPr>
          <w:rFonts w:ascii="Georgia" w:hAnsi="Georgia"/>
          <w:b/>
          <w:bCs/>
        </w:rPr>
        <w:t>, M. and Sutherland, T. (2024).</w:t>
      </w:r>
      <w:r w:rsidRPr="002B15AB">
        <w:rPr>
          <w:rFonts w:ascii="Georgia" w:hAnsi="Georgia"/>
        </w:rPr>
        <w:t xml:space="preserve"> </w:t>
      </w:r>
      <w:r w:rsidRPr="002B15AB">
        <w:rPr>
          <w:rFonts w:ascii="Georgia" w:hAnsi="Georgia"/>
          <w:i/>
          <w:iCs/>
        </w:rPr>
        <w:t>BATTLEFIELD ARCHAEOLOGY: A GUIDE TO THE ARCHAEOLOGY OF CONFLICT Guide 8 BAJR Practical Guide Series</w:t>
      </w:r>
      <w:r w:rsidRPr="002B15AB">
        <w:rPr>
          <w:rFonts w:ascii="Georgia" w:hAnsi="Georgia"/>
        </w:rPr>
        <w:t>. [online] Available at: https://bajr.org/wp-content/uploads/2024/08/BAJR-Battlefield-Guide-2024.pdf [Accessed 20 Feb. 2026].</w:t>
      </w:r>
    </w:p>
    <w:p w14:paraId="5E046589" w14:textId="1AE318C9" w:rsidR="002B15AB" w:rsidRPr="002B15AB" w:rsidRDefault="002B15AB" w:rsidP="002B15AB">
      <w:pPr>
        <w:rPr>
          <w:rFonts w:ascii="Georgia" w:hAnsi="Georgia"/>
        </w:rPr>
      </w:pPr>
      <w:r w:rsidRPr="002B15AB">
        <w:rPr>
          <w:rFonts w:ascii="Georgia" w:hAnsi="Georgia"/>
          <w:b/>
          <w:bCs/>
        </w:rPr>
        <w:t>Immediate Media (2021</w:t>
      </w:r>
      <w:r w:rsidRPr="002B15AB">
        <w:rPr>
          <w:rFonts w:ascii="Georgia" w:hAnsi="Georgia"/>
        </w:rPr>
        <w:t xml:space="preserve">). </w:t>
      </w:r>
      <w:r w:rsidRPr="002B15AB">
        <w:rPr>
          <w:rFonts w:ascii="Georgia" w:hAnsi="Georgia"/>
          <w:i/>
          <w:iCs/>
        </w:rPr>
        <w:t>7 myths about the battle of Culloden busted</w:t>
      </w:r>
      <w:r w:rsidRPr="002B15AB">
        <w:rPr>
          <w:rFonts w:ascii="Georgia" w:hAnsi="Georgia"/>
        </w:rPr>
        <w:t xml:space="preserve">. [online] </w:t>
      </w:r>
      <w:proofErr w:type="spellStart"/>
      <w:r w:rsidRPr="002B15AB">
        <w:rPr>
          <w:rFonts w:ascii="Georgia" w:hAnsi="Georgia"/>
        </w:rPr>
        <w:t>HistoryExtra</w:t>
      </w:r>
      <w:proofErr w:type="spellEnd"/>
      <w:r w:rsidRPr="002B15AB">
        <w:rPr>
          <w:rFonts w:ascii="Georgia" w:hAnsi="Georgia"/>
        </w:rPr>
        <w:t>. Available at: https://www.historyextra.com/period/georgian/myths-facts-battle-of-culloden-jacobites-bonnie-prince-charlie-stuarts/..</w:t>
      </w:r>
    </w:p>
    <w:p w14:paraId="69B82D0E" w14:textId="3E353946" w:rsidR="002B15AB" w:rsidRPr="002B15AB" w:rsidRDefault="002B15AB" w:rsidP="002B15AB">
      <w:pPr>
        <w:rPr>
          <w:rFonts w:ascii="Georgia" w:hAnsi="Georgia"/>
        </w:rPr>
      </w:pPr>
      <w:proofErr w:type="spellStart"/>
      <w:r w:rsidRPr="002B15AB">
        <w:rPr>
          <w:rFonts w:ascii="Georgia" w:hAnsi="Georgia"/>
          <w:b/>
          <w:bCs/>
        </w:rPr>
        <w:t>Karčić</w:t>
      </w:r>
      <w:proofErr w:type="spellEnd"/>
      <w:r w:rsidRPr="002B15AB">
        <w:rPr>
          <w:rFonts w:ascii="Georgia" w:hAnsi="Georgia"/>
          <w:b/>
          <w:bCs/>
        </w:rPr>
        <w:t>, H. (2015).</w:t>
      </w:r>
      <w:r w:rsidRPr="002B15AB">
        <w:rPr>
          <w:rFonts w:ascii="Georgia" w:hAnsi="Georgia"/>
        </w:rPr>
        <w:t xml:space="preserve"> </w:t>
      </w:r>
      <w:r w:rsidRPr="002B15AB">
        <w:rPr>
          <w:rFonts w:ascii="Georgia" w:hAnsi="Georgia"/>
          <w:i/>
          <w:iCs/>
        </w:rPr>
        <w:t>Remembering by resolution: the case of Srebrenica</w:t>
      </w:r>
      <w:r w:rsidRPr="002B15AB">
        <w:rPr>
          <w:rFonts w:ascii="Georgia" w:hAnsi="Georgia"/>
        </w:rPr>
        <w:t xml:space="preserve">. Journal of Genocide Research, 17(2), pp.201–210. </w:t>
      </w:r>
      <w:proofErr w:type="spellStart"/>
      <w:r w:rsidRPr="002B15AB">
        <w:rPr>
          <w:rFonts w:ascii="Georgia" w:hAnsi="Georgia"/>
        </w:rPr>
        <w:t>doi:https</w:t>
      </w:r>
      <w:proofErr w:type="spellEnd"/>
      <w:r w:rsidRPr="002B15AB">
        <w:rPr>
          <w:rFonts w:ascii="Georgia" w:hAnsi="Georgia"/>
        </w:rPr>
        <w:t>://doi.org/10.1080/14623528.2015.1027078.</w:t>
      </w:r>
    </w:p>
    <w:p w14:paraId="59A56EB1" w14:textId="46CCE9E1" w:rsidR="002B15AB" w:rsidRPr="002B15AB" w:rsidRDefault="002B15AB" w:rsidP="002B15AB">
      <w:pPr>
        <w:rPr>
          <w:rFonts w:ascii="Georgia" w:hAnsi="Georgia"/>
        </w:rPr>
      </w:pPr>
      <w:r w:rsidRPr="002B15AB">
        <w:rPr>
          <w:rFonts w:ascii="Georgia" w:hAnsi="Georgia"/>
          <w:b/>
          <w:bCs/>
        </w:rPr>
        <w:t>Living History Archive (2019).</w:t>
      </w:r>
      <w:r w:rsidRPr="002B15AB">
        <w:rPr>
          <w:rFonts w:ascii="Georgia" w:hAnsi="Georgia"/>
        </w:rPr>
        <w:t xml:space="preserve"> </w:t>
      </w:r>
      <w:r w:rsidRPr="002B15AB">
        <w:rPr>
          <w:rFonts w:ascii="Georgia" w:hAnsi="Georgia"/>
          <w:i/>
          <w:iCs/>
        </w:rPr>
        <w:t>Jacobite reenactment events</w:t>
      </w:r>
      <w:r w:rsidRPr="002B15AB">
        <w:rPr>
          <w:rFonts w:ascii="Georgia" w:hAnsi="Georgia"/>
        </w:rPr>
        <w:t>. [online] Livinghistoryarchive.com. . Available at: https://www.livinghistoryarchive.com/article/jacobite-reenactment-events [Accessed 22 Feb. 2026].</w:t>
      </w:r>
    </w:p>
    <w:p w14:paraId="3A9458C3" w14:textId="6E3372ED" w:rsidR="002B15AB" w:rsidRPr="002B15AB" w:rsidRDefault="002B15AB" w:rsidP="002B15AB">
      <w:pPr>
        <w:rPr>
          <w:rFonts w:ascii="Georgia" w:hAnsi="Georgia"/>
        </w:rPr>
      </w:pPr>
      <w:r w:rsidRPr="002B15AB">
        <w:rPr>
          <w:rFonts w:ascii="Georgia" w:hAnsi="Georgia"/>
          <w:b/>
          <w:bCs/>
        </w:rPr>
        <w:t>Ministry of Health, Labour and Welfare, Social Welfare and War Victims’ Relief Bureau (2023).</w:t>
      </w:r>
      <w:r w:rsidRPr="002B15AB">
        <w:rPr>
          <w:rFonts w:ascii="Georgia" w:hAnsi="Georgia"/>
        </w:rPr>
        <w:t xml:space="preserve"> </w:t>
      </w:r>
      <w:r w:rsidRPr="002B15AB">
        <w:rPr>
          <w:rFonts w:ascii="Georgia" w:hAnsi="Georgia"/>
          <w:i/>
          <w:iCs/>
        </w:rPr>
        <w:t>Memorial Services for the War Dead</w:t>
      </w:r>
      <w:r w:rsidRPr="002B15AB">
        <w:rPr>
          <w:rFonts w:ascii="Georgia" w:hAnsi="Georgia"/>
        </w:rPr>
        <w:t xml:space="preserve">. Government of Japan. Available at: </w:t>
      </w:r>
      <w:r w:rsidRPr="002B15AB">
        <w:rPr>
          <w:rFonts w:ascii="Georgia" w:hAnsi="Georgia"/>
        </w:rPr>
        <w:lastRenderedPageBreak/>
        <w:t>https://www.mhlw.go.jp/english/wp/wp-hw5/dl/23010816e.pdf (Accessed: 21 February 2026).</w:t>
      </w:r>
    </w:p>
    <w:p w14:paraId="681E1039" w14:textId="46816CB0" w:rsidR="002B15AB" w:rsidRPr="002B15AB" w:rsidRDefault="002B15AB" w:rsidP="002B15AB">
      <w:pPr>
        <w:rPr>
          <w:rFonts w:ascii="Georgia" w:hAnsi="Georgia"/>
        </w:rPr>
      </w:pPr>
      <w:r w:rsidRPr="002B15AB">
        <w:rPr>
          <w:rFonts w:ascii="Georgia" w:hAnsi="Georgia"/>
          <w:b/>
          <w:bCs/>
        </w:rPr>
        <w:t>Pollard, T. and Oliver, N. (2011).</w:t>
      </w:r>
      <w:r w:rsidRPr="002B15AB">
        <w:rPr>
          <w:rFonts w:ascii="Georgia" w:hAnsi="Georgia"/>
        </w:rPr>
        <w:t xml:space="preserve"> </w:t>
      </w:r>
      <w:r w:rsidRPr="002B15AB">
        <w:rPr>
          <w:rFonts w:ascii="Georgia" w:hAnsi="Georgia"/>
          <w:i/>
          <w:iCs/>
        </w:rPr>
        <w:t>BBC - History - Ancient History in depth: Battlefield Archaeology</w:t>
      </w:r>
      <w:r w:rsidRPr="002B15AB">
        <w:rPr>
          <w:rFonts w:ascii="Georgia" w:hAnsi="Georgia"/>
        </w:rPr>
        <w:t>. [online] www.bbc.co.uk. . Available at: https://www.bbc.co.uk/history/ancient/archaeology/two_men_01.shtml..</w:t>
      </w:r>
    </w:p>
    <w:p w14:paraId="64613D50" w14:textId="65B0B0F4" w:rsidR="002B15AB" w:rsidRPr="002B15AB" w:rsidRDefault="002B15AB" w:rsidP="002B15AB">
      <w:pPr>
        <w:rPr>
          <w:rFonts w:ascii="Georgia" w:hAnsi="Georgia"/>
        </w:rPr>
      </w:pPr>
      <w:r w:rsidRPr="002B15AB">
        <w:rPr>
          <w:rFonts w:ascii="Georgia" w:hAnsi="Georgia"/>
          <w:b/>
          <w:bCs/>
        </w:rPr>
        <w:t>Prebble, J. (1967).</w:t>
      </w:r>
      <w:r w:rsidRPr="002B15AB">
        <w:rPr>
          <w:rFonts w:ascii="Georgia" w:hAnsi="Georgia"/>
        </w:rPr>
        <w:t xml:space="preserve"> </w:t>
      </w:r>
      <w:r w:rsidRPr="002B15AB">
        <w:rPr>
          <w:rFonts w:ascii="Georgia" w:hAnsi="Georgia"/>
          <w:i/>
          <w:iCs/>
        </w:rPr>
        <w:t>Culloden</w:t>
      </w:r>
      <w:r w:rsidRPr="002B15AB">
        <w:rPr>
          <w:rFonts w:ascii="Georgia" w:hAnsi="Georgia"/>
        </w:rPr>
        <w:t>. [online] Penguin UK, p.89. Available at: https://archive.org/details/culloden00preb/page/79/mode/1up..</w:t>
      </w:r>
    </w:p>
    <w:p w14:paraId="017A0167" w14:textId="30A9305A" w:rsidR="002B15AB" w:rsidRPr="002B15AB" w:rsidRDefault="002B15AB" w:rsidP="002B15AB">
      <w:pPr>
        <w:rPr>
          <w:rFonts w:ascii="Georgia" w:hAnsi="Georgia"/>
        </w:rPr>
      </w:pPr>
      <w:r w:rsidRPr="002B15AB">
        <w:rPr>
          <w:rFonts w:ascii="Georgia" w:hAnsi="Georgia"/>
          <w:b/>
          <w:bCs/>
        </w:rPr>
        <w:t>Provan, J. (2017)</w:t>
      </w:r>
      <w:r w:rsidRPr="002B15AB">
        <w:rPr>
          <w:rFonts w:ascii="Georgia" w:hAnsi="Georgia"/>
        </w:rPr>
        <w:t xml:space="preserve">. </w:t>
      </w:r>
      <w:r w:rsidRPr="002B15AB">
        <w:rPr>
          <w:rFonts w:ascii="Georgia" w:hAnsi="Georgia"/>
          <w:i/>
          <w:iCs/>
        </w:rPr>
        <w:t>10 Myths about the Battle of Culloden</w:t>
      </w:r>
      <w:r w:rsidRPr="002B15AB">
        <w:rPr>
          <w:rFonts w:ascii="Georgia" w:hAnsi="Georgia"/>
        </w:rPr>
        <w:t xml:space="preserve">. Adventures In </w:t>
      </w:r>
      <w:proofErr w:type="spellStart"/>
      <w:r w:rsidRPr="002B15AB">
        <w:rPr>
          <w:rFonts w:ascii="Georgia" w:hAnsi="Georgia"/>
        </w:rPr>
        <w:t>Historyland</w:t>
      </w:r>
      <w:proofErr w:type="spellEnd"/>
      <w:r w:rsidRPr="002B15AB">
        <w:rPr>
          <w:rFonts w:ascii="Georgia" w:hAnsi="Georgia"/>
        </w:rPr>
        <w:t>. [online] Available at: https://adventuresinhistoryland.com/2017/05/12/10-myths-about-the-battle-of-culloden/ [Accessed 21 Feb. 2026].</w:t>
      </w:r>
    </w:p>
    <w:p w14:paraId="40949001" w14:textId="6DF37A56" w:rsidR="002B15AB" w:rsidRPr="002B15AB" w:rsidRDefault="002B15AB" w:rsidP="002B15AB">
      <w:pPr>
        <w:rPr>
          <w:rFonts w:ascii="Georgia" w:hAnsi="Georgia"/>
        </w:rPr>
      </w:pPr>
      <w:r w:rsidRPr="002B15AB">
        <w:rPr>
          <w:rFonts w:ascii="Georgia" w:hAnsi="Georgia"/>
          <w:b/>
          <w:bCs/>
        </w:rPr>
        <w:t>Reader, I. (2001)</w:t>
      </w:r>
      <w:r w:rsidRPr="002B15AB">
        <w:rPr>
          <w:rFonts w:ascii="Georgia" w:hAnsi="Georgia"/>
        </w:rPr>
        <w:t xml:space="preserve">. </w:t>
      </w:r>
      <w:r w:rsidRPr="002B15AB">
        <w:rPr>
          <w:rFonts w:ascii="Georgia" w:hAnsi="Georgia"/>
          <w:i/>
          <w:iCs/>
        </w:rPr>
        <w:t>Religion in contemporary Japan</w:t>
      </w:r>
      <w:r w:rsidRPr="002B15AB">
        <w:rPr>
          <w:rFonts w:ascii="Georgia" w:hAnsi="Georgia"/>
        </w:rPr>
        <w:t>. Basingstoke: Palgrave, p.122. Available at: https://archive.org/details/religionincontem0000read_o0x8/page/122/mode/1up?q=white</w:t>
      </w:r>
    </w:p>
    <w:p w14:paraId="1E654A10" w14:textId="025FD09A" w:rsidR="002B15AB" w:rsidRPr="002B15AB" w:rsidRDefault="002B15AB" w:rsidP="002B15AB">
      <w:pPr>
        <w:rPr>
          <w:rFonts w:ascii="Georgia" w:hAnsi="Georgia"/>
        </w:rPr>
      </w:pPr>
      <w:proofErr w:type="spellStart"/>
      <w:r w:rsidRPr="002B15AB">
        <w:rPr>
          <w:rFonts w:ascii="Georgia" w:hAnsi="Georgia"/>
          <w:b/>
          <w:bCs/>
          <w:lang w:val="nl-NL"/>
        </w:rPr>
        <w:t>Stichelbaut</w:t>
      </w:r>
      <w:proofErr w:type="spellEnd"/>
      <w:r w:rsidRPr="002B15AB">
        <w:rPr>
          <w:rFonts w:ascii="Georgia" w:hAnsi="Georgia"/>
          <w:b/>
          <w:bCs/>
          <w:lang w:val="nl-NL"/>
        </w:rPr>
        <w:t xml:space="preserve">, B., </w:t>
      </w:r>
      <w:proofErr w:type="spellStart"/>
      <w:r w:rsidRPr="002B15AB">
        <w:rPr>
          <w:rFonts w:ascii="Georgia" w:hAnsi="Georgia"/>
          <w:b/>
          <w:bCs/>
          <w:lang w:val="nl-NL"/>
        </w:rPr>
        <w:t>Gheyle</w:t>
      </w:r>
      <w:proofErr w:type="spellEnd"/>
      <w:r w:rsidRPr="002B15AB">
        <w:rPr>
          <w:rFonts w:ascii="Georgia" w:hAnsi="Georgia"/>
          <w:b/>
          <w:bCs/>
          <w:lang w:val="nl-NL"/>
        </w:rPr>
        <w:t xml:space="preserve">, W., Van </w:t>
      </w:r>
      <w:proofErr w:type="spellStart"/>
      <w:r w:rsidRPr="002B15AB">
        <w:rPr>
          <w:rFonts w:ascii="Georgia" w:hAnsi="Georgia"/>
          <w:b/>
          <w:bCs/>
          <w:lang w:val="nl-NL"/>
        </w:rPr>
        <w:t>Eetvelde</w:t>
      </w:r>
      <w:proofErr w:type="spellEnd"/>
      <w:r w:rsidRPr="002B15AB">
        <w:rPr>
          <w:rFonts w:ascii="Georgia" w:hAnsi="Georgia"/>
          <w:b/>
          <w:bCs/>
          <w:lang w:val="nl-NL"/>
        </w:rPr>
        <w:t xml:space="preserve">, V., Van </w:t>
      </w:r>
      <w:proofErr w:type="spellStart"/>
      <w:r w:rsidRPr="002B15AB">
        <w:rPr>
          <w:rFonts w:ascii="Georgia" w:hAnsi="Georgia"/>
          <w:b/>
          <w:bCs/>
          <w:lang w:val="nl-NL"/>
        </w:rPr>
        <w:t>Meirvenne</w:t>
      </w:r>
      <w:proofErr w:type="spellEnd"/>
      <w:r w:rsidRPr="002B15AB">
        <w:rPr>
          <w:rFonts w:ascii="Georgia" w:hAnsi="Georgia"/>
          <w:b/>
          <w:bCs/>
          <w:lang w:val="nl-NL"/>
        </w:rPr>
        <w:t xml:space="preserve">, M., </w:t>
      </w:r>
      <w:proofErr w:type="spellStart"/>
      <w:r w:rsidRPr="002B15AB">
        <w:rPr>
          <w:rFonts w:ascii="Georgia" w:hAnsi="Georgia"/>
          <w:b/>
          <w:bCs/>
          <w:lang w:val="nl-NL"/>
        </w:rPr>
        <w:t>Saey</w:t>
      </w:r>
      <w:proofErr w:type="spellEnd"/>
      <w:r w:rsidRPr="002B15AB">
        <w:rPr>
          <w:rFonts w:ascii="Georgia" w:hAnsi="Georgia"/>
          <w:b/>
          <w:bCs/>
          <w:lang w:val="nl-NL"/>
        </w:rPr>
        <w:t xml:space="preserve">, T., </w:t>
      </w:r>
      <w:proofErr w:type="spellStart"/>
      <w:r w:rsidRPr="002B15AB">
        <w:rPr>
          <w:rFonts w:ascii="Georgia" w:hAnsi="Georgia"/>
          <w:b/>
          <w:bCs/>
          <w:lang w:val="nl-NL"/>
        </w:rPr>
        <w:t>Note</w:t>
      </w:r>
      <w:proofErr w:type="spellEnd"/>
      <w:r w:rsidRPr="002B15AB">
        <w:rPr>
          <w:rFonts w:ascii="Georgia" w:hAnsi="Georgia"/>
          <w:b/>
          <w:bCs/>
          <w:lang w:val="nl-NL"/>
        </w:rPr>
        <w:t xml:space="preserve">, N., Van den Berghe, H. </w:t>
      </w:r>
      <w:proofErr w:type="spellStart"/>
      <w:r w:rsidRPr="002B15AB">
        <w:rPr>
          <w:rFonts w:ascii="Georgia" w:hAnsi="Georgia"/>
          <w:b/>
          <w:bCs/>
          <w:lang w:val="nl-NL"/>
        </w:rPr>
        <w:t>and</w:t>
      </w:r>
      <w:proofErr w:type="spellEnd"/>
      <w:r w:rsidRPr="002B15AB">
        <w:rPr>
          <w:rFonts w:ascii="Georgia" w:hAnsi="Georgia"/>
          <w:b/>
          <w:bCs/>
          <w:lang w:val="nl-NL"/>
        </w:rPr>
        <w:t xml:space="preserve"> Bourgeois, J. (2017)</w:t>
      </w:r>
      <w:r w:rsidRPr="002B15AB">
        <w:rPr>
          <w:rFonts w:ascii="Georgia" w:hAnsi="Georgia"/>
          <w:lang w:val="nl-NL"/>
        </w:rPr>
        <w:t xml:space="preserve">. </w:t>
      </w:r>
      <w:r w:rsidRPr="002B15AB">
        <w:rPr>
          <w:rFonts w:ascii="Georgia" w:hAnsi="Georgia"/>
          <w:i/>
          <w:iCs/>
        </w:rPr>
        <w:t>The Ypres Salient 1914–1918: historical aerial photography and the landscape of war</w:t>
      </w:r>
      <w:r w:rsidRPr="002B15AB">
        <w:rPr>
          <w:rFonts w:ascii="Georgia" w:hAnsi="Georgia"/>
        </w:rPr>
        <w:t xml:space="preserve">. Antiquity, 91(355), pp.235–249. </w:t>
      </w:r>
      <w:proofErr w:type="spellStart"/>
      <w:r w:rsidRPr="002B15AB">
        <w:rPr>
          <w:rFonts w:ascii="Georgia" w:hAnsi="Georgia"/>
        </w:rPr>
        <w:t>doi:https</w:t>
      </w:r>
      <w:proofErr w:type="spellEnd"/>
      <w:r w:rsidRPr="002B15AB">
        <w:rPr>
          <w:rFonts w:ascii="Georgia" w:hAnsi="Georgia"/>
        </w:rPr>
        <w:t>://doi.org/10.15184/aqy.2016.260.</w:t>
      </w:r>
    </w:p>
    <w:p w14:paraId="2ED702A2" w14:textId="68613154" w:rsidR="002B15AB" w:rsidRPr="002B15AB" w:rsidRDefault="002B15AB" w:rsidP="002B15AB">
      <w:pPr>
        <w:rPr>
          <w:rFonts w:ascii="Georgia" w:hAnsi="Georgia"/>
        </w:rPr>
      </w:pPr>
      <w:r w:rsidRPr="002B15AB">
        <w:rPr>
          <w:rFonts w:ascii="Georgia" w:hAnsi="Georgia"/>
          <w:b/>
          <w:bCs/>
        </w:rPr>
        <w:t>Stone, P.R. (2006)</w:t>
      </w:r>
      <w:r w:rsidRPr="002B15AB">
        <w:rPr>
          <w:rFonts w:ascii="Georgia" w:hAnsi="Georgia"/>
        </w:rPr>
        <w:t xml:space="preserve">. </w:t>
      </w:r>
      <w:r w:rsidRPr="002B15AB">
        <w:rPr>
          <w:rFonts w:ascii="Georgia" w:hAnsi="Georgia"/>
          <w:i/>
          <w:iCs/>
        </w:rPr>
        <w:t>A Dark Tourism Spectrum: Towards a typology of death and macabre related tourist sites, attractions and exhibitions</w:t>
      </w:r>
      <w:r w:rsidRPr="002B15AB">
        <w:rPr>
          <w:rFonts w:ascii="Georgia" w:hAnsi="Georgia"/>
        </w:rPr>
        <w:t>. [online] pp.145–160. Available at: https://knowledge.lancashire.ac.uk/id/eprint/27720/1/27720%20fulltext_stamped.pdf..</w:t>
      </w:r>
    </w:p>
    <w:p w14:paraId="098CCAE2" w14:textId="738E9871" w:rsidR="002B15AB" w:rsidRPr="002B15AB" w:rsidRDefault="002B15AB" w:rsidP="002B15AB">
      <w:pPr>
        <w:rPr>
          <w:rFonts w:ascii="Georgia" w:hAnsi="Georgia"/>
        </w:rPr>
      </w:pPr>
      <w:r w:rsidRPr="002B15AB">
        <w:rPr>
          <w:rFonts w:ascii="Georgia" w:hAnsi="Georgia"/>
          <w:b/>
          <w:bCs/>
        </w:rPr>
        <w:t>The Britannica Dictionary (2025).</w:t>
      </w:r>
      <w:r w:rsidRPr="002B15AB">
        <w:rPr>
          <w:rFonts w:ascii="Georgia" w:hAnsi="Georgia"/>
        </w:rPr>
        <w:t xml:space="preserve"> </w:t>
      </w:r>
      <w:r w:rsidRPr="002B15AB">
        <w:rPr>
          <w:rFonts w:ascii="Georgia" w:hAnsi="Georgia"/>
          <w:i/>
          <w:iCs/>
        </w:rPr>
        <w:t>Reconciliation Definition &amp; Meaning | Britannica Dictionary</w:t>
      </w:r>
      <w:r w:rsidRPr="002B15AB">
        <w:rPr>
          <w:rFonts w:ascii="Georgia" w:hAnsi="Georgia"/>
        </w:rPr>
        <w:t>. [online] www.britannica.com. . Available at: https://www.britannica.com/dictionary/reconciliation..</w:t>
      </w:r>
    </w:p>
    <w:p w14:paraId="79500542" w14:textId="01509237" w:rsidR="002B15AB" w:rsidRPr="002B15AB" w:rsidRDefault="002B15AB" w:rsidP="002B15AB">
      <w:pPr>
        <w:rPr>
          <w:rFonts w:ascii="Georgia" w:hAnsi="Georgia"/>
        </w:rPr>
      </w:pPr>
      <w:r w:rsidRPr="002B15AB">
        <w:rPr>
          <w:rFonts w:ascii="Georgia" w:hAnsi="Georgia"/>
          <w:b/>
          <w:bCs/>
        </w:rPr>
        <w:t xml:space="preserve"> </w:t>
      </w:r>
      <w:proofErr w:type="spellStart"/>
      <w:r w:rsidRPr="002B15AB">
        <w:rPr>
          <w:rFonts w:ascii="MS Gothic" w:eastAsia="MS Gothic" w:hAnsi="MS Gothic" w:cs="MS Gothic" w:hint="eastAsia"/>
          <w:b/>
          <w:bCs/>
        </w:rPr>
        <w:t>新間</w:t>
      </w:r>
      <w:proofErr w:type="spellEnd"/>
      <w:r w:rsidRPr="002B15AB">
        <w:rPr>
          <w:rFonts w:ascii="Georgia" w:hAnsi="Georgia"/>
          <w:b/>
          <w:bCs/>
        </w:rPr>
        <w:t xml:space="preserve"> (2024).</w:t>
      </w:r>
      <w:r w:rsidRPr="002B15AB">
        <w:rPr>
          <w:rFonts w:ascii="Georgia" w:hAnsi="Georgia"/>
        </w:rPr>
        <w:t xml:space="preserve"> </w:t>
      </w:r>
      <w:r w:rsidRPr="002B15AB">
        <w:rPr>
          <w:rFonts w:ascii="Georgia" w:hAnsi="Georgia"/>
          <w:i/>
          <w:iCs/>
        </w:rPr>
        <w:t>Japan to Exhume Remains of About 1,000 WWII Dead; Mass Burial Site Confirmed on Peleliu Island</w:t>
      </w:r>
      <w:r w:rsidRPr="002B15AB">
        <w:rPr>
          <w:rFonts w:ascii="Georgia" w:hAnsi="Georgia"/>
        </w:rPr>
        <w:t>. [online] Yomiuri.co.jp. . Available at: https://japannews.yomiuri.co.jp/society/general-news/20241203-225895/..</w:t>
      </w:r>
    </w:p>
    <w:p w14:paraId="345304C4" w14:textId="77777777" w:rsidR="002B15AB" w:rsidRPr="002B15AB" w:rsidRDefault="002B15AB">
      <w:pPr>
        <w:rPr>
          <w:rFonts w:ascii="Georgia" w:hAnsi="Georgia"/>
        </w:rPr>
      </w:pPr>
    </w:p>
    <w:sectPr w:rsidR="002B15AB" w:rsidRPr="002B1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5AB"/>
    <w:rsid w:val="000525FE"/>
    <w:rsid w:val="001B02AA"/>
    <w:rsid w:val="001D1819"/>
    <w:rsid w:val="002B15AB"/>
    <w:rsid w:val="00314B32"/>
    <w:rsid w:val="00490F1B"/>
    <w:rsid w:val="006E0B34"/>
    <w:rsid w:val="006E52E6"/>
    <w:rsid w:val="00893028"/>
    <w:rsid w:val="00AA3097"/>
    <w:rsid w:val="00CC1D99"/>
    <w:rsid w:val="00DD4283"/>
    <w:rsid w:val="00E30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07A69"/>
  <w15:chartTrackingRefBased/>
  <w15:docId w15:val="{EA0F4A4C-B1A1-40F1-B3EC-1A3C671A4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5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5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5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5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5AB"/>
    <w:rPr>
      <w:rFonts w:eastAsiaTheme="majorEastAsia" w:cstheme="majorBidi"/>
      <w:color w:val="272727" w:themeColor="text1" w:themeTint="D8"/>
    </w:rPr>
  </w:style>
  <w:style w:type="paragraph" w:styleId="Title">
    <w:name w:val="Title"/>
    <w:basedOn w:val="Normal"/>
    <w:next w:val="Normal"/>
    <w:link w:val="TitleChar"/>
    <w:uiPriority w:val="10"/>
    <w:qFormat/>
    <w:rsid w:val="002B15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5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5AB"/>
    <w:pPr>
      <w:spacing w:before="160"/>
      <w:jc w:val="center"/>
    </w:pPr>
    <w:rPr>
      <w:i/>
      <w:iCs/>
      <w:color w:val="404040" w:themeColor="text1" w:themeTint="BF"/>
    </w:rPr>
  </w:style>
  <w:style w:type="character" w:customStyle="1" w:styleId="QuoteChar">
    <w:name w:val="Quote Char"/>
    <w:basedOn w:val="DefaultParagraphFont"/>
    <w:link w:val="Quote"/>
    <w:uiPriority w:val="29"/>
    <w:rsid w:val="002B15AB"/>
    <w:rPr>
      <w:i/>
      <w:iCs/>
      <w:color w:val="404040" w:themeColor="text1" w:themeTint="BF"/>
    </w:rPr>
  </w:style>
  <w:style w:type="paragraph" w:styleId="ListParagraph">
    <w:name w:val="List Paragraph"/>
    <w:basedOn w:val="Normal"/>
    <w:uiPriority w:val="34"/>
    <w:qFormat/>
    <w:rsid w:val="002B15AB"/>
    <w:pPr>
      <w:ind w:left="720"/>
      <w:contextualSpacing/>
    </w:pPr>
  </w:style>
  <w:style w:type="character" w:styleId="IntenseEmphasis">
    <w:name w:val="Intense Emphasis"/>
    <w:basedOn w:val="DefaultParagraphFont"/>
    <w:uiPriority w:val="21"/>
    <w:qFormat/>
    <w:rsid w:val="002B15AB"/>
    <w:rPr>
      <w:i/>
      <w:iCs/>
      <w:color w:val="0F4761" w:themeColor="accent1" w:themeShade="BF"/>
    </w:rPr>
  </w:style>
  <w:style w:type="paragraph" w:styleId="IntenseQuote">
    <w:name w:val="Intense Quote"/>
    <w:basedOn w:val="Normal"/>
    <w:next w:val="Normal"/>
    <w:link w:val="IntenseQuoteChar"/>
    <w:uiPriority w:val="30"/>
    <w:qFormat/>
    <w:rsid w:val="002B1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5AB"/>
    <w:rPr>
      <w:i/>
      <w:iCs/>
      <w:color w:val="0F4761" w:themeColor="accent1" w:themeShade="BF"/>
    </w:rPr>
  </w:style>
  <w:style w:type="character" w:styleId="IntenseReference">
    <w:name w:val="Intense Reference"/>
    <w:basedOn w:val="DefaultParagraphFont"/>
    <w:uiPriority w:val="32"/>
    <w:qFormat/>
    <w:rsid w:val="002B15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3531</Words>
  <Characters>20130</Characters>
  <Application>Microsoft Office Word</Application>
  <DocSecurity>0</DocSecurity>
  <Lines>167</Lines>
  <Paragraphs>47</Paragraphs>
  <ScaleCrop>false</ScaleCrop>
  <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7</cp:revision>
  <dcterms:created xsi:type="dcterms:W3CDTF">2026-02-22T05:10:00Z</dcterms:created>
  <dcterms:modified xsi:type="dcterms:W3CDTF">2026-02-22T11:42:00Z</dcterms:modified>
</cp:coreProperties>
</file>