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2680"/>
        <w:gridCol w:w="4046"/>
        <w:gridCol w:w="4456"/>
      </w:tblGrid>
      <w:tr w:rsidR="00202AD9" w:rsidRPr="003C3341" w14:paraId="0D3FB92D" w14:textId="77777777" w:rsidTr="00202AD9">
        <w:tc>
          <w:tcPr>
            <w:tcW w:w="2680" w:type="dxa"/>
            <w:shd w:val="clear" w:color="auto" w:fill="8DB3E2" w:themeFill="text2" w:themeFillTint="66"/>
          </w:tcPr>
          <w:p w14:paraId="4B8FE21B" w14:textId="7223E311" w:rsidR="00202AD9" w:rsidRDefault="00202AD9">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Pr>
                <w:rFonts w:ascii="Tahoma" w:hAnsi="Tahoma" w:cs="Tahoma"/>
                <w:b/>
                <w:sz w:val="20"/>
                <w:szCs w:val="20"/>
              </w:rPr>
              <w:t xml:space="preserve"> </w:t>
            </w:r>
          </w:p>
          <w:p w14:paraId="498F0B10" w14:textId="77777777" w:rsidR="00202AD9" w:rsidRPr="003C3341" w:rsidRDefault="00202AD9">
            <w:pPr>
              <w:rPr>
                <w:rFonts w:ascii="Tahoma" w:hAnsi="Tahoma" w:cs="Tahoma"/>
                <w:b/>
                <w:sz w:val="20"/>
                <w:szCs w:val="20"/>
              </w:rPr>
            </w:pPr>
          </w:p>
          <w:p w14:paraId="69E1F0CF" w14:textId="65CAEC60" w:rsidR="00202AD9" w:rsidRPr="003C3341" w:rsidRDefault="00202AD9">
            <w:pPr>
              <w:rPr>
                <w:rFonts w:ascii="Tahoma" w:hAnsi="Tahoma" w:cs="Tahoma"/>
                <w:b/>
                <w:sz w:val="20"/>
                <w:szCs w:val="20"/>
              </w:rPr>
            </w:pPr>
            <w:r>
              <w:rPr>
                <w:rFonts w:ascii="Tahoma" w:hAnsi="Tahoma" w:cs="Tahoma"/>
                <w:b/>
                <w:sz w:val="20"/>
                <w:szCs w:val="20"/>
              </w:rPr>
              <w:t xml:space="preserve">Student Number: </w:t>
            </w:r>
          </w:p>
          <w:p w14:paraId="1BE02E96" w14:textId="77777777" w:rsidR="00202AD9" w:rsidRPr="003C3341" w:rsidRDefault="00202AD9">
            <w:pPr>
              <w:rPr>
                <w:rFonts w:ascii="Tahoma" w:hAnsi="Tahoma" w:cs="Tahoma"/>
                <w:b/>
                <w:sz w:val="20"/>
                <w:szCs w:val="20"/>
              </w:rPr>
            </w:pPr>
          </w:p>
        </w:tc>
        <w:tc>
          <w:tcPr>
            <w:tcW w:w="4046" w:type="dxa"/>
            <w:shd w:val="clear" w:color="auto" w:fill="8DB3E2" w:themeFill="text2" w:themeFillTint="66"/>
          </w:tcPr>
          <w:p w14:paraId="197F45B5" w14:textId="77777777" w:rsidR="00202AD9" w:rsidRDefault="00202AD9">
            <w:pPr>
              <w:rPr>
                <w:rFonts w:ascii="Tahoma" w:hAnsi="Tahoma" w:cs="Tahoma"/>
                <w:b/>
                <w:sz w:val="20"/>
                <w:szCs w:val="20"/>
              </w:rPr>
            </w:pPr>
            <w:proofErr w:type="spellStart"/>
            <w:r>
              <w:rPr>
                <w:rFonts w:ascii="Tahoma" w:hAnsi="Tahoma" w:cs="Tahoma"/>
                <w:b/>
                <w:sz w:val="20"/>
                <w:szCs w:val="20"/>
              </w:rPr>
              <w:t>Andreea</w:t>
            </w:r>
            <w:proofErr w:type="spellEnd"/>
            <w:r>
              <w:rPr>
                <w:rFonts w:ascii="Tahoma" w:hAnsi="Tahoma" w:cs="Tahoma"/>
                <w:b/>
                <w:sz w:val="20"/>
                <w:szCs w:val="20"/>
              </w:rPr>
              <w:t xml:space="preserve"> </w:t>
            </w:r>
            <w:proofErr w:type="spellStart"/>
            <w:r>
              <w:rPr>
                <w:rFonts w:ascii="Tahoma" w:hAnsi="Tahoma" w:cs="Tahoma"/>
                <w:b/>
                <w:sz w:val="20"/>
                <w:szCs w:val="20"/>
              </w:rPr>
              <w:t>Ionelia</w:t>
            </w:r>
            <w:proofErr w:type="spellEnd"/>
            <w:r>
              <w:rPr>
                <w:rFonts w:ascii="Tahoma" w:hAnsi="Tahoma" w:cs="Tahoma"/>
                <w:b/>
                <w:sz w:val="20"/>
                <w:szCs w:val="20"/>
              </w:rPr>
              <w:t xml:space="preserve"> </w:t>
            </w:r>
            <w:proofErr w:type="spellStart"/>
            <w:r>
              <w:rPr>
                <w:rFonts w:ascii="Tahoma" w:hAnsi="Tahoma" w:cs="Tahoma"/>
                <w:b/>
                <w:sz w:val="20"/>
                <w:szCs w:val="20"/>
              </w:rPr>
              <w:t>Girboiu</w:t>
            </w:r>
            <w:proofErr w:type="spellEnd"/>
          </w:p>
          <w:p w14:paraId="56C92819" w14:textId="77777777" w:rsidR="00202AD9" w:rsidRDefault="00202AD9">
            <w:pPr>
              <w:rPr>
                <w:rFonts w:ascii="Tahoma" w:hAnsi="Tahoma" w:cs="Tahoma"/>
                <w:b/>
                <w:sz w:val="20"/>
                <w:szCs w:val="20"/>
              </w:rPr>
            </w:pPr>
          </w:p>
          <w:p w14:paraId="7114712D" w14:textId="5BB8B716" w:rsidR="00202AD9" w:rsidRDefault="00202AD9">
            <w:pPr>
              <w:rPr>
                <w:rFonts w:ascii="Tahoma" w:hAnsi="Tahoma" w:cs="Tahoma"/>
                <w:b/>
                <w:sz w:val="20"/>
                <w:szCs w:val="20"/>
              </w:rPr>
            </w:pPr>
            <w:r>
              <w:rPr>
                <w:rFonts w:ascii="Tahoma" w:hAnsi="Tahoma" w:cs="Tahoma"/>
                <w:b/>
                <w:sz w:val="20"/>
                <w:szCs w:val="20"/>
              </w:rPr>
              <w:t>2119260</w:t>
            </w:r>
          </w:p>
        </w:tc>
        <w:tc>
          <w:tcPr>
            <w:tcW w:w="4456" w:type="dxa"/>
            <w:shd w:val="clear" w:color="auto" w:fill="8DB3E2" w:themeFill="text2" w:themeFillTint="66"/>
          </w:tcPr>
          <w:p w14:paraId="488BCD26" w14:textId="43766844" w:rsidR="00202AD9" w:rsidRDefault="00202AD9">
            <w:pPr>
              <w:rPr>
                <w:rFonts w:ascii="Tahoma" w:hAnsi="Tahoma" w:cs="Tahoma"/>
                <w:b/>
                <w:sz w:val="20"/>
                <w:szCs w:val="20"/>
              </w:rPr>
            </w:pPr>
            <w:r>
              <w:rPr>
                <w:rFonts w:ascii="Tahoma" w:hAnsi="Tahoma" w:cs="Tahoma"/>
                <w:b/>
                <w:sz w:val="20"/>
                <w:szCs w:val="20"/>
              </w:rPr>
              <w:t>Module: BMIH4002</w:t>
            </w:r>
          </w:p>
          <w:p w14:paraId="2019D1B6" w14:textId="77777777" w:rsidR="00202AD9" w:rsidRDefault="00202AD9" w:rsidP="00B21F2E">
            <w:pPr>
              <w:rPr>
                <w:rFonts w:ascii="Tahoma" w:hAnsi="Tahoma" w:cs="Tahoma"/>
                <w:b/>
                <w:sz w:val="20"/>
                <w:szCs w:val="20"/>
              </w:rPr>
            </w:pPr>
          </w:p>
          <w:p w14:paraId="450FE136" w14:textId="3D96E1AB" w:rsidR="00202AD9" w:rsidRPr="003C3341" w:rsidRDefault="00202AD9" w:rsidP="00B21F2E">
            <w:pPr>
              <w:rPr>
                <w:rFonts w:ascii="Tahoma" w:hAnsi="Tahoma" w:cs="Tahoma"/>
                <w:b/>
                <w:sz w:val="20"/>
                <w:szCs w:val="20"/>
              </w:rPr>
            </w:pPr>
            <w:r>
              <w:rPr>
                <w:rFonts w:ascii="Tahoma" w:hAnsi="Tahoma" w:cs="Tahoma"/>
                <w:b/>
                <w:sz w:val="20"/>
                <w:szCs w:val="20"/>
              </w:rPr>
              <w:t>Lecturer: 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7518BB27" w14:textId="77777777" w:rsidR="003249AF" w:rsidRPr="009061F1" w:rsidRDefault="003249AF" w:rsidP="003249AF">
            <w:pPr>
              <w:pStyle w:val="NormalWeb"/>
              <w:rPr>
                <w:rFonts w:ascii="SymbolMT" w:hAnsi="SymbolMT"/>
              </w:rPr>
            </w:pPr>
            <w:r>
              <w:rPr>
                <w:rFonts w:ascii="Calibri" w:hAnsi="Calibri" w:cs="Calibri"/>
              </w:rPr>
              <w:t xml:space="preserve">Allergies and Intolerances and the importance within the industry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64F6FAA0" w:rsidR="00F51904" w:rsidRDefault="00202AD9" w:rsidP="00FB1693">
            <w:pPr>
              <w:spacing w:line="360" w:lineRule="auto"/>
              <w:jc w:val="both"/>
              <w:rPr>
                <w:rFonts w:ascii="Arial" w:hAnsi="Arial" w:cs="Arial"/>
              </w:rPr>
            </w:pPr>
            <w:r>
              <w:rPr>
                <w:rFonts w:ascii="Arial" w:hAnsi="Arial" w:cs="Arial"/>
              </w:rPr>
              <w:t xml:space="preserve">  </w:t>
            </w:r>
            <w:r w:rsidR="00FB1693" w:rsidRPr="00FB1693">
              <w:rPr>
                <w:rFonts w:ascii="Arial" w:hAnsi="Arial" w:cs="Arial"/>
              </w:rPr>
              <w:t xml:space="preserve">If </w:t>
            </w:r>
            <w:r>
              <w:rPr>
                <w:rFonts w:ascii="Arial" w:hAnsi="Arial" w:cs="Arial"/>
              </w:rPr>
              <w:t>some</w:t>
            </w:r>
            <w:r w:rsidR="00FB1693" w:rsidRPr="00FB1693">
              <w:rPr>
                <w:rFonts w:ascii="Arial" w:hAnsi="Arial" w:cs="Arial"/>
              </w:rPr>
              <w:t>one ha</w:t>
            </w:r>
            <w:r>
              <w:rPr>
                <w:rFonts w:ascii="Arial" w:hAnsi="Arial" w:cs="Arial"/>
              </w:rPr>
              <w:t>s</w:t>
            </w:r>
            <w:r w:rsidR="00FB1693" w:rsidRPr="00FB1693">
              <w:rPr>
                <w:rFonts w:ascii="Arial" w:hAnsi="Arial" w:cs="Arial"/>
              </w:rPr>
              <w:t xml:space="preserve"> dietary allergies or aversion</w:t>
            </w:r>
            <w:r>
              <w:rPr>
                <w:rFonts w:ascii="Arial" w:hAnsi="Arial" w:cs="Arial"/>
              </w:rPr>
              <w:t>s</w:t>
            </w:r>
            <w:r w:rsidR="00FB1693" w:rsidRPr="00FB1693">
              <w:rPr>
                <w:rFonts w:ascii="Arial" w:hAnsi="Arial" w:cs="Arial"/>
              </w:rPr>
              <w:t xml:space="preserve">, it is critical </w:t>
            </w:r>
            <w:r w:rsidR="009C0049">
              <w:rPr>
                <w:rFonts w:ascii="Arial" w:hAnsi="Arial" w:cs="Arial"/>
              </w:rPr>
              <w:t>to</w:t>
            </w:r>
            <w:r w:rsidR="00FB1693" w:rsidRPr="00FB1693">
              <w:rPr>
                <w:rFonts w:ascii="Arial" w:hAnsi="Arial" w:cs="Arial"/>
              </w:rPr>
              <w:t xml:space="preserve"> possess the knowledge </w:t>
            </w:r>
            <w:r w:rsidR="009C0049">
              <w:rPr>
                <w:rFonts w:ascii="Arial" w:hAnsi="Arial" w:cs="Arial"/>
              </w:rPr>
              <w:t>that</w:t>
            </w:r>
            <w:r w:rsidR="00FB1693" w:rsidRPr="00FB1693">
              <w:rPr>
                <w:rFonts w:ascii="Arial" w:hAnsi="Arial" w:cs="Arial"/>
              </w:rPr>
              <w:t> require</w:t>
            </w:r>
            <w:r w:rsidR="009C0049">
              <w:rPr>
                <w:rFonts w:ascii="Arial" w:hAnsi="Arial" w:cs="Arial"/>
              </w:rPr>
              <w:t>s</w:t>
            </w:r>
            <w:r w:rsidR="00FB1693" w:rsidRPr="00FB1693">
              <w:rPr>
                <w:rFonts w:ascii="Arial" w:hAnsi="Arial" w:cs="Arial"/>
              </w:rPr>
              <w:t xml:space="preserve"> to create healthy dietary selections. There are allergy labelling and disclosure rules which oblige food establishments to offer consumers with disclosure regarding exactly </w:t>
            </w:r>
            <w:r w:rsidR="009C0049">
              <w:rPr>
                <w:rFonts w:ascii="Arial" w:hAnsi="Arial" w:cs="Arial"/>
              </w:rPr>
              <w:t xml:space="preserve">what </w:t>
            </w:r>
            <w:r w:rsidR="00FB1693" w:rsidRPr="00FB1693">
              <w:rPr>
                <w:rFonts w:ascii="Arial" w:hAnsi="Arial" w:cs="Arial"/>
              </w:rPr>
              <w:t xml:space="preserve">is in the meals, whether they are dinning </w:t>
            </w:r>
            <w:r w:rsidR="009C0049">
              <w:rPr>
                <w:rFonts w:ascii="Arial" w:hAnsi="Arial" w:cs="Arial"/>
              </w:rPr>
              <w:t>out</w:t>
            </w:r>
            <w:r w:rsidR="00FB1693" w:rsidRPr="00FB1693">
              <w:rPr>
                <w:rFonts w:ascii="Arial" w:hAnsi="Arial" w:cs="Arial"/>
              </w:rPr>
              <w:t xml:space="preserve"> or cooking their household meals. If they become unwell or experience an adverse response after consuming, they must obtain medical assistance right </w:t>
            </w:r>
            <w:r w:rsidR="009C0049">
              <w:rPr>
                <w:rFonts w:ascii="Arial" w:hAnsi="Arial" w:cs="Arial"/>
              </w:rPr>
              <w:t>away</w:t>
            </w:r>
            <w:r w:rsidR="00FB1693" w:rsidRPr="00FB1693">
              <w:rPr>
                <w:rFonts w:ascii="Arial" w:hAnsi="Arial" w:cs="Arial"/>
              </w:rPr>
              <w:t xml:space="preserve">. What to do if </w:t>
            </w:r>
            <w:r w:rsidR="009C0049">
              <w:rPr>
                <w:rFonts w:ascii="Arial" w:hAnsi="Arial" w:cs="Arial"/>
              </w:rPr>
              <w:t>some</w:t>
            </w:r>
            <w:r w:rsidR="00FB1693" w:rsidRPr="00FB1693">
              <w:rPr>
                <w:rFonts w:ascii="Arial" w:hAnsi="Arial" w:cs="Arial"/>
              </w:rPr>
              <w:t>one </w:t>
            </w:r>
            <w:r w:rsidR="00E8443F" w:rsidRPr="00FB1693">
              <w:rPr>
                <w:rFonts w:ascii="Arial" w:hAnsi="Arial" w:cs="Arial"/>
              </w:rPr>
              <w:t>has</w:t>
            </w:r>
            <w:r w:rsidR="00FB1693" w:rsidRPr="00FB1693">
              <w:rPr>
                <w:rFonts w:ascii="Arial" w:hAnsi="Arial" w:cs="Arial"/>
              </w:rPr>
              <w:t xml:space="preserve"> an allergic response is covered by NHS Options.</w:t>
            </w:r>
            <w:r w:rsidR="00FB1693">
              <w:rPr>
                <w:rFonts w:ascii="Arial" w:hAnsi="Arial" w:cs="Arial"/>
              </w:rPr>
              <w:t xml:space="preserve"> </w:t>
            </w:r>
            <w:r w:rsidR="00FB1693" w:rsidRPr="00FB1693">
              <w:rPr>
                <w:rFonts w:ascii="Arial" w:hAnsi="Arial" w:cs="Arial"/>
              </w:rPr>
              <w:t>The Food Quality Authority is in charge of allergy labelling and giving information to those who have food sensitivities, such as food allergies, intolerances, and celiac diseases.</w:t>
            </w:r>
            <w:r w:rsidR="00FB1693">
              <w:rPr>
                <w:rFonts w:ascii="Arial" w:hAnsi="Arial" w:cs="Arial"/>
              </w:rPr>
              <w:t xml:space="preserve"> </w:t>
            </w:r>
            <w:r w:rsidR="00FB1693" w:rsidRPr="00FB1693">
              <w:rPr>
                <w:rFonts w:ascii="Arial" w:hAnsi="Arial" w:cs="Arial"/>
              </w:rPr>
              <w:t xml:space="preserve">Food establishments in the United Kingdom are required by law to notify consumers if they use any of the 14 allergies as constituents in the meal and beverage they supply. Food legislation has recognized this group as being the </w:t>
            </w:r>
            <w:r w:rsidR="009C0049">
              <w:rPr>
                <w:rFonts w:ascii="Arial" w:hAnsi="Arial" w:cs="Arial"/>
              </w:rPr>
              <w:t>strongest</w:t>
            </w:r>
            <w:r w:rsidR="00FB1693" w:rsidRPr="00FB1693">
              <w:rPr>
                <w:rFonts w:ascii="Arial" w:hAnsi="Arial" w:cs="Arial"/>
              </w:rPr>
              <w:t xml:space="preserve"> and </w:t>
            </w:r>
            <w:r w:rsidR="009C0049">
              <w:rPr>
                <w:rFonts w:ascii="Arial" w:hAnsi="Arial" w:cs="Arial"/>
              </w:rPr>
              <w:t xml:space="preserve">most </w:t>
            </w:r>
            <w:r w:rsidR="00FB1693" w:rsidRPr="00FB1693">
              <w:rPr>
                <w:rFonts w:ascii="Arial" w:hAnsi="Arial" w:cs="Arial"/>
              </w:rPr>
              <w:t>common allergies</w:t>
            </w:r>
            <w:r w:rsidR="009C0049">
              <w:rPr>
                <w:rFonts w:ascii="Arial" w:hAnsi="Arial" w:cs="Arial"/>
              </w:rPr>
              <w:t>:</w:t>
            </w:r>
            <w:r w:rsidR="00FB1693" w:rsidRPr="00FB1693">
              <w:rPr>
                <w:rFonts w:ascii="Arial" w:hAnsi="Arial" w:cs="Arial"/>
              </w:rPr>
              <w:t xml:space="preserve"> Celery, gluten-containing cereals, crustaceans, eggs, fish, lupine, milk, peanuts, </w:t>
            </w:r>
            <w:proofErr w:type="spellStart"/>
            <w:r w:rsidR="00FB1693" w:rsidRPr="00FB1693">
              <w:rPr>
                <w:rFonts w:ascii="Arial" w:hAnsi="Arial" w:cs="Arial"/>
              </w:rPr>
              <w:t>mollusks</w:t>
            </w:r>
            <w:proofErr w:type="spellEnd"/>
            <w:r w:rsidR="00FB1693" w:rsidRPr="00FB1693">
              <w:rPr>
                <w:rFonts w:ascii="Arial" w:hAnsi="Arial" w:cs="Arial"/>
              </w:rPr>
              <w:t>, mustard, sesame, soybeans, sulphur dioxide and sulphites, and tree nuts are among the 14 allergens</w:t>
            </w:r>
            <w:r w:rsidR="00E8443F">
              <w:rPr>
                <w:rFonts w:ascii="Arial" w:hAnsi="Arial" w:cs="Arial"/>
              </w:rPr>
              <w:t xml:space="preserve"> </w:t>
            </w:r>
            <w:r w:rsidR="00E8443F">
              <w:rPr>
                <w:rFonts w:ascii="Arial" w:hAnsi="Arial" w:cs="Arial"/>
              </w:rPr>
              <w:fldChar w:fldCharType="begin"/>
            </w:r>
            <w:r w:rsidR="00E8443F">
              <w:rPr>
                <w:rFonts w:ascii="Arial" w:hAnsi="Arial" w:cs="Arial"/>
              </w:rPr>
              <w:instrText xml:space="preserve"> ADDIN ZOTERO_ITEM CSL_CITATION {"citationID":"bu1fbEAO","properties":{"formattedCitation":"(Remington {\\i{}et al.}, 2020)","plainCitation":"(Remington et al., 2020)","noteIndex":0},"citationItems":[{"id":1999,"uris":["http://zotero.org/users/local/B5jnIj5g/items/SPPNLN7J"],"itemData":{"id":1999,"type":"article-journal","container-title":"Food and Chemical Toxicology","note":"ISBN: 0278-6915\npublisher: Elsevier","page":"111259","title":"Updated population minimal eliciting dose distributions for use in risk assessment of 14 priority food allergens","volume":"139","author":[{"family":"Remington","given":"Benjamin C."},{"family":"Westerhout","given":"Joost"},{"family":"Meima","given":"Marie Y."},{"family":"Blom","given":"W. Marty"},{"family":"Kruizinga","given":"Astrid G."},{"family":"Wheeler","given":"Matthew W."},{"family":"Taylor","given":"Steve L."},{"family":"Houben","given":"Geert F."},{"family":"Baumert","given":"Joseph L."}],"issued":{"date-parts":[["2020"]]}}}],"schema":"https://github.com/citation-style-language/schema/raw/master/csl-citation.json"} </w:instrText>
            </w:r>
            <w:r w:rsidR="00E8443F">
              <w:rPr>
                <w:rFonts w:ascii="Arial" w:hAnsi="Arial" w:cs="Arial"/>
              </w:rPr>
              <w:fldChar w:fldCharType="separate"/>
            </w:r>
            <w:r w:rsidR="00E8443F" w:rsidRPr="00E8443F">
              <w:rPr>
                <w:rFonts w:ascii="Arial" w:hAnsi="Arial" w:cs="Arial"/>
              </w:rPr>
              <w:t xml:space="preserve">(Remington </w:t>
            </w:r>
            <w:r w:rsidR="00E8443F" w:rsidRPr="00E8443F">
              <w:rPr>
                <w:rFonts w:ascii="Arial" w:hAnsi="Arial" w:cs="Arial"/>
                <w:i/>
                <w:iCs/>
              </w:rPr>
              <w:t>et al.</w:t>
            </w:r>
            <w:r w:rsidR="00E8443F" w:rsidRPr="00E8443F">
              <w:rPr>
                <w:rFonts w:ascii="Arial" w:hAnsi="Arial" w:cs="Arial"/>
              </w:rPr>
              <w:t>, 2020)</w:t>
            </w:r>
            <w:r w:rsidR="00E8443F">
              <w:rPr>
                <w:rFonts w:ascii="Arial" w:hAnsi="Arial" w:cs="Arial"/>
              </w:rPr>
              <w:fldChar w:fldCharType="end"/>
            </w:r>
            <w:r w:rsidR="00FB1693" w:rsidRPr="00FB1693">
              <w:rPr>
                <w:rFonts w:ascii="Arial" w:hAnsi="Arial" w:cs="Arial"/>
              </w:rPr>
              <w:t>. If you have an allergy to something that isn't listed in the 14 allergens, carefully examine the labelling or question services about your individual food allergen.</w:t>
            </w:r>
          </w:p>
          <w:p w14:paraId="7B9FC645" w14:textId="18A91EF9" w:rsidR="00FB1693" w:rsidRDefault="00FB1693" w:rsidP="00FB1693">
            <w:pPr>
              <w:spacing w:line="360" w:lineRule="auto"/>
              <w:jc w:val="both"/>
              <w:rPr>
                <w:rFonts w:ascii="Arial" w:hAnsi="Arial" w:cs="Arial"/>
              </w:rPr>
            </w:pPr>
            <w:r w:rsidRPr="00FB1693">
              <w:rPr>
                <w:rFonts w:ascii="Arial" w:hAnsi="Arial" w:cs="Arial"/>
              </w:rPr>
              <w:t xml:space="preserve">When purchasing vegan cuisine, someone may not anticipate it to include any dairy products, seafood, crabs, or </w:t>
            </w:r>
            <w:proofErr w:type="spellStart"/>
            <w:r w:rsidRPr="00FB1693">
              <w:rPr>
                <w:rFonts w:ascii="Arial" w:hAnsi="Arial" w:cs="Arial"/>
              </w:rPr>
              <w:t>mollusks</w:t>
            </w:r>
            <w:proofErr w:type="spellEnd"/>
            <w:r w:rsidRPr="00FB1693">
              <w:rPr>
                <w:rFonts w:ascii="Arial" w:hAnsi="Arial" w:cs="Arial"/>
              </w:rPr>
              <w:t xml:space="preserve">. When vegetarian cuisine is made in a facility or restaurant which also processes non-vegan </w:t>
            </w:r>
            <w:r w:rsidR="00940F8D" w:rsidRPr="00FB1693">
              <w:rPr>
                <w:rFonts w:ascii="Arial" w:hAnsi="Arial" w:cs="Arial"/>
              </w:rPr>
              <w:t>cuisine, small quantities of trans contaminates</w:t>
            </w:r>
            <w:r w:rsidRPr="00FB1693">
              <w:rPr>
                <w:rFonts w:ascii="Arial" w:hAnsi="Arial" w:cs="Arial"/>
              </w:rPr>
              <w:t xml:space="preserve"> can happen. This is </w:t>
            </w:r>
            <w:r w:rsidR="0044709D">
              <w:rPr>
                <w:rFonts w:ascii="Arial" w:hAnsi="Arial" w:cs="Arial"/>
              </w:rPr>
              <w:t xml:space="preserve">a </w:t>
            </w:r>
            <w:r w:rsidRPr="00FB1693">
              <w:rPr>
                <w:rFonts w:ascii="Arial" w:hAnsi="Arial" w:cs="Arial"/>
              </w:rPr>
              <w:t xml:space="preserve">certain </w:t>
            </w:r>
            <w:r w:rsidR="0044709D">
              <w:rPr>
                <w:rFonts w:ascii="Arial" w:hAnsi="Arial" w:cs="Arial"/>
              </w:rPr>
              <w:t xml:space="preserve">reason why </w:t>
            </w:r>
            <w:r w:rsidRPr="00FB1693">
              <w:rPr>
                <w:rFonts w:ascii="Arial" w:hAnsi="Arial" w:cs="Arial"/>
              </w:rPr>
              <w:t xml:space="preserve">vegetarian products </w:t>
            </w:r>
            <w:r w:rsidR="00940F8D" w:rsidRPr="00FB1693">
              <w:rPr>
                <w:rFonts w:ascii="Arial" w:hAnsi="Arial" w:cs="Arial"/>
              </w:rPr>
              <w:t>labelling</w:t>
            </w:r>
            <w:r w:rsidRPr="00FB1693">
              <w:rPr>
                <w:rFonts w:ascii="Arial" w:hAnsi="Arial" w:cs="Arial"/>
              </w:rPr>
              <w:t xml:space="preserve"> include preventative allergy </w:t>
            </w:r>
            <w:r w:rsidR="00940F8D" w:rsidRPr="00FB1693">
              <w:rPr>
                <w:rFonts w:ascii="Arial" w:hAnsi="Arial" w:cs="Arial"/>
              </w:rPr>
              <w:t>labelling</w:t>
            </w:r>
            <w:r w:rsidRPr="00FB1693">
              <w:rPr>
                <w:rFonts w:ascii="Arial" w:hAnsi="Arial" w:cs="Arial"/>
              </w:rPr>
              <w:t xml:space="preserve"> </w:t>
            </w:r>
            <w:r w:rsidR="00940F8D" w:rsidRPr="00FB1693">
              <w:rPr>
                <w:rFonts w:ascii="Arial" w:hAnsi="Arial" w:cs="Arial"/>
              </w:rPr>
              <w:t>like ‘may</w:t>
            </w:r>
            <w:r w:rsidRPr="00FB1693">
              <w:rPr>
                <w:rFonts w:ascii="Arial" w:hAnsi="Arial" w:cs="Arial"/>
              </w:rPr>
              <w:t xml:space="preserve"> contain.' This indicates that residues of antigens such dairy products, seafood, crabs, or </w:t>
            </w:r>
            <w:proofErr w:type="spellStart"/>
            <w:r w:rsidRPr="00FB1693">
              <w:rPr>
                <w:rFonts w:ascii="Arial" w:hAnsi="Arial" w:cs="Arial"/>
              </w:rPr>
              <w:t>mollusks</w:t>
            </w:r>
            <w:proofErr w:type="spellEnd"/>
            <w:r w:rsidRPr="00FB1693">
              <w:rPr>
                <w:rFonts w:ascii="Arial" w:hAnsi="Arial" w:cs="Arial"/>
              </w:rPr>
              <w:t> might be present in the items, posing a danger if someone has a food intolerance to them</w:t>
            </w:r>
            <w:r w:rsidR="00E8443F">
              <w:rPr>
                <w:rFonts w:ascii="Arial" w:hAnsi="Arial" w:cs="Arial"/>
              </w:rPr>
              <w:t xml:space="preserve"> </w:t>
            </w:r>
            <w:r w:rsidR="00E8443F">
              <w:rPr>
                <w:rFonts w:ascii="Arial" w:hAnsi="Arial" w:cs="Arial"/>
              </w:rPr>
              <w:fldChar w:fldCharType="begin"/>
            </w:r>
            <w:r w:rsidR="00E8443F">
              <w:rPr>
                <w:rFonts w:ascii="Arial" w:hAnsi="Arial" w:cs="Arial"/>
              </w:rPr>
              <w:instrText xml:space="preserve"> ADDIN ZOTERO_ITEM CSL_CITATION {"citationID":"SaYmSqvn","properties":{"formattedCitation":"(Archibald-Durham, 2021)","plainCitation":"(Archibald-Durham, 2021)","noteIndex":0},"citationItems":[{"id":2000,"uris":["http://zotero.org/users/local/B5jnIj5g/items/W4EYBQW3"],"itemData":{"id":2000,"type":"article-journal","container-title":"Current Allergy &amp; Clinical Immunology","issue":"2","note":"ISBN: 1609-3607\npublisher: Allergy Society of South Africa (ALLSA)","page":"78-81","title":"Veganism and food allergies-when the exclusion of animal products and allergens coincide","volume":"34","author":[{"family":"Archibald-Durham","given":"Lindsay"}],"issued":{"date-parts":[["2021"]]}}}],"schema":"https://github.com/citation-style-language/schema/raw/master/csl-citation.json"} </w:instrText>
            </w:r>
            <w:r w:rsidR="00E8443F">
              <w:rPr>
                <w:rFonts w:ascii="Arial" w:hAnsi="Arial" w:cs="Arial"/>
              </w:rPr>
              <w:fldChar w:fldCharType="separate"/>
            </w:r>
            <w:r w:rsidR="00E8443F" w:rsidRPr="00E8443F">
              <w:rPr>
                <w:rFonts w:ascii="Arial" w:hAnsi="Arial" w:cs="Arial"/>
              </w:rPr>
              <w:t>(Archibald-Durham, 2021)</w:t>
            </w:r>
            <w:r w:rsidR="00E8443F">
              <w:rPr>
                <w:rFonts w:ascii="Arial" w:hAnsi="Arial" w:cs="Arial"/>
              </w:rPr>
              <w:fldChar w:fldCharType="end"/>
            </w:r>
            <w:r w:rsidRPr="00FB1693">
              <w:rPr>
                <w:rFonts w:ascii="Arial" w:hAnsi="Arial" w:cs="Arial"/>
              </w:rPr>
              <w:t xml:space="preserve">. Regardless if the food is </w:t>
            </w:r>
            <w:r w:rsidR="00C16CF0" w:rsidRPr="00FB1693">
              <w:rPr>
                <w:rFonts w:ascii="Arial" w:hAnsi="Arial" w:cs="Arial"/>
              </w:rPr>
              <w:t>labelled</w:t>
            </w:r>
            <w:r w:rsidRPr="00FB1693">
              <w:rPr>
                <w:rFonts w:ascii="Arial" w:hAnsi="Arial" w:cs="Arial"/>
              </w:rPr>
              <w:t xml:space="preserve"> as "vegan," it is critical to examine the </w:t>
            </w:r>
            <w:r w:rsidR="00C16CF0" w:rsidRPr="00FB1693">
              <w:rPr>
                <w:rFonts w:ascii="Arial" w:hAnsi="Arial" w:cs="Arial"/>
              </w:rPr>
              <w:t>labelling</w:t>
            </w:r>
            <w:r w:rsidRPr="00FB1693">
              <w:rPr>
                <w:rFonts w:ascii="Arial" w:hAnsi="Arial" w:cs="Arial"/>
              </w:rPr>
              <w:t xml:space="preserve"> to recognize if it is suitable for them.</w:t>
            </w:r>
            <w:r w:rsidR="00C16CF0">
              <w:rPr>
                <w:rFonts w:ascii="Arial" w:hAnsi="Arial" w:cs="Arial"/>
              </w:rPr>
              <w:t xml:space="preserve"> </w:t>
            </w:r>
          </w:p>
          <w:p w14:paraId="467586AD" w14:textId="46CD976E" w:rsidR="00F51904" w:rsidRDefault="00C16CF0" w:rsidP="00C414B0">
            <w:pPr>
              <w:spacing w:line="360" w:lineRule="auto"/>
              <w:jc w:val="both"/>
              <w:rPr>
                <w:rFonts w:ascii="Arial" w:hAnsi="Arial" w:cs="Arial"/>
              </w:rPr>
            </w:pPr>
            <w:r w:rsidRPr="00C16CF0">
              <w:rPr>
                <w:rFonts w:ascii="Arial" w:hAnsi="Arial" w:cs="Arial"/>
              </w:rPr>
              <w:t xml:space="preserve">Food allergies affect upwards of 15 million </w:t>
            </w:r>
            <w:r w:rsidR="00D64B09" w:rsidRPr="00C16CF0">
              <w:rPr>
                <w:rFonts w:ascii="Arial" w:hAnsi="Arial" w:cs="Arial"/>
              </w:rPr>
              <w:t>populations</w:t>
            </w:r>
            <w:r w:rsidRPr="00C16CF0">
              <w:rPr>
                <w:rFonts w:ascii="Arial" w:hAnsi="Arial" w:cs="Arial"/>
              </w:rPr>
              <w:t xml:space="preserve">, approximately one in every 25 individuals, or around 4% of </w:t>
            </w:r>
            <w:r w:rsidR="0044709D">
              <w:rPr>
                <w:rFonts w:ascii="Arial" w:hAnsi="Arial" w:cs="Arial"/>
              </w:rPr>
              <w:t>the</w:t>
            </w:r>
            <w:r w:rsidRPr="00C16CF0">
              <w:rPr>
                <w:rFonts w:ascii="Arial" w:hAnsi="Arial" w:cs="Arial"/>
              </w:rPr>
              <w:t xml:space="preserve"> world, as per </w:t>
            </w:r>
            <w:r w:rsidR="0044709D">
              <w:rPr>
                <w:rFonts w:ascii="Arial" w:hAnsi="Arial" w:cs="Arial"/>
              </w:rPr>
              <w:t>www.</w:t>
            </w:r>
            <w:r w:rsidRPr="00C16CF0">
              <w:rPr>
                <w:rFonts w:ascii="Arial" w:hAnsi="Arial" w:cs="Arial"/>
              </w:rPr>
              <w:t xml:space="preserve">foodallergy.org. </w:t>
            </w:r>
            <w:r w:rsidR="00E8443F" w:rsidRPr="00C16CF0">
              <w:rPr>
                <w:rFonts w:ascii="Arial" w:hAnsi="Arial" w:cs="Arial"/>
              </w:rPr>
              <w:t>An</w:t>
            </w:r>
            <w:r w:rsidRPr="00C16CF0">
              <w:rPr>
                <w:rFonts w:ascii="Arial" w:hAnsi="Arial" w:cs="Arial"/>
              </w:rPr>
              <w:t xml:space="preserve"> eating intolerance affects one out of every 13 children, or two children every regular educational class. Around 40% of children who have had an allergic response have had a significant sensitivity. A food allergy causes between 150-200 fatalities each year, with half of them occurring in a food service establishment</w:t>
            </w:r>
            <w:r w:rsidR="00221CDD">
              <w:rPr>
                <w:rFonts w:ascii="Arial" w:hAnsi="Arial" w:cs="Arial"/>
              </w:rPr>
              <w:t xml:space="preserve"> </w:t>
            </w:r>
            <w:r w:rsidR="00221CDD">
              <w:rPr>
                <w:rFonts w:ascii="Arial" w:hAnsi="Arial" w:cs="Arial"/>
              </w:rPr>
              <w:fldChar w:fldCharType="begin"/>
            </w:r>
            <w:r w:rsidR="00221CDD">
              <w:rPr>
                <w:rFonts w:ascii="Arial" w:hAnsi="Arial" w:cs="Arial"/>
              </w:rPr>
              <w:instrText xml:space="preserve"> ADDIN ZOTERO_ITEM CSL_CITATION {"citationID":"p71o6hU1","properties":{"formattedCitation":"(Fare, 2022)","plainCitation":"(Fare, 2022)","noteIndex":0},"citationItems":[{"id":2001,"uris":["http://zotero.org/users/local/B5jnIj5g/items/8GN49RSV"],"itemData":{"id":2001,"type":"webpage","abstract":"Key information to help better understand food allergies and anaphylaxis.","language":"en","title":"Facts and Statistics | Food Allergy Research &amp; Education","URL":"https://www.foodallergy.org/resources/facts-and-statistics","author":[{"family":"Fare","given":""}],"accessed":{"date-parts":[["2022",5,24]]},"issued":{"date-parts":[["2022"]]}}}],"schema":"https://github.com/citation-style-language/schema/raw/master/csl-citation.json"} </w:instrText>
            </w:r>
            <w:r w:rsidR="00221CDD">
              <w:rPr>
                <w:rFonts w:ascii="Arial" w:hAnsi="Arial" w:cs="Arial"/>
              </w:rPr>
              <w:fldChar w:fldCharType="separate"/>
            </w:r>
            <w:r w:rsidR="00221CDD" w:rsidRPr="00221CDD">
              <w:rPr>
                <w:rFonts w:ascii="Arial" w:hAnsi="Arial" w:cs="Arial"/>
              </w:rPr>
              <w:t>(Fare, 2022)</w:t>
            </w:r>
            <w:r w:rsidR="00221CDD">
              <w:rPr>
                <w:rFonts w:ascii="Arial" w:hAnsi="Arial" w:cs="Arial"/>
              </w:rPr>
              <w:fldChar w:fldCharType="end"/>
            </w:r>
            <w:r w:rsidRPr="00C16CF0">
              <w:rPr>
                <w:rFonts w:ascii="Arial" w:hAnsi="Arial" w:cs="Arial"/>
              </w:rPr>
              <w:t xml:space="preserve">. True, allergies differ; </w:t>
            </w:r>
            <w:r w:rsidRPr="00C16CF0">
              <w:rPr>
                <w:rFonts w:ascii="Arial" w:hAnsi="Arial" w:cs="Arial"/>
              </w:rPr>
              <w:lastRenderedPageBreak/>
              <w:t>certain individuals can eat anything that has come into touch with the allergy, while others cannot and must be exceedingly cautious about eating anything prepared at the similar location.</w:t>
            </w:r>
            <w:r w:rsidR="00D64B09">
              <w:rPr>
                <w:rFonts w:ascii="Arial" w:hAnsi="Arial" w:cs="Arial"/>
              </w:rPr>
              <w:t xml:space="preserve"> </w:t>
            </w:r>
            <w:r w:rsidR="00D64B09" w:rsidRPr="00D64B09">
              <w:rPr>
                <w:rFonts w:ascii="Arial" w:hAnsi="Arial" w:cs="Arial"/>
              </w:rPr>
              <w:t xml:space="preserve">A food allergy can cause modest signs like rashes or vomiting, or serious indications like respiratory issues and potentially mortality. An allergy response sends somebody to the medical care </w:t>
            </w:r>
            <w:r w:rsidR="0044709D">
              <w:rPr>
                <w:rFonts w:ascii="Arial" w:hAnsi="Arial" w:cs="Arial"/>
              </w:rPr>
              <w:t>every 3 minutes</w:t>
            </w:r>
            <w:r w:rsidR="00D64B09" w:rsidRPr="00D64B09">
              <w:rPr>
                <w:rFonts w:ascii="Arial" w:hAnsi="Arial" w:cs="Arial"/>
              </w:rPr>
              <w:t xml:space="preserve">. Since it is impossible to foresee how people may respond, it is critical to address all food intolerances equally. Allergens have no treatment; the sole viable treatment is to eliminate dietary sensitivities. When cooking meals for people with </w:t>
            </w:r>
            <w:r w:rsidR="008615B3" w:rsidRPr="00D64B09">
              <w:rPr>
                <w:rFonts w:ascii="Arial" w:hAnsi="Arial" w:cs="Arial"/>
              </w:rPr>
              <w:t>food</w:t>
            </w:r>
            <w:r w:rsidR="00D64B09" w:rsidRPr="00D64B09">
              <w:rPr>
                <w:rFonts w:ascii="Arial" w:hAnsi="Arial" w:cs="Arial"/>
              </w:rPr>
              <w:t xml:space="preserve"> intolerance, individuals need to be mindful of items that include the aggravating allergen, employ cleaned equipment, cutlery, and dinnerware, and serve the meal on a table with the offensive allergen properly </w:t>
            </w:r>
            <w:r w:rsidR="001A2B1E" w:rsidRPr="00D64B09">
              <w:rPr>
                <w:rFonts w:ascii="Arial" w:hAnsi="Arial" w:cs="Arial"/>
              </w:rPr>
              <w:t>labelled</w:t>
            </w:r>
            <w:r w:rsidR="00D64B09" w:rsidRPr="00D64B09">
              <w:rPr>
                <w:rFonts w:ascii="Arial" w:hAnsi="Arial" w:cs="Arial"/>
              </w:rPr>
              <w:t xml:space="preserve"> to the consumer with the hypersensitivity</w:t>
            </w:r>
            <w:r w:rsidR="00221CDD">
              <w:rPr>
                <w:rFonts w:ascii="Arial" w:hAnsi="Arial" w:cs="Arial"/>
              </w:rPr>
              <w:t xml:space="preserve"> </w:t>
            </w:r>
            <w:r w:rsidR="00221CDD">
              <w:rPr>
                <w:rFonts w:ascii="Arial" w:hAnsi="Arial" w:cs="Arial"/>
              </w:rPr>
              <w:fldChar w:fldCharType="begin"/>
            </w:r>
            <w:r w:rsidR="00221CDD">
              <w:rPr>
                <w:rFonts w:ascii="Arial" w:hAnsi="Arial" w:cs="Arial"/>
              </w:rPr>
              <w:instrText xml:space="preserve"> ADDIN ZOTERO_ITEM CSL_CITATION {"citationID":"UX7OAQV2","properties":{"formattedCitation":"(Di Costanzo {\\i{}et al.}, 2020)","plainCitation":"(Di Costanzo et al., 2020)","noteIndex":0},"citationItems":[{"id":2003,"uris":["http://zotero.org/users/local/B5jnIj5g/items/7WKKLS8M"],"itemData":{"id":2003,"type":"article-journal","container-title":"International journal of molecular sciences","issue":"15","note":"publisher: Multidisciplinary Digital Publishing Institute","page":"5275","title":"Gut microbiome modulation for preventing and treating pediatric food allergies","volume":"21","author":[{"family":"Di Costanzo","given":"Margherita"},{"family":"Carucci","given":"Laura"},{"family":"Berni Canani","given":"Roberto"},{"family":"Biasucci","given":"Giacomo"}],"issued":{"date-parts":[["2020"]]}}}],"schema":"https://github.com/citation-style-language/schema/raw/master/csl-citation.json"} </w:instrText>
            </w:r>
            <w:r w:rsidR="00221CDD">
              <w:rPr>
                <w:rFonts w:ascii="Arial" w:hAnsi="Arial" w:cs="Arial"/>
              </w:rPr>
              <w:fldChar w:fldCharType="separate"/>
            </w:r>
            <w:r w:rsidR="00221CDD" w:rsidRPr="00221CDD">
              <w:rPr>
                <w:rFonts w:ascii="Arial" w:hAnsi="Arial" w:cs="Arial"/>
              </w:rPr>
              <w:t xml:space="preserve">(Di Costanzo </w:t>
            </w:r>
            <w:r w:rsidR="00221CDD" w:rsidRPr="00221CDD">
              <w:rPr>
                <w:rFonts w:ascii="Arial" w:hAnsi="Arial" w:cs="Arial"/>
                <w:i/>
                <w:iCs/>
              </w:rPr>
              <w:t>et al.</w:t>
            </w:r>
            <w:r w:rsidR="00221CDD" w:rsidRPr="00221CDD">
              <w:rPr>
                <w:rFonts w:ascii="Arial" w:hAnsi="Arial" w:cs="Arial"/>
              </w:rPr>
              <w:t>, 2020)</w:t>
            </w:r>
            <w:r w:rsidR="00221CDD">
              <w:rPr>
                <w:rFonts w:ascii="Arial" w:hAnsi="Arial" w:cs="Arial"/>
              </w:rPr>
              <w:fldChar w:fldCharType="end"/>
            </w:r>
            <w:r w:rsidR="00D64B09" w:rsidRPr="00D64B09">
              <w:rPr>
                <w:rFonts w:ascii="Arial" w:hAnsi="Arial" w:cs="Arial"/>
              </w:rPr>
              <w:t>.</w:t>
            </w:r>
          </w:p>
          <w:p w14:paraId="213727D5" w14:textId="28E285EF" w:rsidR="00375882" w:rsidRDefault="002F6F62" w:rsidP="00082229">
            <w:pPr>
              <w:spacing w:line="360" w:lineRule="auto"/>
              <w:jc w:val="both"/>
              <w:rPr>
                <w:rFonts w:ascii="Arial" w:hAnsi="Arial" w:cs="Arial"/>
              </w:rPr>
            </w:pPr>
            <w:r w:rsidRPr="002F6F62">
              <w:rPr>
                <w:rFonts w:ascii="Arial" w:hAnsi="Arial" w:cs="Arial"/>
              </w:rPr>
              <w:t>An efficient washing and cleanliness plan is among the most crucial stages in reducing allergy cross-contamination. Sanitation techniques that are considered appropriate for most microbiological pollutants cannot be sufficient for allergy residues. As a result, dedicated procedures that include chemicals, apparatus, and timing must be recorded and readily accessible to all staff participating in the hygiene and disinfection procedure. The plan should be evaluated after the guidelines for an allergy avoidance safe and hygienic strategy have been established. Cleaning validation's goal is to demonstrate that the processed apparatus is cleaned regularly to avoid cross-contamination of dangers across commodities. Identification of sensitivities should be done using the ELISA test technique</w:t>
            </w:r>
            <w:r w:rsidR="00221CDD">
              <w:rPr>
                <w:rFonts w:ascii="Arial" w:hAnsi="Arial" w:cs="Arial"/>
              </w:rPr>
              <w:t xml:space="preserve"> </w:t>
            </w:r>
            <w:r w:rsidR="00221CDD">
              <w:rPr>
                <w:rFonts w:ascii="Arial" w:hAnsi="Arial" w:cs="Arial"/>
              </w:rPr>
              <w:fldChar w:fldCharType="begin"/>
            </w:r>
            <w:r w:rsidR="00221CDD">
              <w:rPr>
                <w:rFonts w:ascii="Arial" w:hAnsi="Arial" w:cs="Arial"/>
              </w:rPr>
              <w:instrText xml:space="preserve"> ADDIN ZOTERO_ITEM CSL_CITATION {"citationID":"pwt3ZqLV","properties":{"formattedCitation":"(Chandra, no date)","plainCitation":"(Chandra, no date)","noteIndex":0},"citationItems":[{"id":2004,"uris":["http://zotero.org/users/local/B5jnIj5g/items/BXXXH3AR"],"itemData":{"id":2004,"type":"article-journal","title":"Comparative Analysis of Gluten Content of Raw and Processed Materials","author":[{"family":"Chandra","given":"Sonakshi"}]}}],"schema":"https://github.com/citation-style-language/schema/raw/master/csl-citation.json"} </w:instrText>
            </w:r>
            <w:r w:rsidR="00221CDD">
              <w:rPr>
                <w:rFonts w:ascii="Arial" w:hAnsi="Arial" w:cs="Arial"/>
              </w:rPr>
              <w:fldChar w:fldCharType="separate"/>
            </w:r>
            <w:r w:rsidR="00221CDD" w:rsidRPr="00221CDD">
              <w:rPr>
                <w:rFonts w:ascii="Arial" w:hAnsi="Arial" w:cs="Arial"/>
              </w:rPr>
              <w:t>(Chandra, no date)</w:t>
            </w:r>
            <w:r w:rsidR="00221CDD">
              <w:rPr>
                <w:rFonts w:ascii="Arial" w:hAnsi="Arial" w:cs="Arial"/>
              </w:rPr>
              <w:fldChar w:fldCharType="end"/>
            </w:r>
            <w:r w:rsidRPr="002F6F62">
              <w:rPr>
                <w:rFonts w:ascii="Arial" w:hAnsi="Arial" w:cs="Arial"/>
              </w:rPr>
              <w:t>.</w:t>
            </w:r>
            <w:r>
              <w:rPr>
                <w:rFonts w:ascii="Arial" w:hAnsi="Arial" w:cs="Arial"/>
              </w:rPr>
              <w:t xml:space="preserve"> </w:t>
            </w:r>
            <w:r w:rsidR="00144F2E" w:rsidRPr="00144F2E">
              <w:rPr>
                <w:rFonts w:ascii="Arial" w:hAnsi="Arial" w:cs="Arial"/>
              </w:rPr>
              <w:t xml:space="preserve">Employees must be taught about their responsibility in avoiding antigen pollution while establishing an allergy monitoring system, like any other initiative in a business. Even when an allergy strategy is in </w:t>
            </w:r>
            <w:r w:rsidR="00F5047F">
              <w:rPr>
                <w:rFonts w:ascii="Arial" w:hAnsi="Arial" w:cs="Arial"/>
              </w:rPr>
              <w:t>place</w:t>
            </w:r>
            <w:r w:rsidR="00144F2E" w:rsidRPr="00144F2E">
              <w:rPr>
                <w:rFonts w:ascii="Arial" w:hAnsi="Arial" w:cs="Arial"/>
              </w:rPr>
              <w:t xml:space="preserve">, it would fail if the </w:t>
            </w:r>
            <w:r w:rsidR="00E8443F" w:rsidRPr="00144F2E">
              <w:rPr>
                <w:rFonts w:ascii="Arial" w:hAnsi="Arial" w:cs="Arial"/>
              </w:rPr>
              <w:t>staffs do</w:t>
            </w:r>
            <w:r w:rsidR="00144F2E" w:rsidRPr="00144F2E">
              <w:rPr>
                <w:rFonts w:ascii="Arial" w:hAnsi="Arial" w:cs="Arial"/>
              </w:rPr>
              <w:t xml:space="preserve"> not understand it. Incoming staff or individuals with new duties that entail allergy management should get comprehensive instruction. Refresher training must be held on a regular basis to maintain personnel informed about the plan, and also any enhancements or adjustments to the allergy strategy. Human mistake is frequently the primary cause of products allergy concerns.</w:t>
            </w:r>
          </w:p>
          <w:p w14:paraId="1538E20A" w14:textId="0B09DD43" w:rsidR="00082229" w:rsidRPr="00082229" w:rsidRDefault="00082229" w:rsidP="00082229">
            <w:pPr>
              <w:spacing w:line="360" w:lineRule="auto"/>
              <w:jc w:val="both"/>
              <w:rPr>
                <w:rFonts w:ascii="Arial" w:hAnsi="Arial" w:cs="Arial"/>
              </w:rPr>
            </w:pPr>
            <w:r>
              <w:rPr>
                <w:rFonts w:ascii="Arial" w:hAnsi="Arial" w:cs="Arial"/>
              </w:rPr>
              <w:t>Even if I knew most of these facts from my personal experiences, there is always something new and exciting to learn about.</w:t>
            </w: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28662A41"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00A75D8" w14:textId="77777777" w:rsidR="00221CDD" w:rsidRPr="00221CDD" w:rsidRDefault="00221CDD" w:rsidP="00221CDD">
            <w:pPr>
              <w:pStyle w:val="Bibliography"/>
              <w:rPr>
                <w:rFonts w:ascii="Arial" w:hAnsi="Arial" w:cs="Arial"/>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r w:rsidRPr="00221CDD">
              <w:rPr>
                <w:rFonts w:ascii="Arial" w:hAnsi="Arial" w:cs="Arial"/>
              </w:rPr>
              <w:t xml:space="preserve">Archibald-Durham, L. (2021) ‘Veganism and food allergies-when the exclusion of animal products and allergens coincide’, </w:t>
            </w:r>
            <w:r w:rsidRPr="00221CDD">
              <w:rPr>
                <w:rFonts w:ascii="Arial" w:hAnsi="Arial" w:cs="Arial"/>
                <w:i/>
                <w:iCs/>
              </w:rPr>
              <w:t>Current Allergy &amp; Clinical Immunology</w:t>
            </w:r>
            <w:r w:rsidRPr="00221CDD">
              <w:rPr>
                <w:rFonts w:ascii="Arial" w:hAnsi="Arial" w:cs="Arial"/>
              </w:rPr>
              <w:t>, 34(2), pp. 78–81.</w:t>
            </w:r>
          </w:p>
          <w:p w14:paraId="6C57C871" w14:textId="77777777" w:rsidR="00221CDD" w:rsidRPr="00221CDD" w:rsidRDefault="00221CDD" w:rsidP="00221CDD">
            <w:pPr>
              <w:pStyle w:val="Bibliography"/>
              <w:rPr>
                <w:rFonts w:ascii="Arial" w:hAnsi="Arial" w:cs="Arial"/>
              </w:rPr>
            </w:pPr>
            <w:r w:rsidRPr="00221CDD">
              <w:rPr>
                <w:rFonts w:ascii="Arial" w:hAnsi="Arial" w:cs="Arial"/>
              </w:rPr>
              <w:t>Chandra, S. (no date) ‘Comparative Analysis of Gluten Content of Raw and Processed Materials’.</w:t>
            </w:r>
          </w:p>
          <w:p w14:paraId="7EB1833E" w14:textId="77777777" w:rsidR="00221CDD" w:rsidRPr="00221CDD" w:rsidRDefault="00221CDD" w:rsidP="00221CDD">
            <w:pPr>
              <w:pStyle w:val="Bibliography"/>
              <w:rPr>
                <w:rFonts w:ascii="Arial" w:hAnsi="Arial" w:cs="Arial"/>
              </w:rPr>
            </w:pPr>
            <w:r w:rsidRPr="00221CDD">
              <w:rPr>
                <w:rFonts w:ascii="Arial" w:hAnsi="Arial" w:cs="Arial"/>
              </w:rPr>
              <w:t xml:space="preserve">Di Costanzo, M. </w:t>
            </w:r>
            <w:r w:rsidRPr="00221CDD">
              <w:rPr>
                <w:rFonts w:ascii="Arial" w:hAnsi="Arial" w:cs="Arial"/>
                <w:i/>
                <w:iCs/>
              </w:rPr>
              <w:t>et al.</w:t>
            </w:r>
            <w:r w:rsidRPr="00221CDD">
              <w:rPr>
                <w:rFonts w:ascii="Arial" w:hAnsi="Arial" w:cs="Arial"/>
              </w:rPr>
              <w:t xml:space="preserve"> (2020) ‘Gut microbiome modulation for preventing and treating pediatric food allergies’, </w:t>
            </w:r>
            <w:r w:rsidRPr="00221CDD">
              <w:rPr>
                <w:rFonts w:ascii="Arial" w:hAnsi="Arial" w:cs="Arial"/>
                <w:i/>
                <w:iCs/>
              </w:rPr>
              <w:t>International journal of molecular sciences</w:t>
            </w:r>
            <w:r w:rsidRPr="00221CDD">
              <w:rPr>
                <w:rFonts w:ascii="Arial" w:hAnsi="Arial" w:cs="Arial"/>
              </w:rPr>
              <w:t>, 21(15), p. 5275.</w:t>
            </w:r>
          </w:p>
          <w:p w14:paraId="7B04ECD0" w14:textId="77777777" w:rsidR="00221CDD" w:rsidRPr="00221CDD" w:rsidRDefault="00221CDD" w:rsidP="00221CDD">
            <w:pPr>
              <w:pStyle w:val="Bibliography"/>
              <w:rPr>
                <w:rFonts w:ascii="Arial" w:hAnsi="Arial" w:cs="Arial"/>
              </w:rPr>
            </w:pPr>
            <w:r w:rsidRPr="00221CDD">
              <w:rPr>
                <w:rFonts w:ascii="Arial" w:hAnsi="Arial" w:cs="Arial"/>
              </w:rPr>
              <w:t xml:space="preserve">Fare (2022) </w:t>
            </w:r>
            <w:r w:rsidRPr="00221CDD">
              <w:rPr>
                <w:rFonts w:ascii="Arial" w:hAnsi="Arial" w:cs="Arial"/>
                <w:i/>
                <w:iCs/>
              </w:rPr>
              <w:t>Facts and Statistics | Food Allergy Research &amp; Education</w:t>
            </w:r>
            <w:r w:rsidRPr="00221CDD">
              <w:rPr>
                <w:rFonts w:ascii="Arial" w:hAnsi="Arial" w:cs="Arial"/>
              </w:rPr>
              <w:t>. Available at: https://www.foodallergy.org/resources/facts-and-statistics (Accessed: 24 May 2022).</w:t>
            </w:r>
          </w:p>
          <w:p w14:paraId="47FB6995" w14:textId="52E9ECBB" w:rsidR="00375882" w:rsidRPr="003C3341" w:rsidRDefault="00221CDD" w:rsidP="008B27B3">
            <w:pPr>
              <w:pStyle w:val="Bibliography"/>
              <w:rPr>
                <w:rFonts w:ascii="Tahoma" w:hAnsi="Tahoma" w:cs="Tahoma"/>
                <w:sz w:val="20"/>
                <w:szCs w:val="20"/>
              </w:rPr>
            </w:pPr>
            <w:r w:rsidRPr="00221CDD">
              <w:rPr>
                <w:rFonts w:ascii="Arial" w:hAnsi="Arial" w:cs="Arial"/>
              </w:rPr>
              <w:t xml:space="preserve">Remington, B.C. </w:t>
            </w:r>
            <w:r w:rsidRPr="00221CDD">
              <w:rPr>
                <w:rFonts w:ascii="Arial" w:hAnsi="Arial" w:cs="Arial"/>
                <w:i/>
                <w:iCs/>
              </w:rPr>
              <w:t>et al.</w:t>
            </w:r>
            <w:r w:rsidRPr="00221CDD">
              <w:rPr>
                <w:rFonts w:ascii="Arial" w:hAnsi="Arial" w:cs="Arial"/>
              </w:rPr>
              <w:t xml:space="preserve"> (2020) ‘Updated population minimal eliciting dose distributions for use in risk assessment of 14 priority food allergens’, </w:t>
            </w:r>
            <w:r w:rsidRPr="00221CDD">
              <w:rPr>
                <w:rFonts w:ascii="Arial" w:hAnsi="Arial" w:cs="Arial"/>
                <w:i/>
                <w:iCs/>
              </w:rPr>
              <w:t>Food and Chemical Toxicology</w:t>
            </w:r>
            <w:r w:rsidRPr="00221CDD">
              <w:rPr>
                <w:rFonts w:ascii="Arial" w:hAnsi="Arial" w:cs="Arial"/>
              </w:rPr>
              <w:t>, 139, p. 111259.</w:t>
            </w:r>
            <w:r>
              <w:rPr>
                <w:rFonts w:ascii="Arial" w:hAnsi="Arial" w:cs="Arial"/>
              </w:rPr>
              <w:fldChar w:fldCharType="end"/>
            </w: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9A9B2" w14:textId="77777777" w:rsidR="007646E6" w:rsidRDefault="007646E6">
      <w:r>
        <w:separator/>
      </w:r>
    </w:p>
  </w:endnote>
  <w:endnote w:type="continuationSeparator" w:id="0">
    <w:p w14:paraId="5E72B77F" w14:textId="77777777" w:rsidR="007646E6" w:rsidRDefault="007646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78542" w14:textId="77777777" w:rsidR="00822E0B" w:rsidRDefault="00822E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275B1594" w:rsidR="00B44B68" w:rsidRDefault="00B44B68">
        <w:pPr>
          <w:pStyle w:val="Footer"/>
          <w:jc w:val="right"/>
        </w:pPr>
        <w:r>
          <w:fldChar w:fldCharType="begin"/>
        </w:r>
        <w:r>
          <w:instrText xml:space="preserve"> PAGE   \* MERGEFORMAT </w:instrText>
        </w:r>
        <w:r>
          <w:fldChar w:fldCharType="separate"/>
        </w:r>
        <w:r w:rsidR="00822E0B">
          <w:rPr>
            <w:noProof/>
          </w:rPr>
          <w:t>1</w:t>
        </w:r>
        <w:r>
          <w:rPr>
            <w:noProof/>
          </w:rPr>
          <w:fldChar w:fldCharType="end"/>
        </w:r>
      </w:p>
    </w:sdtContent>
  </w:sdt>
  <w:p w14:paraId="32F3178D" w14:textId="0C9E4A4E" w:rsidR="00112CE0" w:rsidRDefault="00112C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E1A93E" w14:textId="77777777" w:rsidR="00822E0B" w:rsidRDefault="00822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2393E" w14:textId="77777777" w:rsidR="007646E6" w:rsidRDefault="007646E6">
      <w:r>
        <w:separator/>
      </w:r>
    </w:p>
  </w:footnote>
  <w:footnote w:type="continuationSeparator" w:id="0">
    <w:p w14:paraId="02B5FC06" w14:textId="77777777" w:rsidR="007646E6" w:rsidRDefault="007646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6E43D" w14:textId="77777777" w:rsidR="00822E0B" w:rsidRDefault="00822E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C9123B" w14:textId="77777777" w:rsidR="00822E0B" w:rsidRDefault="00822E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046183161">
    <w:abstractNumId w:val="12"/>
  </w:num>
  <w:num w:numId="2" w16cid:durableId="476341891">
    <w:abstractNumId w:val="4"/>
  </w:num>
  <w:num w:numId="3" w16cid:durableId="1357148578">
    <w:abstractNumId w:val="27"/>
  </w:num>
  <w:num w:numId="4" w16cid:durableId="245726642">
    <w:abstractNumId w:val="5"/>
  </w:num>
  <w:num w:numId="5" w16cid:durableId="1526822825">
    <w:abstractNumId w:val="23"/>
  </w:num>
  <w:num w:numId="6" w16cid:durableId="649751788">
    <w:abstractNumId w:val="6"/>
  </w:num>
  <w:num w:numId="7" w16cid:durableId="2084789881">
    <w:abstractNumId w:val="0"/>
  </w:num>
  <w:num w:numId="8" w16cid:durableId="951981800">
    <w:abstractNumId w:val="26"/>
  </w:num>
  <w:num w:numId="9" w16cid:durableId="1296330051">
    <w:abstractNumId w:val="15"/>
  </w:num>
  <w:num w:numId="10" w16cid:durableId="1732121759">
    <w:abstractNumId w:val="18"/>
  </w:num>
  <w:num w:numId="11" w16cid:durableId="1463956737">
    <w:abstractNumId w:val="3"/>
  </w:num>
  <w:num w:numId="12" w16cid:durableId="923757415">
    <w:abstractNumId w:val="13"/>
  </w:num>
  <w:num w:numId="13" w16cid:durableId="605238511">
    <w:abstractNumId w:val="2"/>
  </w:num>
  <w:num w:numId="14" w16cid:durableId="1041633357">
    <w:abstractNumId w:val="9"/>
  </w:num>
  <w:num w:numId="15" w16cid:durableId="2094273291">
    <w:abstractNumId w:val="17"/>
  </w:num>
  <w:num w:numId="16" w16cid:durableId="1452551204">
    <w:abstractNumId w:val="19"/>
  </w:num>
  <w:num w:numId="17" w16cid:durableId="184753605">
    <w:abstractNumId w:val="1"/>
  </w:num>
  <w:num w:numId="18" w16cid:durableId="1889031205">
    <w:abstractNumId w:val="25"/>
  </w:num>
  <w:num w:numId="19" w16cid:durableId="143815134">
    <w:abstractNumId w:val="8"/>
  </w:num>
  <w:num w:numId="20" w16cid:durableId="1885286726">
    <w:abstractNumId w:val="20"/>
  </w:num>
  <w:num w:numId="21" w16cid:durableId="1707097417">
    <w:abstractNumId w:val="11"/>
  </w:num>
  <w:num w:numId="22" w16cid:durableId="54739535">
    <w:abstractNumId w:val="16"/>
  </w:num>
  <w:num w:numId="23" w16cid:durableId="1559125858">
    <w:abstractNumId w:val="24"/>
  </w:num>
  <w:num w:numId="24" w16cid:durableId="335962634">
    <w:abstractNumId w:val="10"/>
  </w:num>
  <w:num w:numId="25" w16cid:durableId="1104813097">
    <w:abstractNumId w:val="22"/>
  </w:num>
  <w:num w:numId="26" w16cid:durableId="332877443">
    <w:abstractNumId w:val="7"/>
  </w:num>
  <w:num w:numId="27" w16cid:durableId="1007093436">
    <w:abstractNumId w:val="21"/>
  </w:num>
  <w:num w:numId="28" w16cid:durableId="66166446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2229"/>
    <w:rsid w:val="00085CFD"/>
    <w:rsid w:val="000A0C53"/>
    <w:rsid w:val="000B1454"/>
    <w:rsid w:val="000B2F4F"/>
    <w:rsid w:val="000F2E7C"/>
    <w:rsid w:val="00112CE0"/>
    <w:rsid w:val="00144F2E"/>
    <w:rsid w:val="00162FE2"/>
    <w:rsid w:val="001703BD"/>
    <w:rsid w:val="00170A87"/>
    <w:rsid w:val="0018449A"/>
    <w:rsid w:val="00197F4A"/>
    <w:rsid w:val="001A2B1E"/>
    <w:rsid w:val="001A59E7"/>
    <w:rsid w:val="001B69C8"/>
    <w:rsid w:val="001B6DB4"/>
    <w:rsid w:val="001C5C4E"/>
    <w:rsid w:val="001D4719"/>
    <w:rsid w:val="001E720E"/>
    <w:rsid w:val="00202878"/>
    <w:rsid w:val="00202AD9"/>
    <w:rsid w:val="00221CDD"/>
    <w:rsid w:val="002314D4"/>
    <w:rsid w:val="002430D4"/>
    <w:rsid w:val="00244B89"/>
    <w:rsid w:val="00244F84"/>
    <w:rsid w:val="002659F5"/>
    <w:rsid w:val="00283BE2"/>
    <w:rsid w:val="00294842"/>
    <w:rsid w:val="002E127C"/>
    <w:rsid w:val="002F6F62"/>
    <w:rsid w:val="002F7DD0"/>
    <w:rsid w:val="00301AD0"/>
    <w:rsid w:val="003036C9"/>
    <w:rsid w:val="003249AF"/>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09D"/>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83DD7"/>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646E6"/>
    <w:rsid w:val="0078654A"/>
    <w:rsid w:val="0079230B"/>
    <w:rsid w:val="00797115"/>
    <w:rsid w:val="007A5E44"/>
    <w:rsid w:val="007D18CA"/>
    <w:rsid w:val="007E500C"/>
    <w:rsid w:val="007E7BB4"/>
    <w:rsid w:val="007F055A"/>
    <w:rsid w:val="007F418B"/>
    <w:rsid w:val="00814801"/>
    <w:rsid w:val="00822E0B"/>
    <w:rsid w:val="0082407E"/>
    <w:rsid w:val="00826699"/>
    <w:rsid w:val="008615B3"/>
    <w:rsid w:val="00895843"/>
    <w:rsid w:val="008B27B3"/>
    <w:rsid w:val="008B4B9C"/>
    <w:rsid w:val="008B534C"/>
    <w:rsid w:val="008E2A5A"/>
    <w:rsid w:val="008F0B0D"/>
    <w:rsid w:val="008F0D83"/>
    <w:rsid w:val="009061F1"/>
    <w:rsid w:val="00911C43"/>
    <w:rsid w:val="009139BF"/>
    <w:rsid w:val="00923E76"/>
    <w:rsid w:val="00940F8D"/>
    <w:rsid w:val="009448FE"/>
    <w:rsid w:val="00946B23"/>
    <w:rsid w:val="00985CF1"/>
    <w:rsid w:val="009B1D87"/>
    <w:rsid w:val="009C0049"/>
    <w:rsid w:val="009C438C"/>
    <w:rsid w:val="009C6CAE"/>
    <w:rsid w:val="009D0DDA"/>
    <w:rsid w:val="00A02728"/>
    <w:rsid w:val="00A138AA"/>
    <w:rsid w:val="00A14DA0"/>
    <w:rsid w:val="00A37026"/>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16CF0"/>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472AC"/>
    <w:rsid w:val="00D64B09"/>
    <w:rsid w:val="00D80D6E"/>
    <w:rsid w:val="00D833FD"/>
    <w:rsid w:val="00D95816"/>
    <w:rsid w:val="00DA09FA"/>
    <w:rsid w:val="00DD00CB"/>
    <w:rsid w:val="00DE6434"/>
    <w:rsid w:val="00E00580"/>
    <w:rsid w:val="00E04C47"/>
    <w:rsid w:val="00E26639"/>
    <w:rsid w:val="00E30C3C"/>
    <w:rsid w:val="00E42568"/>
    <w:rsid w:val="00E672A4"/>
    <w:rsid w:val="00E8443F"/>
    <w:rsid w:val="00EB1AD3"/>
    <w:rsid w:val="00EB4BAF"/>
    <w:rsid w:val="00EC294D"/>
    <w:rsid w:val="00ED52B6"/>
    <w:rsid w:val="00EF41E3"/>
    <w:rsid w:val="00F007E2"/>
    <w:rsid w:val="00F118EC"/>
    <w:rsid w:val="00F34E01"/>
    <w:rsid w:val="00F37A71"/>
    <w:rsid w:val="00F43CED"/>
    <w:rsid w:val="00F5047F"/>
    <w:rsid w:val="00F51904"/>
    <w:rsid w:val="00F537E9"/>
    <w:rsid w:val="00F720CF"/>
    <w:rsid w:val="00FB1693"/>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Bibliography">
    <w:name w:val="Bibliography"/>
    <w:basedOn w:val="Normal"/>
    <w:next w:val="Normal"/>
    <w:uiPriority w:val="37"/>
    <w:unhideWhenUsed/>
    <w:rsid w:val="00221CDD"/>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1533</Words>
  <Characters>8739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2022-06-02T21:24:00Z</dcterms:created>
  <dcterms:modified xsi:type="dcterms:W3CDTF">2022-06-02T21:24:00Z</dcterms:modified>
</cp:coreProperties>
</file>