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4F3E" w:rsidRPr="00FB5C62" w:rsidRDefault="00414F3E" w:rsidP="00A36747">
      <w:pPr>
        <w:tabs>
          <w:tab w:val="left" w:pos="-720"/>
          <w:tab w:val="left" w:pos="0"/>
        </w:tabs>
        <w:suppressAutoHyphens/>
        <w:spacing w:line="276" w:lineRule="auto"/>
        <w:jc w:val="center"/>
        <w:rPr>
          <w:rFonts w:ascii="Perpetua" w:hAnsi="Perpetua" w:cs="Adobe Devanagari"/>
          <w:b/>
          <w:spacing w:val="-3"/>
          <w:sz w:val="26"/>
          <w:szCs w:val="26"/>
          <w:lang w:val="en-GB"/>
        </w:rPr>
      </w:pPr>
      <w:r w:rsidRPr="00FB5C62">
        <w:rPr>
          <w:rFonts w:ascii="Perpetua" w:hAnsi="Perpetua" w:cs="Adobe Devanagari"/>
          <w:b/>
          <w:spacing w:val="-3"/>
          <w:sz w:val="26"/>
          <w:szCs w:val="26"/>
          <w:lang w:val="en-GB"/>
        </w:rPr>
        <w:t>Error and Sweet Violence: Shakespeare and Renaissance Comedy and Tragedy</w:t>
      </w:r>
    </w:p>
    <w:p w:rsidR="00414F3E" w:rsidRPr="00FB5C62" w:rsidRDefault="00414F3E" w:rsidP="00A36747">
      <w:pPr>
        <w:tabs>
          <w:tab w:val="left" w:pos="-720"/>
          <w:tab w:val="left" w:pos="0"/>
        </w:tabs>
        <w:suppressAutoHyphens/>
        <w:spacing w:line="276" w:lineRule="auto"/>
        <w:jc w:val="center"/>
        <w:rPr>
          <w:rFonts w:ascii="Perpetua" w:hAnsi="Perpetua" w:cs="Adobe Devanagari"/>
          <w:spacing w:val="-3"/>
          <w:sz w:val="26"/>
          <w:szCs w:val="26"/>
          <w:lang w:val="en-GB"/>
        </w:rPr>
      </w:pPr>
      <w:r w:rsidRPr="00FB5C62">
        <w:rPr>
          <w:rFonts w:ascii="Perpetua" w:hAnsi="Perpetua" w:cs="Adobe Devanagari"/>
          <w:spacing w:val="-3"/>
          <w:sz w:val="26"/>
          <w:szCs w:val="26"/>
          <w:lang w:val="en-GB"/>
        </w:rPr>
        <w:t>HPEN</w:t>
      </w:r>
      <w:r w:rsidR="006C50AC" w:rsidRPr="00FB5C62">
        <w:rPr>
          <w:rFonts w:ascii="Perpetua" w:hAnsi="Perpetua" w:cs="Adobe Devanagari"/>
          <w:spacing w:val="-3"/>
          <w:sz w:val="26"/>
          <w:szCs w:val="26"/>
          <w:lang w:val="en-GB"/>
        </w:rPr>
        <w:t>5</w:t>
      </w:r>
      <w:r w:rsidRPr="00FB5C62">
        <w:rPr>
          <w:rFonts w:ascii="Perpetua" w:hAnsi="Perpetua" w:cs="Adobe Devanagari"/>
          <w:spacing w:val="-3"/>
          <w:sz w:val="26"/>
          <w:szCs w:val="26"/>
          <w:lang w:val="en-GB"/>
        </w:rPr>
        <w:t>00</w:t>
      </w:r>
      <w:r w:rsidR="006C50AC" w:rsidRPr="00FB5C62">
        <w:rPr>
          <w:rFonts w:ascii="Perpetua" w:hAnsi="Perpetua" w:cs="Adobe Devanagari"/>
          <w:spacing w:val="-3"/>
          <w:sz w:val="26"/>
          <w:szCs w:val="26"/>
          <w:lang w:val="en-GB"/>
        </w:rPr>
        <w:t>4</w:t>
      </w:r>
      <w:r w:rsidRPr="00FB5C62">
        <w:rPr>
          <w:rFonts w:ascii="Perpetua" w:hAnsi="Perpetua" w:cs="Adobe Devanagari"/>
          <w:spacing w:val="-3"/>
          <w:sz w:val="26"/>
          <w:szCs w:val="26"/>
          <w:lang w:val="en-GB"/>
        </w:rPr>
        <w:t>/</w:t>
      </w:r>
      <w:r w:rsidR="006C50AC" w:rsidRPr="00FB5C62">
        <w:rPr>
          <w:rFonts w:ascii="Perpetua" w:hAnsi="Perpetua" w:cs="Adobe Devanagari"/>
          <w:spacing w:val="-3"/>
          <w:sz w:val="26"/>
          <w:szCs w:val="26"/>
          <w:lang w:val="en-GB"/>
        </w:rPr>
        <w:t>6</w:t>
      </w:r>
      <w:r w:rsidRPr="00FB5C62">
        <w:rPr>
          <w:rFonts w:ascii="Perpetua" w:hAnsi="Perpetua" w:cs="Adobe Devanagari"/>
          <w:spacing w:val="-3"/>
          <w:sz w:val="26"/>
          <w:szCs w:val="26"/>
          <w:lang w:val="en-GB"/>
        </w:rPr>
        <w:t>00</w:t>
      </w:r>
      <w:r w:rsidR="006C50AC" w:rsidRPr="00FB5C62">
        <w:rPr>
          <w:rFonts w:ascii="Perpetua" w:hAnsi="Perpetua" w:cs="Adobe Devanagari"/>
          <w:spacing w:val="-3"/>
          <w:sz w:val="26"/>
          <w:szCs w:val="26"/>
          <w:lang w:val="en-GB"/>
        </w:rPr>
        <w:t>4</w:t>
      </w:r>
    </w:p>
    <w:p w:rsidR="00414F3E" w:rsidRPr="00FB5C62" w:rsidRDefault="00414F3E" w:rsidP="00A36747">
      <w:pPr>
        <w:tabs>
          <w:tab w:val="left" w:pos="-720"/>
          <w:tab w:val="left" w:pos="0"/>
        </w:tabs>
        <w:suppressAutoHyphens/>
        <w:spacing w:line="276" w:lineRule="auto"/>
        <w:jc w:val="center"/>
        <w:rPr>
          <w:rFonts w:ascii="Perpetua" w:hAnsi="Perpetua" w:cs="Adobe Devanagari"/>
          <w:spacing w:val="-3"/>
          <w:sz w:val="26"/>
          <w:szCs w:val="26"/>
          <w:lang w:val="en-GB"/>
        </w:rPr>
      </w:pPr>
      <w:r w:rsidRPr="00FB5C62">
        <w:rPr>
          <w:rFonts w:ascii="Perpetua" w:hAnsi="Perpetua" w:cs="Adobe Devanagari"/>
          <w:spacing w:val="-3"/>
          <w:sz w:val="26"/>
          <w:szCs w:val="26"/>
          <w:lang w:val="en-GB"/>
        </w:rPr>
        <w:t>LECTURE</w:t>
      </w:r>
    </w:p>
    <w:p w:rsidR="00414F3E" w:rsidRPr="00FB5C62" w:rsidRDefault="004173B8" w:rsidP="00A36747">
      <w:pPr>
        <w:tabs>
          <w:tab w:val="left" w:pos="-720"/>
          <w:tab w:val="left" w:pos="0"/>
        </w:tabs>
        <w:suppressAutoHyphens/>
        <w:spacing w:line="276" w:lineRule="auto"/>
        <w:jc w:val="center"/>
        <w:rPr>
          <w:rFonts w:ascii="Perpetua" w:hAnsi="Perpetua" w:cs="Adobe Devanagari"/>
          <w:spacing w:val="-3"/>
          <w:sz w:val="26"/>
          <w:szCs w:val="26"/>
          <w:lang w:val="en-GB"/>
        </w:rPr>
      </w:pPr>
      <w:r>
        <w:rPr>
          <w:rFonts w:ascii="Perpetua" w:hAnsi="Perpetua" w:cs="Adobe Devanagari"/>
          <w:b/>
          <w:spacing w:val="-3"/>
          <w:sz w:val="26"/>
          <w:szCs w:val="26"/>
          <w:lang w:val="en-GB"/>
        </w:rPr>
        <w:t>SHAKESPEARE</w:t>
      </w:r>
      <w:r w:rsidR="006D776F" w:rsidRPr="00FB5C62">
        <w:rPr>
          <w:rFonts w:ascii="Perpetua" w:hAnsi="Perpetua" w:cs="Adobe Devanagari"/>
          <w:b/>
          <w:spacing w:val="-3"/>
          <w:sz w:val="26"/>
          <w:szCs w:val="26"/>
          <w:lang w:val="en-GB"/>
        </w:rPr>
        <w:t xml:space="preserve">, </w:t>
      </w:r>
      <w:r w:rsidR="00AB070C">
        <w:rPr>
          <w:rFonts w:ascii="Perpetua" w:hAnsi="Perpetua" w:cs="Adobe Devanagari"/>
          <w:b/>
          <w:i/>
          <w:spacing w:val="-3"/>
          <w:sz w:val="26"/>
          <w:szCs w:val="26"/>
          <w:lang w:val="en-GB"/>
        </w:rPr>
        <w:t>MEASURE FOR MEASURE</w:t>
      </w:r>
    </w:p>
    <w:p w:rsidR="00FB5C62" w:rsidRPr="00FB5C62" w:rsidRDefault="00FB5C62" w:rsidP="00A36747">
      <w:pPr>
        <w:tabs>
          <w:tab w:val="left" w:pos="-720"/>
          <w:tab w:val="left" w:pos="0"/>
        </w:tabs>
        <w:suppressAutoHyphens/>
        <w:spacing w:line="276" w:lineRule="auto"/>
        <w:rPr>
          <w:rFonts w:ascii="Perpetua" w:hAnsi="Perpetua" w:cs="Adobe Devanagari"/>
          <w:spacing w:val="-3"/>
          <w:sz w:val="26"/>
          <w:szCs w:val="26"/>
          <w:lang w:val="en-GB"/>
        </w:rPr>
      </w:pPr>
    </w:p>
    <w:p w:rsidR="00AB070C" w:rsidRPr="00AB070C" w:rsidRDefault="00AB070C" w:rsidP="00A36747">
      <w:pPr>
        <w:pStyle w:val="ListParagraph"/>
        <w:numPr>
          <w:ilvl w:val="0"/>
          <w:numId w:val="7"/>
        </w:numPr>
        <w:tabs>
          <w:tab w:val="left" w:pos="-720"/>
          <w:tab w:val="left" w:pos="0"/>
        </w:tabs>
        <w:suppressAutoHyphens/>
        <w:snapToGrid/>
        <w:spacing w:line="276" w:lineRule="auto"/>
        <w:rPr>
          <w:rFonts w:ascii="Perpetua" w:hAnsi="Perpetua" w:cs="Adobe Devanagari"/>
          <w:b/>
          <w:spacing w:val="-3"/>
          <w:sz w:val="26"/>
          <w:szCs w:val="26"/>
          <w:u w:val="single"/>
          <w:lang w:val="en-GB"/>
        </w:rPr>
      </w:pPr>
      <w:r w:rsidRPr="00AB070C">
        <w:rPr>
          <w:rFonts w:ascii="Perpetua" w:hAnsi="Perpetua" w:cs="Adobe Devanagari"/>
          <w:b/>
          <w:spacing w:val="-3"/>
          <w:sz w:val="26"/>
          <w:szCs w:val="26"/>
          <w:lang w:val="en-GB"/>
        </w:rPr>
        <w:t xml:space="preserve">The early textual history and performance of </w:t>
      </w:r>
      <w:r w:rsidRPr="00AB070C">
        <w:rPr>
          <w:rFonts w:ascii="Perpetua" w:hAnsi="Perpetua" w:cs="Adobe Devanagari"/>
          <w:b/>
          <w:i/>
          <w:spacing w:val="-3"/>
          <w:sz w:val="26"/>
          <w:szCs w:val="26"/>
          <w:lang w:val="en-GB"/>
        </w:rPr>
        <w:t>Measure for Measure</w:t>
      </w:r>
      <w:r w:rsidRPr="00AB070C">
        <w:rPr>
          <w:rFonts w:ascii="Perpetua" w:hAnsi="Perpetua" w:cs="Adobe Devanagari"/>
          <w:b/>
          <w:spacing w:val="-3"/>
          <w:sz w:val="26"/>
          <w:szCs w:val="26"/>
          <w:lang w:val="en-GB"/>
        </w:rPr>
        <w:t>: plague and the closure of the theatres from May 1603 to April 1604</w:t>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FD35AB" w:rsidRDefault="00FD35AB" w:rsidP="00A36747">
      <w:pPr>
        <w:tabs>
          <w:tab w:val="left" w:pos="-720"/>
          <w:tab w:val="left" w:pos="0"/>
        </w:tabs>
        <w:suppressAutoHyphens/>
        <w:snapToGrid/>
        <w:spacing w:line="276" w:lineRule="auto"/>
        <w:rPr>
          <w:rFonts w:ascii="Perpetua" w:hAnsi="Perpetua" w:cs="Aparajita"/>
          <w:sz w:val="26"/>
          <w:szCs w:val="26"/>
        </w:rPr>
      </w:pPr>
      <w:r>
        <w:rPr>
          <w:rFonts w:ascii="Perpetua" w:hAnsi="Perpetua" w:cs="Aparajita"/>
          <w:sz w:val="26"/>
          <w:szCs w:val="26"/>
        </w:rPr>
        <w:t xml:space="preserve">‘The earliest text of </w:t>
      </w:r>
      <w:r>
        <w:rPr>
          <w:rFonts w:ascii="Perpetua" w:hAnsi="Perpetua" w:cs="Aparajita"/>
          <w:i/>
          <w:sz w:val="26"/>
          <w:szCs w:val="26"/>
        </w:rPr>
        <w:t>Measure for Measure</w:t>
      </w:r>
      <w:r>
        <w:rPr>
          <w:rFonts w:ascii="Perpetua" w:hAnsi="Perpetua" w:cs="Aparajita"/>
          <w:sz w:val="26"/>
          <w:szCs w:val="26"/>
        </w:rPr>
        <w:t xml:space="preserve"> is in the First Folio, where it is the fourth play, occupying two complete quires or gatherings, F and G, pages 61 – 84.’</w:t>
      </w:r>
      <w:r w:rsidR="00056F1C">
        <w:rPr>
          <w:rStyle w:val="FootnoteReference"/>
          <w:rFonts w:ascii="Perpetua" w:hAnsi="Perpetua" w:cs="Aparajita"/>
          <w:sz w:val="26"/>
          <w:szCs w:val="26"/>
        </w:rPr>
        <w:footnoteReference w:id="1"/>
      </w:r>
      <w:r>
        <w:rPr>
          <w:rFonts w:ascii="Perpetua" w:hAnsi="Perpetua" w:cs="Aparajita"/>
          <w:sz w:val="26"/>
          <w:szCs w:val="26"/>
        </w:rPr>
        <w:t xml:space="preserve"> The facts described in this sentence pose a puzzle. In your assessment document for this module, the following definition i</w:t>
      </w:r>
      <w:r w:rsidR="009664AE">
        <w:rPr>
          <w:rFonts w:ascii="Perpetua" w:hAnsi="Perpetua" w:cs="Aparajita"/>
          <w:sz w:val="26"/>
          <w:szCs w:val="26"/>
        </w:rPr>
        <w:t>s</w:t>
      </w:r>
      <w:r>
        <w:rPr>
          <w:rFonts w:ascii="Perpetua" w:hAnsi="Perpetua" w:cs="Aparajita"/>
          <w:sz w:val="26"/>
          <w:szCs w:val="26"/>
        </w:rPr>
        <w:t xml:space="preserve"> given for a printed book in folio format:</w:t>
      </w:r>
    </w:p>
    <w:p w:rsidR="00FD35AB" w:rsidRPr="00FD35AB" w:rsidRDefault="00FD35AB" w:rsidP="00A36747">
      <w:pPr>
        <w:tabs>
          <w:tab w:val="left" w:pos="-720"/>
          <w:tab w:val="left" w:pos="0"/>
        </w:tabs>
        <w:suppressAutoHyphens/>
        <w:snapToGrid/>
        <w:spacing w:line="276" w:lineRule="auto"/>
        <w:rPr>
          <w:rFonts w:ascii="Perpetua" w:hAnsi="Perpetua" w:cs="Aparajita"/>
          <w:sz w:val="26"/>
          <w:szCs w:val="26"/>
        </w:rPr>
      </w:pPr>
    </w:p>
    <w:p w:rsidR="00FD35AB" w:rsidRPr="00FD35AB" w:rsidRDefault="00FD35AB" w:rsidP="00FD35AB">
      <w:pPr>
        <w:ind w:left="737"/>
        <w:rPr>
          <w:rFonts w:ascii="Perpetua" w:hAnsi="Perpetua" w:cs="Aparajita"/>
          <w:sz w:val="26"/>
          <w:szCs w:val="26"/>
        </w:rPr>
      </w:pPr>
      <w:r w:rsidRPr="00FD35AB">
        <w:rPr>
          <w:rFonts w:ascii="Perpetua" w:hAnsi="Perpetua" w:cs="Aparajita"/>
          <w:b/>
          <w:sz w:val="26"/>
          <w:szCs w:val="26"/>
        </w:rPr>
        <w:t>Fol.</w:t>
      </w:r>
      <w:r w:rsidRPr="00FD35AB">
        <w:rPr>
          <w:rFonts w:ascii="Perpetua" w:hAnsi="Perpetua" w:cs="Aparajita"/>
          <w:sz w:val="26"/>
          <w:szCs w:val="26"/>
        </w:rPr>
        <w:t xml:space="preserve"> = folio: a book produced from full sheets of paper, each of which is printed with four pages of text, two to a side, then folded once to form two</w:t>
      </w:r>
      <w:r>
        <w:rPr>
          <w:rFonts w:ascii="Perpetua" w:hAnsi="Perpetua" w:cs="Aparajita"/>
          <w:sz w:val="26"/>
          <w:szCs w:val="26"/>
        </w:rPr>
        <w:t xml:space="preserve"> leaves (four pages) of a book</w:t>
      </w:r>
    </w:p>
    <w:p w:rsidR="00FD35AB" w:rsidRPr="00FD35AB" w:rsidRDefault="00FD35AB" w:rsidP="00FD35AB">
      <w:pPr>
        <w:ind w:left="737"/>
        <w:rPr>
          <w:rFonts w:ascii="Perpetua" w:hAnsi="Perpetua" w:cs="Aparajita"/>
          <w:sz w:val="26"/>
          <w:szCs w:val="26"/>
        </w:rPr>
      </w:pPr>
    </w:p>
    <w:p w:rsidR="00FD35AB" w:rsidRPr="00FD35AB" w:rsidRDefault="009664AE" w:rsidP="00A36747">
      <w:pPr>
        <w:tabs>
          <w:tab w:val="left" w:pos="-720"/>
          <w:tab w:val="left" w:pos="0"/>
        </w:tabs>
        <w:suppressAutoHyphens/>
        <w:snapToGrid/>
        <w:spacing w:line="276" w:lineRule="auto"/>
        <w:rPr>
          <w:rFonts w:ascii="Perpetua" w:hAnsi="Perpetua" w:cs="Aparajita"/>
          <w:sz w:val="26"/>
          <w:szCs w:val="26"/>
        </w:rPr>
      </w:pPr>
      <w:r>
        <w:rPr>
          <w:rFonts w:ascii="Perpetua" w:hAnsi="Perpetua" w:cs="Aparajita"/>
          <w:sz w:val="26"/>
          <w:szCs w:val="26"/>
        </w:rPr>
        <w:t xml:space="preserve">So </w:t>
      </w:r>
      <w:r w:rsidRPr="00FD35AB">
        <w:rPr>
          <w:rFonts w:ascii="Perpetua" w:hAnsi="Perpetua" w:cs="Aparajita"/>
          <w:sz w:val="26"/>
          <w:szCs w:val="26"/>
        </w:rPr>
        <w:t>‘</w:t>
      </w:r>
      <w:r>
        <w:rPr>
          <w:rFonts w:ascii="Perpetua" w:hAnsi="Perpetua" w:cs="Aparajita"/>
          <w:sz w:val="26"/>
          <w:szCs w:val="26"/>
        </w:rPr>
        <w:t>folio</w:t>
      </w:r>
      <w:r w:rsidRPr="00FD35AB">
        <w:rPr>
          <w:rFonts w:ascii="Perpetua" w:hAnsi="Perpetua" w:cs="Aparajita"/>
          <w:sz w:val="26"/>
          <w:szCs w:val="26"/>
        </w:rPr>
        <w:t xml:space="preserve">s’ are made up of groups of </w:t>
      </w:r>
      <w:r>
        <w:rPr>
          <w:rFonts w:ascii="Perpetua" w:hAnsi="Perpetua" w:cs="Aparajita"/>
          <w:sz w:val="26"/>
          <w:szCs w:val="26"/>
        </w:rPr>
        <w:t>two</w:t>
      </w:r>
      <w:r w:rsidRPr="00FD35AB">
        <w:rPr>
          <w:rFonts w:ascii="Perpetua" w:hAnsi="Perpetua" w:cs="Aparajita"/>
          <w:sz w:val="26"/>
          <w:szCs w:val="26"/>
        </w:rPr>
        <w:t xml:space="preserve"> leaves, between which the thread with which the book is sewn can generally be perceived.</w:t>
      </w:r>
      <w:r w:rsidRPr="009664AE">
        <w:rPr>
          <w:rFonts w:ascii="Perpetua" w:hAnsi="Perpetua" w:cs="Aparajita"/>
          <w:sz w:val="26"/>
          <w:szCs w:val="26"/>
        </w:rPr>
        <w:t xml:space="preserve"> </w:t>
      </w:r>
      <w:r w:rsidRPr="00FD35AB">
        <w:rPr>
          <w:rFonts w:ascii="Perpetua" w:hAnsi="Perpetua" w:cs="Aparajita"/>
          <w:sz w:val="26"/>
          <w:szCs w:val="26"/>
        </w:rPr>
        <w:t>These</w:t>
      </w:r>
      <w:r>
        <w:rPr>
          <w:rFonts w:ascii="Perpetua" w:hAnsi="Perpetua" w:cs="Aparajita"/>
          <w:sz w:val="26"/>
          <w:szCs w:val="26"/>
        </w:rPr>
        <w:t xml:space="preserve"> groups</w:t>
      </w:r>
      <w:r w:rsidRPr="00FD35AB">
        <w:rPr>
          <w:rFonts w:ascii="Perpetua" w:hAnsi="Perpetua" w:cs="Aparajita"/>
          <w:sz w:val="26"/>
          <w:szCs w:val="26"/>
        </w:rPr>
        <w:t xml:space="preserve"> are referred to as ‘gatherings’ or ‘quires’.</w:t>
      </w:r>
      <w:r>
        <w:rPr>
          <w:rFonts w:ascii="Perpetua" w:hAnsi="Perpetua" w:cs="Aparajita"/>
          <w:sz w:val="26"/>
          <w:szCs w:val="26"/>
        </w:rPr>
        <w:t xml:space="preserve"> </w:t>
      </w:r>
      <w:r w:rsidR="00FD35AB">
        <w:rPr>
          <w:rFonts w:ascii="Perpetua" w:hAnsi="Perpetua" w:cs="Aparajita"/>
          <w:sz w:val="26"/>
          <w:szCs w:val="26"/>
        </w:rPr>
        <w:t>How, in a folio, can there be twenty-four pages (or twelve leaves) in two gatherings; that is, six leaves in each gathering?</w:t>
      </w:r>
    </w:p>
    <w:p w:rsidR="00FD35AB" w:rsidRDefault="00FD35AB" w:rsidP="00A36747">
      <w:pPr>
        <w:tabs>
          <w:tab w:val="left" w:pos="-720"/>
          <w:tab w:val="left" w:pos="0"/>
        </w:tabs>
        <w:suppressAutoHyphens/>
        <w:snapToGrid/>
        <w:spacing w:line="276" w:lineRule="auto"/>
        <w:rPr>
          <w:rFonts w:ascii="Perpetua" w:hAnsi="Perpetua" w:cs="Aparajita"/>
          <w:sz w:val="26"/>
          <w:szCs w:val="26"/>
        </w:rPr>
      </w:pPr>
    </w:p>
    <w:p w:rsidR="00FD35AB" w:rsidRPr="00FD35AB" w:rsidRDefault="00FD35AB"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parajita"/>
          <w:sz w:val="26"/>
          <w:szCs w:val="26"/>
        </w:rPr>
        <w:t xml:space="preserve">The answer is actually quite simple. </w:t>
      </w:r>
      <w:r w:rsidR="009664AE" w:rsidRPr="00FD35AB">
        <w:rPr>
          <w:rFonts w:ascii="Perpetua" w:hAnsi="Perpetua" w:cs="Aparajita"/>
          <w:sz w:val="26"/>
          <w:szCs w:val="26"/>
        </w:rPr>
        <w:t xml:space="preserve">Each group in an ordinary </w:t>
      </w:r>
      <w:r w:rsidR="009664AE">
        <w:rPr>
          <w:rFonts w:ascii="Perpetua" w:hAnsi="Perpetua" w:cs="Aparajita"/>
          <w:sz w:val="26"/>
          <w:szCs w:val="26"/>
        </w:rPr>
        <w:t>folio</w:t>
      </w:r>
      <w:r w:rsidR="009664AE" w:rsidRPr="00FD35AB">
        <w:rPr>
          <w:rFonts w:ascii="Perpetua" w:hAnsi="Perpetua" w:cs="Aparajita"/>
          <w:sz w:val="26"/>
          <w:szCs w:val="26"/>
        </w:rPr>
        <w:t xml:space="preserve"> consists of a single sheet of paper folded into </w:t>
      </w:r>
      <w:r w:rsidR="009664AE">
        <w:rPr>
          <w:rFonts w:ascii="Perpetua" w:hAnsi="Perpetua" w:cs="Aparajita"/>
          <w:sz w:val="26"/>
          <w:szCs w:val="26"/>
        </w:rPr>
        <w:t>two</w:t>
      </w:r>
      <w:r w:rsidR="009664AE" w:rsidRPr="00FD35AB">
        <w:rPr>
          <w:rFonts w:ascii="Perpetua" w:hAnsi="Perpetua" w:cs="Aparajita"/>
          <w:sz w:val="26"/>
          <w:szCs w:val="26"/>
        </w:rPr>
        <w:t>.</w:t>
      </w:r>
      <w:r w:rsidR="009664AE">
        <w:rPr>
          <w:rFonts w:ascii="Perpetua" w:hAnsi="Perpetua" w:cs="Aparajita"/>
          <w:sz w:val="26"/>
          <w:szCs w:val="26"/>
        </w:rPr>
        <w:t xml:space="preserve"> </w:t>
      </w:r>
      <w:r w:rsidRPr="00FD35AB">
        <w:rPr>
          <w:rFonts w:ascii="Perpetua" w:hAnsi="Perpetua" w:cs="Aparajita"/>
          <w:sz w:val="26"/>
          <w:szCs w:val="26"/>
        </w:rPr>
        <w:t xml:space="preserve">A book of which the ‘gatherings’ consist each of </w:t>
      </w:r>
      <w:r w:rsidR="009664AE">
        <w:rPr>
          <w:rFonts w:ascii="Perpetua" w:hAnsi="Perpetua" w:cs="Aparajita"/>
          <w:sz w:val="26"/>
          <w:szCs w:val="26"/>
        </w:rPr>
        <w:t>two</w:t>
      </w:r>
      <w:r w:rsidRPr="00FD35AB">
        <w:rPr>
          <w:rFonts w:ascii="Perpetua" w:hAnsi="Perpetua" w:cs="Aparajita"/>
          <w:sz w:val="26"/>
          <w:szCs w:val="26"/>
        </w:rPr>
        <w:t xml:space="preserve"> leaves is said to be ‘in </w:t>
      </w:r>
      <w:r w:rsidR="009664AE">
        <w:rPr>
          <w:rFonts w:ascii="Perpetua" w:hAnsi="Perpetua" w:cs="Aparajita"/>
          <w:sz w:val="26"/>
          <w:szCs w:val="26"/>
        </w:rPr>
        <w:t>twos</w:t>
      </w:r>
      <w:r w:rsidRPr="00FD35AB">
        <w:rPr>
          <w:rFonts w:ascii="Perpetua" w:hAnsi="Perpetua" w:cs="Aparajita"/>
          <w:sz w:val="26"/>
          <w:szCs w:val="26"/>
        </w:rPr>
        <w:t xml:space="preserve">’. An ordinary </w:t>
      </w:r>
      <w:r w:rsidR="009664AE">
        <w:rPr>
          <w:rFonts w:ascii="Perpetua" w:hAnsi="Perpetua" w:cs="Aparajita"/>
          <w:sz w:val="26"/>
          <w:szCs w:val="26"/>
        </w:rPr>
        <w:t>folio</w:t>
      </w:r>
      <w:r w:rsidRPr="00FD35AB">
        <w:rPr>
          <w:rFonts w:ascii="Perpetua" w:hAnsi="Perpetua" w:cs="Aparajita"/>
          <w:sz w:val="26"/>
          <w:szCs w:val="26"/>
        </w:rPr>
        <w:t xml:space="preserve"> book will be strictly speaking a ‘</w:t>
      </w:r>
      <w:r w:rsidR="009664AE">
        <w:rPr>
          <w:rFonts w:ascii="Perpetua" w:hAnsi="Perpetua" w:cs="Aparajita"/>
          <w:sz w:val="26"/>
          <w:szCs w:val="26"/>
        </w:rPr>
        <w:t>folio</w:t>
      </w:r>
      <w:r w:rsidRPr="00FD35AB">
        <w:rPr>
          <w:rFonts w:ascii="Perpetua" w:hAnsi="Perpetua" w:cs="Aparajita"/>
          <w:sz w:val="26"/>
          <w:szCs w:val="26"/>
        </w:rPr>
        <w:t xml:space="preserve"> in </w:t>
      </w:r>
      <w:r w:rsidR="009664AE">
        <w:rPr>
          <w:rFonts w:ascii="Perpetua" w:hAnsi="Perpetua" w:cs="Aparajita"/>
          <w:sz w:val="26"/>
          <w:szCs w:val="26"/>
        </w:rPr>
        <w:t>twos</w:t>
      </w:r>
      <w:r w:rsidRPr="00FD35AB">
        <w:rPr>
          <w:rFonts w:ascii="Perpetua" w:hAnsi="Perpetua" w:cs="Aparajita"/>
          <w:sz w:val="26"/>
          <w:szCs w:val="26"/>
        </w:rPr>
        <w:t xml:space="preserve">’. If, however, the gathering had consisted of </w:t>
      </w:r>
      <w:r w:rsidR="009664AE">
        <w:rPr>
          <w:rFonts w:ascii="Perpetua" w:hAnsi="Perpetua" w:cs="Aparajita"/>
          <w:sz w:val="26"/>
          <w:szCs w:val="26"/>
        </w:rPr>
        <w:t>six</w:t>
      </w:r>
      <w:r w:rsidRPr="00FD35AB">
        <w:rPr>
          <w:rFonts w:ascii="Perpetua" w:hAnsi="Perpetua" w:cs="Aparajita"/>
          <w:sz w:val="26"/>
          <w:szCs w:val="26"/>
        </w:rPr>
        <w:t xml:space="preserve"> leaves, i.e. </w:t>
      </w:r>
      <w:r w:rsidR="009664AE">
        <w:rPr>
          <w:rFonts w:ascii="Perpetua" w:hAnsi="Perpetua" w:cs="Aparajita"/>
          <w:sz w:val="26"/>
          <w:szCs w:val="26"/>
        </w:rPr>
        <w:t xml:space="preserve">three </w:t>
      </w:r>
      <w:r w:rsidRPr="00FD35AB">
        <w:rPr>
          <w:rFonts w:ascii="Perpetua" w:hAnsi="Perpetua" w:cs="Aparajita"/>
          <w:sz w:val="26"/>
          <w:szCs w:val="26"/>
        </w:rPr>
        <w:t>of the original sheets being sewn together, it would be described as a ‘</w:t>
      </w:r>
      <w:r w:rsidR="009664AE">
        <w:rPr>
          <w:rFonts w:ascii="Perpetua" w:hAnsi="Perpetua" w:cs="Aparajita"/>
          <w:sz w:val="26"/>
          <w:szCs w:val="26"/>
        </w:rPr>
        <w:t>folio in sixes</w:t>
      </w:r>
      <w:r w:rsidRPr="00FD35AB">
        <w:rPr>
          <w:rFonts w:ascii="Perpetua" w:hAnsi="Perpetua" w:cs="Aparajita"/>
          <w:sz w:val="26"/>
          <w:szCs w:val="26"/>
        </w:rPr>
        <w:t>’.</w:t>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056F1C" w:rsidRDefault="00056F1C"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Of the state of the text the following has been written by N.W. </w:t>
      </w:r>
      <w:proofErr w:type="spellStart"/>
      <w:r>
        <w:rPr>
          <w:rFonts w:ascii="Perpetua" w:hAnsi="Perpetua" w:cs="Adobe Devanagari"/>
          <w:spacing w:val="-3"/>
          <w:sz w:val="26"/>
          <w:szCs w:val="26"/>
          <w:lang w:val="en-GB"/>
        </w:rPr>
        <w:t>Bawcutt</w:t>
      </w:r>
      <w:proofErr w:type="spellEnd"/>
      <w:r>
        <w:rPr>
          <w:rFonts w:ascii="Perpetua" w:hAnsi="Perpetua" w:cs="Adobe Devanagari"/>
          <w:spacing w:val="-3"/>
          <w:sz w:val="26"/>
          <w:szCs w:val="26"/>
          <w:lang w:val="en-GB"/>
        </w:rPr>
        <w:t>:</w:t>
      </w:r>
    </w:p>
    <w:p w:rsidR="00056F1C" w:rsidRPr="00056F1C" w:rsidRDefault="00056F1C" w:rsidP="00056F1C">
      <w:pPr>
        <w:tabs>
          <w:tab w:val="left" w:pos="-720"/>
          <w:tab w:val="left" w:pos="0"/>
        </w:tabs>
        <w:suppressAutoHyphens/>
        <w:snapToGrid/>
        <w:ind w:left="1134" w:right="1134"/>
        <w:rPr>
          <w:rFonts w:ascii="Perpetua" w:hAnsi="Perpetua" w:cs="Adobe Devanagari"/>
          <w:spacing w:val="-3"/>
          <w:szCs w:val="24"/>
          <w:lang w:val="en-GB"/>
        </w:rPr>
      </w:pPr>
    </w:p>
    <w:p w:rsidR="00056F1C" w:rsidRPr="00056F1C" w:rsidRDefault="00056F1C" w:rsidP="00056F1C">
      <w:pPr>
        <w:tabs>
          <w:tab w:val="left" w:pos="-720"/>
          <w:tab w:val="left" w:pos="0"/>
        </w:tabs>
        <w:suppressAutoHyphens/>
        <w:snapToGrid/>
        <w:ind w:left="1134" w:right="1134"/>
        <w:rPr>
          <w:rFonts w:ascii="Perpetua" w:hAnsi="Perpetua" w:cs="Adobe Devanagari"/>
          <w:spacing w:val="-3"/>
          <w:szCs w:val="24"/>
          <w:lang w:val="en-GB"/>
        </w:rPr>
      </w:pPr>
      <w:r w:rsidRPr="00056F1C">
        <w:rPr>
          <w:rFonts w:ascii="Perpetua" w:hAnsi="Perpetua" w:cs="Adobe Devanagari"/>
          <w:spacing w:val="-3"/>
          <w:szCs w:val="24"/>
          <w:lang w:val="en-GB"/>
        </w:rPr>
        <w:t>although there are verbal cruces (though not as many as used to be thought) and a number of muddles or contradictions in the plot-arrangements, together with some possible signs of revision […], the greater part of the text is perfectly acceptable. There is, in other words, a series of specific local problems, but no pervasive corruption or contamination.</w:t>
      </w:r>
      <w:r w:rsidRPr="00056F1C">
        <w:rPr>
          <w:rStyle w:val="FootnoteReference"/>
          <w:rFonts w:ascii="Perpetua" w:hAnsi="Perpetua" w:cs="Adobe Devanagari"/>
          <w:spacing w:val="-3"/>
          <w:szCs w:val="24"/>
          <w:lang w:val="en-GB"/>
        </w:rPr>
        <w:footnoteReference w:id="2"/>
      </w:r>
    </w:p>
    <w:p w:rsidR="00AB070C" w:rsidRPr="00056F1C" w:rsidRDefault="00AB070C" w:rsidP="00056F1C">
      <w:pPr>
        <w:tabs>
          <w:tab w:val="left" w:pos="-720"/>
          <w:tab w:val="left" w:pos="0"/>
        </w:tabs>
        <w:suppressAutoHyphens/>
        <w:snapToGrid/>
        <w:ind w:left="1134" w:right="1134"/>
        <w:rPr>
          <w:rFonts w:ascii="Perpetua" w:hAnsi="Perpetua" w:cs="Adobe Devanagari"/>
          <w:spacing w:val="-3"/>
          <w:szCs w:val="24"/>
          <w:lang w:val="en-GB"/>
        </w:rPr>
      </w:pPr>
    </w:p>
    <w:p w:rsidR="00AB070C" w:rsidRPr="00A04446" w:rsidRDefault="00A04446"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Measure for Measure</w:t>
      </w:r>
      <w:r>
        <w:rPr>
          <w:rFonts w:ascii="Perpetua" w:hAnsi="Perpetua" w:cs="Adobe Devanagari"/>
          <w:spacing w:val="-3"/>
          <w:sz w:val="26"/>
          <w:szCs w:val="26"/>
          <w:lang w:val="en-GB"/>
        </w:rPr>
        <w:t xml:space="preserve"> was performed by the King’s Men. The play has been specifically linked with the Globe Theatre, but this does not mean that it was not also performed at the Blackfriars, the indoor theatre associated with the King’s Men, though this is conjectural.</w:t>
      </w:r>
      <w:r w:rsidR="000479E0">
        <w:rPr>
          <w:rFonts w:ascii="Perpetua" w:hAnsi="Perpetua" w:cs="Adobe Devanagari"/>
          <w:spacing w:val="-3"/>
          <w:sz w:val="26"/>
          <w:szCs w:val="26"/>
          <w:lang w:val="en-GB"/>
        </w:rPr>
        <w:t xml:space="preserve"> Moreover it is known that the </w:t>
      </w:r>
      <w:r w:rsidR="000479E0">
        <w:rPr>
          <w:rFonts w:ascii="Perpetua" w:hAnsi="Perpetua" w:cs="Adobe Devanagari"/>
          <w:spacing w:val="-3"/>
          <w:sz w:val="26"/>
          <w:szCs w:val="26"/>
          <w:lang w:val="en-GB"/>
        </w:rPr>
        <w:lastRenderedPageBreak/>
        <w:t xml:space="preserve">play was </w:t>
      </w:r>
      <w:r w:rsidR="001C6C76">
        <w:rPr>
          <w:rFonts w:ascii="Perpetua" w:hAnsi="Perpetua" w:cs="Adobe Devanagari"/>
          <w:spacing w:val="-3"/>
          <w:sz w:val="26"/>
          <w:szCs w:val="26"/>
          <w:lang w:val="en-GB"/>
        </w:rPr>
        <w:t>acted in the banqueting hall of Whitehall, that is, at court, on 26 December 1604, because the performance is recorded in the Revels Accounts as ‘</w:t>
      </w:r>
      <w:proofErr w:type="spellStart"/>
      <w:r w:rsidR="001C6C76">
        <w:rPr>
          <w:rFonts w:ascii="Perpetua" w:hAnsi="Perpetua" w:cs="Adobe Devanagari"/>
          <w:spacing w:val="-3"/>
          <w:sz w:val="26"/>
          <w:szCs w:val="26"/>
          <w:lang w:val="en-GB"/>
        </w:rPr>
        <w:t>Mesur</w:t>
      </w:r>
      <w:proofErr w:type="spellEnd"/>
      <w:r w:rsidR="001C6C76">
        <w:rPr>
          <w:rFonts w:ascii="Perpetua" w:hAnsi="Perpetua" w:cs="Adobe Devanagari"/>
          <w:spacing w:val="-3"/>
          <w:sz w:val="26"/>
          <w:szCs w:val="26"/>
          <w:lang w:val="en-GB"/>
        </w:rPr>
        <w:t xml:space="preserve"> for </w:t>
      </w:r>
      <w:proofErr w:type="spellStart"/>
      <w:r w:rsidR="001C6C76">
        <w:rPr>
          <w:rFonts w:ascii="Perpetua" w:hAnsi="Perpetua" w:cs="Adobe Devanagari"/>
          <w:spacing w:val="-3"/>
          <w:sz w:val="26"/>
          <w:szCs w:val="26"/>
          <w:lang w:val="en-GB"/>
        </w:rPr>
        <w:t>Mesur</w:t>
      </w:r>
      <w:proofErr w:type="spellEnd"/>
      <w:r w:rsidR="001C6C76">
        <w:rPr>
          <w:rFonts w:ascii="Perpetua" w:hAnsi="Perpetua" w:cs="Adobe Devanagari"/>
          <w:spacing w:val="-3"/>
          <w:sz w:val="26"/>
          <w:szCs w:val="26"/>
          <w:lang w:val="en-GB"/>
        </w:rPr>
        <w:t>’ by ‘</w:t>
      </w:r>
      <w:proofErr w:type="spellStart"/>
      <w:r w:rsidR="001C6C76">
        <w:rPr>
          <w:rFonts w:ascii="Perpetua" w:hAnsi="Perpetua" w:cs="Adobe Devanagari"/>
          <w:spacing w:val="-3"/>
          <w:sz w:val="26"/>
          <w:szCs w:val="26"/>
          <w:lang w:val="en-GB"/>
        </w:rPr>
        <w:t>Shaxberd</w:t>
      </w:r>
      <w:proofErr w:type="spellEnd"/>
      <w:r w:rsidR="001C6C76">
        <w:rPr>
          <w:rFonts w:ascii="Perpetua" w:hAnsi="Perpetua" w:cs="Adobe Devanagari"/>
          <w:spacing w:val="-3"/>
          <w:sz w:val="26"/>
          <w:szCs w:val="26"/>
          <w:lang w:val="en-GB"/>
        </w:rPr>
        <w:t xml:space="preserve">’. ‘This is the first record of a performance of </w:t>
      </w:r>
      <w:r w:rsidR="001C6C76">
        <w:rPr>
          <w:rFonts w:ascii="Perpetua" w:hAnsi="Perpetua" w:cs="Adobe Devanagari"/>
          <w:i/>
          <w:spacing w:val="-3"/>
          <w:sz w:val="26"/>
          <w:szCs w:val="26"/>
          <w:lang w:val="en-GB"/>
        </w:rPr>
        <w:t>Measure for Measure</w:t>
      </w:r>
      <w:r w:rsidR="001C6C76">
        <w:rPr>
          <w:rFonts w:ascii="Perpetua" w:hAnsi="Perpetua" w:cs="Adobe Devanagari"/>
          <w:spacing w:val="-3"/>
          <w:sz w:val="26"/>
          <w:szCs w:val="26"/>
          <w:lang w:val="en-GB"/>
        </w:rPr>
        <w:t>, but a number of allusions in the dialogue suggest that the play was composed and probably acted in the summer season of 1604.’</w:t>
      </w:r>
      <w:r w:rsidR="001C6C76">
        <w:rPr>
          <w:rStyle w:val="FootnoteReference"/>
          <w:rFonts w:ascii="Perpetua" w:hAnsi="Perpetua" w:cs="Adobe Devanagari"/>
          <w:spacing w:val="-3"/>
          <w:sz w:val="26"/>
          <w:szCs w:val="26"/>
          <w:lang w:val="en-GB"/>
        </w:rPr>
        <w:footnoteReference w:id="3"/>
      </w:r>
      <w:r w:rsidR="000479E0">
        <w:rPr>
          <w:rFonts w:ascii="Perpetua" w:hAnsi="Perpetua" w:cs="Adobe Devanagari"/>
          <w:spacing w:val="-3"/>
          <w:sz w:val="26"/>
          <w:szCs w:val="26"/>
          <w:lang w:val="en-GB"/>
        </w:rPr>
        <w:t xml:space="preserve"> Plague had caused the theatres to be closed from May 1603 to April 1604.</w:t>
      </w:r>
    </w:p>
    <w:p w:rsidR="00056F1C" w:rsidRPr="00AB070C" w:rsidRDefault="00056F1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Default="00AB070C" w:rsidP="00A36747">
      <w:pPr>
        <w:pStyle w:val="ListParagraph"/>
        <w:numPr>
          <w:ilvl w:val="0"/>
          <w:numId w:val="7"/>
        </w:numPr>
        <w:tabs>
          <w:tab w:val="left" w:pos="-720"/>
          <w:tab w:val="left" w:pos="0"/>
        </w:tabs>
        <w:suppressAutoHyphens/>
        <w:snapToGrid/>
        <w:spacing w:line="276" w:lineRule="auto"/>
        <w:rPr>
          <w:rFonts w:ascii="Perpetua" w:hAnsi="Perpetua" w:cs="Adobe Devanagari"/>
          <w:b/>
          <w:spacing w:val="-3"/>
          <w:sz w:val="26"/>
          <w:szCs w:val="26"/>
          <w:lang w:val="en-GB"/>
        </w:rPr>
      </w:pPr>
      <w:r w:rsidRPr="00AB070C">
        <w:rPr>
          <w:rFonts w:ascii="Perpetua" w:hAnsi="Perpetua" w:cs="Adobe Devanagari"/>
          <w:b/>
          <w:spacing w:val="-3"/>
          <w:sz w:val="26"/>
          <w:szCs w:val="26"/>
          <w:lang w:val="en-GB"/>
        </w:rPr>
        <w:t xml:space="preserve">The writing of </w:t>
      </w:r>
      <w:r w:rsidRPr="00AB070C">
        <w:rPr>
          <w:rFonts w:ascii="Perpetua" w:hAnsi="Perpetua" w:cs="Adobe Devanagari"/>
          <w:b/>
          <w:i/>
          <w:spacing w:val="-3"/>
          <w:sz w:val="26"/>
          <w:szCs w:val="26"/>
          <w:lang w:val="en-GB"/>
        </w:rPr>
        <w:t>Measure for Measure</w:t>
      </w:r>
      <w:r w:rsidRPr="00AB070C">
        <w:rPr>
          <w:rFonts w:ascii="Perpetua" w:hAnsi="Perpetua" w:cs="Adobe Devanagari"/>
          <w:b/>
          <w:spacing w:val="-3"/>
          <w:sz w:val="26"/>
          <w:szCs w:val="26"/>
          <w:lang w:val="en-GB"/>
        </w:rPr>
        <w:t xml:space="preserve">: </w:t>
      </w:r>
      <w:r w:rsidRPr="00296295">
        <w:rPr>
          <w:rFonts w:ascii="Perpetua" w:hAnsi="Perpetua" w:cs="Adobe Devanagari"/>
          <w:b/>
          <w:spacing w:val="-3"/>
          <w:sz w:val="26"/>
          <w:szCs w:val="26"/>
          <w:lang w:val="en-GB"/>
        </w:rPr>
        <w:t>collaboration (with Thomas Middleton?)</w:t>
      </w:r>
      <w:r w:rsidRPr="00AB070C">
        <w:rPr>
          <w:rFonts w:ascii="Perpetua" w:hAnsi="Perpetua" w:cs="Adobe Devanagari"/>
          <w:b/>
          <w:spacing w:val="-3"/>
          <w:sz w:val="26"/>
          <w:szCs w:val="26"/>
          <w:lang w:val="en-GB"/>
        </w:rPr>
        <w:t xml:space="preserve"> and revision or adaptation (after Shakespeare’s death) for the stage</w:t>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04446" w:rsidRDefault="00A04446"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Some features of the text of </w:t>
      </w:r>
      <w:r>
        <w:rPr>
          <w:rFonts w:ascii="Perpetua" w:hAnsi="Perpetua" w:cs="Adobe Devanagari"/>
          <w:i/>
          <w:spacing w:val="-3"/>
          <w:sz w:val="26"/>
          <w:szCs w:val="26"/>
          <w:lang w:val="en-GB"/>
        </w:rPr>
        <w:t>Measure for Measure</w:t>
      </w:r>
      <w:r>
        <w:rPr>
          <w:rFonts w:ascii="Perpetua" w:hAnsi="Perpetua" w:cs="Adobe Devanagari"/>
          <w:spacing w:val="-3"/>
          <w:sz w:val="26"/>
          <w:szCs w:val="26"/>
          <w:lang w:val="en-GB"/>
        </w:rPr>
        <w:t xml:space="preserve"> ‘could be held to indicate that the text we have is not a straightforward transcript of foul papers, and that revision was carried out by someone other than Shakespeare.’</w:t>
      </w:r>
      <w:r w:rsidR="00DE593E">
        <w:rPr>
          <w:rStyle w:val="FootnoteReference"/>
          <w:rFonts w:ascii="Perpetua" w:hAnsi="Perpetua" w:cs="Adobe Devanagari"/>
          <w:spacing w:val="-3"/>
          <w:sz w:val="26"/>
          <w:szCs w:val="26"/>
          <w:lang w:val="en-GB"/>
        </w:rPr>
        <w:footnoteReference w:id="4"/>
      </w:r>
    </w:p>
    <w:p w:rsidR="00A04446" w:rsidRPr="00DE593E" w:rsidRDefault="00A04446" w:rsidP="00DE593E">
      <w:pPr>
        <w:tabs>
          <w:tab w:val="left" w:pos="-720"/>
          <w:tab w:val="left" w:pos="0"/>
        </w:tabs>
        <w:suppressAutoHyphens/>
        <w:snapToGrid/>
        <w:ind w:left="1134" w:right="1134"/>
        <w:rPr>
          <w:rFonts w:ascii="Perpetua" w:hAnsi="Perpetua" w:cs="Adobe Devanagari"/>
          <w:spacing w:val="-3"/>
          <w:szCs w:val="24"/>
          <w:lang w:val="en-GB"/>
        </w:rPr>
      </w:pPr>
    </w:p>
    <w:p w:rsidR="00A04446" w:rsidRPr="00DE593E" w:rsidRDefault="00A04446" w:rsidP="00DE593E">
      <w:pPr>
        <w:tabs>
          <w:tab w:val="left" w:pos="-720"/>
          <w:tab w:val="left" w:pos="0"/>
        </w:tabs>
        <w:suppressAutoHyphens/>
        <w:snapToGrid/>
        <w:ind w:left="1134" w:right="1134"/>
        <w:rPr>
          <w:rFonts w:ascii="Perpetua" w:hAnsi="Perpetua" w:cs="Adobe Devanagari"/>
          <w:spacing w:val="-3"/>
          <w:szCs w:val="24"/>
          <w:lang w:val="en-GB"/>
        </w:rPr>
      </w:pPr>
      <w:r w:rsidRPr="00DE593E">
        <w:rPr>
          <w:rFonts w:ascii="Perpetua" w:hAnsi="Perpetua" w:cs="Adobe Devanagari"/>
          <w:spacing w:val="-3"/>
          <w:szCs w:val="24"/>
          <w:lang w:val="en-GB"/>
        </w:rPr>
        <w:t>The most striking single piece of evidence is the Duke’s speech at 4.1.58-63. A soliloquy is needed while Isabella persuades Mariana to act as her substitute, but five and a half lines give Isabella very little time to explain the proposed arrangements, and the sentiments expressed hardly seem very appropriate to the occasion.</w:t>
      </w:r>
      <w:r w:rsidR="00DC0D54" w:rsidRPr="00DE593E">
        <w:rPr>
          <w:rFonts w:ascii="Perpetua" w:hAnsi="Perpetua" w:cs="Adobe Devanagari"/>
          <w:spacing w:val="-3"/>
          <w:szCs w:val="24"/>
          <w:lang w:val="en-GB"/>
        </w:rPr>
        <w:t xml:space="preserve"> […] Another characteristic of the play that might indicate revision is the absence of oaths and profanity. A parliamentary act of May 1606 forbade the use of God’s name on the stage; not a single instance occurs in </w:t>
      </w:r>
      <w:r w:rsidR="00DC0D54" w:rsidRPr="00DE593E">
        <w:rPr>
          <w:rFonts w:ascii="Perpetua" w:hAnsi="Perpetua" w:cs="Adobe Devanagari"/>
          <w:i/>
          <w:spacing w:val="-3"/>
          <w:szCs w:val="24"/>
          <w:lang w:val="en-GB"/>
        </w:rPr>
        <w:t>Measure for Measure</w:t>
      </w:r>
      <w:r w:rsidR="00DC0D54" w:rsidRPr="00DE593E">
        <w:rPr>
          <w:rFonts w:ascii="Perpetua" w:hAnsi="Perpetua" w:cs="Adobe Devanagari"/>
          <w:spacing w:val="-3"/>
          <w:szCs w:val="24"/>
          <w:lang w:val="en-GB"/>
        </w:rPr>
        <w:t>. There are, however, forty-four examples of ‘heaven’, ‘heavens’, or ‘heaven’s’, and it has been argued that some of these […] are substitutions for ‘God’.</w:t>
      </w:r>
      <w:r w:rsidR="00DE593E">
        <w:rPr>
          <w:rStyle w:val="FootnoteReference"/>
          <w:rFonts w:ascii="Perpetua" w:hAnsi="Perpetua" w:cs="Adobe Devanagari"/>
          <w:spacing w:val="-3"/>
          <w:szCs w:val="24"/>
          <w:lang w:val="en-GB"/>
        </w:rPr>
        <w:footnoteReference w:id="5"/>
      </w:r>
    </w:p>
    <w:p w:rsidR="00DE593E" w:rsidRDefault="00DE593E"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F673D3" w:rsidRDefault="00F673D3"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According to W.W. Greg: ‘There is certainly a good deal of dislocation, with some evidence of cuts and several mute or shadowy characters. Carless composition has perhaps been made worse by subsequent patching. This will also account for the contradictory time scheme.’</w:t>
      </w:r>
      <w:r>
        <w:rPr>
          <w:rStyle w:val="FootnoteReference"/>
          <w:rFonts w:ascii="Perpetua" w:hAnsi="Perpetua" w:cs="Adobe Devanagari"/>
          <w:spacing w:val="-3"/>
          <w:sz w:val="26"/>
          <w:szCs w:val="26"/>
          <w:lang w:val="en-GB"/>
        </w:rPr>
        <w:footnoteReference w:id="6"/>
      </w:r>
    </w:p>
    <w:p w:rsidR="00F673D3" w:rsidRDefault="00F673D3"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DE593E" w:rsidRDefault="00DE593E"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It has been thought by some scholars that the play had been drastically abridged and then subsequently expanded by a second dramati</w:t>
      </w:r>
      <w:r w:rsidR="000479E0">
        <w:rPr>
          <w:rFonts w:ascii="Perpetua" w:hAnsi="Perpetua" w:cs="Adobe Devanagari"/>
          <w:spacing w:val="-3"/>
          <w:sz w:val="26"/>
          <w:szCs w:val="26"/>
          <w:lang w:val="en-GB"/>
        </w:rPr>
        <w:t>st.</w:t>
      </w:r>
    </w:p>
    <w:p w:rsidR="00DE593E" w:rsidRPr="00DE593E" w:rsidRDefault="00DE593E" w:rsidP="00DE593E">
      <w:pPr>
        <w:tabs>
          <w:tab w:val="left" w:pos="-720"/>
          <w:tab w:val="left" w:pos="0"/>
        </w:tabs>
        <w:suppressAutoHyphens/>
        <w:snapToGrid/>
        <w:ind w:left="1134" w:right="1134"/>
        <w:rPr>
          <w:rFonts w:ascii="Perpetua" w:hAnsi="Perpetua" w:cs="Adobe Devanagari"/>
          <w:spacing w:val="-3"/>
          <w:szCs w:val="24"/>
          <w:lang w:val="en-GB"/>
        </w:rPr>
      </w:pPr>
    </w:p>
    <w:p w:rsidR="00DE593E" w:rsidRPr="00DE593E" w:rsidRDefault="00DE593E" w:rsidP="00DE593E">
      <w:pPr>
        <w:tabs>
          <w:tab w:val="left" w:pos="-720"/>
          <w:tab w:val="left" w:pos="0"/>
        </w:tabs>
        <w:suppressAutoHyphens/>
        <w:snapToGrid/>
        <w:ind w:left="1134" w:right="1134"/>
        <w:rPr>
          <w:rFonts w:ascii="Perpetua" w:hAnsi="Perpetua" w:cs="Adobe Devanagari"/>
          <w:spacing w:val="-3"/>
          <w:szCs w:val="24"/>
          <w:lang w:val="en-GB"/>
        </w:rPr>
      </w:pPr>
      <w:r w:rsidRPr="00DE593E">
        <w:rPr>
          <w:rFonts w:ascii="Perpetua" w:hAnsi="Perpetua" w:cs="Adobe Devanagari"/>
          <w:spacing w:val="-3"/>
          <w:szCs w:val="24"/>
          <w:lang w:val="en-GB"/>
        </w:rPr>
        <w:t>But this was before scholars had realized that the texts of some of Shakespeare’s plays […] are based on authorial foul papers which had not been tidied up for theatrical use, and that the confusions are the first thoughts which have not been sorted out rather than the bungles of an incompetent reviser. At the same time it is clear that some Elizabethan and Jacobean plays were revised, by the author or someone else, and no doubt the result could be something of a patchwork.</w:t>
      </w:r>
      <w:r>
        <w:rPr>
          <w:rStyle w:val="FootnoteReference"/>
          <w:rFonts w:ascii="Perpetua" w:hAnsi="Perpetua" w:cs="Adobe Devanagari"/>
          <w:spacing w:val="-3"/>
          <w:szCs w:val="24"/>
          <w:lang w:val="en-GB"/>
        </w:rPr>
        <w:footnoteReference w:id="7"/>
      </w:r>
    </w:p>
    <w:p w:rsidR="00AB070C" w:rsidRPr="00DE593E" w:rsidRDefault="00AB070C" w:rsidP="00DE593E">
      <w:pPr>
        <w:tabs>
          <w:tab w:val="left" w:pos="-720"/>
          <w:tab w:val="left" w:pos="0"/>
        </w:tabs>
        <w:suppressAutoHyphens/>
        <w:snapToGrid/>
        <w:ind w:left="1134" w:right="1134"/>
        <w:rPr>
          <w:rFonts w:ascii="Perpetua" w:hAnsi="Perpetua" w:cs="Adobe Devanagari"/>
          <w:spacing w:val="-3"/>
          <w:szCs w:val="24"/>
          <w:lang w:val="en-GB"/>
        </w:rPr>
      </w:pPr>
    </w:p>
    <w:p w:rsidR="00AB070C" w:rsidRDefault="000479E0"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lastRenderedPageBreak/>
        <w:t xml:space="preserve">The editors of </w:t>
      </w:r>
      <w:r w:rsidRPr="000479E0">
        <w:rPr>
          <w:rFonts w:ascii="Perpetua" w:hAnsi="Perpetua" w:cs="Adobe Devanagari"/>
          <w:i/>
          <w:spacing w:val="-3"/>
          <w:sz w:val="26"/>
          <w:szCs w:val="26"/>
          <w:lang w:val="en-GB"/>
        </w:rPr>
        <w:t>The Oxford Shakespeare: The Complete Works</w:t>
      </w:r>
      <w:r>
        <w:rPr>
          <w:rFonts w:ascii="Perpetua" w:hAnsi="Perpetua" w:cs="Adobe Devanagari"/>
          <w:spacing w:val="-3"/>
          <w:sz w:val="26"/>
          <w:szCs w:val="26"/>
          <w:lang w:val="en-GB"/>
        </w:rPr>
        <w:t>, propose that these dislocations and other features of the text suggest that it may have undergone adaptation after Shakespeare’s death: ‘Someone – perhaps Thomas Middleton, to judge by the style – seems to have supplied a new, seedy opening to Act I, Scene 2; […].’</w:t>
      </w:r>
      <w:r>
        <w:rPr>
          <w:rStyle w:val="FootnoteReference"/>
          <w:rFonts w:ascii="Perpetua" w:hAnsi="Perpetua" w:cs="Adobe Devanagari"/>
          <w:spacing w:val="-3"/>
          <w:sz w:val="26"/>
          <w:szCs w:val="26"/>
          <w:lang w:val="en-GB"/>
        </w:rPr>
        <w:footnoteReference w:id="8"/>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Default="00AB070C" w:rsidP="00A36747">
      <w:pPr>
        <w:pStyle w:val="ListParagraph"/>
        <w:numPr>
          <w:ilvl w:val="0"/>
          <w:numId w:val="7"/>
        </w:numPr>
        <w:tabs>
          <w:tab w:val="left" w:pos="-720"/>
          <w:tab w:val="left" w:pos="0"/>
        </w:tabs>
        <w:suppressAutoHyphens/>
        <w:snapToGrid/>
        <w:spacing w:line="276" w:lineRule="auto"/>
        <w:rPr>
          <w:rFonts w:ascii="Perpetua" w:hAnsi="Perpetua" w:cs="Adobe Devanagari"/>
          <w:b/>
          <w:spacing w:val="-3"/>
          <w:sz w:val="26"/>
          <w:szCs w:val="26"/>
          <w:lang w:val="en-GB"/>
        </w:rPr>
      </w:pPr>
      <w:r w:rsidRPr="00AB070C">
        <w:rPr>
          <w:rFonts w:ascii="Perpetua" w:hAnsi="Perpetua" w:cs="Adobe Devanagari"/>
          <w:b/>
          <w:spacing w:val="-3"/>
          <w:sz w:val="26"/>
          <w:szCs w:val="26"/>
          <w:lang w:val="en-GB"/>
        </w:rPr>
        <w:t xml:space="preserve">The play’s genre, sources, and literary context: tragicomedy; ‘problem play’; </w:t>
      </w:r>
      <w:r w:rsidRPr="00663630">
        <w:rPr>
          <w:rFonts w:ascii="Perpetua" w:hAnsi="Perpetua" w:cs="Adobe Devanagari"/>
          <w:b/>
          <w:spacing w:val="-3"/>
          <w:sz w:val="26"/>
          <w:szCs w:val="26"/>
          <w:lang w:val="en-GB"/>
        </w:rPr>
        <w:t>a ‘drama of ideas’</w:t>
      </w:r>
      <w:r w:rsidRPr="00AB070C">
        <w:rPr>
          <w:rFonts w:ascii="Perpetua" w:hAnsi="Perpetua" w:cs="Adobe Devanagari"/>
          <w:b/>
          <w:spacing w:val="-3"/>
          <w:sz w:val="26"/>
          <w:szCs w:val="26"/>
          <w:lang w:val="en-GB"/>
        </w:rPr>
        <w:t xml:space="preserve">; George Whetstone’s two-part tragicomedy </w:t>
      </w:r>
      <w:r w:rsidRPr="00AB070C">
        <w:rPr>
          <w:rFonts w:ascii="Perpetua" w:hAnsi="Perpetua" w:cs="Adobe Devanagari"/>
          <w:b/>
          <w:i/>
          <w:spacing w:val="-3"/>
          <w:sz w:val="26"/>
          <w:szCs w:val="26"/>
          <w:lang w:val="en-GB"/>
        </w:rPr>
        <w:t xml:space="preserve">The Right Excellent and Famous </w:t>
      </w:r>
      <w:proofErr w:type="spellStart"/>
      <w:r w:rsidRPr="00AB070C">
        <w:rPr>
          <w:rFonts w:ascii="Perpetua" w:hAnsi="Perpetua" w:cs="Adobe Devanagari"/>
          <w:b/>
          <w:i/>
          <w:spacing w:val="-3"/>
          <w:sz w:val="26"/>
          <w:szCs w:val="26"/>
          <w:lang w:val="en-GB"/>
        </w:rPr>
        <w:t>Historye</w:t>
      </w:r>
      <w:proofErr w:type="spellEnd"/>
      <w:r w:rsidRPr="00AB070C">
        <w:rPr>
          <w:rFonts w:ascii="Perpetua" w:hAnsi="Perpetua" w:cs="Adobe Devanagari"/>
          <w:b/>
          <w:i/>
          <w:spacing w:val="-3"/>
          <w:sz w:val="26"/>
          <w:szCs w:val="26"/>
          <w:lang w:val="en-GB"/>
        </w:rPr>
        <w:t xml:space="preserve"> of Promos and Cassandra</w:t>
      </w:r>
      <w:r w:rsidRPr="00AB070C">
        <w:rPr>
          <w:rFonts w:ascii="Perpetua" w:hAnsi="Perpetua" w:cs="Adobe Devanagari"/>
          <w:b/>
          <w:spacing w:val="-3"/>
          <w:sz w:val="26"/>
          <w:szCs w:val="26"/>
          <w:lang w:val="en-GB"/>
        </w:rPr>
        <w:t xml:space="preserve"> (1578)</w:t>
      </w:r>
    </w:p>
    <w:p w:rsidR="00AB070C" w:rsidRPr="004A66CD" w:rsidRDefault="00AB070C" w:rsidP="004A66CD">
      <w:pPr>
        <w:tabs>
          <w:tab w:val="left" w:pos="-720"/>
          <w:tab w:val="left" w:pos="0"/>
        </w:tabs>
        <w:suppressAutoHyphens/>
        <w:snapToGrid/>
        <w:ind w:left="1134" w:right="1134"/>
        <w:rPr>
          <w:rFonts w:ascii="Perpetua" w:hAnsi="Perpetua" w:cs="Adobe Devanagari"/>
          <w:spacing w:val="-3"/>
          <w:szCs w:val="24"/>
          <w:lang w:val="en-GB"/>
        </w:rPr>
      </w:pPr>
    </w:p>
    <w:p w:rsidR="00AB070C" w:rsidRPr="004A66CD" w:rsidRDefault="004A66CD" w:rsidP="004A66CD">
      <w:pPr>
        <w:tabs>
          <w:tab w:val="left" w:pos="-720"/>
          <w:tab w:val="left" w:pos="0"/>
        </w:tabs>
        <w:suppressAutoHyphens/>
        <w:snapToGrid/>
        <w:ind w:left="1134" w:right="1134"/>
        <w:rPr>
          <w:rFonts w:ascii="Perpetua" w:hAnsi="Perpetua" w:cs="Adobe Devanagari"/>
          <w:spacing w:val="-3"/>
          <w:szCs w:val="24"/>
          <w:lang w:val="en-GB"/>
        </w:rPr>
      </w:pPr>
      <w:r w:rsidRPr="004A66CD">
        <w:rPr>
          <w:rFonts w:ascii="Perpetua" w:hAnsi="Perpetua" w:cs="Adobe Devanagari"/>
          <w:spacing w:val="-3"/>
          <w:szCs w:val="24"/>
          <w:lang w:val="en-GB"/>
        </w:rPr>
        <w:t xml:space="preserve">The story of a woman who, in seeking to save the life of a male relative, arouses the lust of a man in authority was an ancient one that reached literary form in the mid sixteenth century. Shakespeare may have known the prose version in </w:t>
      </w:r>
      <w:proofErr w:type="spellStart"/>
      <w:r w:rsidRPr="004A66CD">
        <w:rPr>
          <w:rFonts w:ascii="Perpetua" w:hAnsi="Perpetua" w:cs="Adobe Devanagari"/>
          <w:spacing w:val="-3"/>
          <w:szCs w:val="24"/>
          <w:lang w:val="en-GB"/>
        </w:rPr>
        <w:t>Giambattista</w:t>
      </w:r>
      <w:proofErr w:type="spellEnd"/>
      <w:r w:rsidRPr="004A66CD">
        <w:rPr>
          <w:rFonts w:ascii="Perpetua" w:hAnsi="Perpetua" w:cs="Adobe Devanagari"/>
          <w:spacing w:val="-3"/>
          <w:szCs w:val="24"/>
          <w:lang w:val="en-GB"/>
        </w:rPr>
        <w:t xml:space="preserve"> </w:t>
      </w:r>
      <w:proofErr w:type="spellStart"/>
      <w:r w:rsidRPr="004A66CD">
        <w:rPr>
          <w:rFonts w:ascii="Perpetua" w:hAnsi="Perpetua" w:cs="Adobe Devanagari"/>
          <w:spacing w:val="-3"/>
          <w:szCs w:val="24"/>
          <w:lang w:val="en-GB"/>
        </w:rPr>
        <w:t>Cinzio</w:t>
      </w:r>
      <w:proofErr w:type="spellEnd"/>
      <w:r w:rsidRPr="004A66CD">
        <w:rPr>
          <w:rFonts w:ascii="Perpetua" w:hAnsi="Perpetua" w:cs="Adobe Devanagari"/>
          <w:spacing w:val="-3"/>
          <w:szCs w:val="24"/>
          <w:lang w:val="en-GB"/>
        </w:rPr>
        <w:t xml:space="preserve"> </w:t>
      </w:r>
      <w:proofErr w:type="spellStart"/>
      <w:r w:rsidRPr="004A66CD">
        <w:rPr>
          <w:rFonts w:ascii="Perpetua" w:hAnsi="Perpetua" w:cs="Adobe Devanagari"/>
          <w:spacing w:val="-3"/>
          <w:szCs w:val="24"/>
          <w:lang w:val="en-GB"/>
        </w:rPr>
        <w:t>Giraldi’s</w:t>
      </w:r>
      <w:proofErr w:type="spellEnd"/>
      <w:r w:rsidRPr="004A66CD">
        <w:rPr>
          <w:rFonts w:ascii="Perpetua" w:hAnsi="Perpetua" w:cs="Adobe Devanagari"/>
          <w:spacing w:val="-3"/>
          <w:szCs w:val="24"/>
          <w:lang w:val="en-GB"/>
        </w:rPr>
        <w:t xml:space="preserve"> </w:t>
      </w:r>
      <w:proofErr w:type="spellStart"/>
      <w:r w:rsidRPr="004A66CD">
        <w:rPr>
          <w:rFonts w:ascii="Perpetua" w:hAnsi="Perpetua" w:cs="Adobe Devanagari"/>
          <w:i/>
          <w:spacing w:val="-3"/>
          <w:szCs w:val="24"/>
          <w:lang w:val="en-GB"/>
        </w:rPr>
        <w:t>Gli</w:t>
      </w:r>
      <w:proofErr w:type="spellEnd"/>
      <w:r w:rsidRPr="004A66CD">
        <w:rPr>
          <w:rFonts w:ascii="Perpetua" w:hAnsi="Perpetua" w:cs="Adobe Devanagari"/>
          <w:i/>
          <w:spacing w:val="-3"/>
          <w:szCs w:val="24"/>
          <w:lang w:val="en-GB"/>
        </w:rPr>
        <w:t xml:space="preserve"> </w:t>
      </w:r>
      <w:proofErr w:type="spellStart"/>
      <w:r w:rsidRPr="004A66CD">
        <w:rPr>
          <w:rFonts w:ascii="Perpetua" w:hAnsi="Perpetua" w:cs="Adobe Devanagari"/>
          <w:i/>
          <w:spacing w:val="-3"/>
          <w:szCs w:val="24"/>
          <w:lang w:val="en-GB"/>
        </w:rPr>
        <w:t>Ecatommiti</w:t>
      </w:r>
      <w:proofErr w:type="spellEnd"/>
      <w:r w:rsidRPr="004A66CD">
        <w:rPr>
          <w:rFonts w:ascii="Perpetua" w:hAnsi="Perpetua" w:cs="Adobe Devanagari"/>
          <w:spacing w:val="-3"/>
          <w:szCs w:val="24"/>
          <w:lang w:val="en-GB"/>
        </w:rPr>
        <w:t xml:space="preserve"> (1565, translated into French in 1583) and the same author’s play </w:t>
      </w:r>
      <w:proofErr w:type="spellStart"/>
      <w:r w:rsidRPr="004A66CD">
        <w:rPr>
          <w:rFonts w:ascii="Perpetua" w:hAnsi="Perpetua" w:cs="Adobe Devanagari"/>
          <w:spacing w:val="-3"/>
          <w:szCs w:val="24"/>
          <w:lang w:val="en-GB"/>
        </w:rPr>
        <w:t>Epitia</w:t>
      </w:r>
      <w:proofErr w:type="spellEnd"/>
      <w:r w:rsidRPr="004A66CD">
        <w:rPr>
          <w:rFonts w:ascii="Perpetua" w:hAnsi="Perpetua" w:cs="Adobe Devanagari"/>
          <w:spacing w:val="-3"/>
          <w:szCs w:val="24"/>
          <w:lang w:val="en-GB"/>
        </w:rPr>
        <w:t xml:space="preserve"> (1573, published in 1583), but his main source was George Whetstone’s unsuccessful, unperformed two-part tragicomedy</w:t>
      </w:r>
      <w:r w:rsidR="00421A82">
        <w:rPr>
          <w:rFonts w:ascii="Perpetua" w:hAnsi="Perpetua" w:cs="Adobe Devanagari"/>
          <w:spacing w:val="-3"/>
          <w:szCs w:val="24"/>
          <w:lang w:val="en-GB"/>
        </w:rPr>
        <w:t xml:space="preserve"> </w:t>
      </w:r>
      <w:r w:rsidRPr="004A66CD">
        <w:rPr>
          <w:rFonts w:ascii="Perpetua" w:hAnsi="Perpetua" w:cs="Adobe Devanagari"/>
          <w:i/>
          <w:spacing w:val="-3"/>
          <w:szCs w:val="24"/>
          <w:lang w:val="en-GB"/>
        </w:rPr>
        <w:t>Promos and Cassandra</w:t>
      </w:r>
      <w:r w:rsidRPr="004A66CD">
        <w:rPr>
          <w:rFonts w:ascii="Perpetua" w:hAnsi="Perpetua" w:cs="Adobe Devanagari"/>
          <w:spacing w:val="-3"/>
          <w:szCs w:val="24"/>
          <w:lang w:val="en-GB"/>
        </w:rPr>
        <w:t>, published in 1578.</w:t>
      </w:r>
      <w:r>
        <w:rPr>
          <w:rStyle w:val="FootnoteReference"/>
          <w:rFonts w:ascii="Perpetua" w:hAnsi="Perpetua" w:cs="Adobe Devanagari"/>
          <w:spacing w:val="-3"/>
          <w:szCs w:val="24"/>
          <w:lang w:val="en-GB"/>
        </w:rPr>
        <w:footnoteReference w:id="9"/>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0724C" w:rsidRPr="00A0724C" w:rsidRDefault="00A0724C"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According to Alexander </w:t>
      </w:r>
      <w:proofErr w:type="spellStart"/>
      <w:r>
        <w:rPr>
          <w:rFonts w:ascii="Perpetua" w:hAnsi="Perpetua" w:cs="Adobe Devanagari"/>
          <w:spacing w:val="-3"/>
          <w:sz w:val="26"/>
          <w:szCs w:val="26"/>
          <w:lang w:val="en-GB"/>
        </w:rPr>
        <w:t>Leggatt</w:t>
      </w:r>
      <w:proofErr w:type="spellEnd"/>
      <w:r>
        <w:rPr>
          <w:rFonts w:ascii="Perpetua" w:hAnsi="Perpetua" w:cs="Adobe Devanagari"/>
          <w:spacing w:val="-3"/>
          <w:sz w:val="26"/>
          <w:szCs w:val="26"/>
          <w:lang w:val="en-GB"/>
        </w:rPr>
        <w:t xml:space="preserve">, </w:t>
      </w:r>
      <w:r>
        <w:rPr>
          <w:rFonts w:ascii="Perpetua" w:hAnsi="Perpetua" w:cs="Adobe Devanagari"/>
          <w:i/>
          <w:spacing w:val="-3"/>
          <w:sz w:val="26"/>
          <w:szCs w:val="26"/>
          <w:lang w:val="en-GB"/>
        </w:rPr>
        <w:t>Measure for Measure</w:t>
      </w:r>
      <w:r>
        <w:rPr>
          <w:rFonts w:ascii="Perpetua" w:hAnsi="Perpetua" w:cs="Adobe Devanagari"/>
          <w:spacing w:val="-3"/>
          <w:sz w:val="26"/>
          <w:szCs w:val="26"/>
          <w:lang w:val="en-GB"/>
        </w:rPr>
        <w:t xml:space="preserve"> moves very far from traditional comedy, ‘taking its characters to the brink of tragedy. But it does so by the way it develops premises that were originally comic.’</w:t>
      </w:r>
      <w:r>
        <w:rPr>
          <w:rStyle w:val="FootnoteReference"/>
          <w:rFonts w:ascii="Perpetua" w:hAnsi="Perpetua" w:cs="Adobe Devanagari"/>
          <w:spacing w:val="-3"/>
          <w:sz w:val="26"/>
          <w:szCs w:val="26"/>
          <w:lang w:val="en-GB"/>
        </w:rPr>
        <w:footnoteReference w:id="10"/>
      </w:r>
    </w:p>
    <w:p w:rsidR="008E36BA" w:rsidRPr="008E36BA" w:rsidRDefault="008E36BA" w:rsidP="008E36BA">
      <w:pPr>
        <w:tabs>
          <w:tab w:val="left" w:pos="-720"/>
          <w:tab w:val="left" w:pos="0"/>
        </w:tabs>
        <w:suppressAutoHyphens/>
        <w:snapToGrid/>
        <w:ind w:left="1134" w:right="1134"/>
        <w:rPr>
          <w:rFonts w:ascii="Perpetua" w:hAnsi="Perpetua" w:cs="Adobe Devanagari"/>
          <w:spacing w:val="-3"/>
          <w:szCs w:val="24"/>
          <w:lang w:val="en-GB"/>
        </w:rPr>
      </w:pPr>
    </w:p>
    <w:p w:rsidR="008E36BA" w:rsidRPr="008E36BA" w:rsidRDefault="008E36BA" w:rsidP="008E36BA">
      <w:pPr>
        <w:tabs>
          <w:tab w:val="left" w:pos="-720"/>
          <w:tab w:val="left" w:pos="0"/>
        </w:tabs>
        <w:suppressAutoHyphens/>
        <w:snapToGrid/>
        <w:ind w:left="1134" w:right="1134"/>
        <w:rPr>
          <w:rFonts w:ascii="Perpetua" w:hAnsi="Perpetua" w:cs="Adobe Devanagari"/>
          <w:spacing w:val="-3"/>
          <w:szCs w:val="24"/>
          <w:lang w:val="en-GB"/>
        </w:rPr>
      </w:pPr>
      <w:r w:rsidRPr="008E36BA">
        <w:rPr>
          <w:rFonts w:ascii="Perpetua" w:hAnsi="Perpetua" w:cs="Adobe Devanagari"/>
          <w:spacing w:val="-3"/>
          <w:szCs w:val="24"/>
          <w:lang w:val="en-GB"/>
        </w:rPr>
        <w:t xml:space="preserve">Although </w:t>
      </w:r>
      <w:r w:rsidRPr="008E36BA">
        <w:rPr>
          <w:rFonts w:ascii="Perpetua" w:hAnsi="Perpetua" w:cs="Adobe Devanagari"/>
          <w:i/>
          <w:spacing w:val="-3"/>
          <w:szCs w:val="24"/>
          <w:lang w:val="en-GB"/>
        </w:rPr>
        <w:t>Measure for Measure</w:t>
      </w:r>
      <w:r w:rsidRPr="008E36BA">
        <w:rPr>
          <w:rFonts w:ascii="Perpetua" w:hAnsi="Perpetua" w:cs="Adobe Devanagari"/>
          <w:spacing w:val="-3"/>
          <w:szCs w:val="24"/>
          <w:lang w:val="en-GB"/>
        </w:rPr>
        <w:t xml:space="preserve">, like </w:t>
      </w:r>
      <w:r w:rsidRPr="008E36BA">
        <w:rPr>
          <w:rFonts w:ascii="Perpetua" w:hAnsi="Perpetua" w:cs="Adobe Devanagari"/>
          <w:i/>
          <w:spacing w:val="-3"/>
          <w:szCs w:val="24"/>
          <w:lang w:val="en-GB"/>
        </w:rPr>
        <w:t>The Merchant of Venice</w:t>
      </w:r>
      <w:r w:rsidRPr="008E36BA">
        <w:rPr>
          <w:rFonts w:ascii="Perpetua" w:hAnsi="Perpetua" w:cs="Adobe Devanagari"/>
          <w:spacing w:val="-3"/>
          <w:szCs w:val="24"/>
          <w:lang w:val="en-GB"/>
        </w:rPr>
        <w:t>, is much concerned with justice and mercy, its more explicit concern with sex and death along with the intense emotional reality, at least in the earlier part of the play, of its portrayal of Angelo, Isabella, and Claudio, creates a deeper seriousness of tone which takes it out of the world of romantic comedy into that of tragicomedy or, as the twentieth-century label has it, ‘problem play’.</w:t>
      </w:r>
      <w:r>
        <w:rPr>
          <w:rStyle w:val="FootnoteReference"/>
          <w:rFonts w:ascii="Perpetua" w:hAnsi="Perpetua" w:cs="Adobe Devanagari"/>
          <w:spacing w:val="-3"/>
          <w:szCs w:val="24"/>
          <w:lang w:val="en-GB"/>
        </w:rPr>
        <w:footnoteReference w:id="11"/>
      </w:r>
    </w:p>
    <w:p w:rsidR="008E36BA" w:rsidRPr="008E36BA" w:rsidRDefault="008E36BA" w:rsidP="008E36BA">
      <w:pPr>
        <w:tabs>
          <w:tab w:val="left" w:pos="-720"/>
          <w:tab w:val="left" w:pos="0"/>
        </w:tabs>
        <w:suppressAutoHyphens/>
        <w:snapToGrid/>
        <w:ind w:left="1134" w:right="1134"/>
        <w:rPr>
          <w:rFonts w:ascii="Perpetua" w:hAnsi="Perpetua" w:cs="Adobe Devanagari"/>
          <w:spacing w:val="-3"/>
          <w:szCs w:val="24"/>
          <w:lang w:val="en-GB"/>
        </w:rPr>
      </w:pPr>
    </w:p>
    <w:p w:rsidR="008E36BA" w:rsidRDefault="001C6C76"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The </w:t>
      </w:r>
      <w:r w:rsidR="001C118F">
        <w:rPr>
          <w:rFonts w:ascii="Perpetua" w:hAnsi="Perpetua" w:cs="Adobe Devanagari"/>
          <w:spacing w:val="-3"/>
          <w:sz w:val="26"/>
          <w:szCs w:val="26"/>
          <w:lang w:val="en-GB"/>
        </w:rPr>
        <w:t xml:space="preserve">term </w:t>
      </w:r>
      <w:r>
        <w:rPr>
          <w:rFonts w:ascii="Perpetua" w:hAnsi="Perpetua" w:cs="Adobe Devanagari"/>
          <w:spacing w:val="-3"/>
          <w:sz w:val="26"/>
          <w:szCs w:val="26"/>
          <w:lang w:val="en-GB"/>
        </w:rPr>
        <w:t>‘problem play’</w:t>
      </w:r>
      <w:r w:rsidR="001C118F">
        <w:rPr>
          <w:rFonts w:ascii="Perpetua" w:hAnsi="Perpetua" w:cs="Adobe Devanagari"/>
          <w:spacing w:val="-3"/>
          <w:sz w:val="26"/>
          <w:szCs w:val="26"/>
          <w:lang w:val="en-GB"/>
        </w:rPr>
        <w:t>, first used to refer to certain of Shakespeare’s plays in the late nineteenth century,</w:t>
      </w:r>
      <w:r>
        <w:rPr>
          <w:rFonts w:ascii="Perpetua" w:hAnsi="Perpetua" w:cs="Adobe Devanagari"/>
          <w:spacing w:val="-3"/>
          <w:sz w:val="26"/>
          <w:szCs w:val="26"/>
          <w:lang w:val="en-GB"/>
        </w:rPr>
        <w:t xml:space="preserve"> may have been </w:t>
      </w:r>
      <w:r w:rsidR="00EF5A44">
        <w:rPr>
          <w:rFonts w:ascii="Perpetua" w:hAnsi="Perpetua" w:cs="Adobe Devanagari"/>
          <w:spacing w:val="-3"/>
          <w:sz w:val="26"/>
          <w:szCs w:val="26"/>
          <w:lang w:val="en-GB"/>
        </w:rPr>
        <w:t xml:space="preserve">borrowed from </w:t>
      </w:r>
      <w:r w:rsidR="001C118F">
        <w:rPr>
          <w:rFonts w:ascii="Perpetua" w:hAnsi="Perpetua" w:cs="Adobe Devanagari"/>
          <w:spacing w:val="-3"/>
          <w:sz w:val="26"/>
          <w:szCs w:val="26"/>
          <w:lang w:val="en-GB"/>
        </w:rPr>
        <w:t>its use as a label for the drama of radical European playwrights such as Henrik Ibsen.</w:t>
      </w:r>
    </w:p>
    <w:p w:rsidR="001C118F" w:rsidRPr="00135768" w:rsidRDefault="001C118F" w:rsidP="00135768">
      <w:pPr>
        <w:tabs>
          <w:tab w:val="left" w:pos="-720"/>
          <w:tab w:val="left" w:pos="0"/>
        </w:tabs>
        <w:suppressAutoHyphens/>
        <w:snapToGrid/>
        <w:ind w:left="1134" w:right="1134"/>
        <w:rPr>
          <w:rFonts w:ascii="Perpetua" w:hAnsi="Perpetua" w:cs="Adobe Devanagari"/>
          <w:spacing w:val="-3"/>
          <w:szCs w:val="24"/>
          <w:lang w:val="en-GB"/>
        </w:rPr>
      </w:pPr>
    </w:p>
    <w:p w:rsidR="001C118F" w:rsidRPr="00135768" w:rsidRDefault="001C118F" w:rsidP="00135768">
      <w:pPr>
        <w:tabs>
          <w:tab w:val="left" w:pos="-720"/>
          <w:tab w:val="left" w:pos="0"/>
        </w:tabs>
        <w:suppressAutoHyphens/>
        <w:snapToGrid/>
        <w:ind w:left="1134" w:right="1134"/>
        <w:rPr>
          <w:rFonts w:ascii="Perpetua" w:hAnsi="Perpetua" w:cs="Adobe Devanagari"/>
          <w:spacing w:val="-3"/>
          <w:szCs w:val="24"/>
          <w:lang w:val="en-GB"/>
        </w:rPr>
      </w:pPr>
      <w:r w:rsidRPr="00135768">
        <w:rPr>
          <w:rFonts w:ascii="Perpetua" w:hAnsi="Perpetua" w:cs="Adobe Devanagari"/>
          <w:spacing w:val="-3"/>
          <w:szCs w:val="24"/>
          <w:lang w:val="en-GB"/>
        </w:rPr>
        <w:t>In the first instance</w:t>
      </w:r>
      <w:r w:rsidR="00135768" w:rsidRPr="00135768">
        <w:rPr>
          <w:rFonts w:ascii="Perpetua" w:hAnsi="Perpetua" w:cs="Adobe Devanagari"/>
          <w:spacing w:val="-3"/>
          <w:szCs w:val="24"/>
          <w:lang w:val="en-GB"/>
        </w:rPr>
        <w:t xml:space="preserve">, the categorizing of the play as problematic stemmed mainly from the difficulties encountered in assigning it a neat generic identity: its dark, often savage, undertones making it unfit for a comedy and its happy resolution (albeit a problem in itself) excluding it from the tragedies. Over the centuries, emphasis has moved from the problems </w:t>
      </w:r>
      <w:r w:rsidR="00135768" w:rsidRPr="00135768">
        <w:rPr>
          <w:rFonts w:ascii="Perpetua" w:hAnsi="Perpetua" w:cs="Adobe Devanagari"/>
          <w:i/>
          <w:spacing w:val="-3"/>
          <w:szCs w:val="24"/>
          <w:lang w:val="en-GB"/>
        </w:rPr>
        <w:t>with</w:t>
      </w:r>
      <w:r w:rsidR="00135768" w:rsidRPr="00135768">
        <w:rPr>
          <w:rFonts w:ascii="Perpetua" w:hAnsi="Perpetua" w:cs="Adobe Devanagari"/>
          <w:spacing w:val="-3"/>
          <w:szCs w:val="24"/>
          <w:lang w:val="en-GB"/>
        </w:rPr>
        <w:t xml:space="preserve"> the play to the problems explored </w:t>
      </w:r>
      <w:r w:rsidR="00135768" w:rsidRPr="00135768">
        <w:rPr>
          <w:rFonts w:ascii="Perpetua" w:hAnsi="Perpetua" w:cs="Adobe Devanagari"/>
          <w:i/>
          <w:spacing w:val="-3"/>
          <w:szCs w:val="24"/>
          <w:lang w:val="en-GB"/>
        </w:rPr>
        <w:t>by</w:t>
      </w:r>
      <w:r w:rsidR="00135768" w:rsidRPr="00135768">
        <w:rPr>
          <w:rFonts w:ascii="Perpetua" w:hAnsi="Perpetua" w:cs="Adobe Devanagari"/>
          <w:spacing w:val="-3"/>
          <w:szCs w:val="24"/>
          <w:lang w:val="en-GB"/>
        </w:rPr>
        <w:t xml:space="preserve"> it […].</w:t>
      </w:r>
      <w:r w:rsidR="00135768">
        <w:rPr>
          <w:rStyle w:val="FootnoteReference"/>
          <w:rFonts w:ascii="Perpetua" w:hAnsi="Perpetua" w:cs="Adobe Devanagari"/>
          <w:spacing w:val="-3"/>
          <w:szCs w:val="24"/>
          <w:lang w:val="en-GB"/>
        </w:rPr>
        <w:footnoteReference w:id="12"/>
      </w:r>
    </w:p>
    <w:p w:rsidR="00135768" w:rsidRDefault="00135768"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135768" w:rsidRPr="00135768" w:rsidRDefault="00135768"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For this reason, </w:t>
      </w:r>
      <w:r>
        <w:rPr>
          <w:rFonts w:ascii="Perpetua" w:hAnsi="Perpetua" w:cs="Adobe Devanagari"/>
          <w:i/>
          <w:spacing w:val="-3"/>
          <w:sz w:val="26"/>
          <w:szCs w:val="26"/>
          <w:lang w:val="en-GB"/>
        </w:rPr>
        <w:t>Measure for Measure</w:t>
      </w:r>
      <w:r>
        <w:rPr>
          <w:rFonts w:ascii="Perpetua" w:hAnsi="Perpetua" w:cs="Adobe Devanagari"/>
          <w:spacing w:val="-3"/>
          <w:sz w:val="26"/>
          <w:szCs w:val="26"/>
          <w:lang w:val="en-GB"/>
        </w:rPr>
        <w:t xml:space="preserve"> had also come to be called a ‘drama of ideas’.</w:t>
      </w:r>
    </w:p>
    <w:p w:rsidR="00D91726" w:rsidRDefault="00D91726"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P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Default="00AB070C" w:rsidP="00A36747">
      <w:pPr>
        <w:pStyle w:val="ListParagraph"/>
        <w:numPr>
          <w:ilvl w:val="0"/>
          <w:numId w:val="7"/>
        </w:numPr>
        <w:tabs>
          <w:tab w:val="left" w:pos="-720"/>
          <w:tab w:val="left" w:pos="0"/>
        </w:tabs>
        <w:suppressAutoHyphens/>
        <w:snapToGrid/>
        <w:spacing w:line="276" w:lineRule="auto"/>
        <w:rPr>
          <w:rFonts w:ascii="Perpetua" w:hAnsi="Perpetua" w:cs="Adobe Devanagari"/>
          <w:b/>
          <w:spacing w:val="-3"/>
          <w:sz w:val="26"/>
          <w:szCs w:val="26"/>
          <w:lang w:val="en-GB"/>
        </w:rPr>
      </w:pPr>
      <w:r w:rsidRPr="00296295">
        <w:rPr>
          <w:rFonts w:ascii="Perpetua" w:hAnsi="Perpetua" w:cs="Adobe Devanagari"/>
          <w:b/>
          <w:spacing w:val="-3"/>
          <w:sz w:val="26"/>
          <w:szCs w:val="26"/>
          <w:lang w:val="en-GB"/>
        </w:rPr>
        <w:t xml:space="preserve">Three traditional plot-components: the story of the Corrupt Magistrate; the legend of the Disguised Ruler; the tale of the Substituted </w:t>
      </w:r>
      <w:proofErr w:type="spellStart"/>
      <w:r w:rsidRPr="00296295">
        <w:rPr>
          <w:rFonts w:ascii="Perpetua" w:hAnsi="Perpetua" w:cs="Adobe Devanagari"/>
          <w:b/>
          <w:spacing w:val="-3"/>
          <w:sz w:val="26"/>
          <w:szCs w:val="26"/>
          <w:lang w:val="en-GB"/>
        </w:rPr>
        <w:t>Bedmate</w:t>
      </w:r>
      <w:proofErr w:type="spellEnd"/>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296295" w:rsidRPr="00296295" w:rsidRDefault="00296295" w:rsidP="00296295">
      <w:pPr>
        <w:tabs>
          <w:tab w:val="left" w:pos="-720"/>
          <w:tab w:val="left" w:pos="0"/>
        </w:tabs>
        <w:suppressAutoHyphens/>
        <w:snapToGrid/>
        <w:ind w:left="1134" w:right="1134"/>
        <w:rPr>
          <w:rFonts w:ascii="Perpetua" w:hAnsi="Perpetua" w:cs="Adobe Devanagari"/>
          <w:spacing w:val="-3"/>
          <w:szCs w:val="24"/>
          <w:lang w:val="en-GB"/>
        </w:rPr>
      </w:pPr>
      <w:r w:rsidRPr="00296295">
        <w:rPr>
          <w:rFonts w:ascii="Perpetua" w:hAnsi="Perpetua" w:cs="Adobe Devanagari"/>
          <w:spacing w:val="-3"/>
          <w:szCs w:val="24"/>
          <w:lang w:val="en-GB"/>
        </w:rPr>
        <w:t xml:space="preserve">It becomes increasingly plain that in a work of such complex artistic integration as </w:t>
      </w:r>
      <w:r w:rsidRPr="00296295">
        <w:rPr>
          <w:rFonts w:ascii="Perpetua" w:hAnsi="Perpetua" w:cs="Adobe Devanagari"/>
          <w:i/>
          <w:spacing w:val="-3"/>
          <w:szCs w:val="24"/>
          <w:lang w:val="en-GB"/>
        </w:rPr>
        <w:t>Measure for Measure</w:t>
      </w:r>
      <w:r w:rsidRPr="00296295">
        <w:rPr>
          <w:rFonts w:ascii="Perpetua" w:hAnsi="Perpetua" w:cs="Adobe Devanagari"/>
          <w:spacing w:val="-3"/>
          <w:szCs w:val="24"/>
          <w:lang w:val="en-GB"/>
        </w:rPr>
        <w:t xml:space="preserve"> no clear line can be drawn between distinct fictional sources and a wide, alluvial tract of literary and historical influences in which the play was orientated. Both aspects may be taken into account by considering the structure in terms of three traditional plot-components, known in a variety of forms and carrying with them, through modifications and accretions, a range of ethical and political significances. The first, concerning the actions of Angelo, Claudio, and Isabella, with the accretion of the comic sub-plot, may be described as the story of the Corrupt Magistrate; the second, relating to the role of the Duke and Lucio, as the legend of the Disguised Ruler; and the third, which concerns the part played by Mariana, as the tale of the Substituted </w:t>
      </w:r>
      <w:proofErr w:type="spellStart"/>
      <w:r w:rsidRPr="00296295">
        <w:rPr>
          <w:rFonts w:ascii="Perpetua" w:hAnsi="Perpetua" w:cs="Adobe Devanagari"/>
          <w:spacing w:val="-3"/>
          <w:szCs w:val="24"/>
          <w:lang w:val="en-GB"/>
        </w:rPr>
        <w:t>Bedmate</w:t>
      </w:r>
      <w:proofErr w:type="spellEnd"/>
      <w:r w:rsidRPr="00296295">
        <w:rPr>
          <w:rFonts w:ascii="Perpetua" w:hAnsi="Perpetua" w:cs="Adobe Devanagari"/>
          <w:spacing w:val="-3"/>
          <w:szCs w:val="24"/>
          <w:lang w:val="en-GB"/>
        </w:rPr>
        <w:t>.</w:t>
      </w:r>
      <w:r w:rsidRPr="00296295">
        <w:rPr>
          <w:rStyle w:val="FootnoteReference"/>
          <w:rFonts w:ascii="Perpetua" w:hAnsi="Perpetua" w:cs="Adobe Devanagari"/>
          <w:spacing w:val="-3"/>
          <w:szCs w:val="24"/>
          <w:lang w:val="en-GB"/>
        </w:rPr>
        <w:footnoteReference w:id="13"/>
      </w:r>
    </w:p>
    <w:p w:rsidR="00440289" w:rsidRDefault="00440289"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P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Default="00AB070C" w:rsidP="00A36747">
      <w:pPr>
        <w:pStyle w:val="ListParagraph"/>
        <w:numPr>
          <w:ilvl w:val="0"/>
          <w:numId w:val="7"/>
        </w:numPr>
        <w:tabs>
          <w:tab w:val="left" w:pos="-720"/>
          <w:tab w:val="left" w:pos="0"/>
        </w:tabs>
        <w:suppressAutoHyphens/>
        <w:snapToGrid/>
        <w:spacing w:line="276" w:lineRule="auto"/>
        <w:rPr>
          <w:rFonts w:ascii="Perpetua" w:hAnsi="Perpetua" w:cs="Adobe Devanagari"/>
          <w:b/>
          <w:spacing w:val="-3"/>
          <w:sz w:val="26"/>
          <w:szCs w:val="26"/>
          <w:lang w:val="en-GB"/>
        </w:rPr>
      </w:pPr>
      <w:r w:rsidRPr="009D7A7D">
        <w:rPr>
          <w:rFonts w:ascii="Perpetua" w:hAnsi="Perpetua" w:cs="Adobe Devanagari"/>
          <w:b/>
          <w:spacing w:val="-3"/>
          <w:sz w:val="26"/>
          <w:szCs w:val="26"/>
          <w:lang w:val="en-GB"/>
        </w:rPr>
        <w:t>Law, justice, and the quality of mercy; moral issues and Christian ethics; grace and nature; situations admitting of different ethical interpretations; ethical ambiguity</w:t>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1542D" w:rsidRPr="0027193C" w:rsidRDefault="00A1542D" w:rsidP="0027193C">
      <w:pPr>
        <w:tabs>
          <w:tab w:val="left" w:pos="-720"/>
          <w:tab w:val="left" w:pos="0"/>
        </w:tabs>
        <w:suppressAutoHyphens/>
        <w:snapToGrid/>
        <w:ind w:left="1134" w:right="1134"/>
        <w:rPr>
          <w:rFonts w:ascii="Perpetua" w:hAnsi="Perpetua" w:cs="Adobe Devanagari"/>
          <w:spacing w:val="-3"/>
          <w:szCs w:val="24"/>
          <w:lang w:val="en-GB"/>
        </w:rPr>
      </w:pPr>
      <w:r w:rsidRPr="0027193C">
        <w:rPr>
          <w:rFonts w:ascii="Perpetua" w:hAnsi="Perpetua" w:cs="Adobe Devanagari"/>
          <w:spacing w:val="-3"/>
          <w:szCs w:val="24"/>
          <w:lang w:val="en-GB"/>
        </w:rPr>
        <w:t>Christ’s warning ‘Judge not, that you be not judged. For with the judgement you pronounce you will be judged, and the measure you give will be the measure you get’ (Matthew 7.1-2) resonates throughout the play, serving as a lens through which to view stage action and dialogue, as well as the Duke’s ‘final judgement’. How the morality of the biblical text is to be interpreted and acted upon is one of the central ‘problems’ of the play, raising some difficult questions. How far should Scripture provide a rule book for moral behaviour? How far should state law be in line with religious teaching? How far is an ideal morality workable in the real world? The title also invites an audience to consider the relationship between Old and New Testaments, between the laws handed down by the patriarchs and the teachings of Christ. Taken as a simple statement ‘measure for measure’ evokes the letter of Mosaic Law: ‘you shall give life for life, eye for eye, tooth for tooth’ (Exodus 21.23-4); but taken as a fragment of the Gospel verses, it stands more as a question for debate.</w:t>
      </w:r>
      <w:r w:rsidRPr="0027193C">
        <w:rPr>
          <w:rStyle w:val="FootnoteReference"/>
          <w:rFonts w:ascii="Perpetua" w:hAnsi="Perpetua" w:cs="Adobe Devanagari"/>
          <w:spacing w:val="-3"/>
          <w:szCs w:val="24"/>
          <w:lang w:val="en-GB"/>
        </w:rPr>
        <w:footnoteReference w:id="14"/>
      </w:r>
    </w:p>
    <w:p w:rsidR="00A1542D" w:rsidRPr="0027193C" w:rsidRDefault="00A1542D" w:rsidP="0027193C">
      <w:pPr>
        <w:tabs>
          <w:tab w:val="left" w:pos="-720"/>
          <w:tab w:val="left" w:pos="0"/>
        </w:tabs>
        <w:suppressAutoHyphens/>
        <w:snapToGrid/>
        <w:ind w:left="1134" w:right="1134"/>
        <w:rPr>
          <w:rFonts w:ascii="Perpetua" w:hAnsi="Perpetua" w:cs="Adobe Devanagari"/>
          <w:spacing w:val="-3"/>
          <w:szCs w:val="24"/>
          <w:lang w:val="en-GB"/>
        </w:rPr>
      </w:pPr>
    </w:p>
    <w:p w:rsidR="00A36747" w:rsidRDefault="00A36747"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From the political perspective the effects of ‘fornication’ are what is most important, whereas from a religious perspective the intention of the person who committed the act is most important. The dialogues of Angelo and Isabella foreground competing political and religious concerns</w:t>
      </w:r>
      <w:r w:rsidR="00004320">
        <w:rPr>
          <w:rFonts w:ascii="Perpetua" w:hAnsi="Perpetua" w:cs="Adobe Devanagari"/>
          <w:spacing w:val="-3"/>
          <w:sz w:val="26"/>
          <w:szCs w:val="26"/>
          <w:lang w:val="en-GB"/>
        </w:rPr>
        <w:t xml:space="preserve">. For Isabella </w:t>
      </w:r>
      <w:r>
        <w:rPr>
          <w:rFonts w:ascii="Perpetua" w:hAnsi="Perpetua" w:cs="Adobe Devanagari"/>
          <w:spacing w:val="-3"/>
          <w:sz w:val="26"/>
          <w:szCs w:val="26"/>
          <w:lang w:val="en-GB"/>
        </w:rPr>
        <w:lastRenderedPageBreak/>
        <w:t xml:space="preserve">no-one is free from </w:t>
      </w:r>
      <w:r w:rsidR="0027193C">
        <w:rPr>
          <w:rFonts w:ascii="Perpetua" w:hAnsi="Perpetua" w:cs="Adobe Devanagari"/>
          <w:spacing w:val="-3"/>
          <w:sz w:val="26"/>
          <w:szCs w:val="26"/>
          <w:lang w:val="en-GB"/>
        </w:rPr>
        <w:t xml:space="preserve">a </w:t>
      </w:r>
      <w:r>
        <w:rPr>
          <w:rFonts w:ascii="Perpetua" w:hAnsi="Perpetua" w:cs="Adobe Devanagari"/>
          <w:spacing w:val="-3"/>
          <w:sz w:val="26"/>
          <w:szCs w:val="26"/>
          <w:lang w:val="en-GB"/>
        </w:rPr>
        <w:t>propensity, or even</w:t>
      </w:r>
      <w:r w:rsidR="0027193C">
        <w:rPr>
          <w:rFonts w:ascii="Perpetua" w:hAnsi="Perpetua" w:cs="Adobe Devanagari"/>
          <w:spacing w:val="-3"/>
          <w:sz w:val="26"/>
          <w:szCs w:val="26"/>
          <w:lang w:val="en-GB"/>
        </w:rPr>
        <w:t xml:space="preserve"> an</w:t>
      </w:r>
      <w:r>
        <w:rPr>
          <w:rFonts w:ascii="Perpetua" w:hAnsi="Perpetua" w:cs="Adobe Devanagari"/>
          <w:spacing w:val="-3"/>
          <w:sz w:val="26"/>
          <w:szCs w:val="26"/>
          <w:lang w:val="en-GB"/>
        </w:rPr>
        <w:t xml:space="preserve"> intention, to sin</w:t>
      </w:r>
      <w:r w:rsidR="00004320">
        <w:rPr>
          <w:rFonts w:ascii="Perpetua" w:hAnsi="Perpetua" w:cs="Adobe Devanagari"/>
          <w:spacing w:val="-3"/>
          <w:sz w:val="26"/>
          <w:szCs w:val="26"/>
          <w:lang w:val="en-GB"/>
        </w:rPr>
        <w:t>; whereas political justice punishes the act.</w:t>
      </w:r>
      <w:r w:rsidR="00FF252D">
        <w:rPr>
          <w:rFonts w:ascii="Perpetua" w:hAnsi="Perpetua" w:cs="Adobe Devanagari"/>
          <w:spacing w:val="-3"/>
          <w:sz w:val="26"/>
          <w:szCs w:val="26"/>
          <w:lang w:val="en-GB"/>
        </w:rPr>
        <w:t xml:space="preserve"> The plot of </w:t>
      </w:r>
      <w:r w:rsidR="00FF252D">
        <w:rPr>
          <w:rFonts w:ascii="Perpetua" w:hAnsi="Perpetua" w:cs="Adobe Devanagari"/>
          <w:i/>
          <w:spacing w:val="-3"/>
          <w:sz w:val="26"/>
          <w:szCs w:val="26"/>
          <w:lang w:val="en-GB"/>
        </w:rPr>
        <w:t>Measure for Measure</w:t>
      </w:r>
      <w:r w:rsidR="00FF252D">
        <w:rPr>
          <w:rFonts w:ascii="Perpetua" w:hAnsi="Perpetua" w:cs="Adobe Devanagari"/>
          <w:spacing w:val="-3"/>
          <w:sz w:val="26"/>
          <w:szCs w:val="26"/>
          <w:lang w:val="en-GB"/>
        </w:rPr>
        <w:t xml:space="preserve"> unveils the ‘outward-sainted deputy’ to be a ‘devil’ </w:t>
      </w:r>
      <w:r w:rsidR="00FF252D">
        <w:rPr>
          <w:rFonts w:ascii="Perpetua" w:hAnsi="Perpetua" w:cs="Adobe Devanagari"/>
          <w:spacing w:val="-3"/>
          <w:sz w:val="26"/>
          <w:szCs w:val="26"/>
          <w:lang w:val="en-GB"/>
        </w:rPr>
        <w:t>(III.i.88, 91)</w:t>
      </w:r>
      <w:r w:rsidR="00FF252D">
        <w:rPr>
          <w:rFonts w:ascii="Perpetua" w:hAnsi="Perpetua" w:cs="Adobe Devanagari"/>
          <w:spacing w:val="-3"/>
          <w:sz w:val="26"/>
          <w:szCs w:val="26"/>
          <w:lang w:val="en-GB"/>
        </w:rPr>
        <w:t xml:space="preserve">, by making him secretly act out his ‘intention’ which is brought to public exposure. This conflates intent with politically recognisable act. </w:t>
      </w:r>
      <w:r w:rsidR="002B4CA4">
        <w:rPr>
          <w:rFonts w:ascii="Perpetua" w:hAnsi="Perpetua" w:cs="Adobe Devanagari"/>
          <w:spacing w:val="-3"/>
          <w:sz w:val="26"/>
          <w:szCs w:val="26"/>
          <w:lang w:val="en-GB"/>
        </w:rPr>
        <w:t>Does it then</w:t>
      </w:r>
      <w:r w:rsidR="00FF252D">
        <w:rPr>
          <w:rFonts w:ascii="Perpetua" w:hAnsi="Perpetua" w:cs="Adobe Devanagari"/>
          <w:spacing w:val="-3"/>
          <w:sz w:val="26"/>
          <w:szCs w:val="26"/>
          <w:lang w:val="en-GB"/>
        </w:rPr>
        <w:t xml:space="preserve"> follow that political aut</w:t>
      </w:r>
      <w:r w:rsidR="002B4CA4">
        <w:rPr>
          <w:rFonts w:ascii="Perpetua" w:hAnsi="Perpetua" w:cs="Adobe Devanagari"/>
          <w:spacing w:val="-3"/>
          <w:sz w:val="26"/>
          <w:szCs w:val="26"/>
          <w:lang w:val="en-GB"/>
        </w:rPr>
        <w:t>hority should exercise mercy since ‘Merciful Heaven’ (II.ii.115) sees all intents and acts and yet forgives?</w:t>
      </w:r>
    </w:p>
    <w:p w:rsidR="0055428D" w:rsidRPr="0055428D" w:rsidRDefault="0055428D" w:rsidP="0055428D">
      <w:pPr>
        <w:tabs>
          <w:tab w:val="left" w:pos="-720"/>
          <w:tab w:val="left" w:pos="0"/>
        </w:tabs>
        <w:suppressAutoHyphens/>
        <w:snapToGrid/>
        <w:ind w:left="1134" w:right="1134"/>
        <w:rPr>
          <w:rFonts w:ascii="Perpetua" w:hAnsi="Perpetua" w:cs="Adobe Devanagari"/>
          <w:spacing w:val="-3"/>
          <w:szCs w:val="24"/>
          <w:lang w:val="en-GB"/>
        </w:rPr>
      </w:pPr>
    </w:p>
    <w:p w:rsidR="0055428D" w:rsidRPr="0055428D" w:rsidRDefault="0055428D" w:rsidP="0055428D">
      <w:pPr>
        <w:tabs>
          <w:tab w:val="left" w:pos="-720"/>
          <w:tab w:val="left" w:pos="0"/>
        </w:tabs>
        <w:suppressAutoHyphens/>
        <w:snapToGrid/>
        <w:ind w:left="1134" w:right="1134"/>
        <w:rPr>
          <w:rFonts w:ascii="Perpetua" w:hAnsi="Perpetua" w:cs="Adobe Devanagari"/>
          <w:spacing w:val="-3"/>
          <w:szCs w:val="24"/>
          <w:lang w:val="en-GB"/>
        </w:rPr>
      </w:pPr>
      <w:r w:rsidRPr="0055428D">
        <w:rPr>
          <w:rFonts w:ascii="Perpetua" w:hAnsi="Perpetua" w:cs="Adobe Devanagari"/>
          <w:spacing w:val="-3"/>
          <w:szCs w:val="24"/>
          <w:lang w:val="en-GB"/>
        </w:rPr>
        <w:t xml:space="preserve">Christianity taught that man as a spiritual being was endowed with the divine gift of grace, which he might store for his soul’s salvation, exercise in his dealings with his fellow-men, or decline from through sin, at his own free will. At the same time, he was also a part of the natural world, moved by the same urges and endowed with the same functions as other creatures; and in this sphere too he had the choice of conserving, exercising, or abusing his innate powers. </w:t>
      </w:r>
      <w:r w:rsidRPr="0055428D">
        <w:rPr>
          <w:rFonts w:ascii="Perpetua" w:hAnsi="Perpetua" w:cs="Adobe Devanagari"/>
          <w:i/>
          <w:spacing w:val="-3"/>
          <w:szCs w:val="24"/>
          <w:lang w:val="en-GB"/>
        </w:rPr>
        <w:t>Measure for Measure</w:t>
      </w:r>
      <w:r w:rsidRPr="0055428D">
        <w:rPr>
          <w:rFonts w:ascii="Perpetua" w:hAnsi="Perpetua" w:cs="Adobe Devanagari"/>
          <w:spacing w:val="-3"/>
          <w:szCs w:val="24"/>
          <w:lang w:val="en-GB"/>
        </w:rPr>
        <w:t xml:space="preserve"> steers clear of theological disputes as to the relative merits of grace and good works […] but it is plainly concerned with the broader humanist problem of co-ordinating the spiritual and natural forces of personality for the welfare of man upon earth.</w:t>
      </w:r>
      <w:r w:rsidRPr="0055428D">
        <w:rPr>
          <w:rStyle w:val="FootnoteReference"/>
          <w:rFonts w:ascii="Perpetua" w:hAnsi="Perpetua" w:cs="Adobe Devanagari"/>
          <w:spacing w:val="-3"/>
          <w:szCs w:val="24"/>
          <w:lang w:val="en-GB"/>
        </w:rPr>
        <w:footnoteReference w:id="15"/>
      </w:r>
    </w:p>
    <w:p w:rsidR="0055428D" w:rsidRDefault="0055428D"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55428D" w:rsidRPr="0055428D" w:rsidRDefault="0055428D"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Consider the significance of the Duke’s first speech to Angelo: I.i.26-47.</w:t>
      </w:r>
    </w:p>
    <w:p w:rsidR="009D7A7D" w:rsidRDefault="009D7A7D"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9D7A7D" w:rsidRDefault="00296295" w:rsidP="00A36747">
      <w:pPr>
        <w:tabs>
          <w:tab w:val="left" w:pos="-720"/>
          <w:tab w:val="left" w:pos="0"/>
        </w:tabs>
        <w:suppressAutoHyphens/>
        <w:snapToGrid/>
        <w:spacing w:line="276" w:lineRule="auto"/>
        <w:rPr>
          <w:rFonts w:ascii="Perpetua" w:hAnsi="Perpetua" w:cs="Adobe Devanagari"/>
          <w:spacing w:val="-3"/>
          <w:sz w:val="26"/>
          <w:szCs w:val="26"/>
          <w:lang w:val="en-GB"/>
        </w:rPr>
      </w:pPr>
      <w:proofErr w:type="spellStart"/>
      <w:r>
        <w:rPr>
          <w:rFonts w:ascii="Perpetua" w:hAnsi="Perpetua" w:cs="Adobe Devanagari"/>
          <w:spacing w:val="-3"/>
          <w:sz w:val="26"/>
          <w:szCs w:val="26"/>
          <w:lang w:val="en-GB"/>
        </w:rPr>
        <w:t>Vincentio</w:t>
      </w:r>
      <w:proofErr w:type="spellEnd"/>
      <w:r>
        <w:rPr>
          <w:rFonts w:ascii="Perpetua" w:hAnsi="Perpetua" w:cs="Adobe Devanagari"/>
          <w:spacing w:val="-3"/>
          <w:sz w:val="26"/>
          <w:szCs w:val="26"/>
          <w:lang w:val="en-GB"/>
        </w:rPr>
        <w:t>, the Duke, deputes his office to Angelo, his Deputy, and disguises himself as a friar to ‘Visit both prince and people’ (I.iii.45). The motives and the ethics of the Duke’s contrivances should be scrutinized in this play</w:t>
      </w:r>
      <w:r>
        <w:rPr>
          <w:rFonts w:ascii="Perpetua" w:hAnsi="Perpetua" w:cs="Adobe Devanagari"/>
          <w:spacing w:val="-3"/>
          <w:sz w:val="26"/>
          <w:szCs w:val="26"/>
          <w:lang w:val="en-GB"/>
        </w:rPr>
        <w:t xml:space="preserve">. </w:t>
      </w:r>
      <w:r>
        <w:rPr>
          <w:rFonts w:ascii="Perpetua" w:hAnsi="Perpetua" w:cs="Adobe Devanagari"/>
          <w:spacing w:val="-3"/>
          <w:sz w:val="26"/>
          <w:szCs w:val="26"/>
          <w:lang w:val="en-GB"/>
        </w:rPr>
        <w:t xml:space="preserve">Although a possible response to his behaviour is that the Duke is shirking his responsibility and his returning incognito to spy on his Deputy is disreputable, the benefit of the ploy is in its power to enjoin knowledge of his state with the power of </w:t>
      </w:r>
      <w:proofErr w:type="spellStart"/>
      <w:r>
        <w:rPr>
          <w:rFonts w:ascii="Perpetua" w:hAnsi="Perpetua" w:cs="Adobe Devanagari"/>
          <w:spacing w:val="-3"/>
          <w:sz w:val="26"/>
          <w:szCs w:val="26"/>
          <w:lang w:val="en-GB"/>
        </w:rPr>
        <w:t>rulership</w:t>
      </w:r>
      <w:proofErr w:type="spellEnd"/>
      <w:r>
        <w:rPr>
          <w:rFonts w:ascii="Perpetua" w:hAnsi="Perpetua" w:cs="Adobe Devanagari"/>
          <w:spacing w:val="-3"/>
          <w:sz w:val="26"/>
          <w:szCs w:val="26"/>
          <w:lang w:val="en-GB"/>
        </w:rPr>
        <w:t>. There are ancestral precedents, such as the Roman Emperor Alexander Severus. ‘Determined to stamp out vice and corruption, he insisted on upright judges, appointed two Censors to investigate abuses in Rome, and dispatched emissaries through Italy to listen to the people’s complaints.’</w:t>
      </w:r>
      <w:r>
        <w:rPr>
          <w:rStyle w:val="FootnoteReference"/>
          <w:rFonts w:ascii="Perpetua" w:hAnsi="Perpetua" w:cs="Adobe Devanagari"/>
          <w:spacing w:val="-3"/>
          <w:sz w:val="26"/>
          <w:szCs w:val="26"/>
          <w:lang w:val="en-GB"/>
        </w:rPr>
        <w:footnoteReference w:id="16"/>
      </w:r>
      <w:r>
        <w:rPr>
          <w:rFonts w:ascii="Perpetua" w:hAnsi="Perpetua" w:cs="Adobe Devanagari"/>
          <w:spacing w:val="-3"/>
          <w:sz w:val="26"/>
          <w:szCs w:val="26"/>
          <w:lang w:val="en-GB"/>
        </w:rPr>
        <w:t xml:space="preserve"> Moreover he ‘</w:t>
      </w:r>
      <w:proofErr w:type="spellStart"/>
      <w:r>
        <w:rPr>
          <w:rFonts w:ascii="Perpetua" w:hAnsi="Perpetua" w:cs="Adobe Devanagari"/>
          <w:spacing w:val="-3"/>
          <w:sz w:val="26"/>
          <w:szCs w:val="26"/>
          <w:lang w:val="en-GB"/>
        </w:rPr>
        <w:t>vsed</w:t>
      </w:r>
      <w:proofErr w:type="spellEnd"/>
      <w:r>
        <w:rPr>
          <w:rFonts w:ascii="Perpetua" w:hAnsi="Perpetua" w:cs="Adobe Devanagari"/>
          <w:spacing w:val="-3"/>
          <w:sz w:val="26"/>
          <w:szCs w:val="26"/>
          <w:lang w:val="en-GB"/>
        </w:rPr>
        <w:t xml:space="preserve"> many </w:t>
      </w:r>
      <w:proofErr w:type="spellStart"/>
      <w:r>
        <w:rPr>
          <w:rFonts w:ascii="Perpetua" w:hAnsi="Perpetua" w:cs="Adobe Devanagari"/>
          <w:spacing w:val="-3"/>
          <w:sz w:val="26"/>
          <w:szCs w:val="26"/>
          <w:lang w:val="en-GB"/>
        </w:rPr>
        <w:t>tymes</w:t>
      </w:r>
      <w:proofErr w:type="spellEnd"/>
      <w:r>
        <w:rPr>
          <w:rFonts w:ascii="Perpetua" w:hAnsi="Perpetua" w:cs="Adobe Devanagari"/>
          <w:spacing w:val="-3"/>
          <w:sz w:val="26"/>
          <w:szCs w:val="26"/>
          <w:lang w:val="en-GB"/>
        </w:rPr>
        <w:t xml:space="preserve"> to disguise </w:t>
      </w:r>
      <w:proofErr w:type="spellStart"/>
      <w:r>
        <w:rPr>
          <w:rFonts w:ascii="Perpetua" w:hAnsi="Perpetua" w:cs="Adobe Devanagari"/>
          <w:spacing w:val="-3"/>
          <w:sz w:val="26"/>
          <w:szCs w:val="26"/>
          <w:lang w:val="en-GB"/>
        </w:rPr>
        <w:t>hym</w:t>
      </w:r>
      <w:proofErr w:type="spellEnd"/>
      <w:r>
        <w:rPr>
          <w:rFonts w:ascii="Perpetua" w:hAnsi="Perpetua" w:cs="Adobe Devanagari"/>
          <w:spacing w:val="-3"/>
          <w:sz w:val="26"/>
          <w:szCs w:val="26"/>
          <w:lang w:val="en-GB"/>
        </w:rPr>
        <w:t xml:space="preserve"> </w:t>
      </w:r>
      <w:proofErr w:type="spellStart"/>
      <w:r>
        <w:rPr>
          <w:rFonts w:ascii="Perpetua" w:hAnsi="Perpetua" w:cs="Adobe Devanagari"/>
          <w:spacing w:val="-3"/>
          <w:sz w:val="26"/>
          <w:szCs w:val="26"/>
          <w:lang w:val="en-GB"/>
        </w:rPr>
        <w:t>selfe</w:t>
      </w:r>
      <w:proofErr w:type="spellEnd"/>
      <w:r>
        <w:rPr>
          <w:rFonts w:ascii="Perpetua" w:hAnsi="Perpetua" w:cs="Adobe Devanagari"/>
          <w:spacing w:val="-3"/>
          <w:sz w:val="26"/>
          <w:szCs w:val="26"/>
          <w:lang w:val="en-GB"/>
        </w:rPr>
        <w:t xml:space="preserve"> in </w:t>
      </w:r>
      <w:proofErr w:type="spellStart"/>
      <w:r>
        <w:rPr>
          <w:rFonts w:ascii="Perpetua" w:hAnsi="Perpetua" w:cs="Adobe Devanagari"/>
          <w:spacing w:val="-3"/>
          <w:sz w:val="26"/>
          <w:szCs w:val="26"/>
          <w:lang w:val="en-GB"/>
        </w:rPr>
        <w:t>dyvers</w:t>
      </w:r>
      <w:proofErr w:type="spellEnd"/>
      <w:r>
        <w:rPr>
          <w:rFonts w:ascii="Perpetua" w:hAnsi="Perpetua" w:cs="Adobe Devanagari"/>
          <w:spacing w:val="-3"/>
          <w:sz w:val="26"/>
          <w:szCs w:val="26"/>
          <w:lang w:val="en-GB"/>
        </w:rPr>
        <w:t xml:space="preserve"> </w:t>
      </w:r>
      <w:proofErr w:type="spellStart"/>
      <w:r>
        <w:rPr>
          <w:rFonts w:ascii="Perpetua" w:hAnsi="Perpetua" w:cs="Adobe Devanagari"/>
          <w:spacing w:val="-3"/>
          <w:sz w:val="26"/>
          <w:szCs w:val="26"/>
          <w:lang w:val="en-GB"/>
        </w:rPr>
        <w:t>straunge</w:t>
      </w:r>
      <w:proofErr w:type="spellEnd"/>
      <w:r>
        <w:rPr>
          <w:rFonts w:ascii="Perpetua" w:hAnsi="Perpetua" w:cs="Adobe Devanagari"/>
          <w:spacing w:val="-3"/>
          <w:sz w:val="26"/>
          <w:szCs w:val="26"/>
          <w:lang w:val="en-GB"/>
        </w:rPr>
        <w:t xml:space="preserve"> </w:t>
      </w:r>
      <w:proofErr w:type="spellStart"/>
      <w:r>
        <w:rPr>
          <w:rFonts w:ascii="Perpetua" w:hAnsi="Perpetua" w:cs="Adobe Devanagari"/>
          <w:spacing w:val="-3"/>
          <w:sz w:val="26"/>
          <w:szCs w:val="26"/>
          <w:lang w:val="en-GB"/>
        </w:rPr>
        <w:t>facions</w:t>
      </w:r>
      <w:proofErr w:type="spellEnd"/>
      <w:r>
        <w:rPr>
          <w:rFonts w:ascii="Perpetua" w:hAnsi="Perpetua" w:cs="Adobe Devanagari"/>
          <w:spacing w:val="-3"/>
          <w:sz w:val="26"/>
          <w:szCs w:val="26"/>
          <w:lang w:val="en-GB"/>
        </w:rPr>
        <w:t xml:space="preserve"> […] </w:t>
      </w:r>
      <w:proofErr w:type="gramStart"/>
      <w:r>
        <w:rPr>
          <w:rFonts w:ascii="Perpetua" w:hAnsi="Perpetua" w:cs="Adobe Devanagari"/>
          <w:spacing w:val="-3"/>
          <w:sz w:val="26"/>
          <w:szCs w:val="26"/>
          <w:lang w:val="en-GB"/>
        </w:rPr>
        <w:t>And</w:t>
      </w:r>
      <w:proofErr w:type="gramEnd"/>
      <w:r>
        <w:rPr>
          <w:rFonts w:ascii="Perpetua" w:hAnsi="Perpetua" w:cs="Adobe Devanagari"/>
          <w:spacing w:val="-3"/>
          <w:sz w:val="26"/>
          <w:szCs w:val="26"/>
          <w:lang w:val="en-GB"/>
        </w:rPr>
        <w:t xml:space="preserve"> … </w:t>
      </w:r>
      <w:proofErr w:type="spellStart"/>
      <w:r>
        <w:rPr>
          <w:rFonts w:ascii="Perpetua" w:hAnsi="Perpetua" w:cs="Adobe Devanagari"/>
          <w:spacing w:val="-3"/>
          <w:sz w:val="26"/>
          <w:szCs w:val="26"/>
          <w:lang w:val="en-GB"/>
        </w:rPr>
        <w:t>woulde</w:t>
      </w:r>
      <w:proofErr w:type="spellEnd"/>
      <w:r>
        <w:rPr>
          <w:rFonts w:ascii="Perpetua" w:hAnsi="Perpetua" w:cs="Adobe Devanagari"/>
          <w:spacing w:val="-3"/>
          <w:sz w:val="26"/>
          <w:szCs w:val="26"/>
          <w:lang w:val="en-GB"/>
        </w:rPr>
        <w:t xml:space="preserve"> one day </w:t>
      </w:r>
      <w:proofErr w:type="spellStart"/>
      <w:r>
        <w:rPr>
          <w:rFonts w:ascii="Perpetua" w:hAnsi="Perpetua" w:cs="Adobe Devanagari"/>
          <w:spacing w:val="-3"/>
          <w:sz w:val="26"/>
          <w:szCs w:val="26"/>
          <w:lang w:val="en-GB"/>
        </w:rPr>
        <w:t>haunte</w:t>
      </w:r>
      <w:proofErr w:type="spellEnd"/>
      <w:r>
        <w:rPr>
          <w:rFonts w:ascii="Perpetua" w:hAnsi="Perpetua" w:cs="Adobe Devanagari"/>
          <w:spacing w:val="-3"/>
          <w:sz w:val="26"/>
          <w:szCs w:val="26"/>
          <w:lang w:val="en-GB"/>
        </w:rPr>
        <w:t xml:space="preserve"> one </w:t>
      </w:r>
      <w:proofErr w:type="spellStart"/>
      <w:r>
        <w:rPr>
          <w:rFonts w:ascii="Perpetua" w:hAnsi="Perpetua" w:cs="Adobe Devanagari"/>
          <w:spacing w:val="-3"/>
          <w:sz w:val="26"/>
          <w:szCs w:val="26"/>
          <w:lang w:val="en-GB"/>
        </w:rPr>
        <w:t>parte</w:t>
      </w:r>
      <w:proofErr w:type="spellEnd"/>
      <w:r>
        <w:rPr>
          <w:rFonts w:ascii="Perpetua" w:hAnsi="Perpetua" w:cs="Adobe Devanagari"/>
          <w:spacing w:val="-3"/>
          <w:sz w:val="26"/>
          <w:szCs w:val="26"/>
          <w:lang w:val="en-GB"/>
        </w:rPr>
        <w:t xml:space="preserve"> of the cite, </w:t>
      </w:r>
      <w:proofErr w:type="spellStart"/>
      <w:r>
        <w:rPr>
          <w:rFonts w:ascii="Perpetua" w:hAnsi="Perpetua" w:cs="Adobe Devanagari"/>
          <w:spacing w:val="-3"/>
          <w:sz w:val="26"/>
          <w:szCs w:val="26"/>
          <w:lang w:val="en-GB"/>
        </w:rPr>
        <w:t>an other</w:t>
      </w:r>
      <w:proofErr w:type="spellEnd"/>
      <w:r>
        <w:rPr>
          <w:rFonts w:ascii="Perpetua" w:hAnsi="Perpetua" w:cs="Adobe Devanagari"/>
          <w:spacing w:val="-3"/>
          <w:sz w:val="26"/>
          <w:szCs w:val="26"/>
          <w:lang w:val="en-GB"/>
        </w:rPr>
        <w:t xml:space="preserve"> day </w:t>
      </w:r>
      <w:proofErr w:type="spellStart"/>
      <w:r>
        <w:rPr>
          <w:rFonts w:ascii="Perpetua" w:hAnsi="Perpetua" w:cs="Adobe Devanagari"/>
          <w:spacing w:val="-3"/>
          <w:sz w:val="26"/>
          <w:szCs w:val="26"/>
          <w:lang w:val="en-GB"/>
        </w:rPr>
        <w:t>an other</w:t>
      </w:r>
      <w:proofErr w:type="spellEnd"/>
      <w:r>
        <w:rPr>
          <w:rFonts w:ascii="Perpetua" w:hAnsi="Perpetua" w:cs="Adobe Devanagari"/>
          <w:spacing w:val="-3"/>
          <w:sz w:val="26"/>
          <w:szCs w:val="26"/>
          <w:lang w:val="en-GB"/>
        </w:rPr>
        <w:t xml:space="preserve"> parte … to see the state of the people, with the </w:t>
      </w:r>
      <w:proofErr w:type="spellStart"/>
      <w:r>
        <w:rPr>
          <w:rFonts w:ascii="Perpetua" w:hAnsi="Perpetua" w:cs="Adobe Devanagari"/>
          <w:spacing w:val="-3"/>
          <w:sz w:val="26"/>
          <w:szCs w:val="26"/>
          <w:lang w:val="en-GB"/>
        </w:rPr>
        <w:t>industrie</w:t>
      </w:r>
      <w:proofErr w:type="spellEnd"/>
      <w:r>
        <w:rPr>
          <w:rFonts w:ascii="Perpetua" w:hAnsi="Perpetua" w:cs="Adobe Devanagari"/>
          <w:spacing w:val="-3"/>
          <w:sz w:val="26"/>
          <w:szCs w:val="26"/>
          <w:lang w:val="en-GB"/>
        </w:rPr>
        <w:t xml:space="preserve"> or negligence of </w:t>
      </w:r>
      <w:proofErr w:type="spellStart"/>
      <w:r>
        <w:rPr>
          <w:rFonts w:ascii="Perpetua" w:hAnsi="Perpetua" w:cs="Adobe Devanagari"/>
          <w:spacing w:val="-3"/>
          <w:sz w:val="26"/>
          <w:szCs w:val="26"/>
          <w:lang w:val="en-GB"/>
        </w:rPr>
        <w:t>theym</w:t>
      </w:r>
      <w:proofErr w:type="spellEnd"/>
      <w:r>
        <w:rPr>
          <w:rFonts w:ascii="Perpetua" w:hAnsi="Perpetua" w:cs="Adobe Devanagari"/>
          <w:spacing w:val="-3"/>
          <w:sz w:val="26"/>
          <w:szCs w:val="26"/>
          <w:lang w:val="en-GB"/>
        </w:rPr>
        <w:t xml:space="preserve"> that were officers’.</w:t>
      </w:r>
      <w:r>
        <w:rPr>
          <w:rStyle w:val="FootnoteReference"/>
          <w:rFonts w:ascii="Perpetua" w:hAnsi="Perpetua" w:cs="Adobe Devanagari"/>
          <w:spacing w:val="-3"/>
          <w:sz w:val="26"/>
          <w:szCs w:val="26"/>
          <w:lang w:val="en-GB"/>
        </w:rPr>
        <w:footnoteReference w:id="17"/>
      </w:r>
    </w:p>
    <w:p w:rsidR="009D7A7D" w:rsidRPr="00251C7B" w:rsidRDefault="009D7A7D" w:rsidP="00251C7B">
      <w:pPr>
        <w:tabs>
          <w:tab w:val="left" w:pos="-720"/>
          <w:tab w:val="left" w:pos="0"/>
        </w:tabs>
        <w:suppressAutoHyphens/>
        <w:snapToGrid/>
        <w:ind w:left="1134" w:right="1134"/>
        <w:rPr>
          <w:rFonts w:ascii="Perpetua" w:hAnsi="Perpetua" w:cs="Adobe Devanagari"/>
          <w:spacing w:val="-3"/>
          <w:szCs w:val="24"/>
          <w:lang w:val="en-GB"/>
        </w:rPr>
      </w:pPr>
    </w:p>
    <w:p w:rsidR="009D7A7D" w:rsidRPr="00251C7B" w:rsidRDefault="009D7A7D" w:rsidP="00251C7B">
      <w:pPr>
        <w:tabs>
          <w:tab w:val="left" w:pos="-720"/>
          <w:tab w:val="left" w:pos="0"/>
        </w:tabs>
        <w:suppressAutoHyphens/>
        <w:snapToGrid/>
        <w:ind w:left="1134" w:right="1134"/>
        <w:rPr>
          <w:rFonts w:ascii="Perpetua" w:hAnsi="Perpetua" w:cs="Adobe Devanagari"/>
          <w:spacing w:val="-3"/>
          <w:szCs w:val="24"/>
          <w:lang w:val="en-GB"/>
        </w:rPr>
      </w:pPr>
      <w:r w:rsidRPr="00251C7B">
        <w:rPr>
          <w:rFonts w:ascii="Perpetua" w:hAnsi="Perpetua" w:cs="Adobe Devanagari"/>
          <w:spacing w:val="-3"/>
          <w:szCs w:val="24"/>
          <w:lang w:val="en-GB"/>
        </w:rPr>
        <w:t>His decision to tell Isabella her brother is dead could be seen as a tough way of teaching her the value of the life she was willing to sacrifice, but the Duke announces only a playwright’s reason, ‘to make her heavenly comforts of despair</w:t>
      </w:r>
      <w:r w:rsidR="000C6CBB" w:rsidRPr="00251C7B">
        <w:rPr>
          <w:rFonts w:ascii="Perpetua" w:hAnsi="Perpetua" w:cs="Adobe Devanagari"/>
          <w:spacing w:val="-3"/>
          <w:szCs w:val="24"/>
          <w:lang w:val="en-GB"/>
        </w:rPr>
        <w:t>, / When it is least expected’ (IV.3). Writers may treat their characters this way, but between one character and another it looks heartless.</w:t>
      </w:r>
      <w:r w:rsidR="00251C7B" w:rsidRPr="00251C7B">
        <w:rPr>
          <w:rFonts w:ascii="Perpetua" w:hAnsi="Perpetua" w:cs="Adobe Devanagari"/>
          <w:spacing w:val="-3"/>
          <w:szCs w:val="24"/>
          <w:lang w:val="en-GB"/>
        </w:rPr>
        <w:t xml:space="preserve"> The Duke’s motives appear more positive in the last scene, when he makes Isabella plead for Angelo’s life, wringing from her an expression of charity that is the more convincing for being obviously difficult.</w:t>
      </w:r>
      <w:r w:rsidR="00251C7B" w:rsidRPr="00251C7B">
        <w:rPr>
          <w:rStyle w:val="FootnoteReference"/>
          <w:rFonts w:ascii="Perpetua" w:hAnsi="Perpetua" w:cs="Adobe Devanagari"/>
          <w:spacing w:val="-3"/>
          <w:szCs w:val="24"/>
          <w:lang w:val="en-GB"/>
        </w:rPr>
        <w:footnoteReference w:id="18"/>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FE7A66" w:rsidRDefault="00FE7A66"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Isabella’s final plea for Angelo’s life, though legalistically expressed, has been said to reveal ‘how </w:t>
      </w:r>
      <w:r>
        <w:rPr>
          <w:rFonts w:ascii="Perpetua" w:hAnsi="Perpetua" w:cs="Adobe Devanagari"/>
          <w:spacing w:val="-3"/>
          <w:sz w:val="26"/>
          <w:szCs w:val="26"/>
          <w:lang w:val="en-GB"/>
        </w:rPr>
        <w:lastRenderedPageBreak/>
        <w:t>profoundly her suffering has changed her and that she has acquired a capacity for mercy which was lacking in her treatment of her brother’.</w:t>
      </w:r>
      <w:r>
        <w:rPr>
          <w:rStyle w:val="FootnoteReference"/>
          <w:rFonts w:ascii="Perpetua" w:hAnsi="Perpetua" w:cs="Adobe Devanagari"/>
          <w:spacing w:val="-3"/>
          <w:sz w:val="26"/>
          <w:szCs w:val="26"/>
          <w:lang w:val="en-GB"/>
        </w:rPr>
        <w:footnoteReference w:id="19"/>
      </w:r>
    </w:p>
    <w:p w:rsidR="00FE7A66" w:rsidRDefault="00FE7A66"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P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Default="00AB070C" w:rsidP="00A36747">
      <w:pPr>
        <w:pStyle w:val="ListParagraph"/>
        <w:numPr>
          <w:ilvl w:val="0"/>
          <w:numId w:val="7"/>
        </w:numPr>
        <w:tabs>
          <w:tab w:val="left" w:pos="-720"/>
          <w:tab w:val="left" w:pos="0"/>
        </w:tabs>
        <w:suppressAutoHyphens/>
        <w:snapToGrid/>
        <w:spacing w:line="276" w:lineRule="auto"/>
        <w:rPr>
          <w:rFonts w:ascii="Perpetua" w:hAnsi="Perpetua" w:cs="Adobe Devanagari"/>
          <w:b/>
          <w:spacing w:val="-3"/>
          <w:sz w:val="26"/>
          <w:szCs w:val="26"/>
          <w:lang w:val="en-GB"/>
        </w:rPr>
      </w:pPr>
      <w:r w:rsidRPr="00296295">
        <w:rPr>
          <w:rFonts w:ascii="Perpetua" w:hAnsi="Perpetua" w:cs="Adobe Devanagari"/>
          <w:b/>
          <w:spacing w:val="-3"/>
          <w:sz w:val="26"/>
          <w:szCs w:val="26"/>
          <w:lang w:val="en-GB"/>
        </w:rPr>
        <w:t>Birth, or creation, and death; sex and death; sexual morality and exchange</w:t>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8D2086" w:rsidRDefault="008D2086"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w:t>
      </w:r>
      <w:r>
        <w:rPr>
          <w:rFonts w:ascii="Perpetua" w:hAnsi="Perpetua" w:cs="Adobe Devanagari"/>
          <w:i/>
          <w:spacing w:val="-3"/>
          <w:sz w:val="26"/>
          <w:szCs w:val="26"/>
          <w:lang w:val="en-GB"/>
        </w:rPr>
        <w:t>The End of Kinship: ‘Measure of Measure’, Incest, and the Ideal of Universal Siblinghood</w:t>
      </w:r>
      <w:r>
        <w:rPr>
          <w:rFonts w:ascii="Perpetua" w:hAnsi="Perpetua" w:cs="Adobe Devanagari"/>
          <w:spacing w:val="-3"/>
          <w:sz w:val="26"/>
          <w:szCs w:val="26"/>
          <w:lang w:val="en-GB"/>
        </w:rPr>
        <w:t xml:space="preserve">, Marc Shell argues that the collision of two motive forces powers the plot of </w:t>
      </w:r>
      <w:r>
        <w:rPr>
          <w:rFonts w:ascii="Perpetua" w:hAnsi="Perpetua" w:cs="Adobe Devanagari"/>
          <w:i/>
          <w:spacing w:val="-3"/>
          <w:sz w:val="26"/>
          <w:szCs w:val="26"/>
          <w:lang w:val="en-GB"/>
        </w:rPr>
        <w:t>Measure for Measure</w:t>
      </w:r>
      <w:r>
        <w:rPr>
          <w:rFonts w:ascii="Perpetua" w:hAnsi="Perpetua" w:cs="Adobe Devanagari"/>
          <w:spacing w:val="-3"/>
          <w:sz w:val="26"/>
          <w:szCs w:val="26"/>
          <w:lang w:val="en-GB"/>
        </w:rPr>
        <w:t>:</w:t>
      </w:r>
      <w:r w:rsidR="00FF252D">
        <w:rPr>
          <w:rFonts w:ascii="Perpetua" w:hAnsi="Perpetua" w:cs="Adobe Devanagari"/>
          <w:spacing w:val="-3"/>
          <w:sz w:val="26"/>
          <w:szCs w:val="26"/>
          <w:lang w:val="en-GB"/>
        </w:rPr>
        <w:t xml:space="preserve"> ‘</w:t>
      </w:r>
      <w:r>
        <w:rPr>
          <w:rFonts w:ascii="Perpetua" w:hAnsi="Perpetua" w:cs="Adobe Devanagari"/>
          <w:spacing w:val="-3"/>
          <w:sz w:val="26"/>
          <w:szCs w:val="26"/>
          <w:lang w:val="en-GB"/>
        </w:rPr>
        <w:t>On the one hand is the urge to reproduce our kind, no matter how; on the other is the urge to set limits on how we reproduce or to arrest reproduction al</w:t>
      </w:r>
      <w:r w:rsidR="00FF252D">
        <w:rPr>
          <w:rFonts w:ascii="Perpetua" w:hAnsi="Perpetua" w:cs="Adobe Devanagari"/>
          <w:spacing w:val="-3"/>
          <w:sz w:val="26"/>
          <w:szCs w:val="26"/>
          <w:lang w:val="en-GB"/>
        </w:rPr>
        <w:t>together.’</w:t>
      </w:r>
      <w:r w:rsidR="00FF252D">
        <w:rPr>
          <w:rStyle w:val="FootnoteReference"/>
          <w:rFonts w:ascii="Perpetua" w:hAnsi="Perpetua" w:cs="Adobe Devanagari"/>
          <w:spacing w:val="-3"/>
          <w:sz w:val="26"/>
          <w:szCs w:val="26"/>
          <w:lang w:val="en-GB"/>
        </w:rPr>
        <w:footnoteReference w:id="20"/>
      </w:r>
    </w:p>
    <w:p w:rsidR="008D2086" w:rsidRDefault="008D2086"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D91726" w:rsidRDefault="00D91726"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The low-life characters of </w:t>
      </w:r>
      <w:r>
        <w:rPr>
          <w:rFonts w:ascii="Perpetua" w:hAnsi="Perpetua" w:cs="Adobe Devanagari"/>
          <w:i/>
          <w:spacing w:val="-3"/>
          <w:sz w:val="26"/>
          <w:szCs w:val="26"/>
          <w:lang w:val="en-GB"/>
        </w:rPr>
        <w:t>Measure for Measure</w:t>
      </w:r>
      <w:r>
        <w:rPr>
          <w:rFonts w:ascii="Perpetua" w:hAnsi="Perpetua" w:cs="Adobe Devanagari"/>
          <w:spacing w:val="-3"/>
          <w:sz w:val="26"/>
          <w:szCs w:val="26"/>
          <w:lang w:val="en-GB"/>
        </w:rPr>
        <w:t xml:space="preserve"> ‘inhabit a diseased world of brothels and prisons’, but, according to the editors of </w:t>
      </w:r>
      <w:r w:rsidRPr="000479E0">
        <w:rPr>
          <w:rFonts w:ascii="Perpetua" w:hAnsi="Perpetua" w:cs="Adobe Devanagari"/>
          <w:i/>
          <w:spacing w:val="-3"/>
          <w:sz w:val="26"/>
          <w:szCs w:val="26"/>
          <w:lang w:val="en-GB"/>
        </w:rPr>
        <w:t>The Oxford Shakespeare: The Complete Works</w:t>
      </w:r>
      <w:r>
        <w:rPr>
          <w:rFonts w:ascii="Perpetua" w:hAnsi="Perpetua" w:cs="Adobe Devanagari"/>
          <w:spacing w:val="-3"/>
          <w:sz w:val="26"/>
          <w:szCs w:val="26"/>
          <w:lang w:val="en-GB"/>
        </w:rPr>
        <w:t xml:space="preserve">, ‘there is a life-enhancing </w:t>
      </w:r>
      <w:proofErr w:type="gramStart"/>
      <w:r>
        <w:rPr>
          <w:rFonts w:ascii="Perpetua" w:hAnsi="Perpetua" w:cs="Adobe Devanagari"/>
          <w:spacing w:val="-3"/>
          <w:sz w:val="26"/>
          <w:szCs w:val="26"/>
          <w:lang w:val="en-GB"/>
        </w:rPr>
        <w:t>quality</w:t>
      </w:r>
      <w:proofErr w:type="gramEnd"/>
      <w:r>
        <w:rPr>
          <w:rFonts w:ascii="Perpetua" w:hAnsi="Perpetua" w:cs="Adobe Devanagari"/>
          <w:spacing w:val="-3"/>
          <w:sz w:val="26"/>
          <w:szCs w:val="26"/>
          <w:lang w:val="en-GB"/>
        </w:rPr>
        <w:t xml:space="preserve"> in their frank acknowledgement of sexuality’.</w:t>
      </w:r>
      <w:r>
        <w:rPr>
          <w:rStyle w:val="FootnoteReference"/>
          <w:rFonts w:ascii="Perpetua" w:hAnsi="Perpetua" w:cs="Adobe Devanagari"/>
          <w:spacing w:val="-3"/>
          <w:sz w:val="26"/>
          <w:szCs w:val="26"/>
          <w:lang w:val="en-GB"/>
        </w:rPr>
        <w:footnoteReference w:id="21"/>
      </w:r>
    </w:p>
    <w:p w:rsidR="00613BB7" w:rsidRPr="00254F52" w:rsidRDefault="00613BB7" w:rsidP="00254F52">
      <w:pPr>
        <w:tabs>
          <w:tab w:val="left" w:pos="-720"/>
          <w:tab w:val="left" w:pos="0"/>
        </w:tabs>
        <w:suppressAutoHyphens/>
        <w:snapToGrid/>
        <w:ind w:left="1134" w:right="1134"/>
        <w:rPr>
          <w:rFonts w:ascii="Perpetua" w:hAnsi="Perpetua" w:cs="Adobe Devanagari"/>
          <w:spacing w:val="-3"/>
          <w:szCs w:val="24"/>
          <w:lang w:val="en-GB"/>
        </w:rPr>
      </w:pPr>
    </w:p>
    <w:p w:rsidR="00613BB7" w:rsidRPr="00254F52" w:rsidRDefault="00613BB7" w:rsidP="00254F52">
      <w:pPr>
        <w:tabs>
          <w:tab w:val="left" w:pos="-720"/>
          <w:tab w:val="left" w:pos="0"/>
        </w:tabs>
        <w:suppressAutoHyphens/>
        <w:snapToGrid/>
        <w:ind w:left="1134" w:right="1134"/>
        <w:rPr>
          <w:rFonts w:ascii="Perpetua" w:hAnsi="Perpetua" w:cs="Adobe Devanagari"/>
          <w:spacing w:val="-3"/>
          <w:szCs w:val="24"/>
          <w:lang w:val="en-GB"/>
        </w:rPr>
      </w:pPr>
      <w:r w:rsidRPr="00254F52">
        <w:rPr>
          <w:rFonts w:ascii="Perpetua" w:hAnsi="Perpetua" w:cs="Adobe Devanagari"/>
          <w:spacing w:val="-3"/>
          <w:szCs w:val="24"/>
          <w:lang w:val="en-GB"/>
        </w:rPr>
        <w:t>Arguably, the only normative sexual relationship is that between Claudio and Juliet, its fertile outcome described in imagery conspicuously at odds with the prevailing idiom of the play: [I.iv.40-44].</w:t>
      </w:r>
      <w:r w:rsidR="00254F52" w:rsidRPr="00254F52">
        <w:rPr>
          <w:rFonts w:ascii="Perpetua" w:hAnsi="Perpetua" w:cs="Adobe Devanagari"/>
          <w:spacing w:val="-3"/>
          <w:szCs w:val="24"/>
          <w:lang w:val="en-GB"/>
        </w:rPr>
        <w:t xml:space="preserve"> Where sexuality here is defined in terms of natural beauty and fecundity, elsewhere in the play it is more commonly associated with disease, aggression and ‘dark corners’, the two main sites of the dramatic action – the brothel and the prison – seeming to signal a clear trajectory from desire to punishment.</w:t>
      </w:r>
      <w:r w:rsidRPr="00254F52">
        <w:rPr>
          <w:rStyle w:val="FootnoteReference"/>
          <w:rFonts w:ascii="Perpetua" w:hAnsi="Perpetua" w:cs="Adobe Devanagari"/>
          <w:spacing w:val="-3"/>
          <w:szCs w:val="24"/>
          <w:lang w:val="en-GB"/>
        </w:rPr>
        <w:footnoteReference w:id="22"/>
      </w:r>
    </w:p>
    <w:p w:rsidR="00F26A7D" w:rsidRDefault="00F26A7D"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431AF7" w:rsidRDefault="007E4C79" w:rsidP="00431AF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The audience is offered an alternative to the sordidness of sexuality through the puritanism of Angelo and through Isabella’s decision to commit herself to a convent.</w:t>
      </w:r>
      <w:r w:rsidRPr="007E4C79">
        <w:rPr>
          <w:rFonts w:ascii="Perpetua" w:hAnsi="Perpetua" w:cs="Adobe Devanagari"/>
          <w:spacing w:val="-3"/>
          <w:sz w:val="26"/>
          <w:szCs w:val="26"/>
          <w:lang w:val="en-GB"/>
        </w:rPr>
        <w:t xml:space="preserve"> </w:t>
      </w:r>
      <w:r w:rsidR="00431AF7">
        <w:rPr>
          <w:rFonts w:ascii="Perpetua" w:hAnsi="Perpetua" w:cs="Adobe Devanagari"/>
          <w:spacing w:val="-3"/>
          <w:sz w:val="26"/>
          <w:szCs w:val="26"/>
          <w:lang w:val="en-GB"/>
        </w:rPr>
        <w:t xml:space="preserve">What do you understand by the dialogue between Isabella and Francesca, a nun, at the beginning of Act I, Scene </w:t>
      </w:r>
      <w:proofErr w:type="gramStart"/>
      <w:r w:rsidR="00431AF7">
        <w:rPr>
          <w:rFonts w:ascii="Perpetua" w:hAnsi="Perpetua" w:cs="Adobe Devanagari"/>
          <w:spacing w:val="-3"/>
          <w:sz w:val="26"/>
          <w:szCs w:val="26"/>
          <w:lang w:val="en-GB"/>
        </w:rPr>
        <w:t>iv</w:t>
      </w:r>
      <w:proofErr w:type="gramEnd"/>
      <w:r w:rsidR="00431AF7">
        <w:rPr>
          <w:rFonts w:ascii="Perpetua" w:hAnsi="Perpetua" w:cs="Adobe Devanagari"/>
          <w:spacing w:val="-3"/>
          <w:sz w:val="26"/>
          <w:szCs w:val="26"/>
          <w:lang w:val="en-GB"/>
        </w:rPr>
        <w:t>?</w:t>
      </w:r>
    </w:p>
    <w:p w:rsidR="00431AF7" w:rsidRPr="00881B5D" w:rsidRDefault="00431AF7" w:rsidP="00881B5D">
      <w:pPr>
        <w:tabs>
          <w:tab w:val="left" w:pos="-720"/>
          <w:tab w:val="left" w:pos="0"/>
        </w:tabs>
        <w:suppressAutoHyphens/>
        <w:snapToGrid/>
        <w:ind w:left="1134" w:right="1134"/>
        <w:rPr>
          <w:rFonts w:ascii="Perpetua" w:hAnsi="Perpetua" w:cs="Adobe Devanagari"/>
          <w:spacing w:val="-3"/>
          <w:szCs w:val="24"/>
          <w:lang w:val="en-GB"/>
        </w:rPr>
      </w:pPr>
    </w:p>
    <w:p w:rsidR="00431AF7" w:rsidRPr="00881B5D" w:rsidRDefault="00431AF7" w:rsidP="00881B5D">
      <w:pPr>
        <w:tabs>
          <w:tab w:val="left" w:pos="-720"/>
          <w:tab w:val="left" w:pos="0"/>
        </w:tabs>
        <w:suppressAutoHyphens/>
        <w:snapToGrid/>
        <w:ind w:left="1134" w:right="1134"/>
        <w:rPr>
          <w:rFonts w:ascii="Perpetua" w:hAnsi="Perpetua" w:cs="Adobe Devanagari"/>
          <w:spacing w:val="-3"/>
          <w:szCs w:val="24"/>
          <w:lang w:val="en-GB"/>
        </w:rPr>
      </w:pPr>
      <w:r w:rsidRPr="00881B5D">
        <w:rPr>
          <w:rFonts w:ascii="Perpetua" w:hAnsi="Perpetua" w:cs="Adobe Devanagari"/>
          <w:spacing w:val="-3"/>
          <w:szCs w:val="24"/>
          <w:lang w:val="en-GB"/>
        </w:rPr>
        <w:t xml:space="preserve">When Lucio asks [Isabella] to go to Angelo to plead for her </w:t>
      </w:r>
      <w:proofErr w:type="gramStart"/>
      <w:r w:rsidRPr="00881B5D">
        <w:rPr>
          <w:rFonts w:ascii="Perpetua" w:hAnsi="Perpetua" w:cs="Adobe Devanagari"/>
          <w:spacing w:val="-3"/>
          <w:szCs w:val="24"/>
          <w:lang w:val="en-GB"/>
        </w:rPr>
        <w:t>brother</w:t>
      </w:r>
      <w:proofErr w:type="gramEnd"/>
      <w:r w:rsidRPr="00881B5D">
        <w:rPr>
          <w:rFonts w:ascii="Perpetua" w:hAnsi="Perpetua" w:cs="Adobe Devanagari"/>
          <w:spacing w:val="-3"/>
          <w:szCs w:val="24"/>
          <w:lang w:val="en-GB"/>
        </w:rPr>
        <w:t xml:space="preserve"> Claudio’s life, she is clearly reluctant. Her reluctance may be unattractive, but in a way it is justified by the event. Like Angelo, she combines a strongly repressed nature with a belief in moral and legal absolutes. Pleading for her brother’s life, she is forced to argue against a strict application of the law – ‘</w:t>
      </w:r>
      <w:proofErr w:type="spellStart"/>
      <w:r w:rsidRPr="00881B5D">
        <w:rPr>
          <w:rFonts w:ascii="Perpetua" w:hAnsi="Perpetua" w:cs="Adobe Devanagari"/>
          <w:spacing w:val="-3"/>
          <w:szCs w:val="24"/>
          <w:lang w:val="en-GB"/>
        </w:rPr>
        <w:t>’Tis</w:t>
      </w:r>
      <w:proofErr w:type="spellEnd"/>
      <w:r w:rsidRPr="00881B5D">
        <w:rPr>
          <w:rFonts w:ascii="Perpetua" w:hAnsi="Perpetua" w:cs="Adobe Devanagari"/>
          <w:spacing w:val="-3"/>
          <w:szCs w:val="24"/>
          <w:lang w:val="en-GB"/>
        </w:rPr>
        <w:t xml:space="preserve"> set down so in heaven, but not on earth’ – and this gives Angelo precisely the opening he needs: ‘Say you so? Then I shall pose you quickly’ (II.4).</w:t>
      </w:r>
      <w:r w:rsidRPr="00881B5D">
        <w:rPr>
          <w:rStyle w:val="FootnoteReference"/>
          <w:rFonts w:ascii="Perpetua" w:hAnsi="Perpetua" w:cs="Adobe Devanagari"/>
          <w:spacing w:val="-3"/>
          <w:szCs w:val="24"/>
          <w:lang w:val="en-GB"/>
        </w:rPr>
        <w:footnoteReference w:id="23"/>
      </w:r>
    </w:p>
    <w:p w:rsidR="00431AF7" w:rsidRPr="00881B5D" w:rsidRDefault="00431AF7" w:rsidP="00881B5D">
      <w:pPr>
        <w:tabs>
          <w:tab w:val="left" w:pos="-720"/>
          <w:tab w:val="left" w:pos="0"/>
        </w:tabs>
        <w:suppressAutoHyphens/>
        <w:snapToGrid/>
        <w:ind w:left="1134" w:right="1134"/>
        <w:rPr>
          <w:rFonts w:ascii="Perpetua" w:hAnsi="Perpetua" w:cs="Adobe Devanagari"/>
          <w:spacing w:val="-3"/>
          <w:szCs w:val="24"/>
          <w:lang w:val="en-GB"/>
        </w:rPr>
      </w:pPr>
    </w:p>
    <w:p w:rsidR="00AB070C" w:rsidRDefault="00431AF7"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I</w:t>
      </w:r>
      <w:r w:rsidR="007E4C79">
        <w:rPr>
          <w:rFonts w:ascii="Perpetua" w:hAnsi="Perpetua" w:cs="Adobe Devanagari"/>
          <w:spacing w:val="-3"/>
          <w:sz w:val="26"/>
          <w:szCs w:val="26"/>
          <w:lang w:val="en-GB"/>
        </w:rPr>
        <w:t>t is the sanctity of Isabella’s vocation that Angelo finds provocative and arousing (read II.ii.168-92).</w:t>
      </w:r>
      <w:r w:rsidR="008423B8">
        <w:rPr>
          <w:rFonts w:ascii="Perpetua" w:hAnsi="Perpetua" w:cs="Adobe Devanagari"/>
          <w:spacing w:val="-3"/>
          <w:sz w:val="26"/>
          <w:szCs w:val="26"/>
          <w:lang w:val="en-GB"/>
        </w:rPr>
        <w:t xml:space="preserve"> ‘Angelo, in the grip of a passion that perverts his better nature, exemplifies the self-betrayal of </w:t>
      </w:r>
      <w:r w:rsidR="008423B8">
        <w:rPr>
          <w:rFonts w:ascii="Perpetua" w:hAnsi="Perpetua" w:cs="Adobe Devanagari"/>
          <w:spacing w:val="-3"/>
          <w:sz w:val="26"/>
          <w:szCs w:val="26"/>
          <w:lang w:val="en-GB"/>
        </w:rPr>
        <w:lastRenderedPageBreak/>
        <w:t>the Shakespearean tragic hero; like Macbeth he sees what he is doing and is horrified by it.’</w:t>
      </w:r>
      <w:r w:rsidR="008423B8">
        <w:rPr>
          <w:rStyle w:val="FootnoteReference"/>
          <w:rFonts w:ascii="Perpetua" w:hAnsi="Perpetua" w:cs="Adobe Devanagari"/>
          <w:spacing w:val="-3"/>
          <w:sz w:val="26"/>
          <w:szCs w:val="26"/>
          <w:lang w:val="en-GB"/>
        </w:rPr>
        <w:footnoteReference w:id="24"/>
      </w:r>
      <w:r w:rsidR="007E4C79">
        <w:rPr>
          <w:rFonts w:ascii="Perpetua" w:hAnsi="Perpetua" w:cs="Adobe Devanagari"/>
          <w:spacing w:val="-3"/>
          <w:sz w:val="26"/>
          <w:szCs w:val="26"/>
          <w:lang w:val="en-GB"/>
        </w:rPr>
        <w:t xml:space="preserve"> </w:t>
      </w:r>
      <w:r w:rsidR="004148DC">
        <w:rPr>
          <w:rFonts w:ascii="Perpetua" w:hAnsi="Perpetua" w:cs="Adobe Devanagari"/>
          <w:spacing w:val="-3"/>
          <w:sz w:val="26"/>
          <w:szCs w:val="26"/>
          <w:lang w:val="en-GB"/>
        </w:rPr>
        <w:t>According to Pamela Bickley and Jenny Stevens, ‘</w:t>
      </w:r>
      <w:r w:rsidR="004148DC">
        <w:rPr>
          <w:rFonts w:ascii="Perpetua" w:hAnsi="Perpetua" w:cs="Adobe Devanagari"/>
          <w:i/>
          <w:spacing w:val="-3"/>
          <w:sz w:val="26"/>
          <w:szCs w:val="26"/>
          <w:lang w:val="en-GB"/>
        </w:rPr>
        <w:t>Measure for Measure</w:t>
      </w:r>
      <w:r w:rsidR="004148DC">
        <w:rPr>
          <w:rFonts w:ascii="Perpetua" w:hAnsi="Perpetua" w:cs="Adobe Devanagari"/>
          <w:spacing w:val="-3"/>
          <w:sz w:val="26"/>
          <w:szCs w:val="26"/>
          <w:lang w:val="en-GB"/>
        </w:rPr>
        <w:t xml:space="preserve"> lends itself particularly well to a psychoanalytic approach, dominated as it is by the psychosexual lives of individuals and wider issues concerning the control of sexual behaviour in society’.</w:t>
      </w:r>
      <w:r w:rsidR="004148DC">
        <w:rPr>
          <w:rStyle w:val="FootnoteReference"/>
          <w:rFonts w:ascii="Perpetua" w:hAnsi="Perpetua" w:cs="Adobe Devanagari"/>
          <w:spacing w:val="-3"/>
          <w:sz w:val="26"/>
          <w:szCs w:val="26"/>
          <w:lang w:val="en-GB"/>
        </w:rPr>
        <w:footnoteReference w:id="25"/>
      </w:r>
      <w:r w:rsidR="004148DC">
        <w:rPr>
          <w:rFonts w:ascii="Perpetua" w:hAnsi="Perpetua" w:cs="Adobe Devanagari"/>
          <w:spacing w:val="-3"/>
          <w:sz w:val="26"/>
          <w:szCs w:val="26"/>
          <w:lang w:val="en-GB"/>
        </w:rPr>
        <w:t xml:space="preserve"> </w:t>
      </w:r>
      <w:r w:rsidR="007E4C79">
        <w:rPr>
          <w:rFonts w:ascii="Perpetua" w:hAnsi="Perpetua" w:cs="Adobe Devanagari"/>
          <w:spacing w:val="-3"/>
          <w:sz w:val="26"/>
          <w:szCs w:val="26"/>
          <w:lang w:val="en-GB"/>
        </w:rPr>
        <w:t>In a paper entitled ‘On the Universal Tendency to Debasement in the Sphere of Love’ (1912), Sigmund Freud argues that ‘the psychical value of erotic needs is reduced as soon as their satisfaction becomes easy. An obstacle is required in order to heighten libido’.</w:t>
      </w:r>
      <w:r w:rsidR="007E4C79">
        <w:rPr>
          <w:rStyle w:val="FootnoteReference"/>
          <w:rFonts w:ascii="Perpetua" w:hAnsi="Perpetua" w:cs="Adobe Devanagari"/>
          <w:spacing w:val="-3"/>
          <w:sz w:val="26"/>
          <w:szCs w:val="26"/>
          <w:lang w:val="en-GB"/>
        </w:rPr>
        <w:footnoteReference w:id="26"/>
      </w:r>
      <w:r w:rsidR="007E4C79">
        <w:rPr>
          <w:rFonts w:ascii="Perpetua" w:hAnsi="Perpetua" w:cs="Adobe Devanagari"/>
          <w:spacing w:val="-3"/>
          <w:sz w:val="26"/>
          <w:szCs w:val="26"/>
          <w:lang w:val="en-GB"/>
        </w:rPr>
        <w:t xml:space="preserve"> ‘For Angelo, then, the obstacle of a young woman on the brink of devoting herself to a life of chastity proves a good deal more arousing than the easy availability of the prostitute.’</w:t>
      </w:r>
      <w:r w:rsidR="007E4C79">
        <w:rPr>
          <w:rStyle w:val="FootnoteReference"/>
          <w:rFonts w:ascii="Perpetua" w:hAnsi="Perpetua" w:cs="Adobe Devanagari"/>
          <w:spacing w:val="-3"/>
          <w:sz w:val="26"/>
          <w:szCs w:val="26"/>
          <w:lang w:val="en-GB"/>
        </w:rPr>
        <w:footnoteReference w:id="27"/>
      </w:r>
    </w:p>
    <w:p w:rsidR="00A5360E" w:rsidRDefault="00A5360E"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5360E" w:rsidRDefault="00A5360E"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For the drama’s central ‘debate’, read Act II, Scene </w:t>
      </w:r>
      <w:proofErr w:type="gramStart"/>
      <w:r>
        <w:rPr>
          <w:rFonts w:ascii="Perpetua" w:hAnsi="Perpetua" w:cs="Adobe Devanagari"/>
          <w:spacing w:val="-3"/>
          <w:sz w:val="26"/>
          <w:szCs w:val="26"/>
          <w:lang w:val="en-GB"/>
        </w:rPr>
        <w:t>iv</w:t>
      </w:r>
      <w:proofErr w:type="gramEnd"/>
      <w:r>
        <w:rPr>
          <w:rFonts w:ascii="Perpetua" w:hAnsi="Perpetua" w:cs="Adobe Devanagari"/>
          <w:spacing w:val="-3"/>
          <w:sz w:val="26"/>
          <w:szCs w:val="26"/>
          <w:lang w:val="en-GB"/>
        </w:rPr>
        <w:t>.</w:t>
      </w:r>
    </w:p>
    <w:p w:rsidR="00A5360E" w:rsidRDefault="00A5360E"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881B5D" w:rsidRDefault="00881B5D"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Angelo’s proposition, Isabella’s chastity in exchange for her brother’s life, produces a fierce revulsion</w:t>
      </w:r>
      <w:r w:rsidR="005F4A00">
        <w:rPr>
          <w:rFonts w:ascii="Perpetua" w:hAnsi="Perpetua" w:cs="Adobe Devanagari"/>
          <w:spacing w:val="-3"/>
          <w:sz w:val="26"/>
          <w:szCs w:val="26"/>
          <w:lang w:val="en-GB"/>
        </w:rPr>
        <w:t>. ‘In other comedies of the period the heroine’s determination to preserve her chastity is seen as natural and right. But the brutality with which Isabella expresses her choice shows that Shakespeare wants us to see it as problematic.</w:t>
      </w:r>
      <w:r w:rsidR="00F62BD9">
        <w:rPr>
          <w:rFonts w:ascii="Perpetua" w:hAnsi="Perpetua" w:cs="Adobe Devanagari"/>
          <w:spacing w:val="-3"/>
          <w:sz w:val="26"/>
          <w:szCs w:val="26"/>
          <w:lang w:val="en-GB"/>
        </w:rPr>
        <w:t>’</w:t>
      </w:r>
      <w:r w:rsidR="00F62BD9">
        <w:rPr>
          <w:rStyle w:val="FootnoteReference"/>
          <w:rFonts w:ascii="Perpetua" w:hAnsi="Perpetua" w:cs="Adobe Devanagari"/>
          <w:spacing w:val="-3"/>
          <w:sz w:val="26"/>
          <w:szCs w:val="26"/>
          <w:lang w:val="en-GB"/>
        </w:rPr>
        <w:footnoteReference w:id="28"/>
      </w:r>
      <w:r w:rsidR="00F62BD9">
        <w:rPr>
          <w:rFonts w:ascii="Perpetua" w:hAnsi="Perpetua" w:cs="Adobe Devanagari"/>
          <w:spacing w:val="-3"/>
          <w:sz w:val="26"/>
          <w:szCs w:val="26"/>
          <w:lang w:val="en-GB"/>
        </w:rPr>
        <w:t xml:space="preserve"> To what extent do you agree?</w:t>
      </w:r>
      <w:r w:rsidR="00A97ABE">
        <w:rPr>
          <w:rFonts w:ascii="Perpetua" w:hAnsi="Perpetua" w:cs="Adobe Devanagari"/>
          <w:spacing w:val="-3"/>
          <w:sz w:val="26"/>
          <w:szCs w:val="26"/>
          <w:lang w:val="en-GB"/>
        </w:rPr>
        <w:t xml:space="preserve"> To what extent </w:t>
      </w:r>
      <w:r w:rsidR="008D2086">
        <w:rPr>
          <w:rFonts w:ascii="Perpetua" w:hAnsi="Perpetua" w:cs="Adobe Devanagari"/>
          <w:spacing w:val="-3"/>
          <w:sz w:val="26"/>
          <w:szCs w:val="26"/>
          <w:lang w:val="en-GB"/>
        </w:rPr>
        <w:t>might</w:t>
      </w:r>
      <w:r w:rsidR="00A97ABE">
        <w:rPr>
          <w:rFonts w:ascii="Perpetua" w:hAnsi="Perpetua" w:cs="Adobe Devanagari"/>
          <w:spacing w:val="-3"/>
          <w:sz w:val="26"/>
          <w:szCs w:val="26"/>
          <w:lang w:val="en-GB"/>
        </w:rPr>
        <w:t xml:space="preserve"> Isabella</w:t>
      </w:r>
      <w:r w:rsidR="008D2086">
        <w:rPr>
          <w:rFonts w:ascii="Perpetua" w:hAnsi="Perpetua" w:cs="Adobe Devanagari"/>
          <w:spacing w:val="-3"/>
          <w:sz w:val="26"/>
          <w:szCs w:val="26"/>
          <w:lang w:val="en-GB"/>
        </w:rPr>
        <w:t xml:space="preserve">’s apparent hostility be due to her being forced to choose between two irreplaceable </w:t>
      </w:r>
      <w:proofErr w:type="gramStart"/>
      <w:r w:rsidR="008D2086">
        <w:rPr>
          <w:rFonts w:ascii="Perpetua" w:hAnsi="Perpetua" w:cs="Adobe Devanagari"/>
          <w:spacing w:val="-3"/>
          <w:sz w:val="26"/>
          <w:szCs w:val="26"/>
          <w:lang w:val="en-GB"/>
        </w:rPr>
        <w:t>sacrifices.</w:t>
      </w:r>
      <w:proofErr w:type="gramEnd"/>
      <w:r w:rsidR="008D2086">
        <w:rPr>
          <w:rFonts w:ascii="Perpetua" w:hAnsi="Perpetua" w:cs="Adobe Devanagari"/>
          <w:spacing w:val="-3"/>
          <w:sz w:val="26"/>
          <w:szCs w:val="26"/>
          <w:lang w:val="en-GB"/>
        </w:rPr>
        <w:t xml:space="preserve"> </w:t>
      </w:r>
    </w:p>
    <w:p w:rsidR="00881B5D" w:rsidRDefault="00881B5D"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F271A8" w:rsidRDefault="00A5360E"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For Isabella’s psychosexuality, consider II.iv.100-104. Do Isabella’s words ‘betray the instinctive desires which have been sublimated into Christian ritual’? Is this ‘sensuality of martyrdom’ an ‘eroticism which springs from the whips and torments of the saint-in-waiting or the stigmatic’?</w:t>
      </w:r>
      <w:r>
        <w:rPr>
          <w:rStyle w:val="FootnoteReference"/>
          <w:rFonts w:ascii="Perpetua" w:hAnsi="Perpetua" w:cs="Adobe Devanagari"/>
          <w:spacing w:val="-3"/>
          <w:sz w:val="26"/>
          <w:szCs w:val="26"/>
          <w:lang w:val="en-GB"/>
        </w:rPr>
        <w:footnoteReference w:id="29"/>
      </w:r>
      <w:r w:rsidR="00F271A8">
        <w:rPr>
          <w:rFonts w:ascii="Perpetua" w:hAnsi="Perpetua" w:cs="Adobe Devanagari"/>
          <w:spacing w:val="-3"/>
          <w:sz w:val="26"/>
          <w:szCs w:val="26"/>
          <w:lang w:val="en-GB"/>
        </w:rPr>
        <w:t xml:space="preserve"> </w:t>
      </w:r>
    </w:p>
    <w:p w:rsidR="00F271A8" w:rsidRPr="00F271A8" w:rsidRDefault="00F271A8" w:rsidP="00F271A8">
      <w:pPr>
        <w:tabs>
          <w:tab w:val="left" w:pos="-720"/>
          <w:tab w:val="left" w:pos="0"/>
        </w:tabs>
        <w:suppressAutoHyphens/>
        <w:snapToGrid/>
        <w:ind w:left="1134" w:right="1134"/>
        <w:rPr>
          <w:rFonts w:ascii="Perpetua" w:hAnsi="Perpetua" w:cs="Adobe Devanagari"/>
          <w:spacing w:val="-3"/>
          <w:szCs w:val="24"/>
          <w:lang w:val="en-GB"/>
        </w:rPr>
      </w:pPr>
    </w:p>
    <w:p w:rsidR="00A5360E" w:rsidRPr="00F271A8" w:rsidRDefault="00F271A8" w:rsidP="00F271A8">
      <w:pPr>
        <w:tabs>
          <w:tab w:val="left" w:pos="-720"/>
          <w:tab w:val="left" w:pos="0"/>
        </w:tabs>
        <w:suppressAutoHyphens/>
        <w:snapToGrid/>
        <w:ind w:left="1134" w:right="1134"/>
        <w:rPr>
          <w:rFonts w:ascii="Perpetua" w:hAnsi="Perpetua" w:cs="Adobe Devanagari"/>
          <w:spacing w:val="-3"/>
          <w:szCs w:val="24"/>
          <w:lang w:val="en-GB"/>
        </w:rPr>
      </w:pPr>
      <w:r w:rsidRPr="00F271A8">
        <w:rPr>
          <w:rFonts w:ascii="Perpetua" w:hAnsi="Perpetua" w:cs="Adobe Devanagari"/>
          <w:spacing w:val="-3"/>
          <w:szCs w:val="24"/>
          <w:lang w:val="en-GB"/>
        </w:rPr>
        <w:t>While some feminist critics have resisted a psychoanalytic reading of the speech, preferring to see it more in terms of Isabella’s insistence on determining her own body and bodily practices, and some new historicists have placed it in the context of well-known lives of the saints, few deny that the language is more evocative of heated desire than cold chastity.</w:t>
      </w:r>
      <w:r>
        <w:rPr>
          <w:rStyle w:val="FootnoteReference"/>
          <w:rFonts w:ascii="Perpetua" w:hAnsi="Perpetua" w:cs="Adobe Devanagari"/>
          <w:spacing w:val="-3"/>
          <w:szCs w:val="24"/>
          <w:lang w:val="en-GB"/>
        </w:rPr>
        <w:footnoteReference w:id="30"/>
      </w:r>
    </w:p>
    <w:p w:rsidR="007E4C79" w:rsidRPr="00F271A8" w:rsidRDefault="007E4C79" w:rsidP="00F271A8">
      <w:pPr>
        <w:tabs>
          <w:tab w:val="left" w:pos="-720"/>
          <w:tab w:val="left" w:pos="0"/>
        </w:tabs>
        <w:suppressAutoHyphens/>
        <w:snapToGrid/>
        <w:ind w:left="1134" w:right="1134"/>
        <w:rPr>
          <w:rFonts w:ascii="Perpetua" w:hAnsi="Perpetua" w:cs="Adobe Devanagari"/>
          <w:spacing w:val="-3"/>
          <w:szCs w:val="24"/>
          <w:lang w:val="en-GB"/>
        </w:rPr>
      </w:pPr>
    </w:p>
    <w:p w:rsidR="00F52FE6" w:rsidRDefault="00296295"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Consider</w:t>
      </w:r>
      <w:r w:rsidR="00F62BD9">
        <w:rPr>
          <w:rFonts w:ascii="Perpetua" w:hAnsi="Perpetua" w:cs="Adobe Devanagari"/>
          <w:spacing w:val="-3"/>
          <w:sz w:val="26"/>
          <w:szCs w:val="26"/>
          <w:lang w:val="en-GB"/>
        </w:rPr>
        <w:t xml:space="preserve"> the dialogue between Isabella and her condemned brother Claudio</w:t>
      </w:r>
      <w:r>
        <w:rPr>
          <w:rFonts w:ascii="Perpetua" w:hAnsi="Perpetua" w:cs="Adobe Devanagari"/>
          <w:spacing w:val="-3"/>
          <w:sz w:val="26"/>
          <w:szCs w:val="26"/>
          <w:lang w:val="en-GB"/>
        </w:rPr>
        <w:t xml:space="preserve"> both dramatically and morally</w:t>
      </w:r>
      <w:r w:rsidR="00F62BD9">
        <w:rPr>
          <w:rFonts w:ascii="Perpetua" w:hAnsi="Perpetua" w:cs="Adobe Devanagari"/>
          <w:spacing w:val="-3"/>
          <w:sz w:val="26"/>
          <w:szCs w:val="26"/>
          <w:lang w:val="en-GB"/>
        </w:rPr>
        <w:t>: III.i.52-153.</w:t>
      </w:r>
    </w:p>
    <w:p w:rsidR="00F62BD9" w:rsidRDefault="00F62BD9"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F52FE6" w:rsidRDefault="00F52FE6"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Measure for Measure</w:t>
      </w:r>
      <w:r>
        <w:rPr>
          <w:rFonts w:ascii="Perpetua" w:hAnsi="Perpetua" w:cs="Adobe Devanagari"/>
          <w:spacing w:val="-3"/>
          <w:sz w:val="26"/>
          <w:szCs w:val="26"/>
          <w:lang w:val="en-GB"/>
        </w:rPr>
        <w:t xml:space="preserve"> has been described as ‘the most overtly Catholic of Shakespeare’s works and one which dramatizes the enduring tensions between the old and new dispensations’.</w:t>
      </w:r>
    </w:p>
    <w:p w:rsidR="00F52FE6" w:rsidRPr="00A1542D" w:rsidRDefault="00F52FE6" w:rsidP="00A1542D">
      <w:pPr>
        <w:tabs>
          <w:tab w:val="left" w:pos="-720"/>
          <w:tab w:val="left" w:pos="0"/>
        </w:tabs>
        <w:suppressAutoHyphens/>
        <w:snapToGrid/>
        <w:ind w:left="1134" w:right="1134"/>
        <w:rPr>
          <w:rFonts w:ascii="Perpetua" w:hAnsi="Perpetua" w:cs="Adobe Devanagari"/>
          <w:spacing w:val="-3"/>
          <w:szCs w:val="24"/>
          <w:lang w:val="en-GB"/>
        </w:rPr>
      </w:pPr>
    </w:p>
    <w:p w:rsidR="00F52FE6" w:rsidRPr="00A1542D" w:rsidRDefault="00F52FE6" w:rsidP="00A1542D">
      <w:pPr>
        <w:tabs>
          <w:tab w:val="left" w:pos="-720"/>
          <w:tab w:val="left" w:pos="0"/>
        </w:tabs>
        <w:suppressAutoHyphens/>
        <w:snapToGrid/>
        <w:ind w:left="1134" w:right="1134"/>
        <w:rPr>
          <w:rFonts w:ascii="Perpetua" w:hAnsi="Perpetua" w:cs="Adobe Devanagari"/>
          <w:spacing w:val="-3"/>
          <w:szCs w:val="24"/>
          <w:lang w:val="en-GB"/>
        </w:rPr>
      </w:pPr>
      <w:r w:rsidRPr="00A1542D">
        <w:rPr>
          <w:rFonts w:ascii="Perpetua" w:hAnsi="Perpetua" w:cs="Adobe Devanagari"/>
          <w:spacing w:val="-3"/>
          <w:szCs w:val="24"/>
          <w:lang w:val="en-GB"/>
        </w:rPr>
        <w:t xml:space="preserve">Where Catholics followed St Paul in believing celibacy to be a higher spiritual </w:t>
      </w:r>
      <w:r w:rsidRPr="00A1542D">
        <w:rPr>
          <w:rFonts w:ascii="Perpetua" w:hAnsi="Perpetua" w:cs="Adobe Devanagari"/>
          <w:spacing w:val="-3"/>
          <w:szCs w:val="24"/>
          <w:lang w:val="en-GB"/>
        </w:rPr>
        <w:lastRenderedPageBreak/>
        <w:t xml:space="preserve">state than marriage (I Corinthians 7.1-11), early modern </w:t>
      </w:r>
      <w:r w:rsidR="00A1542D" w:rsidRPr="00A1542D">
        <w:rPr>
          <w:rFonts w:ascii="Perpetua" w:hAnsi="Perpetua" w:cs="Adobe Devanagari"/>
          <w:spacing w:val="-3"/>
          <w:szCs w:val="24"/>
          <w:lang w:val="en-GB"/>
        </w:rPr>
        <w:t>Protestants regarded marriage as the superior state, not least because it is endorsed in both the Gospels and the Old Testament. Isabella’s novitiate status might have been regarded by some of Shakespeare’s audience, then, as anachronistic and misguided, especially when compared to the alternative: the Duke’s offer of the companionate marriage favoured by most Protestants.</w:t>
      </w:r>
      <w:r w:rsidR="00A1542D">
        <w:rPr>
          <w:rStyle w:val="FootnoteReference"/>
          <w:rFonts w:ascii="Perpetua" w:hAnsi="Perpetua" w:cs="Adobe Devanagari"/>
          <w:spacing w:val="-3"/>
          <w:szCs w:val="24"/>
          <w:lang w:val="en-GB"/>
        </w:rPr>
        <w:footnoteReference w:id="31"/>
      </w:r>
    </w:p>
    <w:p w:rsidR="00A1542D" w:rsidRDefault="00A1542D"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296295" w:rsidRPr="00296295" w:rsidRDefault="00296295"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Measure for Measure</w:t>
      </w:r>
      <w:r>
        <w:rPr>
          <w:rFonts w:ascii="Perpetua" w:hAnsi="Perpetua" w:cs="Adobe Devanagari"/>
          <w:spacing w:val="-3"/>
          <w:sz w:val="26"/>
          <w:szCs w:val="26"/>
          <w:lang w:val="en-GB"/>
        </w:rPr>
        <w:t xml:space="preserve"> is characterised by a series of exchanges or substitutions, such as the proposed exchange of Isabella’s chastity for </w:t>
      </w:r>
      <w:r w:rsidR="00DE387F">
        <w:rPr>
          <w:rFonts w:ascii="Perpetua" w:hAnsi="Perpetua" w:cs="Adobe Devanagari"/>
          <w:spacing w:val="-3"/>
          <w:sz w:val="26"/>
          <w:szCs w:val="26"/>
          <w:lang w:val="en-GB"/>
        </w:rPr>
        <w:t>Claudio’s life, and the substitution of Mariana for Isabella to fulfil the appointment with Angelo. Furthermore:</w:t>
      </w:r>
    </w:p>
    <w:p w:rsidR="00296295" w:rsidRPr="00DE387F" w:rsidRDefault="00296295" w:rsidP="00A36747">
      <w:pPr>
        <w:tabs>
          <w:tab w:val="left" w:pos="-720"/>
          <w:tab w:val="left" w:pos="0"/>
        </w:tabs>
        <w:suppressAutoHyphens/>
        <w:snapToGrid/>
        <w:spacing w:line="276" w:lineRule="auto"/>
        <w:rPr>
          <w:rFonts w:ascii="Perpetua" w:hAnsi="Perpetua" w:cs="Adobe Devanagari"/>
          <w:spacing w:val="-3"/>
          <w:szCs w:val="24"/>
          <w:lang w:val="en-GB"/>
        </w:rPr>
      </w:pPr>
    </w:p>
    <w:p w:rsidR="00A1542D" w:rsidRPr="0012632A" w:rsidRDefault="00376013" w:rsidP="0012632A">
      <w:pPr>
        <w:tabs>
          <w:tab w:val="left" w:pos="-720"/>
          <w:tab w:val="left" w:pos="0"/>
        </w:tabs>
        <w:suppressAutoHyphens/>
        <w:snapToGrid/>
        <w:ind w:left="1134" w:right="1134"/>
        <w:rPr>
          <w:rFonts w:ascii="Perpetua" w:hAnsi="Perpetua" w:cs="Adobe Devanagari"/>
          <w:spacing w:val="-3"/>
          <w:szCs w:val="24"/>
          <w:lang w:val="en-GB"/>
        </w:rPr>
      </w:pPr>
      <w:r w:rsidRPr="0012632A">
        <w:rPr>
          <w:rFonts w:ascii="Perpetua" w:hAnsi="Perpetua" w:cs="Adobe Devanagari"/>
          <w:i/>
          <w:spacing w:val="-3"/>
          <w:szCs w:val="24"/>
          <w:lang w:val="en-GB"/>
        </w:rPr>
        <w:t>Measure for Measure</w:t>
      </w:r>
      <w:r w:rsidRPr="0012632A">
        <w:rPr>
          <w:rFonts w:ascii="Perpetua" w:hAnsi="Perpetua" w:cs="Adobe Devanagari"/>
          <w:spacing w:val="-3"/>
          <w:szCs w:val="24"/>
          <w:lang w:val="en-GB"/>
        </w:rPr>
        <w:t xml:space="preserve"> has been seen ‘to abound with ironic parallels, reversals and substitutions, some of them carrying disturbing implications which are never fully resolved in the final act. The play opens with the law punishing an engaged couple for consummating their marriage prematurely and ends with punishing those who have steadfastly resisted marriage with marriage itself, leaving the audience to decide whether the sacrament is to be celebrated or feared. Isabella is prevented from entering the convent by male intervention in both Act </w:t>
      </w:r>
      <w:proofErr w:type="gramStart"/>
      <w:r w:rsidRPr="0012632A">
        <w:rPr>
          <w:rFonts w:ascii="Perpetua" w:hAnsi="Perpetua" w:cs="Adobe Devanagari"/>
          <w:spacing w:val="-3"/>
          <w:szCs w:val="24"/>
          <w:lang w:val="en-GB"/>
        </w:rPr>
        <w:t>I</w:t>
      </w:r>
      <w:proofErr w:type="gramEnd"/>
      <w:r w:rsidRPr="0012632A">
        <w:rPr>
          <w:rFonts w:ascii="Perpetua" w:hAnsi="Perpetua" w:cs="Adobe Devanagari"/>
          <w:spacing w:val="-3"/>
          <w:szCs w:val="24"/>
          <w:lang w:val="en-GB"/>
        </w:rPr>
        <w:t xml:space="preserve"> and Act 5, a repetition which suggests that a self-determined chastity is as threatening to a patriarchal society as engaging in pre-marital sex.</w:t>
      </w:r>
      <w:r w:rsidRPr="0012632A">
        <w:rPr>
          <w:rStyle w:val="FootnoteReference"/>
          <w:rFonts w:ascii="Perpetua" w:hAnsi="Perpetua" w:cs="Adobe Devanagari"/>
          <w:spacing w:val="-3"/>
          <w:szCs w:val="24"/>
          <w:lang w:val="en-GB"/>
        </w:rPr>
        <w:footnoteReference w:id="32"/>
      </w:r>
    </w:p>
    <w:p w:rsidR="007E4C79" w:rsidRDefault="007E4C79"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12632A" w:rsidRPr="00AB070C" w:rsidRDefault="0012632A"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Pr="0055428D" w:rsidRDefault="00AB070C" w:rsidP="008943B9">
      <w:pPr>
        <w:pStyle w:val="ListParagraph"/>
        <w:numPr>
          <w:ilvl w:val="0"/>
          <w:numId w:val="7"/>
        </w:numPr>
        <w:tabs>
          <w:tab w:val="left" w:pos="-720"/>
          <w:tab w:val="left" w:pos="0"/>
        </w:tabs>
        <w:suppressAutoHyphens/>
        <w:snapToGrid/>
        <w:spacing w:line="276" w:lineRule="auto"/>
        <w:rPr>
          <w:rFonts w:ascii="Perpetua" w:hAnsi="Perpetua" w:cs="Adobe Devanagari"/>
          <w:spacing w:val="-3"/>
          <w:sz w:val="26"/>
          <w:szCs w:val="26"/>
          <w:lang w:val="en-GB"/>
        </w:rPr>
      </w:pPr>
      <w:r w:rsidRPr="0055428D">
        <w:rPr>
          <w:rFonts w:ascii="Perpetua" w:hAnsi="Perpetua" w:cs="Adobe Devanagari"/>
          <w:b/>
          <w:spacing w:val="-3"/>
          <w:sz w:val="26"/>
          <w:szCs w:val="26"/>
          <w:lang w:val="en-GB"/>
        </w:rPr>
        <w:t>The uses and abuses of power; corruption</w:t>
      </w:r>
      <w:r w:rsidR="0055428D" w:rsidRPr="0055428D">
        <w:rPr>
          <w:rFonts w:ascii="Perpetua" w:hAnsi="Perpetua" w:cs="Adobe Devanagari"/>
          <w:b/>
          <w:spacing w:val="-3"/>
          <w:sz w:val="26"/>
          <w:szCs w:val="26"/>
          <w:lang w:val="en-GB"/>
        </w:rPr>
        <w:t>; and</w:t>
      </w:r>
    </w:p>
    <w:p w:rsidR="00AB070C" w:rsidRDefault="00AB070C" w:rsidP="00A36747">
      <w:pPr>
        <w:pStyle w:val="ListParagraph"/>
        <w:numPr>
          <w:ilvl w:val="0"/>
          <w:numId w:val="7"/>
        </w:numPr>
        <w:tabs>
          <w:tab w:val="left" w:pos="-720"/>
          <w:tab w:val="left" w:pos="0"/>
        </w:tabs>
        <w:suppressAutoHyphens/>
        <w:snapToGrid/>
        <w:spacing w:line="276" w:lineRule="auto"/>
        <w:rPr>
          <w:rFonts w:ascii="Perpetua" w:hAnsi="Perpetua" w:cs="Adobe Devanagari"/>
          <w:b/>
          <w:spacing w:val="-3"/>
          <w:sz w:val="26"/>
          <w:szCs w:val="26"/>
          <w:lang w:val="en-GB"/>
        </w:rPr>
      </w:pPr>
      <w:r w:rsidRPr="00C10EB6">
        <w:rPr>
          <w:rFonts w:ascii="Perpetua" w:hAnsi="Perpetua" w:cs="Adobe Devanagari"/>
          <w:b/>
          <w:spacing w:val="-3"/>
          <w:sz w:val="26"/>
          <w:szCs w:val="26"/>
          <w:lang w:val="en-GB"/>
        </w:rPr>
        <w:t>Political order, social analysis and emotional realism</w:t>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Pr="00C10EB6" w:rsidRDefault="005D7E19"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It was indicated earlier that </w:t>
      </w:r>
      <w:r w:rsidR="00136F7E" w:rsidRPr="005D7E19">
        <w:rPr>
          <w:rFonts w:ascii="Perpetua" w:hAnsi="Perpetua" w:cs="Adobe Devanagari"/>
          <w:spacing w:val="-3"/>
          <w:sz w:val="26"/>
          <w:szCs w:val="26"/>
          <w:lang w:val="en-GB"/>
        </w:rPr>
        <w:t>the intense emotional reality of</w:t>
      </w:r>
      <w:r>
        <w:rPr>
          <w:rFonts w:ascii="Perpetua" w:hAnsi="Perpetua" w:cs="Adobe Devanagari"/>
          <w:spacing w:val="-3"/>
          <w:sz w:val="26"/>
          <w:szCs w:val="26"/>
          <w:lang w:val="en-GB"/>
        </w:rPr>
        <w:t xml:space="preserve"> the play’s</w:t>
      </w:r>
      <w:r w:rsidR="00136F7E" w:rsidRPr="005D7E19">
        <w:rPr>
          <w:rFonts w:ascii="Perpetua" w:hAnsi="Perpetua" w:cs="Adobe Devanagari"/>
          <w:spacing w:val="-3"/>
          <w:sz w:val="26"/>
          <w:szCs w:val="26"/>
          <w:lang w:val="en-GB"/>
        </w:rPr>
        <w:t xml:space="preserve"> portrayal of Angelo, Isabella, and Claudio, creates a deeper seriousness of tone which takes </w:t>
      </w:r>
      <w:r>
        <w:rPr>
          <w:rFonts w:ascii="Perpetua" w:hAnsi="Perpetua" w:cs="Adobe Devanagari"/>
          <w:spacing w:val="-3"/>
          <w:sz w:val="26"/>
          <w:szCs w:val="26"/>
          <w:lang w:val="en-GB"/>
        </w:rPr>
        <w:t xml:space="preserve">the play </w:t>
      </w:r>
      <w:r w:rsidR="00136F7E" w:rsidRPr="005D7E19">
        <w:rPr>
          <w:rFonts w:ascii="Perpetua" w:hAnsi="Perpetua" w:cs="Adobe Devanagari"/>
          <w:spacing w:val="-3"/>
          <w:sz w:val="26"/>
          <w:szCs w:val="26"/>
          <w:lang w:val="en-GB"/>
        </w:rPr>
        <w:t>out of the world of romantic comedy into that of tragicomedy or ‘problem play’.</w:t>
      </w:r>
      <w:r w:rsidR="00136F7E" w:rsidRPr="005D7E19">
        <w:rPr>
          <w:rStyle w:val="FootnoteReference"/>
          <w:rFonts w:ascii="Perpetua" w:hAnsi="Perpetua" w:cs="Adobe Devanagari"/>
          <w:spacing w:val="-3"/>
          <w:sz w:val="26"/>
          <w:szCs w:val="26"/>
          <w:lang w:val="en-GB"/>
        </w:rPr>
        <w:footnoteReference w:id="33"/>
      </w:r>
      <w:r w:rsidR="00C10EB6">
        <w:rPr>
          <w:rFonts w:ascii="Perpetua" w:hAnsi="Perpetua" w:cs="Adobe Devanagari"/>
          <w:spacing w:val="-3"/>
          <w:sz w:val="26"/>
          <w:szCs w:val="26"/>
          <w:lang w:val="en-GB"/>
        </w:rPr>
        <w:t xml:space="preserve"> Thematically, and with a degree of psychological realism, </w:t>
      </w:r>
      <w:r w:rsidR="00C10EB6">
        <w:rPr>
          <w:rFonts w:ascii="Perpetua" w:hAnsi="Perpetua" w:cs="Adobe Devanagari"/>
          <w:i/>
          <w:spacing w:val="-3"/>
          <w:sz w:val="26"/>
          <w:szCs w:val="26"/>
          <w:lang w:val="en-GB"/>
        </w:rPr>
        <w:t>Measure for Measure</w:t>
      </w:r>
      <w:r w:rsidR="00C10EB6">
        <w:rPr>
          <w:rFonts w:ascii="Perpetua" w:hAnsi="Perpetua" w:cs="Adobe Devanagari"/>
          <w:spacing w:val="-3"/>
          <w:sz w:val="26"/>
          <w:szCs w:val="26"/>
          <w:lang w:val="en-GB"/>
        </w:rPr>
        <w:t xml:space="preserve"> subtly explores questions of the relationship between political order and private desire, public act and private intention</w:t>
      </w:r>
      <w:r w:rsidR="0055428D">
        <w:rPr>
          <w:rFonts w:ascii="Perpetua" w:hAnsi="Perpetua" w:cs="Adobe Devanagari"/>
          <w:spacing w:val="-3"/>
          <w:sz w:val="26"/>
          <w:szCs w:val="26"/>
          <w:lang w:val="en-GB"/>
        </w:rPr>
        <w:t>, and the corruption of power to private ends</w:t>
      </w:r>
      <w:r w:rsidR="00C10EB6">
        <w:rPr>
          <w:rFonts w:ascii="Perpetua" w:hAnsi="Perpetua" w:cs="Adobe Devanagari"/>
          <w:spacing w:val="-3"/>
          <w:sz w:val="26"/>
          <w:szCs w:val="26"/>
          <w:lang w:val="en-GB"/>
        </w:rPr>
        <w:t>.</w:t>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Default="00AB070C" w:rsidP="00A36747">
      <w:pPr>
        <w:pStyle w:val="ListParagraph"/>
        <w:numPr>
          <w:ilvl w:val="0"/>
          <w:numId w:val="7"/>
        </w:numPr>
        <w:tabs>
          <w:tab w:val="left" w:pos="-720"/>
          <w:tab w:val="left" w:pos="0"/>
        </w:tabs>
        <w:suppressAutoHyphens/>
        <w:snapToGrid/>
        <w:spacing w:line="276" w:lineRule="auto"/>
        <w:rPr>
          <w:rFonts w:ascii="Perpetua" w:hAnsi="Perpetua" w:cs="Adobe Devanagari"/>
          <w:b/>
          <w:spacing w:val="-3"/>
          <w:sz w:val="26"/>
          <w:szCs w:val="26"/>
          <w:lang w:val="en-GB"/>
        </w:rPr>
      </w:pPr>
      <w:bookmarkStart w:id="0" w:name="_GoBack"/>
      <w:bookmarkEnd w:id="0"/>
      <w:r w:rsidRPr="00E922DC">
        <w:rPr>
          <w:rFonts w:ascii="Perpetua" w:hAnsi="Perpetua" w:cs="Adobe Devanagari"/>
          <w:b/>
          <w:spacing w:val="-3"/>
          <w:sz w:val="26"/>
          <w:szCs w:val="26"/>
          <w:lang w:val="en-GB"/>
        </w:rPr>
        <w:t>The dramatic significance or effect of the treatment of time in the play</w:t>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Pr="00E922DC" w:rsidRDefault="00E922DC" w:rsidP="00A3674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In </w:t>
      </w:r>
      <w:r>
        <w:rPr>
          <w:rFonts w:ascii="Perpetua" w:hAnsi="Perpetua" w:cs="Adobe Devanagari"/>
          <w:i/>
          <w:spacing w:val="-3"/>
          <w:sz w:val="26"/>
          <w:szCs w:val="26"/>
          <w:lang w:val="en-GB"/>
        </w:rPr>
        <w:t>Measure for Measure</w:t>
      </w:r>
      <w:r>
        <w:rPr>
          <w:rFonts w:ascii="Perpetua" w:hAnsi="Perpetua" w:cs="Adobe Devanagari"/>
          <w:spacing w:val="-3"/>
          <w:sz w:val="26"/>
          <w:szCs w:val="26"/>
          <w:lang w:val="en-GB"/>
        </w:rPr>
        <w:t xml:space="preserve">, as in </w:t>
      </w:r>
      <w:r>
        <w:rPr>
          <w:rFonts w:ascii="Perpetua" w:hAnsi="Perpetua" w:cs="Adobe Devanagari"/>
          <w:i/>
          <w:spacing w:val="-3"/>
          <w:sz w:val="26"/>
          <w:szCs w:val="26"/>
          <w:lang w:val="en-GB"/>
        </w:rPr>
        <w:t>Othello</w:t>
      </w:r>
      <w:r>
        <w:rPr>
          <w:rFonts w:ascii="Perpetua" w:hAnsi="Perpetua" w:cs="Adobe Devanagari"/>
          <w:spacing w:val="-3"/>
          <w:sz w:val="26"/>
          <w:szCs w:val="26"/>
          <w:lang w:val="en-GB"/>
        </w:rPr>
        <w:t>, a kind of ‘double time’ operates. Tension is all-important in the main plot, where everything turns upon the imminent execution of Claudio. In the comic scenes, however, the tension is deliberately relaxed, and time becomes vague and elastic. No one cares to ask how, within two hours of Angelo’s proclamation, Pompey and Mistress Overdone have re-established themselves at a ‘hot-house’ in the city and already offended the respectability of Elbow’s wife.</w:t>
      </w:r>
      <w:r w:rsidR="00C10EB6">
        <w:rPr>
          <w:rStyle w:val="FootnoteReference"/>
          <w:rFonts w:ascii="Perpetua" w:hAnsi="Perpetua" w:cs="Adobe Devanagari"/>
          <w:spacing w:val="-3"/>
          <w:sz w:val="26"/>
          <w:szCs w:val="26"/>
          <w:lang w:val="en-GB"/>
        </w:rPr>
        <w:footnoteReference w:id="34"/>
      </w:r>
    </w:p>
    <w:p w:rsid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Pr="00AB070C" w:rsidRDefault="00AB070C" w:rsidP="00A36747">
      <w:pPr>
        <w:tabs>
          <w:tab w:val="left" w:pos="-720"/>
          <w:tab w:val="left" w:pos="0"/>
        </w:tabs>
        <w:suppressAutoHyphens/>
        <w:snapToGrid/>
        <w:spacing w:line="276" w:lineRule="auto"/>
        <w:rPr>
          <w:rFonts w:ascii="Perpetua" w:hAnsi="Perpetua" w:cs="Adobe Devanagari"/>
          <w:spacing w:val="-3"/>
          <w:sz w:val="26"/>
          <w:szCs w:val="26"/>
          <w:lang w:val="en-GB"/>
        </w:rPr>
      </w:pPr>
    </w:p>
    <w:p w:rsidR="00AB070C" w:rsidRPr="008658D9" w:rsidRDefault="00AB070C" w:rsidP="00A36747">
      <w:pPr>
        <w:pStyle w:val="ListParagraph"/>
        <w:numPr>
          <w:ilvl w:val="0"/>
          <w:numId w:val="7"/>
        </w:numPr>
        <w:tabs>
          <w:tab w:val="left" w:pos="-720"/>
          <w:tab w:val="left" w:pos="0"/>
        </w:tabs>
        <w:suppressAutoHyphens/>
        <w:snapToGrid/>
        <w:spacing w:line="276" w:lineRule="auto"/>
        <w:rPr>
          <w:rFonts w:ascii="Perpetua" w:hAnsi="Perpetua" w:cs="Adobe Devanagari"/>
          <w:spacing w:val="-3"/>
          <w:sz w:val="22"/>
          <w:szCs w:val="22"/>
          <w:lang w:val="en-GB"/>
        </w:rPr>
      </w:pPr>
      <w:r w:rsidRPr="00AB070C">
        <w:rPr>
          <w:rFonts w:ascii="Perpetua" w:hAnsi="Perpetua" w:cs="Adobe Devanagari"/>
          <w:b/>
          <w:spacing w:val="-3"/>
          <w:sz w:val="26"/>
          <w:szCs w:val="26"/>
          <w:lang w:val="en-GB"/>
        </w:rPr>
        <w:t xml:space="preserve">Critical reception: It has been stated that </w:t>
      </w:r>
      <w:r w:rsidRPr="00DE387F">
        <w:rPr>
          <w:rFonts w:ascii="Perpetua" w:hAnsi="Perpetua" w:cs="Adobe Devanagari"/>
          <w:b/>
          <w:spacing w:val="-3"/>
          <w:sz w:val="26"/>
          <w:szCs w:val="26"/>
          <w:lang w:val="en-GB"/>
        </w:rPr>
        <w:t xml:space="preserve">no other play by Shakespeare </w:t>
      </w:r>
      <w:proofErr w:type="gramStart"/>
      <w:r w:rsidRPr="00DE387F">
        <w:rPr>
          <w:rFonts w:ascii="Perpetua" w:hAnsi="Perpetua" w:cs="Adobe Devanagari"/>
          <w:b/>
          <w:spacing w:val="-3"/>
          <w:sz w:val="26"/>
          <w:szCs w:val="26"/>
          <w:lang w:val="en-GB"/>
        </w:rPr>
        <w:t>has</w:t>
      </w:r>
      <w:proofErr w:type="gramEnd"/>
      <w:r w:rsidRPr="00DE387F">
        <w:rPr>
          <w:rFonts w:ascii="Perpetua" w:hAnsi="Perpetua" w:cs="Adobe Devanagari"/>
          <w:b/>
          <w:spacing w:val="-3"/>
          <w:sz w:val="26"/>
          <w:szCs w:val="26"/>
          <w:lang w:val="en-GB"/>
        </w:rPr>
        <w:t xml:space="preserve"> aroused such violent, eccentric and mutually opposed responses.</w:t>
      </w:r>
      <w:r w:rsidRPr="00AB070C">
        <w:rPr>
          <w:rFonts w:ascii="Perpetua" w:hAnsi="Perpetua" w:cs="Adobe Devanagari"/>
          <w:b/>
          <w:spacing w:val="-3"/>
          <w:sz w:val="26"/>
          <w:szCs w:val="26"/>
          <w:lang w:val="en-GB"/>
        </w:rPr>
        <w:t xml:space="preserve"> Most prominently, there is, firstly, the novitiate nun Isabella’s refusal to sacrifice her chastity to save her brother’s life, and secondly, </w:t>
      </w:r>
      <w:r w:rsidRPr="00DE387F">
        <w:rPr>
          <w:rFonts w:ascii="Perpetua" w:hAnsi="Perpetua" w:cs="Adobe Devanagari"/>
          <w:b/>
          <w:spacing w:val="-3"/>
          <w:sz w:val="26"/>
          <w:szCs w:val="26"/>
          <w:lang w:val="en-GB"/>
        </w:rPr>
        <w:t>the Duke’s character, motivation, and the way in which he administers justice at the conclusion.</w:t>
      </w:r>
      <w:r w:rsidRPr="00AB070C">
        <w:rPr>
          <w:rFonts w:ascii="Perpetua" w:hAnsi="Perpetua" w:cs="Adobe Devanagari"/>
          <w:b/>
          <w:spacing w:val="-3"/>
          <w:sz w:val="26"/>
          <w:szCs w:val="26"/>
          <w:lang w:val="en-GB"/>
        </w:rPr>
        <w:t xml:space="preserve"> </w:t>
      </w:r>
    </w:p>
    <w:p w:rsidR="00BE01B6" w:rsidRDefault="00BE01B6" w:rsidP="00A36747">
      <w:pPr>
        <w:tabs>
          <w:tab w:val="left" w:pos="-720"/>
          <w:tab w:val="left" w:pos="0"/>
        </w:tabs>
        <w:suppressAutoHyphens/>
        <w:spacing w:line="276" w:lineRule="auto"/>
        <w:rPr>
          <w:rFonts w:ascii="Perpetua" w:hAnsi="Perpetua" w:cs="Adobe Devanagari"/>
          <w:spacing w:val="-3"/>
          <w:sz w:val="26"/>
          <w:szCs w:val="26"/>
          <w:lang w:val="en-GB"/>
        </w:rPr>
      </w:pPr>
    </w:p>
    <w:p w:rsidR="002B4CA4" w:rsidRDefault="002B4CA4" w:rsidP="00E73026">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It has been claimed that no other play by Shakespeare has aroused such violent, eccentric and mutually opposed responses: ‘Its central characters have been variously extolled and reviled and the play has been seen, at one extreme, as an expression of Shakespeare’s disgust with humanity and, at the other, as a Christian parable of the atonement.’</w:t>
      </w:r>
      <w:r>
        <w:rPr>
          <w:rStyle w:val="FootnoteReference"/>
          <w:rFonts w:ascii="Perpetua" w:hAnsi="Perpetua" w:cs="Adobe Devanagari"/>
          <w:spacing w:val="-3"/>
          <w:sz w:val="26"/>
          <w:szCs w:val="26"/>
          <w:lang w:val="en-GB"/>
        </w:rPr>
        <w:footnoteReference w:id="35"/>
      </w:r>
    </w:p>
    <w:p w:rsidR="00FE7A66" w:rsidRDefault="00FE7A66" w:rsidP="00E73026">
      <w:pPr>
        <w:tabs>
          <w:tab w:val="left" w:pos="-720"/>
          <w:tab w:val="left" w:pos="0"/>
        </w:tabs>
        <w:suppressAutoHyphens/>
        <w:snapToGrid/>
        <w:spacing w:line="276" w:lineRule="auto"/>
        <w:rPr>
          <w:rFonts w:ascii="Perpetua" w:hAnsi="Perpetua" w:cs="Adobe Devanagari"/>
          <w:spacing w:val="-3"/>
          <w:sz w:val="26"/>
          <w:szCs w:val="26"/>
          <w:lang w:val="en-GB"/>
        </w:rPr>
      </w:pPr>
    </w:p>
    <w:p w:rsidR="00E73026" w:rsidRDefault="00910ADD" w:rsidP="00E73026">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‘Over the past half century or so, critics have generated varied readings of the play’s presentation of sexuality: at one extreme regarding it as refreshingly open and life-affirming and at another as overwhelmingly polluting and menacing.’</w:t>
      </w:r>
      <w:r>
        <w:rPr>
          <w:rStyle w:val="FootnoteReference"/>
          <w:rFonts w:ascii="Perpetua" w:hAnsi="Perpetua" w:cs="Adobe Devanagari"/>
          <w:spacing w:val="-3"/>
          <w:sz w:val="26"/>
          <w:szCs w:val="26"/>
          <w:lang w:val="en-GB"/>
        </w:rPr>
        <w:footnoteReference w:id="36"/>
      </w:r>
    </w:p>
    <w:p w:rsidR="00910ADD" w:rsidRPr="005B57EE" w:rsidRDefault="00910ADD" w:rsidP="00E73026">
      <w:pPr>
        <w:tabs>
          <w:tab w:val="left" w:pos="-720"/>
          <w:tab w:val="left" w:pos="0"/>
        </w:tabs>
        <w:suppressAutoHyphens/>
        <w:snapToGrid/>
        <w:spacing w:line="276" w:lineRule="auto"/>
        <w:rPr>
          <w:rFonts w:ascii="Perpetua" w:hAnsi="Perpetua" w:cs="Adobe Devanagari"/>
          <w:spacing w:val="-3"/>
          <w:sz w:val="26"/>
          <w:szCs w:val="26"/>
          <w:lang w:val="en-GB"/>
        </w:rPr>
      </w:pPr>
    </w:p>
    <w:p w:rsidR="00E73026" w:rsidRDefault="00E73026" w:rsidP="00E73026">
      <w:pPr>
        <w:tabs>
          <w:tab w:val="left" w:pos="-720"/>
          <w:tab w:val="left" w:pos="0"/>
        </w:tabs>
        <w:suppressAutoHyphens/>
        <w:snapToGrid/>
        <w:spacing w:line="276" w:lineRule="auto"/>
        <w:rPr>
          <w:rFonts w:ascii="Perpetua" w:hAnsi="Perpetua"/>
          <w:sz w:val="26"/>
          <w:szCs w:val="26"/>
        </w:rPr>
      </w:pPr>
      <w:r>
        <w:rPr>
          <w:rFonts w:ascii="Perpetua" w:hAnsi="Perpetua"/>
          <w:sz w:val="26"/>
          <w:szCs w:val="26"/>
        </w:rPr>
        <w:t xml:space="preserve">No character in </w:t>
      </w:r>
      <w:r>
        <w:rPr>
          <w:rFonts w:ascii="Perpetua" w:hAnsi="Perpetua"/>
          <w:i/>
          <w:sz w:val="26"/>
          <w:szCs w:val="26"/>
        </w:rPr>
        <w:t>Measure for Measure</w:t>
      </w:r>
      <w:r>
        <w:rPr>
          <w:rFonts w:ascii="Perpetua" w:hAnsi="Perpetua"/>
          <w:sz w:val="26"/>
          <w:szCs w:val="26"/>
        </w:rPr>
        <w:t xml:space="preserve"> has produced a wider divergence of opinion than Isabella. She has been the object of admiration and repugnance. </w:t>
      </w:r>
      <w:r w:rsidRPr="005B57EE">
        <w:rPr>
          <w:rFonts w:ascii="Perpetua" w:hAnsi="Perpetua"/>
          <w:sz w:val="26"/>
          <w:szCs w:val="26"/>
        </w:rPr>
        <w:t xml:space="preserve">Jacqueline Rose’s essay, ‘Sexuality in the Reading of Shakespeare: </w:t>
      </w:r>
      <w:r w:rsidRPr="005B57EE">
        <w:rPr>
          <w:rFonts w:ascii="Perpetua" w:hAnsi="Perpetua"/>
          <w:i/>
          <w:sz w:val="26"/>
          <w:szCs w:val="26"/>
        </w:rPr>
        <w:t>Hamlet</w:t>
      </w:r>
      <w:r w:rsidRPr="005B57EE">
        <w:rPr>
          <w:rFonts w:ascii="Perpetua" w:hAnsi="Perpetua"/>
          <w:sz w:val="26"/>
          <w:szCs w:val="26"/>
        </w:rPr>
        <w:t xml:space="preserve"> and </w:t>
      </w:r>
      <w:r w:rsidRPr="005B57EE">
        <w:rPr>
          <w:rFonts w:ascii="Perpetua" w:hAnsi="Perpetua"/>
          <w:i/>
          <w:sz w:val="26"/>
          <w:szCs w:val="26"/>
        </w:rPr>
        <w:t>Measure for Measure</w:t>
      </w:r>
      <w:r w:rsidRPr="005B57EE">
        <w:rPr>
          <w:rFonts w:ascii="Perpetua" w:hAnsi="Perpetua"/>
          <w:sz w:val="26"/>
          <w:szCs w:val="26"/>
        </w:rPr>
        <w:t xml:space="preserve">’, examines the literary-critical and psychoanalytic association of lack (or excess) with femininity: </w:t>
      </w:r>
    </w:p>
    <w:p w:rsidR="00E73026" w:rsidRPr="005B57EE" w:rsidRDefault="00E73026" w:rsidP="00E73026">
      <w:pPr>
        <w:tabs>
          <w:tab w:val="left" w:pos="-720"/>
          <w:tab w:val="left" w:pos="0"/>
        </w:tabs>
        <w:suppressAutoHyphens/>
        <w:snapToGrid/>
        <w:ind w:left="1134" w:right="1134"/>
        <w:rPr>
          <w:rFonts w:ascii="Perpetua" w:hAnsi="Perpetua"/>
          <w:szCs w:val="24"/>
        </w:rPr>
      </w:pPr>
    </w:p>
    <w:p w:rsidR="00E73026" w:rsidRPr="005B57EE" w:rsidRDefault="00E73026" w:rsidP="00E73026">
      <w:pPr>
        <w:tabs>
          <w:tab w:val="left" w:pos="-720"/>
          <w:tab w:val="left" w:pos="0"/>
        </w:tabs>
        <w:suppressAutoHyphens/>
        <w:snapToGrid/>
        <w:ind w:left="1134" w:right="1134"/>
        <w:rPr>
          <w:rFonts w:ascii="Perpetua" w:hAnsi="Perpetua" w:cs="Adobe Devanagari"/>
          <w:spacing w:val="-3"/>
          <w:szCs w:val="24"/>
          <w:lang w:val="en-GB"/>
        </w:rPr>
      </w:pPr>
      <w:r w:rsidRPr="005B57EE">
        <w:rPr>
          <w:rFonts w:ascii="Perpetua" w:hAnsi="Perpetua"/>
          <w:szCs w:val="24"/>
        </w:rPr>
        <w:t>In this essay, rather than apply psychoanalysis to literature, as if psychoanalysis were a method to be mapped onto the literary text, I will try to show how psychoanalytic and literary criticism share with the literature they address a terrain of language, fantasy and sexuality – a terrain in which the woman occupies a crucial, but difficult, place. In both these plays [</w:t>
      </w:r>
      <w:r w:rsidRPr="005B57EE">
        <w:rPr>
          <w:rFonts w:ascii="Perpetua" w:hAnsi="Perpetua"/>
          <w:i/>
          <w:szCs w:val="24"/>
        </w:rPr>
        <w:t>Hamlet</w:t>
      </w:r>
      <w:r w:rsidRPr="005B57EE">
        <w:rPr>
          <w:rFonts w:ascii="Perpetua" w:hAnsi="Perpetua"/>
          <w:szCs w:val="24"/>
        </w:rPr>
        <w:t xml:space="preserve"> and </w:t>
      </w:r>
      <w:r w:rsidRPr="005B57EE">
        <w:rPr>
          <w:rFonts w:ascii="Perpetua" w:hAnsi="Perpetua"/>
          <w:i/>
          <w:szCs w:val="24"/>
        </w:rPr>
        <w:t>Measure for Measure</w:t>
      </w:r>
      <w:r w:rsidRPr="005B57EE">
        <w:rPr>
          <w:rFonts w:ascii="Perpetua" w:hAnsi="Perpetua"/>
          <w:szCs w:val="24"/>
        </w:rPr>
        <w:t xml:space="preserve">], the central woman character finds herself accused – Gertrude in </w:t>
      </w:r>
      <w:r w:rsidRPr="005B57EE">
        <w:rPr>
          <w:rFonts w:ascii="Perpetua" w:hAnsi="Perpetua"/>
          <w:i/>
          <w:szCs w:val="24"/>
        </w:rPr>
        <w:t>Hamlet</w:t>
      </w:r>
      <w:r w:rsidRPr="005B57EE">
        <w:rPr>
          <w:rFonts w:ascii="Perpetua" w:hAnsi="Perpetua"/>
          <w:szCs w:val="24"/>
        </w:rPr>
        <w:t xml:space="preserve"> of too much sexuality, Isabella in </w:t>
      </w:r>
      <w:r w:rsidRPr="005B57EE">
        <w:rPr>
          <w:rFonts w:ascii="Perpetua" w:hAnsi="Perpetua"/>
          <w:i/>
          <w:szCs w:val="24"/>
        </w:rPr>
        <w:t>Measure for Measure</w:t>
      </w:r>
      <w:r w:rsidRPr="005B57EE">
        <w:rPr>
          <w:rFonts w:ascii="Perpetua" w:hAnsi="Perpetua"/>
          <w:szCs w:val="24"/>
        </w:rPr>
        <w:t xml:space="preserve"> of not enough. In both cases, the same notion of excess or deficiency has appeared in the critical commentaries on the plays.</w:t>
      </w:r>
      <w:r w:rsidRPr="005B57EE">
        <w:rPr>
          <w:rStyle w:val="FootnoteReference"/>
          <w:rFonts w:ascii="Perpetua" w:hAnsi="Perpetua"/>
          <w:szCs w:val="24"/>
        </w:rPr>
        <w:footnoteReference w:id="37"/>
      </w:r>
    </w:p>
    <w:p w:rsidR="00E73026" w:rsidRPr="005B57EE" w:rsidRDefault="00E73026" w:rsidP="00E73026">
      <w:pPr>
        <w:tabs>
          <w:tab w:val="left" w:pos="-720"/>
          <w:tab w:val="left" w:pos="0"/>
        </w:tabs>
        <w:suppressAutoHyphens/>
        <w:snapToGrid/>
        <w:ind w:left="1134" w:right="1134"/>
        <w:rPr>
          <w:rFonts w:ascii="Perpetua" w:hAnsi="Perpetua" w:cs="Adobe Devanagari"/>
          <w:spacing w:val="-3"/>
          <w:szCs w:val="24"/>
          <w:lang w:val="en-GB"/>
        </w:rPr>
      </w:pPr>
    </w:p>
    <w:p w:rsidR="00E73026" w:rsidRDefault="00E73026" w:rsidP="00E73026">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According to Rose, ‘criticism has alternatively revered and accused [Isabella] in such a way that her sexual identity has become the site on which dissatisfaction with the play, and disagreement about the play have turned’.</w:t>
      </w:r>
      <w:r>
        <w:rPr>
          <w:rStyle w:val="FootnoteReference"/>
          <w:rFonts w:ascii="Perpetua" w:hAnsi="Perpetua" w:cs="Adobe Devanagari"/>
          <w:spacing w:val="-3"/>
          <w:sz w:val="26"/>
          <w:szCs w:val="26"/>
          <w:lang w:val="en-GB"/>
        </w:rPr>
        <w:footnoteReference w:id="38"/>
      </w:r>
      <w:r>
        <w:rPr>
          <w:rFonts w:ascii="Perpetua" w:hAnsi="Perpetua" w:cs="Adobe Devanagari"/>
          <w:spacing w:val="-3"/>
          <w:sz w:val="26"/>
          <w:szCs w:val="26"/>
          <w:lang w:val="en-GB"/>
        </w:rPr>
        <w:t xml:space="preserve"> Rose argues that it is the desire provoked by Isabella which is above all the offence, and that ‘the woman who refuses to meet that desire is as unsettling as the one who does so with excessive haste’.</w:t>
      </w:r>
      <w:r>
        <w:rPr>
          <w:rStyle w:val="FootnoteReference"/>
          <w:rFonts w:ascii="Perpetua" w:hAnsi="Perpetua" w:cs="Adobe Devanagari"/>
          <w:spacing w:val="-3"/>
          <w:sz w:val="26"/>
          <w:szCs w:val="26"/>
          <w:lang w:val="en-GB"/>
        </w:rPr>
        <w:footnoteReference w:id="39"/>
      </w:r>
      <w:r>
        <w:rPr>
          <w:rFonts w:ascii="Perpetua" w:hAnsi="Perpetua" w:cs="Adobe Devanagari"/>
          <w:spacing w:val="-3"/>
          <w:sz w:val="26"/>
          <w:szCs w:val="26"/>
          <w:lang w:val="en-GB"/>
        </w:rPr>
        <w:t xml:space="preserve"> But, as Rose goes on to argue, to </w:t>
      </w:r>
      <w:proofErr w:type="gramStart"/>
      <w:r>
        <w:rPr>
          <w:rFonts w:ascii="Perpetua" w:hAnsi="Perpetua" w:cs="Adobe Devanagari"/>
          <w:spacing w:val="-3"/>
          <w:sz w:val="26"/>
          <w:szCs w:val="26"/>
          <w:lang w:val="en-GB"/>
        </w:rPr>
        <w:t>judge</w:t>
      </w:r>
      <w:proofErr w:type="gramEnd"/>
      <w:r>
        <w:rPr>
          <w:rFonts w:ascii="Perpetua" w:hAnsi="Perpetua" w:cs="Adobe Devanagari"/>
          <w:spacing w:val="-3"/>
          <w:sz w:val="26"/>
          <w:szCs w:val="26"/>
          <w:lang w:val="en-GB"/>
        </w:rPr>
        <w:t xml:space="preserve"> Isabella – whether positively or </w:t>
      </w:r>
      <w:r>
        <w:rPr>
          <w:rFonts w:ascii="Perpetua" w:hAnsi="Perpetua" w:cs="Adobe Devanagari"/>
          <w:spacing w:val="-3"/>
          <w:sz w:val="26"/>
          <w:szCs w:val="26"/>
          <w:lang w:val="en-GB"/>
        </w:rPr>
        <w:lastRenderedPageBreak/>
        <w:t>negatively – is to transpose the question of her meaning as a character onto the question of what would be the most moral response to her situation:</w:t>
      </w:r>
    </w:p>
    <w:p w:rsidR="00E73026" w:rsidRPr="00E73026" w:rsidRDefault="00E73026" w:rsidP="00E73026">
      <w:pPr>
        <w:tabs>
          <w:tab w:val="left" w:pos="-720"/>
          <w:tab w:val="left" w:pos="0"/>
        </w:tabs>
        <w:suppressAutoHyphens/>
        <w:snapToGrid/>
        <w:ind w:left="1134" w:right="1134"/>
        <w:rPr>
          <w:rFonts w:ascii="Perpetua" w:hAnsi="Perpetua" w:cs="Adobe Devanagari"/>
          <w:spacing w:val="-3"/>
          <w:szCs w:val="24"/>
          <w:lang w:val="en-GB"/>
        </w:rPr>
      </w:pPr>
    </w:p>
    <w:p w:rsidR="00E73026" w:rsidRPr="0012632A" w:rsidRDefault="00E73026" w:rsidP="00E73026">
      <w:pPr>
        <w:tabs>
          <w:tab w:val="left" w:pos="-720"/>
          <w:tab w:val="left" w:pos="0"/>
        </w:tabs>
        <w:suppressAutoHyphens/>
        <w:snapToGrid/>
        <w:ind w:left="1134" w:right="1134"/>
        <w:rPr>
          <w:rFonts w:ascii="Perpetua" w:hAnsi="Perpetua" w:cs="Adobe Devanagari"/>
          <w:spacing w:val="-3"/>
          <w:szCs w:val="24"/>
          <w:lang w:val="en-GB"/>
        </w:rPr>
      </w:pPr>
      <w:r w:rsidRPr="00E73026">
        <w:rPr>
          <w:rFonts w:ascii="Perpetua" w:hAnsi="Perpetua" w:cs="Adobe Devanagari"/>
          <w:spacing w:val="-3"/>
          <w:szCs w:val="24"/>
          <w:lang w:val="en-GB"/>
        </w:rPr>
        <w:t xml:space="preserve">Given that Measure for Measure is one of Shakespeare’s plays where it is generally recognized that his method of characterization cannot be fully grasped psychologically (the weakness of Claudio as a character, the allegorical role of </w:t>
      </w:r>
      <w:r w:rsidRPr="0012632A">
        <w:rPr>
          <w:rFonts w:ascii="Perpetua" w:hAnsi="Perpetua" w:cs="Adobe Devanagari"/>
          <w:spacing w:val="-3"/>
          <w:szCs w:val="24"/>
          <w:lang w:val="en-GB"/>
        </w:rPr>
        <w:t>the Duke), then the extent to which Isabella has been discussed in terms of consistency, credibility and ethics is striking.</w:t>
      </w:r>
      <w:r w:rsidRPr="0012632A">
        <w:rPr>
          <w:rStyle w:val="FootnoteReference"/>
          <w:rFonts w:ascii="Perpetua" w:hAnsi="Perpetua" w:cs="Adobe Devanagari"/>
          <w:spacing w:val="-3"/>
          <w:szCs w:val="24"/>
          <w:lang w:val="en-GB"/>
        </w:rPr>
        <w:footnoteReference w:id="40"/>
      </w:r>
    </w:p>
    <w:p w:rsidR="00E73026" w:rsidRPr="0012632A" w:rsidRDefault="00E73026" w:rsidP="00E73026">
      <w:pPr>
        <w:tabs>
          <w:tab w:val="left" w:pos="-720"/>
          <w:tab w:val="left" w:pos="0"/>
        </w:tabs>
        <w:suppressAutoHyphens/>
        <w:snapToGrid/>
        <w:ind w:left="1134" w:right="1134"/>
        <w:rPr>
          <w:rFonts w:ascii="Perpetua" w:hAnsi="Perpetua" w:cs="Adobe Devanagari"/>
          <w:spacing w:val="-3"/>
          <w:szCs w:val="24"/>
          <w:lang w:val="en-GB"/>
        </w:rPr>
      </w:pPr>
    </w:p>
    <w:p w:rsidR="00E73026" w:rsidRDefault="00F34EFD" w:rsidP="00A36747">
      <w:pPr>
        <w:tabs>
          <w:tab w:val="left" w:pos="-720"/>
          <w:tab w:val="left" w:pos="0"/>
        </w:tabs>
        <w:suppressAutoHyphens/>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Read Act V, Scene I, in which </w:t>
      </w:r>
      <w:r>
        <w:rPr>
          <w:rFonts w:ascii="Perpetua" w:hAnsi="Perpetua"/>
          <w:sz w:val="26"/>
          <w:szCs w:val="26"/>
        </w:rPr>
        <w:t xml:space="preserve">the Duke administers </w:t>
      </w:r>
      <w:r>
        <w:rPr>
          <w:rFonts w:ascii="Perpetua" w:hAnsi="Perpetua"/>
          <w:sz w:val="26"/>
          <w:szCs w:val="26"/>
        </w:rPr>
        <w:t>‘</w:t>
      </w:r>
      <w:r>
        <w:rPr>
          <w:rFonts w:ascii="Perpetua" w:hAnsi="Perpetua"/>
          <w:sz w:val="26"/>
          <w:szCs w:val="26"/>
        </w:rPr>
        <w:t>justice</w:t>
      </w:r>
      <w:r>
        <w:rPr>
          <w:rFonts w:ascii="Perpetua" w:hAnsi="Perpetua"/>
          <w:sz w:val="26"/>
          <w:szCs w:val="26"/>
        </w:rPr>
        <w:t>’.</w:t>
      </w:r>
    </w:p>
    <w:p w:rsidR="00D97339" w:rsidRPr="00D97339" w:rsidRDefault="00D97339" w:rsidP="00D97339">
      <w:pPr>
        <w:tabs>
          <w:tab w:val="left" w:pos="-720"/>
          <w:tab w:val="left" w:pos="0"/>
        </w:tabs>
        <w:suppressAutoHyphens/>
        <w:ind w:left="1134" w:right="1134"/>
        <w:rPr>
          <w:rFonts w:ascii="Perpetua" w:hAnsi="Perpetua" w:cs="Adobe Devanagari"/>
          <w:spacing w:val="-3"/>
          <w:szCs w:val="24"/>
          <w:lang w:val="en-GB"/>
        </w:rPr>
      </w:pPr>
    </w:p>
    <w:p w:rsidR="0012632A" w:rsidRPr="00D97339" w:rsidRDefault="00D97339" w:rsidP="00D97339">
      <w:pPr>
        <w:tabs>
          <w:tab w:val="left" w:pos="-720"/>
          <w:tab w:val="left" w:pos="0"/>
        </w:tabs>
        <w:suppressAutoHyphens/>
        <w:ind w:left="1134" w:right="1134"/>
        <w:rPr>
          <w:rFonts w:ascii="Perpetua" w:hAnsi="Perpetua" w:cs="Adobe Devanagari"/>
          <w:spacing w:val="-3"/>
          <w:szCs w:val="24"/>
          <w:lang w:val="en-GB"/>
        </w:rPr>
      </w:pPr>
      <w:r w:rsidRPr="00D97339">
        <w:rPr>
          <w:rFonts w:ascii="Perpetua" w:hAnsi="Perpetua" w:cs="Adobe Devanagari"/>
          <w:spacing w:val="-3"/>
          <w:szCs w:val="24"/>
          <w:lang w:val="en-GB"/>
        </w:rPr>
        <w:t xml:space="preserve">On the surface at least, the ending of </w:t>
      </w:r>
      <w:r w:rsidRPr="00D97339">
        <w:rPr>
          <w:rFonts w:ascii="Perpetua" w:hAnsi="Perpetua" w:cs="Adobe Devanagari"/>
          <w:i/>
          <w:spacing w:val="-3"/>
          <w:szCs w:val="24"/>
          <w:lang w:val="en-GB"/>
        </w:rPr>
        <w:t>Measure for Measure</w:t>
      </w:r>
      <w:r w:rsidRPr="00D97339">
        <w:rPr>
          <w:rFonts w:ascii="Perpetua" w:hAnsi="Perpetua" w:cs="Adobe Devanagari"/>
          <w:spacing w:val="-3"/>
          <w:szCs w:val="24"/>
          <w:lang w:val="en-GB"/>
        </w:rPr>
        <w:t xml:space="preserve"> delivers the basic stuff of comedy: no one dies, there are multiple marriages and the villain is publicly denounced. Conspicuously lacking for the majority of audiences and critics, though, is any real sense of joy, regeneration or poetic justice. The conclusion may well have four marriages lined up, but the motivation for at least two of these is punitive; Angelo’s misdemeanour might have been exposed, but his punishment seems to be exceptionally lenient; and the moral fabric of Vienna seems to have undergone little significant improvement.</w:t>
      </w:r>
      <w:r>
        <w:rPr>
          <w:rStyle w:val="FootnoteReference"/>
          <w:rFonts w:ascii="Perpetua" w:hAnsi="Perpetua" w:cs="Adobe Devanagari"/>
          <w:spacing w:val="-3"/>
          <w:szCs w:val="24"/>
          <w:lang w:val="en-GB"/>
        </w:rPr>
        <w:footnoteReference w:id="41"/>
      </w:r>
    </w:p>
    <w:p w:rsidR="00D97339" w:rsidRPr="00D97339" w:rsidRDefault="00D97339" w:rsidP="00D97339">
      <w:pPr>
        <w:tabs>
          <w:tab w:val="left" w:pos="-720"/>
          <w:tab w:val="left" w:pos="0"/>
        </w:tabs>
        <w:suppressAutoHyphens/>
        <w:ind w:left="1134" w:right="1134"/>
        <w:rPr>
          <w:rFonts w:ascii="Perpetua" w:hAnsi="Perpetua" w:cs="Adobe Devanagari"/>
          <w:spacing w:val="-3"/>
          <w:szCs w:val="24"/>
          <w:lang w:val="en-GB"/>
        </w:rPr>
      </w:pPr>
    </w:p>
    <w:p w:rsidR="00FE7A66" w:rsidRPr="00E922DC" w:rsidRDefault="00FE7A66" w:rsidP="00E922DC">
      <w:pPr>
        <w:tabs>
          <w:tab w:val="left" w:pos="-720"/>
          <w:tab w:val="left" w:pos="0"/>
        </w:tabs>
        <w:suppressAutoHyphens/>
        <w:ind w:left="1134" w:right="1134"/>
        <w:rPr>
          <w:rFonts w:ascii="Perpetua" w:hAnsi="Perpetua"/>
          <w:szCs w:val="24"/>
        </w:rPr>
      </w:pPr>
      <w:r w:rsidRPr="00E922DC">
        <w:rPr>
          <w:rFonts w:ascii="Perpetua" w:hAnsi="Perpetua"/>
          <w:szCs w:val="24"/>
        </w:rPr>
        <w:t>Practically none of the characters gets what he asks for. Angelo, shamed by the public exposure of his guilt, begs for death but is given life and marriage to the woman he has formerly rejected. Isabella, whose devotion to her religious vocation has sustained her throughout the assaults of Angelo, is offered marriage to the Duke, and Lucio, at first condemned to death for slander, is suddenly condemned to what he regards as a fate worse than death and is forced to marry the whore who has borne his child.</w:t>
      </w:r>
      <w:r w:rsidR="00E922DC" w:rsidRPr="00E922DC">
        <w:rPr>
          <w:rStyle w:val="FootnoteReference"/>
          <w:rFonts w:ascii="Perpetua" w:hAnsi="Perpetua"/>
          <w:szCs w:val="24"/>
        </w:rPr>
        <w:footnoteReference w:id="42"/>
      </w:r>
    </w:p>
    <w:p w:rsidR="00FE7A66" w:rsidRPr="00FE7A66" w:rsidRDefault="00FE7A66" w:rsidP="00A36747">
      <w:pPr>
        <w:tabs>
          <w:tab w:val="left" w:pos="-720"/>
          <w:tab w:val="left" w:pos="0"/>
        </w:tabs>
        <w:suppressAutoHyphens/>
        <w:spacing w:line="276" w:lineRule="auto"/>
        <w:rPr>
          <w:rFonts w:ascii="Perpetua" w:hAnsi="Perpetua"/>
          <w:sz w:val="26"/>
          <w:szCs w:val="26"/>
        </w:rPr>
      </w:pPr>
    </w:p>
    <w:p w:rsidR="0012632A" w:rsidRDefault="0012632A" w:rsidP="00A36747">
      <w:pPr>
        <w:tabs>
          <w:tab w:val="left" w:pos="-720"/>
          <w:tab w:val="left" w:pos="0"/>
        </w:tabs>
        <w:suppressAutoHyphens/>
        <w:spacing w:line="276" w:lineRule="auto"/>
        <w:rPr>
          <w:rFonts w:ascii="Perpetua" w:hAnsi="Perpetua"/>
          <w:sz w:val="26"/>
          <w:szCs w:val="26"/>
        </w:rPr>
      </w:pPr>
      <w:r w:rsidRPr="0012632A">
        <w:rPr>
          <w:rFonts w:ascii="Perpetua" w:hAnsi="Perpetua"/>
          <w:i/>
          <w:sz w:val="26"/>
          <w:szCs w:val="26"/>
        </w:rPr>
        <w:t>Measure for Measure</w:t>
      </w:r>
      <w:r w:rsidRPr="0012632A">
        <w:rPr>
          <w:rFonts w:ascii="Perpetua" w:hAnsi="Perpetua"/>
          <w:sz w:val="26"/>
          <w:szCs w:val="26"/>
        </w:rPr>
        <w:t xml:space="preserve"> is examined by Donald Beecher in terms of cognition, evolutionary psychology, and neuroscience</w:t>
      </w:r>
      <w:r>
        <w:rPr>
          <w:rFonts w:ascii="Perpetua" w:hAnsi="Perpetua"/>
          <w:sz w:val="26"/>
          <w:szCs w:val="26"/>
        </w:rPr>
        <w:t xml:space="preserve">. In particular Beecher interprets the play </w:t>
      </w:r>
      <w:r w:rsidRPr="0012632A">
        <w:rPr>
          <w:rFonts w:ascii="Perpetua" w:hAnsi="Perpetua"/>
          <w:sz w:val="26"/>
          <w:szCs w:val="26"/>
        </w:rPr>
        <w:t xml:space="preserve">in relation to the selective design behind the neural platforms that enable not only selfishness but invigilation of other </w:t>
      </w:r>
      <w:proofErr w:type="spellStart"/>
      <w:r w:rsidRPr="0012632A">
        <w:rPr>
          <w:rFonts w:ascii="Perpetua" w:hAnsi="Perpetua"/>
          <w:sz w:val="26"/>
          <w:szCs w:val="26"/>
        </w:rPr>
        <w:t>behaviours</w:t>
      </w:r>
      <w:proofErr w:type="spellEnd"/>
      <w:r w:rsidRPr="0012632A">
        <w:rPr>
          <w:rFonts w:ascii="Perpetua" w:hAnsi="Perpetua"/>
          <w:sz w:val="26"/>
          <w:szCs w:val="26"/>
        </w:rPr>
        <w:t>, binary ethical evaluation, and reciprocal altruism, which is germane to cooperation and therefore efficient genetic replication. By drawing on romance imperatives rather than demanding equivalent legal punishment for a perceived quantity of injury,</w:t>
      </w:r>
      <w:r>
        <w:rPr>
          <w:rFonts w:ascii="Perpetua" w:hAnsi="Perpetua"/>
          <w:sz w:val="26"/>
          <w:szCs w:val="26"/>
        </w:rPr>
        <w:t xml:space="preserve"> according to Beecher,</w:t>
      </w:r>
      <w:r w:rsidRPr="0012632A">
        <w:rPr>
          <w:rFonts w:ascii="Perpetua" w:hAnsi="Perpetua"/>
          <w:sz w:val="26"/>
          <w:szCs w:val="26"/>
        </w:rPr>
        <w:t xml:space="preserve"> </w:t>
      </w:r>
      <w:r w:rsidRPr="0012632A">
        <w:rPr>
          <w:rFonts w:ascii="Perpetua" w:hAnsi="Perpetua"/>
          <w:i/>
          <w:sz w:val="26"/>
          <w:szCs w:val="26"/>
        </w:rPr>
        <w:t>Measure for Measure</w:t>
      </w:r>
      <w:r w:rsidRPr="0012632A">
        <w:rPr>
          <w:rFonts w:ascii="Perpetua" w:hAnsi="Perpetua"/>
          <w:sz w:val="26"/>
          <w:szCs w:val="26"/>
        </w:rPr>
        <w:t xml:space="preserve"> ‘gravitates towards a justice based on rehabilitative constraint’ and </w:t>
      </w:r>
      <w:r>
        <w:rPr>
          <w:rFonts w:ascii="Perpetua" w:hAnsi="Perpetua"/>
          <w:sz w:val="26"/>
          <w:szCs w:val="26"/>
        </w:rPr>
        <w:t>exchange ethics</w:t>
      </w:r>
      <w:r w:rsidR="00D97339">
        <w:rPr>
          <w:rFonts w:ascii="Perpetua" w:hAnsi="Perpetua"/>
          <w:sz w:val="26"/>
          <w:szCs w:val="26"/>
        </w:rPr>
        <w:t xml:space="preserve"> in way in which the Duke administers justice at the conclusion</w:t>
      </w:r>
      <w:r w:rsidRPr="0012632A">
        <w:rPr>
          <w:rFonts w:ascii="Perpetua" w:hAnsi="Perpetua"/>
          <w:sz w:val="26"/>
          <w:szCs w:val="26"/>
        </w:rPr>
        <w:t>.</w:t>
      </w:r>
      <w:r>
        <w:rPr>
          <w:rStyle w:val="FootnoteReference"/>
          <w:rFonts w:ascii="Perpetua" w:hAnsi="Perpetua"/>
          <w:sz w:val="26"/>
          <w:szCs w:val="26"/>
        </w:rPr>
        <w:footnoteReference w:id="43"/>
      </w:r>
      <w:r w:rsidRPr="0012632A">
        <w:rPr>
          <w:rFonts w:ascii="Perpetua" w:hAnsi="Perpetua"/>
          <w:sz w:val="26"/>
          <w:szCs w:val="26"/>
        </w:rPr>
        <w:t xml:space="preserve"> This involves not simply mercy but rather calculated remission for potential future co-operators, like the remorseful Angelo, with enforced marriages ensuring the material rights of brides as mothers or prospective mothers and the legitimation of their offspring. This reading arguably renders more understandable a distribution of ‘justice’ that has puzzled many readers.</w:t>
      </w:r>
    </w:p>
    <w:p w:rsidR="00F34EFD" w:rsidRDefault="00F34EFD" w:rsidP="00A36747">
      <w:pPr>
        <w:tabs>
          <w:tab w:val="left" w:pos="-720"/>
          <w:tab w:val="left" w:pos="0"/>
        </w:tabs>
        <w:suppressAutoHyphens/>
        <w:spacing w:line="276" w:lineRule="auto"/>
        <w:rPr>
          <w:rFonts w:ascii="Perpetua" w:hAnsi="Perpetua"/>
          <w:sz w:val="26"/>
          <w:szCs w:val="26"/>
        </w:rPr>
      </w:pPr>
    </w:p>
    <w:p w:rsidR="00F34EFD" w:rsidRDefault="00F34EFD" w:rsidP="00A36747">
      <w:pPr>
        <w:tabs>
          <w:tab w:val="left" w:pos="-720"/>
          <w:tab w:val="left" w:pos="0"/>
        </w:tabs>
        <w:suppressAutoHyphens/>
        <w:spacing w:line="276" w:lineRule="auto"/>
        <w:rPr>
          <w:rFonts w:ascii="Perpetua" w:hAnsi="Perpetua"/>
          <w:sz w:val="26"/>
          <w:szCs w:val="26"/>
        </w:rPr>
      </w:pPr>
      <w:r>
        <w:rPr>
          <w:rFonts w:ascii="Perpetua" w:hAnsi="Perpetua"/>
          <w:sz w:val="26"/>
          <w:szCs w:val="26"/>
        </w:rPr>
        <w:lastRenderedPageBreak/>
        <w:t>It is questionable that a reading along the lines of evolutionary psychology satisfactorily accounts for Isabella’s silence at the end of the play.</w:t>
      </w:r>
    </w:p>
    <w:p w:rsidR="00F34EFD" w:rsidRPr="00F34EFD" w:rsidRDefault="00F34EFD" w:rsidP="00F34EFD">
      <w:pPr>
        <w:tabs>
          <w:tab w:val="left" w:pos="-720"/>
          <w:tab w:val="left" w:pos="0"/>
        </w:tabs>
        <w:suppressAutoHyphens/>
        <w:ind w:left="1134" w:right="1134"/>
        <w:rPr>
          <w:rFonts w:ascii="Perpetua" w:hAnsi="Perpetua"/>
          <w:szCs w:val="24"/>
        </w:rPr>
      </w:pPr>
    </w:p>
    <w:p w:rsidR="00F34EFD" w:rsidRPr="00F34EFD" w:rsidRDefault="00F34EFD" w:rsidP="00F34EFD">
      <w:pPr>
        <w:tabs>
          <w:tab w:val="left" w:pos="-720"/>
          <w:tab w:val="left" w:pos="0"/>
        </w:tabs>
        <w:suppressAutoHyphens/>
        <w:ind w:left="1134" w:right="1134"/>
        <w:rPr>
          <w:rFonts w:ascii="Perpetua" w:hAnsi="Perpetua" w:cs="Adobe Devanagari"/>
          <w:spacing w:val="-3"/>
          <w:szCs w:val="24"/>
          <w:lang w:val="en-GB"/>
        </w:rPr>
      </w:pPr>
      <w:r w:rsidRPr="00F34EFD">
        <w:rPr>
          <w:rFonts w:ascii="Perpetua" w:hAnsi="Perpetua" w:cs="Adobe Devanagari"/>
          <w:spacing w:val="-3"/>
          <w:szCs w:val="24"/>
          <w:lang w:val="en-GB"/>
        </w:rPr>
        <w:t xml:space="preserve">The literal-minded option would be to put Isabella’s silence down to a compositor’s failure to read a few lines of assent – or refusal – on the reverse of a sheet of paper, but such a theory would not explain why Isabella falls silent eighty-four lines from the play’s end. From her storming speeches at the start of the act, powered by </w:t>
      </w:r>
      <w:proofErr w:type="spellStart"/>
      <w:r w:rsidRPr="00F34EFD">
        <w:rPr>
          <w:rFonts w:ascii="Perpetua" w:hAnsi="Perpetua" w:cs="Adobe Devanagari"/>
          <w:b/>
          <w:spacing w:val="-3"/>
          <w:szCs w:val="24"/>
          <w:lang w:val="en-GB"/>
        </w:rPr>
        <w:t>epizeuxis</w:t>
      </w:r>
      <w:proofErr w:type="spellEnd"/>
      <w:r w:rsidRPr="00F34EFD">
        <w:rPr>
          <w:rFonts w:ascii="Perpetua" w:hAnsi="Perpetua" w:cs="Adobe Devanagari"/>
          <w:spacing w:val="-3"/>
          <w:szCs w:val="24"/>
          <w:lang w:val="en-GB"/>
        </w:rPr>
        <w:t>, she concludes with a rather more subdued speech, more than likely spoken against her true feelings. The extended silence which ensues could indicate an exhausted submission, an acceptance that elective celibacy is an unattainable dream in a world where women’s sexuality is there to be gainfully employed: to save the life of a brother, to test the probity of a puritan, or to meet the will of a ruler who finds himself suddenly troubled by the ‘dribbling dart of love’ (1.3.2).</w:t>
      </w:r>
      <w:r w:rsidRPr="00F34EFD">
        <w:rPr>
          <w:rStyle w:val="FootnoteReference"/>
          <w:rFonts w:ascii="Perpetua" w:hAnsi="Perpetua" w:cs="Adobe Devanagari"/>
          <w:spacing w:val="-3"/>
          <w:szCs w:val="24"/>
          <w:lang w:val="en-GB"/>
        </w:rPr>
        <w:footnoteReference w:id="44"/>
      </w:r>
    </w:p>
    <w:p w:rsidR="00F34EFD" w:rsidRDefault="00F34EFD" w:rsidP="00A36747">
      <w:pPr>
        <w:tabs>
          <w:tab w:val="left" w:pos="-720"/>
          <w:tab w:val="left" w:pos="0"/>
        </w:tabs>
        <w:suppressAutoHyphens/>
        <w:spacing w:line="276" w:lineRule="auto"/>
        <w:rPr>
          <w:rFonts w:ascii="Perpetua" w:hAnsi="Perpetua" w:cs="Adobe Devanagari"/>
          <w:spacing w:val="-3"/>
          <w:sz w:val="26"/>
          <w:szCs w:val="26"/>
          <w:lang w:val="en-GB"/>
        </w:rPr>
      </w:pPr>
    </w:p>
    <w:p w:rsidR="00F34EFD" w:rsidRPr="0012632A" w:rsidRDefault="00E922DC" w:rsidP="00A36747">
      <w:pPr>
        <w:tabs>
          <w:tab w:val="left" w:pos="-720"/>
          <w:tab w:val="left" w:pos="0"/>
        </w:tabs>
        <w:suppressAutoHyphens/>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Not only Isabella, but Angelo, </w:t>
      </w:r>
      <w:proofErr w:type="spellStart"/>
      <w:r>
        <w:rPr>
          <w:rFonts w:ascii="Perpetua" w:hAnsi="Perpetua" w:cs="Adobe Devanagari"/>
          <w:spacing w:val="-3"/>
          <w:sz w:val="26"/>
          <w:szCs w:val="26"/>
          <w:lang w:val="en-GB"/>
        </w:rPr>
        <w:t>Julietta</w:t>
      </w:r>
      <w:proofErr w:type="spellEnd"/>
      <w:r>
        <w:rPr>
          <w:rFonts w:ascii="Perpetua" w:hAnsi="Perpetua" w:cs="Adobe Devanagari"/>
          <w:spacing w:val="-3"/>
          <w:sz w:val="26"/>
          <w:szCs w:val="26"/>
          <w:lang w:val="en-GB"/>
        </w:rPr>
        <w:t xml:space="preserve">, Claudio, and </w:t>
      </w:r>
      <w:proofErr w:type="spellStart"/>
      <w:r>
        <w:rPr>
          <w:rFonts w:ascii="Perpetua" w:hAnsi="Perpetua" w:cs="Adobe Devanagari"/>
          <w:spacing w:val="-3"/>
          <w:sz w:val="26"/>
          <w:szCs w:val="26"/>
          <w:lang w:val="en-GB"/>
        </w:rPr>
        <w:t>Barnadine</w:t>
      </w:r>
      <w:proofErr w:type="spellEnd"/>
      <w:r>
        <w:rPr>
          <w:rFonts w:ascii="Perpetua" w:hAnsi="Perpetua" w:cs="Adobe Devanagari"/>
          <w:spacing w:val="-3"/>
          <w:sz w:val="26"/>
          <w:szCs w:val="26"/>
          <w:lang w:val="en-GB"/>
        </w:rPr>
        <w:t xml:space="preserve"> all remain silent in response to the Duke’s judgements. ‘The reason may be that it is not the Duke but the playwright who is unable to deal satisfactorily with the dilemmas he has created […], or that the problems are inherently insoluble.’</w:t>
      </w:r>
      <w:r>
        <w:rPr>
          <w:rStyle w:val="FootnoteReference"/>
          <w:rFonts w:ascii="Perpetua" w:hAnsi="Perpetua" w:cs="Adobe Devanagari"/>
          <w:spacing w:val="-3"/>
          <w:sz w:val="26"/>
          <w:szCs w:val="26"/>
          <w:lang w:val="en-GB"/>
        </w:rPr>
        <w:footnoteReference w:id="45"/>
      </w:r>
    </w:p>
    <w:sectPr w:rsidR="00F34EFD" w:rsidRPr="0012632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2E5C" w:rsidRDefault="00682E5C" w:rsidP="00D43544">
      <w:r>
        <w:separator/>
      </w:r>
    </w:p>
  </w:endnote>
  <w:endnote w:type="continuationSeparator" w:id="0">
    <w:p w:rsidR="00682E5C" w:rsidRDefault="00682E5C" w:rsidP="00D43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w:panose1 w:val="02070409020205020404"/>
    <w:charset w:val="00"/>
    <w:family w:val="modern"/>
    <w:notTrueType/>
    <w:pitch w:val="fixed"/>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BatangChe">
    <w:panose1 w:val="02030609000101010101"/>
    <w:charset w:val="81"/>
    <w:family w:val="modern"/>
    <w:pitch w:val="fixed"/>
    <w:sig w:usb0="B00002AF" w:usb1="69D77CFB" w:usb2="00000030" w:usb3="00000000" w:csb0="0008009F"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0000000000000000000"/>
    <w:charset w:val="00"/>
    <w:family w:val="roman"/>
    <w:notTrueType/>
    <w:pitch w:val="variable"/>
    <w:sig w:usb0="00000003" w:usb1="00000000" w:usb2="00000000" w:usb3="00000000" w:csb0="00000001" w:csb1="00000000"/>
  </w:font>
  <w:font w:name="Aparajita">
    <w:panose1 w:val="020B0604020202020204"/>
    <w:charset w:val="00"/>
    <w:family w:val="swiss"/>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0195809"/>
      <w:docPartObj>
        <w:docPartGallery w:val="Page Numbers (Bottom of Page)"/>
        <w:docPartUnique/>
      </w:docPartObj>
    </w:sdtPr>
    <w:sdtEndPr>
      <w:rPr>
        <w:noProof/>
      </w:rPr>
    </w:sdtEndPr>
    <w:sdtContent>
      <w:p w:rsidR="00682E5C" w:rsidRDefault="00682E5C">
        <w:pPr>
          <w:pStyle w:val="Footer"/>
          <w:jc w:val="center"/>
        </w:pPr>
        <w:r>
          <w:fldChar w:fldCharType="begin"/>
        </w:r>
        <w:r>
          <w:instrText xml:space="preserve"> PAGE   \* MERGEFORMAT </w:instrText>
        </w:r>
        <w:r>
          <w:fldChar w:fldCharType="separate"/>
        </w:r>
        <w:r w:rsidR="0055428D">
          <w:rPr>
            <w:noProof/>
          </w:rPr>
          <w:t>11</w:t>
        </w:r>
        <w:r>
          <w:rPr>
            <w:noProof/>
          </w:rPr>
          <w:fldChar w:fldCharType="end"/>
        </w:r>
      </w:p>
    </w:sdtContent>
  </w:sdt>
  <w:p w:rsidR="00682E5C" w:rsidRDefault="00682E5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2E5C" w:rsidRDefault="00682E5C" w:rsidP="00D43544">
      <w:r>
        <w:separator/>
      </w:r>
    </w:p>
  </w:footnote>
  <w:footnote w:type="continuationSeparator" w:id="0">
    <w:p w:rsidR="00682E5C" w:rsidRDefault="00682E5C" w:rsidP="00D43544">
      <w:r>
        <w:continuationSeparator/>
      </w:r>
    </w:p>
  </w:footnote>
  <w:footnote w:id="1">
    <w:p w:rsidR="00682E5C" w:rsidRPr="00056F1C" w:rsidRDefault="00682E5C">
      <w:pPr>
        <w:pStyle w:val="FootnoteText"/>
        <w:rPr>
          <w:rFonts w:ascii="Perpetua" w:hAnsi="Perpetua"/>
          <w:lang w:val="en-GB"/>
        </w:rPr>
      </w:pPr>
      <w:r w:rsidRPr="00056F1C">
        <w:rPr>
          <w:rStyle w:val="FootnoteReference"/>
          <w:rFonts w:ascii="Perpetua" w:hAnsi="Perpetua"/>
        </w:rPr>
        <w:footnoteRef/>
      </w:r>
      <w:r w:rsidRPr="00056F1C">
        <w:rPr>
          <w:rFonts w:ascii="Perpetua" w:hAnsi="Perpetua"/>
        </w:rPr>
        <w:t xml:space="preserve"> </w:t>
      </w:r>
      <w:r>
        <w:rPr>
          <w:rFonts w:ascii="Perpetua" w:hAnsi="Perpetua"/>
        </w:rPr>
        <w:t xml:space="preserve">William Shakespeare, </w:t>
      </w:r>
      <w:r>
        <w:rPr>
          <w:rFonts w:ascii="Perpetua" w:hAnsi="Perpetua"/>
          <w:i/>
        </w:rPr>
        <w:t>Measure for Measure</w:t>
      </w:r>
      <w:r>
        <w:rPr>
          <w:rFonts w:ascii="Perpetua" w:hAnsi="Perpetua"/>
        </w:rPr>
        <w:t xml:space="preserve">, ed. by N.W. </w:t>
      </w:r>
      <w:proofErr w:type="spellStart"/>
      <w:r>
        <w:rPr>
          <w:rFonts w:ascii="Perpetua" w:hAnsi="Perpetua"/>
        </w:rPr>
        <w:t>Bawcutt</w:t>
      </w:r>
      <w:proofErr w:type="spellEnd"/>
      <w:r>
        <w:rPr>
          <w:rFonts w:ascii="Perpetua" w:hAnsi="Perpetua"/>
        </w:rPr>
        <w:t>, The Oxford Shakespeare (Oxford: Oxford University Press, 1998), p. 65.</w:t>
      </w:r>
    </w:p>
  </w:footnote>
  <w:footnote w:id="2">
    <w:p w:rsidR="00682E5C" w:rsidRPr="00056F1C" w:rsidRDefault="00682E5C">
      <w:pPr>
        <w:pStyle w:val="FootnoteText"/>
        <w:rPr>
          <w:rFonts w:ascii="Perpetua" w:hAnsi="Perpetua"/>
          <w:lang w:val="en-GB"/>
        </w:rPr>
      </w:pPr>
      <w:r w:rsidRPr="00056F1C">
        <w:rPr>
          <w:rStyle w:val="FootnoteReference"/>
          <w:rFonts w:ascii="Perpetua" w:hAnsi="Perpetua"/>
        </w:rPr>
        <w:footnoteRef/>
      </w:r>
      <w:r w:rsidRPr="00056F1C">
        <w:rPr>
          <w:rFonts w:ascii="Perpetua" w:hAnsi="Perpetua"/>
        </w:rPr>
        <w:t xml:space="preserve"> </w:t>
      </w:r>
      <w:r>
        <w:rPr>
          <w:rFonts w:ascii="Perpetua" w:hAnsi="Perpetua"/>
          <w:i/>
        </w:rPr>
        <w:t>Measure for Measure</w:t>
      </w:r>
      <w:r>
        <w:rPr>
          <w:rFonts w:ascii="Perpetua" w:hAnsi="Perpetua"/>
        </w:rPr>
        <w:t xml:space="preserve">, ed. by </w:t>
      </w:r>
      <w:proofErr w:type="spellStart"/>
      <w:r>
        <w:rPr>
          <w:rFonts w:ascii="Perpetua" w:hAnsi="Perpetua"/>
        </w:rPr>
        <w:t>Bawcutt</w:t>
      </w:r>
      <w:proofErr w:type="spellEnd"/>
      <w:r>
        <w:rPr>
          <w:rFonts w:ascii="Perpetua" w:hAnsi="Perpetua"/>
        </w:rPr>
        <w:t>, p. 65.</w:t>
      </w:r>
    </w:p>
  </w:footnote>
  <w:footnote w:id="3">
    <w:p w:rsidR="00682E5C" w:rsidRPr="001C6C76" w:rsidRDefault="00682E5C">
      <w:pPr>
        <w:pStyle w:val="FootnoteText"/>
        <w:rPr>
          <w:rFonts w:ascii="Perpetua" w:hAnsi="Perpetua"/>
          <w:lang w:val="en-GB"/>
        </w:rPr>
      </w:pPr>
      <w:r w:rsidRPr="001C6C76">
        <w:rPr>
          <w:rStyle w:val="FootnoteReference"/>
          <w:rFonts w:ascii="Perpetua" w:hAnsi="Perpetua"/>
        </w:rPr>
        <w:footnoteRef/>
      </w:r>
      <w:r w:rsidRPr="001C6C76">
        <w:rPr>
          <w:rFonts w:ascii="Perpetua" w:hAnsi="Perpetua"/>
        </w:rPr>
        <w:t xml:space="preserve"> </w:t>
      </w:r>
      <w:r>
        <w:rPr>
          <w:rFonts w:ascii="Perpetua" w:hAnsi="Perpetua"/>
        </w:rPr>
        <w:t xml:space="preserve">William Shakespeare, </w:t>
      </w:r>
      <w:r>
        <w:rPr>
          <w:rFonts w:ascii="Perpetua" w:hAnsi="Perpetua"/>
          <w:i/>
        </w:rPr>
        <w:t>Measure for Measure</w:t>
      </w:r>
      <w:r>
        <w:rPr>
          <w:rFonts w:ascii="Perpetua" w:hAnsi="Perpetua"/>
        </w:rPr>
        <w:t>,</w:t>
      </w:r>
      <w:r w:rsidR="00610872">
        <w:rPr>
          <w:rFonts w:ascii="Perpetua" w:hAnsi="Perpetua"/>
        </w:rPr>
        <w:t xml:space="preserve"> ed. by J.W. Lever,</w:t>
      </w:r>
      <w:r>
        <w:rPr>
          <w:rFonts w:ascii="Perpetua" w:hAnsi="Perpetua"/>
        </w:rPr>
        <w:t xml:space="preserve"> The Arden Edition (London: Routledge, 1988; </w:t>
      </w:r>
      <w:proofErr w:type="spellStart"/>
      <w:r>
        <w:rPr>
          <w:rFonts w:ascii="Perpetua" w:hAnsi="Perpetua"/>
        </w:rPr>
        <w:t>repr</w:t>
      </w:r>
      <w:proofErr w:type="spellEnd"/>
      <w:r>
        <w:rPr>
          <w:rFonts w:ascii="Perpetua" w:hAnsi="Perpetua"/>
        </w:rPr>
        <w:t>. 1991), p. xxxi.</w:t>
      </w:r>
    </w:p>
  </w:footnote>
  <w:footnote w:id="4">
    <w:p w:rsidR="00682E5C" w:rsidRPr="00DE593E" w:rsidRDefault="00682E5C">
      <w:pPr>
        <w:pStyle w:val="FootnoteText"/>
        <w:rPr>
          <w:rFonts w:ascii="Perpetua" w:hAnsi="Perpetua"/>
          <w:lang w:val="en-GB"/>
        </w:rPr>
      </w:pPr>
      <w:r w:rsidRPr="00DE593E">
        <w:rPr>
          <w:rStyle w:val="FootnoteReference"/>
          <w:rFonts w:ascii="Perpetua" w:hAnsi="Perpetua"/>
        </w:rPr>
        <w:footnoteRef/>
      </w:r>
      <w:r w:rsidRPr="00DE593E">
        <w:rPr>
          <w:rFonts w:ascii="Perpetua" w:hAnsi="Perpetua"/>
        </w:rPr>
        <w:t xml:space="preserve"> </w:t>
      </w:r>
      <w:r>
        <w:rPr>
          <w:rFonts w:ascii="Perpetua" w:hAnsi="Perpetua"/>
          <w:i/>
        </w:rPr>
        <w:t>Measure for Measure</w:t>
      </w:r>
      <w:r>
        <w:rPr>
          <w:rFonts w:ascii="Perpetua" w:hAnsi="Perpetua"/>
        </w:rPr>
        <w:t xml:space="preserve">, ed. by </w:t>
      </w:r>
      <w:proofErr w:type="spellStart"/>
      <w:r>
        <w:rPr>
          <w:rFonts w:ascii="Perpetua" w:hAnsi="Perpetua"/>
        </w:rPr>
        <w:t>Bawcutt</w:t>
      </w:r>
      <w:proofErr w:type="spellEnd"/>
      <w:r>
        <w:rPr>
          <w:rFonts w:ascii="Perpetua" w:hAnsi="Perpetua"/>
        </w:rPr>
        <w:t>, p. 68.</w:t>
      </w:r>
    </w:p>
  </w:footnote>
  <w:footnote w:id="5">
    <w:p w:rsidR="00682E5C" w:rsidRPr="00DE593E" w:rsidRDefault="00682E5C">
      <w:pPr>
        <w:pStyle w:val="FootnoteText"/>
        <w:rPr>
          <w:rFonts w:ascii="Perpetua" w:hAnsi="Perpetua"/>
          <w:lang w:val="en-GB"/>
        </w:rPr>
      </w:pPr>
      <w:r w:rsidRPr="00DE593E">
        <w:rPr>
          <w:rStyle w:val="FootnoteReference"/>
          <w:rFonts w:ascii="Perpetua" w:hAnsi="Perpetua"/>
        </w:rPr>
        <w:footnoteRef/>
      </w:r>
      <w:r w:rsidRPr="00DE593E">
        <w:rPr>
          <w:rFonts w:ascii="Perpetua" w:hAnsi="Perpetua"/>
        </w:rPr>
        <w:t xml:space="preserve"> </w:t>
      </w:r>
      <w:r>
        <w:rPr>
          <w:rFonts w:ascii="Perpetua" w:hAnsi="Perpetua"/>
          <w:i/>
        </w:rPr>
        <w:t>Measure for Measure</w:t>
      </w:r>
      <w:r>
        <w:rPr>
          <w:rFonts w:ascii="Perpetua" w:hAnsi="Perpetua"/>
        </w:rPr>
        <w:t xml:space="preserve">, ed. by </w:t>
      </w:r>
      <w:proofErr w:type="spellStart"/>
      <w:r>
        <w:rPr>
          <w:rFonts w:ascii="Perpetua" w:hAnsi="Perpetua"/>
        </w:rPr>
        <w:t>Bawcutt</w:t>
      </w:r>
      <w:proofErr w:type="spellEnd"/>
      <w:r>
        <w:rPr>
          <w:rFonts w:ascii="Perpetua" w:hAnsi="Perpetua"/>
        </w:rPr>
        <w:t>, p. 68.</w:t>
      </w:r>
    </w:p>
  </w:footnote>
  <w:footnote w:id="6">
    <w:p w:rsidR="00682E5C" w:rsidRPr="00F673D3" w:rsidRDefault="00682E5C">
      <w:pPr>
        <w:pStyle w:val="FootnoteText"/>
        <w:rPr>
          <w:rFonts w:ascii="Perpetua" w:hAnsi="Perpetua"/>
          <w:lang w:val="en-GB"/>
        </w:rPr>
      </w:pPr>
      <w:r w:rsidRPr="00F673D3">
        <w:rPr>
          <w:rStyle w:val="FootnoteReference"/>
          <w:rFonts w:ascii="Perpetua" w:hAnsi="Perpetua"/>
        </w:rPr>
        <w:footnoteRef/>
      </w:r>
      <w:r w:rsidRPr="00F673D3">
        <w:rPr>
          <w:rFonts w:ascii="Perpetua" w:hAnsi="Perpetua"/>
        </w:rPr>
        <w:t xml:space="preserve"> </w:t>
      </w:r>
      <w:r>
        <w:rPr>
          <w:rFonts w:ascii="Perpetua" w:hAnsi="Perpetua"/>
        </w:rPr>
        <w:t xml:space="preserve">W.W. Greg, </w:t>
      </w:r>
      <w:r>
        <w:rPr>
          <w:rFonts w:ascii="Perpetua" w:hAnsi="Perpetua"/>
          <w:i/>
        </w:rPr>
        <w:t>The Editorial Problem in Shakespeare: A Survey of the Foundations of the Text</w:t>
      </w:r>
      <w:r>
        <w:rPr>
          <w:rFonts w:ascii="Perpetua" w:hAnsi="Perpetua"/>
        </w:rPr>
        <w:t xml:space="preserve">, The Clark Lectures, Trinity College, Cambridge, Lent Term, 1939, 3rd </w:t>
      </w:r>
      <w:proofErr w:type="spellStart"/>
      <w:r>
        <w:rPr>
          <w:rFonts w:ascii="Perpetua" w:hAnsi="Perpetua"/>
        </w:rPr>
        <w:t>edn</w:t>
      </w:r>
      <w:proofErr w:type="spellEnd"/>
      <w:r>
        <w:rPr>
          <w:rFonts w:ascii="Perpetua" w:hAnsi="Perpetua"/>
        </w:rPr>
        <w:t xml:space="preserve"> (Oxford: Clarendon Press, 1954; </w:t>
      </w:r>
      <w:proofErr w:type="spellStart"/>
      <w:r>
        <w:rPr>
          <w:rFonts w:ascii="Perpetua" w:hAnsi="Perpetua"/>
        </w:rPr>
        <w:t>repr</w:t>
      </w:r>
      <w:proofErr w:type="spellEnd"/>
      <w:r>
        <w:rPr>
          <w:rFonts w:ascii="Perpetua" w:hAnsi="Perpetua"/>
        </w:rPr>
        <w:t>. 1967), p. 146.</w:t>
      </w:r>
    </w:p>
  </w:footnote>
  <w:footnote w:id="7">
    <w:p w:rsidR="00682E5C" w:rsidRPr="00DE593E" w:rsidRDefault="00682E5C">
      <w:pPr>
        <w:pStyle w:val="FootnoteText"/>
        <w:rPr>
          <w:rFonts w:ascii="Perpetua" w:hAnsi="Perpetua"/>
          <w:lang w:val="en-GB"/>
        </w:rPr>
      </w:pPr>
      <w:r w:rsidRPr="00DE593E">
        <w:rPr>
          <w:rStyle w:val="FootnoteReference"/>
          <w:rFonts w:ascii="Perpetua" w:hAnsi="Perpetua"/>
        </w:rPr>
        <w:footnoteRef/>
      </w:r>
      <w:r w:rsidRPr="00DE593E">
        <w:rPr>
          <w:rFonts w:ascii="Perpetua" w:hAnsi="Perpetua"/>
        </w:rPr>
        <w:t xml:space="preserve"> </w:t>
      </w:r>
      <w:r>
        <w:rPr>
          <w:rFonts w:ascii="Perpetua" w:hAnsi="Perpetua"/>
          <w:i/>
        </w:rPr>
        <w:t>Measure for Measure</w:t>
      </w:r>
      <w:r>
        <w:rPr>
          <w:rFonts w:ascii="Perpetua" w:hAnsi="Perpetua"/>
        </w:rPr>
        <w:t xml:space="preserve">, ed. by </w:t>
      </w:r>
      <w:proofErr w:type="spellStart"/>
      <w:r>
        <w:rPr>
          <w:rFonts w:ascii="Perpetua" w:hAnsi="Perpetua"/>
        </w:rPr>
        <w:t>Bawcutt</w:t>
      </w:r>
      <w:proofErr w:type="spellEnd"/>
      <w:r>
        <w:rPr>
          <w:rFonts w:ascii="Perpetua" w:hAnsi="Perpetua"/>
        </w:rPr>
        <w:t>, p. 72.</w:t>
      </w:r>
    </w:p>
  </w:footnote>
  <w:footnote w:id="8">
    <w:p w:rsidR="00682E5C" w:rsidRPr="000479E0" w:rsidRDefault="00682E5C" w:rsidP="000479E0">
      <w:pPr>
        <w:tabs>
          <w:tab w:val="left" w:pos="-720"/>
          <w:tab w:val="left" w:pos="0"/>
        </w:tabs>
        <w:suppressAutoHyphens/>
        <w:rPr>
          <w:rFonts w:ascii="Perpetua" w:hAnsi="Perpetua" w:cs="Adobe Devanagari"/>
          <w:bCs/>
          <w:sz w:val="20"/>
          <w:lang w:val="en-GB"/>
        </w:rPr>
      </w:pPr>
      <w:r w:rsidRPr="000479E0">
        <w:rPr>
          <w:rStyle w:val="FootnoteReference"/>
          <w:rFonts w:ascii="Perpetua" w:hAnsi="Perpetua"/>
        </w:rPr>
        <w:footnoteRef/>
      </w:r>
      <w:r w:rsidRPr="000479E0">
        <w:rPr>
          <w:rFonts w:ascii="Perpetua" w:hAnsi="Perpetua"/>
        </w:rPr>
        <w:t xml:space="preserve"> </w:t>
      </w:r>
      <w:r>
        <w:rPr>
          <w:rFonts w:ascii="Perpetua" w:hAnsi="Perpetua" w:cs="Adobe Devanagari"/>
          <w:bCs/>
          <w:i/>
          <w:sz w:val="20"/>
          <w:lang w:val="en-GB"/>
        </w:rPr>
        <w:t>T</w:t>
      </w:r>
      <w:r w:rsidRPr="008658D9">
        <w:rPr>
          <w:rFonts w:ascii="Perpetua" w:hAnsi="Perpetua" w:cs="Adobe Devanagari"/>
          <w:bCs/>
          <w:i/>
          <w:sz w:val="20"/>
          <w:lang w:val="en-GB"/>
        </w:rPr>
        <w:t>he</w:t>
      </w:r>
      <w:r>
        <w:rPr>
          <w:rFonts w:ascii="Perpetua" w:hAnsi="Perpetua" w:cs="Adobe Devanagari"/>
          <w:bCs/>
          <w:i/>
          <w:sz w:val="20"/>
          <w:lang w:val="en-GB"/>
        </w:rPr>
        <w:t xml:space="preserve"> Oxford Shakespeare: The Complete Works</w:t>
      </w:r>
      <w:r>
        <w:rPr>
          <w:rFonts w:ascii="Perpetua" w:hAnsi="Perpetua" w:cs="Adobe Devanagari"/>
          <w:bCs/>
          <w:sz w:val="20"/>
          <w:lang w:val="en-GB"/>
        </w:rPr>
        <w:t>, ed.</w:t>
      </w:r>
      <w:r w:rsidRPr="008658D9">
        <w:rPr>
          <w:rFonts w:ascii="Perpetua" w:hAnsi="Perpetua" w:cs="Adobe Devanagari"/>
          <w:bCs/>
          <w:sz w:val="20"/>
          <w:lang w:val="en-GB"/>
        </w:rPr>
        <w:t xml:space="preserve"> by</w:t>
      </w:r>
      <w:r>
        <w:rPr>
          <w:rFonts w:ascii="Perpetua" w:hAnsi="Perpetua" w:cs="Adobe Devanagari"/>
          <w:bCs/>
          <w:sz w:val="20"/>
          <w:lang w:val="en-GB"/>
        </w:rPr>
        <w:t xml:space="preserve"> Stanley Wells and Gary Taylor, 2</w:t>
      </w:r>
      <w:r w:rsidRPr="00313304">
        <w:rPr>
          <w:rFonts w:ascii="Perpetua" w:hAnsi="Perpetua" w:cs="Adobe Devanagari"/>
          <w:bCs/>
          <w:sz w:val="20"/>
          <w:lang w:val="en-GB"/>
        </w:rPr>
        <w:t>nd</w:t>
      </w:r>
      <w:r>
        <w:rPr>
          <w:rFonts w:ascii="Perpetua" w:hAnsi="Perpetua" w:cs="Adobe Devanagari"/>
          <w:bCs/>
          <w:sz w:val="20"/>
          <w:lang w:val="en-GB"/>
        </w:rPr>
        <w:t xml:space="preserve"> </w:t>
      </w:r>
      <w:proofErr w:type="spellStart"/>
      <w:r>
        <w:rPr>
          <w:rFonts w:ascii="Perpetua" w:hAnsi="Perpetua" w:cs="Adobe Devanagari"/>
          <w:bCs/>
          <w:sz w:val="20"/>
          <w:lang w:val="en-GB"/>
        </w:rPr>
        <w:t>edn</w:t>
      </w:r>
      <w:proofErr w:type="spellEnd"/>
      <w:r w:rsidRPr="008658D9">
        <w:rPr>
          <w:rFonts w:ascii="Perpetua" w:hAnsi="Perpetua" w:cs="Adobe Devanagari"/>
          <w:bCs/>
          <w:sz w:val="20"/>
          <w:lang w:val="en-GB"/>
        </w:rPr>
        <w:t xml:space="preserve"> (Oxford: Oxford University Press, </w:t>
      </w:r>
      <w:r>
        <w:rPr>
          <w:rFonts w:ascii="Perpetua" w:hAnsi="Perpetua" w:cs="Adobe Devanagari"/>
          <w:bCs/>
          <w:sz w:val="20"/>
          <w:lang w:val="en-GB"/>
        </w:rPr>
        <w:t>2005</w:t>
      </w:r>
      <w:r w:rsidRPr="008658D9">
        <w:rPr>
          <w:rFonts w:ascii="Perpetua" w:hAnsi="Perpetua" w:cs="Adobe Devanagari"/>
          <w:bCs/>
          <w:sz w:val="20"/>
          <w:lang w:val="en-GB"/>
        </w:rPr>
        <w:t>)</w:t>
      </w:r>
      <w:r>
        <w:rPr>
          <w:rFonts w:ascii="Perpetua" w:hAnsi="Perpetua" w:cs="Adobe Devanagari"/>
          <w:bCs/>
          <w:sz w:val="20"/>
          <w:lang w:val="en-GB"/>
        </w:rPr>
        <w:t>, p. 789.</w:t>
      </w:r>
    </w:p>
  </w:footnote>
  <w:footnote w:id="9">
    <w:p w:rsidR="00682E5C" w:rsidRPr="004A66CD" w:rsidRDefault="00682E5C">
      <w:pPr>
        <w:pStyle w:val="FootnoteText"/>
        <w:rPr>
          <w:rFonts w:ascii="Perpetua" w:hAnsi="Perpetua"/>
          <w:lang w:val="en-GB"/>
        </w:rPr>
      </w:pPr>
      <w:r w:rsidRPr="004A66CD">
        <w:rPr>
          <w:rStyle w:val="FootnoteReference"/>
          <w:rFonts w:ascii="Perpetua" w:hAnsi="Perpetua"/>
        </w:rPr>
        <w:footnoteRef/>
      </w:r>
      <w:r w:rsidRPr="004A66CD">
        <w:rPr>
          <w:rFonts w:ascii="Perpetua" w:hAnsi="Perpetua"/>
        </w:rPr>
        <w:t xml:space="preserve"> </w:t>
      </w:r>
      <w:r>
        <w:rPr>
          <w:rFonts w:ascii="Perpetua" w:hAnsi="Perpetua" w:cs="Adobe Devanagari"/>
          <w:bCs/>
          <w:i/>
          <w:lang w:val="en-GB"/>
        </w:rPr>
        <w:t>T</w:t>
      </w:r>
      <w:r w:rsidRPr="008658D9">
        <w:rPr>
          <w:rFonts w:ascii="Perpetua" w:hAnsi="Perpetua" w:cs="Adobe Devanagari"/>
          <w:bCs/>
          <w:i/>
          <w:lang w:val="en-GB"/>
        </w:rPr>
        <w:t>he</w:t>
      </w:r>
      <w:r>
        <w:rPr>
          <w:rFonts w:ascii="Perpetua" w:hAnsi="Perpetua" w:cs="Adobe Devanagari"/>
          <w:bCs/>
          <w:i/>
          <w:lang w:val="en-GB"/>
        </w:rPr>
        <w:t xml:space="preserve"> Oxford Shakespeare: The Complete Works</w:t>
      </w:r>
      <w:r>
        <w:rPr>
          <w:rFonts w:ascii="Perpetua" w:hAnsi="Perpetua" w:cs="Adobe Devanagari"/>
          <w:bCs/>
          <w:lang w:val="en-GB"/>
        </w:rPr>
        <w:t>, p. 789.</w:t>
      </w:r>
    </w:p>
  </w:footnote>
  <w:footnote w:id="10">
    <w:p w:rsidR="00A0724C" w:rsidRPr="00A0724C" w:rsidRDefault="00A0724C">
      <w:pPr>
        <w:pStyle w:val="FootnoteText"/>
        <w:rPr>
          <w:rFonts w:ascii="Perpetua" w:hAnsi="Perpetua"/>
          <w:lang w:val="en-GB"/>
        </w:rPr>
      </w:pPr>
      <w:r w:rsidRPr="00A0724C">
        <w:rPr>
          <w:rStyle w:val="FootnoteReference"/>
          <w:rFonts w:ascii="Perpetua" w:hAnsi="Perpetua"/>
        </w:rPr>
        <w:footnoteRef/>
      </w:r>
      <w:r w:rsidRPr="00A0724C">
        <w:rPr>
          <w:rFonts w:ascii="Perpetua" w:hAnsi="Perpetua"/>
        </w:rPr>
        <w:t xml:space="preserve"> </w:t>
      </w:r>
      <w:r>
        <w:rPr>
          <w:rFonts w:ascii="Perpetua" w:hAnsi="Perpetua"/>
        </w:rPr>
        <w:t xml:space="preserve">Alexander </w:t>
      </w:r>
      <w:proofErr w:type="spellStart"/>
      <w:r>
        <w:rPr>
          <w:rFonts w:ascii="Perpetua" w:hAnsi="Perpetua"/>
        </w:rPr>
        <w:t>Leggatt</w:t>
      </w:r>
      <w:proofErr w:type="spellEnd"/>
      <w:r>
        <w:rPr>
          <w:rFonts w:ascii="Perpetua" w:hAnsi="Perpetua"/>
        </w:rPr>
        <w:t xml:space="preserve">, </w:t>
      </w:r>
      <w:r>
        <w:rPr>
          <w:rFonts w:ascii="Perpetua" w:hAnsi="Perpetua"/>
          <w:i/>
        </w:rPr>
        <w:t>English Drama: Shakespeare to the Restoration, 1590-1660</w:t>
      </w:r>
      <w:r>
        <w:rPr>
          <w:rFonts w:ascii="Perpetua" w:hAnsi="Perpetua"/>
        </w:rPr>
        <w:t>, Longman Literature in English Series</w:t>
      </w:r>
      <w:r w:rsidR="00431AF7">
        <w:rPr>
          <w:rFonts w:ascii="Perpetua" w:hAnsi="Perpetua"/>
        </w:rPr>
        <w:t xml:space="preserve"> (London: Longman, 1988), p. 87</w:t>
      </w:r>
      <w:r>
        <w:rPr>
          <w:rFonts w:ascii="Perpetua" w:hAnsi="Perpetua"/>
        </w:rPr>
        <w:t>.</w:t>
      </w:r>
    </w:p>
  </w:footnote>
  <w:footnote w:id="11">
    <w:p w:rsidR="00682E5C" w:rsidRPr="008E36BA" w:rsidRDefault="00682E5C">
      <w:pPr>
        <w:pStyle w:val="FootnoteText"/>
        <w:rPr>
          <w:rFonts w:ascii="Perpetua" w:hAnsi="Perpetua"/>
          <w:lang w:val="en-GB"/>
        </w:rPr>
      </w:pPr>
      <w:r w:rsidRPr="008E36BA">
        <w:rPr>
          <w:rStyle w:val="FootnoteReference"/>
          <w:rFonts w:ascii="Perpetua" w:hAnsi="Perpetua"/>
        </w:rPr>
        <w:footnoteRef/>
      </w:r>
      <w:r w:rsidRPr="008E36BA">
        <w:rPr>
          <w:rFonts w:ascii="Perpetua" w:hAnsi="Perpetua"/>
        </w:rPr>
        <w:t xml:space="preserve"> </w:t>
      </w:r>
      <w:r>
        <w:rPr>
          <w:rFonts w:ascii="Perpetua" w:hAnsi="Perpetua" w:cs="Adobe Devanagari"/>
          <w:bCs/>
          <w:i/>
          <w:lang w:val="en-GB"/>
        </w:rPr>
        <w:t>T</w:t>
      </w:r>
      <w:r w:rsidRPr="008658D9">
        <w:rPr>
          <w:rFonts w:ascii="Perpetua" w:hAnsi="Perpetua" w:cs="Adobe Devanagari"/>
          <w:bCs/>
          <w:i/>
          <w:lang w:val="en-GB"/>
        </w:rPr>
        <w:t>he</w:t>
      </w:r>
      <w:r>
        <w:rPr>
          <w:rFonts w:ascii="Perpetua" w:hAnsi="Perpetua" w:cs="Adobe Devanagari"/>
          <w:bCs/>
          <w:i/>
          <w:lang w:val="en-GB"/>
        </w:rPr>
        <w:t xml:space="preserve"> Oxford Shakespeare: The Complete Works</w:t>
      </w:r>
      <w:r>
        <w:rPr>
          <w:rFonts w:ascii="Perpetua" w:hAnsi="Perpetua" w:cs="Adobe Devanagari"/>
          <w:bCs/>
          <w:lang w:val="en-GB"/>
        </w:rPr>
        <w:t>, p. 789.</w:t>
      </w:r>
    </w:p>
  </w:footnote>
  <w:footnote w:id="12">
    <w:p w:rsidR="00682E5C" w:rsidRPr="00135768" w:rsidRDefault="00682E5C">
      <w:pPr>
        <w:pStyle w:val="FootnoteText"/>
        <w:rPr>
          <w:rFonts w:ascii="Perpetua" w:hAnsi="Perpetua"/>
          <w:lang w:val="en-GB"/>
        </w:rPr>
      </w:pPr>
      <w:r w:rsidRPr="00135768">
        <w:rPr>
          <w:rStyle w:val="FootnoteReference"/>
          <w:rFonts w:ascii="Perpetua" w:hAnsi="Perpetua"/>
        </w:rPr>
        <w:footnoteRef/>
      </w:r>
      <w:r w:rsidRPr="00135768">
        <w:rPr>
          <w:rFonts w:ascii="Perpetua" w:hAnsi="Perpetua"/>
        </w:rPr>
        <w:t xml:space="preserve"> </w:t>
      </w:r>
      <w:r>
        <w:rPr>
          <w:rFonts w:ascii="Perpetua" w:hAnsi="Perpetua"/>
        </w:rPr>
        <w:t xml:space="preserve">Pamela Bickley and Jenny Stevens, </w:t>
      </w:r>
      <w:r>
        <w:rPr>
          <w:rFonts w:ascii="Perpetua" w:hAnsi="Perpetua"/>
          <w:i/>
        </w:rPr>
        <w:t>Essential Shakespeare: The Arden Guide to Text and Interpretation</w:t>
      </w:r>
      <w:r>
        <w:rPr>
          <w:rFonts w:ascii="Perpetua" w:hAnsi="Perpetua"/>
        </w:rPr>
        <w:t xml:space="preserve"> (London: Bloomsbury, 2013; </w:t>
      </w:r>
      <w:proofErr w:type="spellStart"/>
      <w:r>
        <w:rPr>
          <w:rFonts w:ascii="Perpetua" w:hAnsi="Perpetua"/>
        </w:rPr>
        <w:t>repr</w:t>
      </w:r>
      <w:proofErr w:type="spellEnd"/>
      <w:r>
        <w:rPr>
          <w:rFonts w:ascii="Perpetua" w:hAnsi="Perpetua"/>
        </w:rPr>
        <w:t>. 2014), p. 77.</w:t>
      </w:r>
    </w:p>
  </w:footnote>
  <w:footnote w:id="13">
    <w:p w:rsidR="00296295" w:rsidRPr="00421A82" w:rsidRDefault="00296295" w:rsidP="00296295">
      <w:pPr>
        <w:pStyle w:val="FootnoteText"/>
        <w:rPr>
          <w:rFonts w:ascii="Perpetua" w:hAnsi="Perpetua"/>
          <w:lang w:val="en-GB"/>
        </w:rPr>
      </w:pPr>
      <w:r w:rsidRPr="00421A82">
        <w:rPr>
          <w:rStyle w:val="FootnoteReference"/>
          <w:rFonts w:ascii="Perpetua" w:hAnsi="Perpetua"/>
        </w:rPr>
        <w:footnoteRef/>
      </w:r>
      <w:r w:rsidRPr="00421A82">
        <w:rPr>
          <w:rFonts w:ascii="Perpetua" w:hAnsi="Perpetua"/>
        </w:rPr>
        <w:t xml:space="preserve"> </w:t>
      </w:r>
      <w:r>
        <w:rPr>
          <w:rFonts w:ascii="Perpetua" w:hAnsi="Perpetua"/>
          <w:i/>
        </w:rPr>
        <w:t>Measure for Measure</w:t>
      </w:r>
      <w:r>
        <w:rPr>
          <w:rFonts w:ascii="Perpetua" w:hAnsi="Perpetua"/>
        </w:rPr>
        <w:t>, ed. by Lever, pp. xxxv-xxxvi.</w:t>
      </w:r>
    </w:p>
  </w:footnote>
  <w:footnote w:id="14">
    <w:p w:rsidR="00682E5C" w:rsidRPr="00A1542D" w:rsidRDefault="00682E5C">
      <w:pPr>
        <w:pStyle w:val="FootnoteText"/>
        <w:rPr>
          <w:rFonts w:ascii="Perpetua" w:hAnsi="Perpetua"/>
          <w:lang w:val="en-GB"/>
        </w:rPr>
      </w:pPr>
      <w:r w:rsidRPr="00A1542D">
        <w:rPr>
          <w:rStyle w:val="FootnoteReference"/>
          <w:rFonts w:ascii="Perpetua" w:hAnsi="Perpetua"/>
        </w:rPr>
        <w:footnoteRef/>
      </w:r>
      <w:r w:rsidRPr="00A1542D">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pp. 88-89.</w:t>
      </w:r>
    </w:p>
  </w:footnote>
  <w:footnote w:id="15">
    <w:p w:rsidR="0055428D" w:rsidRPr="0055428D" w:rsidRDefault="0055428D">
      <w:pPr>
        <w:pStyle w:val="FootnoteText"/>
        <w:rPr>
          <w:rFonts w:ascii="Perpetua" w:hAnsi="Perpetua"/>
          <w:lang w:val="en-GB"/>
        </w:rPr>
      </w:pPr>
      <w:r w:rsidRPr="0055428D">
        <w:rPr>
          <w:rStyle w:val="FootnoteReference"/>
          <w:rFonts w:ascii="Perpetua" w:hAnsi="Perpetua"/>
        </w:rPr>
        <w:footnoteRef/>
      </w:r>
      <w:r w:rsidRPr="0055428D">
        <w:rPr>
          <w:rFonts w:ascii="Perpetua" w:hAnsi="Perpetua"/>
        </w:rPr>
        <w:t xml:space="preserve"> </w:t>
      </w:r>
      <w:r>
        <w:rPr>
          <w:rFonts w:ascii="Perpetua" w:hAnsi="Perpetua"/>
          <w:i/>
        </w:rPr>
        <w:t>Measure for Measure</w:t>
      </w:r>
      <w:r>
        <w:rPr>
          <w:rFonts w:ascii="Perpetua" w:hAnsi="Perpetua"/>
        </w:rPr>
        <w:t xml:space="preserve">, ed. by Lever, p. </w:t>
      </w:r>
      <w:r>
        <w:rPr>
          <w:rFonts w:ascii="Perpetua" w:hAnsi="Perpetua"/>
        </w:rPr>
        <w:t>lxxiii</w:t>
      </w:r>
      <w:r>
        <w:rPr>
          <w:rFonts w:ascii="Perpetua" w:hAnsi="Perpetua"/>
        </w:rPr>
        <w:t>.</w:t>
      </w:r>
    </w:p>
  </w:footnote>
  <w:footnote w:id="16">
    <w:p w:rsidR="00296295" w:rsidRPr="001E542C" w:rsidRDefault="00296295" w:rsidP="00296295">
      <w:pPr>
        <w:pStyle w:val="FootnoteText"/>
        <w:rPr>
          <w:rFonts w:ascii="Perpetua" w:hAnsi="Perpetua"/>
          <w:lang w:val="en-GB"/>
        </w:rPr>
      </w:pPr>
      <w:r w:rsidRPr="001E542C">
        <w:rPr>
          <w:rStyle w:val="FootnoteReference"/>
          <w:rFonts w:ascii="Perpetua" w:hAnsi="Perpetua"/>
        </w:rPr>
        <w:footnoteRef/>
      </w:r>
      <w:r w:rsidRPr="001E542C">
        <w:rPr>
          <w:rFonts w:ascii="Perpetua" w:hAnsi="Perpetua"/>
        </w:rPr>
        <w:t xml:space="preserve"> </w:t>
      </w:r>
      <w:r>
        <w:rPr>
          <w:rFonts w:ascii="Perpetua" w:hAnsi="Perpetua"/>
          <w:i/>
        </w:rPr>
        <w:t>Measure for Measure</w:t>
      </w:r>
      <w:r>
        <w:rPr>
          <w:rFonts w:ascii="Perpetua" w:hAnsi="Perpetua"/>
        </w:rPr>
        <w:t>, ed. by Lever, p. xliv.</w:t>
      </w:r>
    </w:p>
  </w:footnote>
  <w:footnote w:id="17">
    <w:p w:rsidR="00296295" w:rsidRPr="00610872" w:rsidRDefault="00296295" w:rsidP="00296295">
      <w:pPr>
        <w:pStyle w:val="FootnoteText"/>
        <w:rPr>
          <w:rFonts w:ascii="Perpetua" w:hAnsi="Perpetua"/>
          <w:lang w:val="en-GB"/>
        </w:rPr>
      </w:pPr>
      <w:r w:rsidRPr="00610872">
        <w:rPr>
          <w:rStyle w:val="FootnoteReference"/>
          <w:rFonts w:ascii="Perpetua" w:hAnsi="Perpetua"/>
        </w:rPr>
        <w:footnoteRef/>
      </w:r>
      <w:r w:rsidRPr="00610872">
        <w:rPr>
          <w:rFonts w:ascii="Perpetua" w:hAnsi="Perpetua"/>
        </w:rPr>
        <w:t xml:space="preserve"> </w:t>
      </w:r>
      <w:r>
        <w:rPr>
          <w:rFonts w:ascii="Perpetua" w:hAnsi="Perpetua"/>
        </w:rPr>
        <w:t xml:space="preserve">Thomas Elyot, </w:t>
      </w:r>
      <w:r>
        <w:rPr>
          <w:rFonts w:ascii="Perpetua" w:hAnsi="Perpetua"/>
          <w:i/>
        </w:rPr>
        <w:t xml:space="preserve">The Image of </w:t>
      </w:r>
      <w:proofErr w:type="spellStart"/>
      <w:r>
        <w:rPr>
          <w:rFonts w:ascii="Perpetua" w:hAnsi="Perpetua"/>
          <w:i/>
        </w:rPr>
        <w:t>Governaunce</w:t>
      </w:r>
      <w:proofErr w:type="spellEnd"/>
      <w:r>
        <w:rPr>
          <w:rFonts w:ascii="Perpetua" w:hAnsi="Perpetua"/>
        </w:rPr>
        <w:t xml:space="preserve"> (1556 edition), sig. M3</w:t>
      </w:r>
      <w:r>
        <w:rPr>
          <w:rFonts w:ascii="Perpetua" w:hAnsi="Perpetua"/>
          <w:vertAlign w:val="superscript"/>
        </w:rPr>
        <w:t>r-v</w:t>
      </w:r>
      <w:r>
        <w:rPr>
          <w:rFonts w:ascii="Perpetua" w:hAnsi="Perpetua"/>
        </w:rPr>
        <w:t xml:space="preserve">, cited in </w:t>
      </w:r>
      <w:r>
        <w:rPr>
          <w:rFonts w:ascii="Perpetua" w:hAnsi="Perpetua"/>
          <w:i/>
        </w:rPr>
        <w:t>Measure for Measure</w:t>
      </w:r>
      <w:r>
        <w:rPr>
          <w:rFonts w:ascii="Perpetua" w:hAnsi="Perpetua"/>
        </w:rPr>
        <w:t>, ed. by Lever, pp. xliv-xlv.</w:t>
      </w:r>
    </w:p>
  </w:footnote>
  <w:footnote w:id="18">
    <w:p w:rsidR="00251C7B" w:rsidRPr="00251C7B" w:rsidRDefault="00251C7B">
      <w:pPr>
        <w:pStyle w:val="FootnoteText"/>
        <w:rPr>
          <w:rFonts w:ascii="Perpetua" w:hAnsi="Perpetua"/>
          <w:lang w:val="en-GB"/>
        </w:rPr>
      </w:pPr>
      <w:r w:rsidRPr="00251C7B">
        <w:rPr>
          <w:rStyle w:val="FootnoteReference"/>
          <w:rFonts w:ascii="Perpetua" w:hAnsi="Perpetua"/>
        </w:rPr>
        <w:footnoteRef/>
      </w:r>
      <w:r w:rsidRPr="00251C7B">
        <w:rPr>
          <w:rFonts w:ascii="Perpetua" w:hAnsi="Perpetua"/>
        </w:rPr>
        <w:t xml:space="preserve"> </w:t>
      </w:r>
      <w:proofErr w:type="spellStart"/>
      <w:r>
        <w:rPr>
          <w:rFonts w:ascii="Perpetua" w:hAnsi="Perpetua"/>
        </w:rPr>
        <w:t>Leggatt</w:t>
      </w:r>
      <w:proofErr w:type="spellEnd"/>
      <w:r>
        <w:rPr>
          <w:rFonts w:ascii="Perpetua" w:hAnsi="Perpetua"/>
        </w:rPr>
        <w:t xml:space="preserve">, </w:t>
      </w:r>
      <w:r>
        <w:rPr>
          <w:rFonts w:ascii="Perpetua" w:hAnsi="Perpetua"/>
          <w:i/>
        </w:rPr>
        <w:t>English Drama</w:t>
      </w:r>
      <w:r>
        <w:rPr>
          <w:rFonts w:ascii="Perpetua" w:hAnsi="Perpetua"/>
        </w:rPr>
        <w:t>, p. 8</w:t>
      </w:r>
      <w:r>
        <w:rPr>
          <w:rFonts w:ascii="Perpetua" w:hAnsi="Perpetua"/>
        </w:rPr>
        <w:t>9</w:t>
      </w:r>
      <w:r>
        <w:rPr>
          <w:rFonts w:ascii="Perpetua" w:hAnsi="Perpetua"/>
        </w:rPr>
        <w:t>.</w:t>
      </w:r>
    </w:p>
  </w:footnote>
  <w:footnote w:id="19">
    <w:p w:rsidR="00FE7A66" w:rsidRPr="00FE7A66" w:rsidRDefault="00FE7A66">
      <w:pPr>
        <w:pStyle w:val="FootnoteText"/>
        <w:rPr>
          <w:rFonts w:ascii="Perpetua" w:hAnsi="Perpetua"/>
          <w:lang w:val="en-GB"/>
        </w:rPr>
      </w:pPr>
      <w:r w:rsidRPr="00FE7A66">
        <w:rPr>
          <w:rStyle w:val="FootnoteReference"/>
          <w:rFonts w:ascii="Perpetua" w:hAnsi="Perpetua"/>
        </w:rPr>
        <w:footnoteRef/>
      </w:r>
      <w:r w:rsidRPr="00FE7A66">
        <w:rPr>
          <w:rFonts w:ascii="Perpetua" w:hAnsi="Perpetua"/>
        </w:rPr>
        <w:t xml:space="preserve"> </w:t>
      </w:r>
      <w:r>
        <w:rPr>
          <w:rFonts w:ascii="Perpetua" w:hAnsi="Perpetua"/>
        </w:rPr>
        <w:t xml:space="preserve">John Wilders, ‘The Problem Plays’, Ch. 7 of </w:t>
      </w:r>
      <w:r>
        <w:rPr>
          <w:rFonts w:ascii="Perpetua" w:hAnsi="Perpetua"/>
          <w:i/>
        </w:rPr>
        <w:t>Shakespeare: A Bibliographical Guide</w:t>
      </w:r>
      <w:r>
        <w:rPr>
          <w:rFonts w:ascii="Perpetua" w:hAnsi="Perpetua"/>
        </w:rPr>
        <w:t xml:space="preserve">, ed. by Stanley Wells (Oxford: Clarendon Press, 1990; </w:t>
      </w:r>
      <w:proofErr w:type="spellStart"/>
      <w:r>
        <w:rPr>
          <w:rFonts w:ascii="Perpetua" w:hAnsi="Perpetua"/>
        </w:rPr>
        <w:t>repr</w:t>
      </w:r>
      <w:proofErr w:type="spellEnd"/>
      <w:r>
        <w:rPr>
          <w:rFonts w:ascii="Perpetua" w:hAnsi="Perpetua"/>
        </w:rPr>
        <w:t>. 1997), pp. 137-57 (p. 150).</w:t>
      </w:r>
    </w:p>
  </w:footnote>
  <w:footnote w:id="20">
    <w:p w:rsidR="00FF252D" w:rsidRPr="008D2086" w:rsidRDefault="00FF252D" w:rsidP="00FF252D">
      <w:pPr>
        <w:pStyle w:val="FootnoteText"/>
        <w:rPr>
          <w:rFonts w:ascii="Perpetua" w:hAnsi="Perpetua"/>
          <w:lang w:val="en-GB"/>
        </w:rPr>
      </w:pPr>
      <w:r w:rsidRPr="008D2086">
        <w:rPr>
          <w:rStyle w:val="FootnoteReference"/>
          <w:rFonts w:ascii="Perpetua" w:hAnsi="Perpetua"/>
        </w:rPr>
        <w:footnoteRef/>
      </w:r>
      <w:r w:rsidRPr="008D2086">
        <w:rPr>
          <w:rFonts w:ascii="Perpetua" w:hAnsi="Perpetua"/>
        </w:rPr>
        <w:t xml:space="preserve"> Marc Shell, </w:t>
      </w:r>
      <w:proofErr w:type="gramStart"/>
      <w:r w:rsidRPr="008D2086">
        <w:rPr>
          <w:rFonts w:ascii="Perpetua" w:hAnsi="Perpetua" w:cs="Adobe Devanagari"/>
          <w:i/>
          <w:spacing w:val="-3"/>
          <w:lang w:val="en-GB"/>
        </w:rPr>
        <w:t>The</w:t>
      </w:r>
      <w:proofErr w:type="gramEnd"/>
      <w:r w:rsidRPr="008D2086">
        <w:rPr>
          <w:rFonts w:ascii="Perpetua" w:hAnsi="Perpetua" w:cs="Adobe Devanagari"/>
          <w:i/>
          <w:spacing w:val="-3"/>
          <w:lang w:val="en-GB"/>
        </w:rPr>
        <w:t xml:space="preserve"> End of Kinship: ‘Measure of Measure’, Incest, and the Ideal of Universal Siblinghood</w:t>
      </w:r>
      <w:r>
        <w:rPr>
          <w:rFonts w:ascii="Perpetua" w:hAnsi="Perpetua" w:cs="Adobe Devanagari"/>
          <w:spacing w:val="-3"/>
          <w:lang w:val="en-GB"/>
        </w:rPr>
        <w:t xml:space="preserve"> (Baltimore and London: Johns Hopkins University Press, 1988), p. 29.</w:t>
      </w:r>
    </w:p>
  </w:footnote>
  <w:footnote w:id="21">
    <w:p w:rsidR="00682E5C" w:rsidRPr="00D91726" w:rsidRDefault="00682E5C">
      <w:pPr>
        <w:pStyle w:val="FootnoteText"/>
        <w:rPr>
          <w:rFonts w:ascii="Perpetua" w:hAnsi="Perpetua"/>
          <w:lang w:val="en-GB"/>
        </w:rPr>
      </w:pPr>
      <w:r w:rsidRPr="00D91726">
        <w:rPr>
          <w:rStyle w:val="FootnoteReference"/>
          <w:rFonts w:ascii="Perpetua" w:hAnsi="Perpetua"/>
        </w:rPr>
        <w:footnoteRef/>
      </w:r>
      <w:r w:rsidRPr="00D91726">
        <w:rPr>
          <w:rFonts w:ascii="Perpetua" w:hAnsi="Perpetua"/>
        </w:rPr>
        <w:t xml:space="preserve"> </w:t>
      </w:r>
      <w:r>
        <w:rPr>
          <w:rFonts w:ascii="Perpetua" w:hAnsi="Perpetua" w:cs="Adobe Devanagari"/>
          <w:bCs/>
          <w:i/>
          <w:lang w:val="en-GB"/>
        </w:rPr>
        <w:t>T</w:t>
      </w:r>
      <w:r w:rsidRPr="008658D9">
        <w:rPr>
          <w:rFonts w:ascii="Perpetua" w:hAnsi="Perpetua" w:cs="Adobe Devanagari"/>
          <w:bCs/>
          <w:i/>
          <w:lang w:val="en-GB"/>
        </w:rPr>
        <w:t>he</w:t>
      </w:r>
      <w:r>
        <w:rPr>
          <w:rFonts w:ascii="Perpetua" w:hAnsi="Perpetua" w:cs="Adobe Devanagari"/>
          <w:bCs/>
          <w:i/>
          <w:lang w:val="en-GB"/>
        </w:rPr>
        <w:t xml:space="preserve"> Oxford Shakespeare: The Complete Works</w:t>
      </w:r>
      <w:r>
        <w:rPr>
          <w:rFonts w:ascii="Perpetua" w:hAnsi="Perpetua" w:cs="Adobe Devanagari"/>
          <w:bCs/>
          <w:lang w:val="en-GB"/>
        </w:rPr>
        <w:t>, p. 789.</w:t>
      </w:r>
    </w:p>
  </w:footnote>
  <w:footnote w:id="22">
    <w:p w:rsidR="00682E5C" w:rsidRPr="00613BB7" w:rsidRDefault="00682E5C">
      <w:pPr>
        <w:pStyle w:val="FootnoteText"/>
        <w:rPr>
          <w:rFonts w:ascii="Perpetua" w:hAnsi="Perpetua"/>
          <w:lang w:val="en-GB"/>
        </w:rPr>
      </w:pPr>
      <w:r w:rsidRPr="00613BB7">
        <w:rPr>
          <w:rStyle w:val="FootnoteReference"/>
          <w:rFonts w:ascii="Perpetua" w:hAnsi="Perpetua"/>
        </w:rPr>
        <w:footnoteRef/>
      </w:r>
      <w:r w:rsidRPr="00613BB7">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 80.</w:t>
      </w:r>
    </w:p>
  </w:footnote>
  <w:footnote w:id="23">
    <w:p w:rsidR="00431AF7" w:rsidRPr="00881B5D" w:rsidRDefault="00431AF7">
      <w:pPr>
        <w:pStyle w:val="FootnoteText"/>
        <w:rPr>
          <w:rFonts w:ascii="Perpetua" w:hAnsi="Perpetua"/>
          <w:lang w:val="en-GB"/>
        </w:rPr>
      </w:pPr>
      <w:r w:rsidRPr="00431AF7">
        <w:rPr>
          <w:rStyle w:val="FootnoteReference"/>
          <w:rFonts w:ascii="Perpetua" w:hAnsi="Perpetua"/>
        </w:rPr>
        <w:footnoteRef/>
      </w:r>
      <w:r w:rsidRPr="00431AF7">
        <w:rPr>
          <w:rFonts w:ascii="Perpetua" w:hAnsi="Perpetua"/>
        </w:rPr>
        <w:t xml:space="preserve"> </w:t>
      </w:r>
      <w:proofErr w:type="spellStart"/>
      <w:r w:rsidR="00881B5D">
        <w:rPr>
          <w:rFonts w:ascii="Perpetua" w:hAnsi="Perpetua"/>
        </w:rPr>
        <w:t>Leggatt</w:t>
      </w:r>
      <w:proofErr w:type="spellEnd"/>
      <w:r w:rsidR="00881B5D">
        <w:rPr>
          <w:rFonts w:ascii="Perpetua" w:hAnsi="Perpetua"/>
        </w:rPr>
        <w:t xml:space="preserve">, </w:t>
      </w:r>
      <w:r w:rsidR="00881B5D">
        <w:rPr>
          <w:rFonts w:ascii="Perpetua" w:hAnsi="Perpetua"/>
          <w:i/>
        </w:rPr>
        <w:t>English Drama</w:t>
      </w:r>
      <w:r w:rsidR="00881B5D">
        <w:rPr>
          <w:rFonts w:ascii="Perpetua" w:hAnsi="Perpetua"/>
        </w:rPr>
        <w:t>, p. 88.</w:t>
      </w:r>
    </w:p>
  </w:footnote>
  <w:footnote w:id="24">
    <w:p w:rsidR="008423B8" w:rsidRPr="008423B8" w:rsidRDefault="008423B8">
      <w:pPr>
        <w:pStyle w:val="FootnoteText"/>
        <w:rPr>
          <w:rFonts w:ascii="Perpetua" w:hAnsi="Perpetua"/>
          <w:lang w:val="en-GB"/>
        </w:rPr>
      </w:pPr>
      <w:r w:rsidRPr="008423B8">
        <w:rPr>
          <w:rStyle w:val="FootnoteReference"/>
          <w:rFonts w:ascii="Perpetua" w:hAnsi="Perpetua"/>
        </w:rPr>
        <w:footnoteRef/>
      </w:r>
      <w:r w:rsidRPr="008423B8">
        <w:rPr>
          <w:rFonts w:ascii="Perpetua" w:hAnsi="Perpetua"/>
        </w:rPr>
        <w:t xml:space="preserve"> </w:t>
      </w:r>
      <w:proofErr w:type="spellStart"/>
      <w:r>
        <w:rPr>
          <w:rFonts w:ascii="Perpetua" w:hAnsi="Perpetua"/>
        </w:rPr>
        <w:t>Leggatt</w:t>
      </w:r>
      <w:proofErr w:type="spellEnd"/>
      <w:r>
        <w:rPr>
          <w:rFonts w:ascii="Perpetua" w:hAnsi="Perpetua"/>
        </w:rPr>
        <w:t xml:space="preserve">, </w:t>
      </w:r>
      <w:r>
        <w:rPr>
          <w:rFonts w:ascii="Perpetua" w:hAnsi="Perpetua"/>
          <w:i/>
        </w:rPr>
        <w:t>English Drama</w:t>
      </w:r>
      <w:r>
        <w:rPr>
          <w:rFonts w:ascii="Perpetua" w:hAnsi="Perpetua"/>
        </w:rPr>
        <w:t>, p. 88.</w:t>
      </w:r>
    </w:p>
  </w:footnote>
  <w:footnote w:id="25">
    <w:p w:rsidR="00682E5C" w:rsidRPr="00663630" w:rsidRDefault="00682E5C" w:rsidP="004148DC">
      <w:pPr>
        <w:pStyle w:val="FootnoteText"/>
        <w:rPr>
          <w:rFonts w:ascii="Perpetua" w:hAnsi="Perpetua"/>
          <w:lang w:val="en-GB"/>
        </w:rPr>
      </w:pPr>
      <w:r w:rsidRPr="00663630">
        <w:rPr>
          <w:rStyle w:val="FootnoteReference"/>
          <w:rFonts w:ascii="Perpetua" w:hAnsi="Perpetua"/>
        </w:rPr>
        <w:footnoteRef/>
      </w:r>
      <w:r w:rsidRPr="00663630">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 80.</w:t>
      </w:r>
    </w:p>
  </w:footnote>
  <w:footnote w:id="26">
    <w:p w:rsidR="00682E5C" w:rsidRPr="007E4C79" w:rsidRDefault="00682E5C">
      <w:pPr>
        <w:pStyle w:val="FootnoteText"/>
        <w:rPr>
          <w:rFonts w:ascii="Perpetua" w:hAnsi="Perpetua"/>
          <w:lang w:val="en-GB"/>
        </w:rPr>
      </w:pPr>
      <w:r w:rsidRPr="007E4C79">
        <w:rPr>
          <w:rStyle w:val="FootnoteReference"/>
          <w:rFonts w:ascii="Perpetua" w:hAnsi="Perpetua"/>
        </w:rPr>
        <w:footnoteRef/>
      </w:r>
      <w:r w:rsidRPr="007E4C79">
        <w:rPr>
          <w:rFonts w:ascii="Perpetua" w:hAnsi="Perpetua"/>
        </w:rPr>
        <w:t xml:space="preserve"> </w:t>
      </w:r>
      <w:r>
        <w:rPr>
          <w:rFonts w:ascii="Perpetua" w:hAnsi="Perpetua"/>
        </w:rPr>
        <w:t xml:space="preserve">Sigmund Freud, ‘On the Universal Tendency to Debasement in the Sphere of Love’ (1912), The Freud Pelican Library, 15 </w:t>
      </w:r>
      <w:proofErr w:type="spellStart"/>
      <w:r>
        <w:rPr>
          <w:rFonts w:ascii="Perpetua" w:hAnsi="Perpetua"/>
        </w:rPr>
        <w:t>vols</w:t>
      </w:r>
      <w:proofErr w:type="spellEnd"/>
      <w:r>
        <w:rPr>
          <w:rFonts w:ascii="Perpetua" w:hAnsi="Perpetua"/>
        </w:rPr>
        <w:t xml:space="preserve"> (</w:t>
      </w:r>
      <w:proofErr w:type="spellStart"/>
      <w:r>
        <w:rPr>
          <w:rFonts w:ascii="Perpetua" w:hAnsi="Perpetua"/>
        </w:rPr>
        <w:t>Harmondsworth</w:t>
      </w:r>
      <w:proofErr w:type="spellEnd"/>
      <w:r>
        <w:rPr>
          <w:rFonts w:ascii="Perpetua" w:hAnsi="Perpetua"/>
        </w:rPr>
        <w:t xml:space="preserve">: Pelican, 1974), VII, 256; cited in Bickley and Stevens, </w:t>
      </w:r>
      <w:r>
        <w:rPr>
          <w:rFonts w:ascii="Perpetua" w:hAnsi="Perpetua"/>
          <w:i/>
        </w:rPr>
        <w:t>Essential Shakespeare</w:t>
      </w:r>
      <w:r>
        <w:rPr>
          <w:rFonts w:ascii="Perpetua" w:hAnsi="Perpetua"/>
        </w:rPr>
        <w:t>, p. 81.</w:t>
      </w:r>
    </w:p>
  </w:footnote>
  <w:footnote w:id="27">
    <w:p w:rsidR="00682E5C" w:rsidRPr="007E4C79" w:rsidRDefault="00682E5C">
      <w:pPr>
        <w:pStyle w:val="FootnoteText"/>
        <w:rPr>
          <w:rFonts w:ascii="Perpetua" w:hAnsi="Perpetua"/>
          <w:lang w:val="en-GB"/>
        </w:rPr>
      </w:pPr>
      <w:r w:rsidRPr="007E4C79">
        <w:rPr>
          <w:rStyle w:val="FootnoteReference"/>
          <w:rFonts w:ascii="Perpetua" w:hAnsi="Perpetua"/>
        </w:rPr>
        <w:footnoteRef/>
      </w:r>
      <w:r w:rsidRPr="007E4C79">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 81.</w:t>
      </w:r>
    </w:p>
  </w:footnote>
  <w:footnote w:id="28">
    <w:p w:rsidR="00F62BD9" w:rsidRPr="00F62BD9" w:rsidRDefault="00F62BD9">
      <w:pPr>
        <w:pStyle w:val="FootnoteText"/>
        <w:rPr>
          <w:rFonts w:ascii="Perpetua" w:hAnsi="Perpetua"/>
          <w:lang w:val="en-GB"/>
        </w:rPr>
      </w:pPr>
      <w:r w:rsidRPr="00F62BD9">
        <w:rPr>
          <w:rStyle w:val="FootnoteReference"/>
          <w:rFonts w:ascii="Perpetua" w:hAnsi="Perpetua"/>
        </w:rPr>
        <w:footnoteRef/>
      </w:r>
      <w:r w:rsidRPr="00F62BD9">
        <w:rPr>
          <w:rFonts w:ascii="Perpetua" w:hAnsi="Perpetua"/>
        </w:rPr>
        <w:t xml:space="preserve"> </w:t>
      </w:r>
      <w:proofErr w:type="spellStart"/>
      <w:r>
        <w:rPr>
          <w:rFonts w:ascii="Perpetua" w:hAnsi="Perpetua"/>
        </w:rPr>
        <w:t>Leggatt</w:t>
      </w:r>
      <w:proofErr w:type="spellEnd"/>
      <w:r>
        <w:rPr>
          <w:rFonts w:ascii="Perpetua" w:hAnsi="Perpetua"/>
        </w:rPr>
        <w:t xml:space="preserve">, </w:t>
      </w:r>
      <w:r>
        <w:rPr>
          <w:rFonts w:ascii="Perpetua" w:hAnsi="Perpetua"/>
          <w:i/>
        </w:rPr>
        <w:t>English Drama</w:t>
      </w:r>
      <w:r>
        <w:rPr>
          <w:rFonts w:ascii="Perpetua" w:hAnsi="Perpetua"/>
        </w:rPr>
        <w:t>, p. 88.</w:t>
      </w:r>
    </w:p>
  </w:footnote>
  <w:footnote w:id="29">
    <w:p w:rsidR="00682E5C" w:rsidRPr="00A5360E" w:rsidRDefault="00682E5C">
      <w:pPr>
        <w:pStyle w:val="FootnoteText"/>
        <w:rPr>
          <w:rFonts w:ascii="Perpetua" w:hAnsi="Perpetua"/>
          <w:lang w:val="en-GB"/>
        </w:rPr>
      </w:pPr>
      <w:r w:rsidRPr="00A5360E">
        <w:rPr>
          <w:rStyle w:val="FootnoteReference"/>
          <w:rFonts w:ascii="Perpetua" w:hAnsi="Perpetua"/>
        </w:rPr>
        <w:footnoteRef/>
      </w:r>
      <w:r w:rsidRPr="00A5360E">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 82.</w:t>
      </w:r>
    </w:p>
  </w:footnote>
  <w:footnote w:id="30">
    <w:p w:rsidR="00682E5C" w:rsidRPr="00F271A8" w:rsidRDefault="00682E5C">
      <w:pPr>
        <w:pStyle w:val="FootnoteText"/>
        <w:rPr>
          <w:rFonts w:ascii="Perpetua" w:hAnsi="Perpetua"/>
          <w:lang w:val="en-GB"/>
        </w:rPr>
      </w:pPr>
      <w:r w:rsidRPr="00F271A8">
        <w:rPr>
          <w:rStyle w:val="FootnoteReference"/>
          <w:rFonts w:ascii="Perpetua" w:hAnsi="Perpetua"/>
        </w:rPr>
        <w:footnoteRef/>
      </w:r>
      <w:r w:rsidRPr="00F271A8">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 82.</w:t>
      </w:r>
    </w:p>
  </w:footnote>
  <w:footnote w:id="31">
    <w:p w:rsidR="00682E5C" w:rsidRPr="00A1542D" w:rsidRDefault="00682E5C">
      <w:pPr>
        <w:pStyle w:val="FootnoteText"/>
        <w:rPr>
          <w:rFonts w:ascii="Perpetua" w:hAnsi="Perpetua"/>
          <w:lang w:val="en-GB"/>
        </w:rPr>
      </w:pPr>
      <w:r w:rsidRPr="00A1542D">
        <w:rPr>
          <w:rStyle w:val="FootnoteReference"/>
          <w:rFonts w:ascii="Perpetua" w:hAnsi="Perpetua"/>
        </w:rPr>
        <w:footnoteRef/>
      </w:r>
      <w:r w:rsidRPr="00A1542D">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 87.</w:t>
      </w:r>
    </w:p>
  </w:footnote>
  <w:footnote w:id="32">
    <w:p w:rsidR="00682E5C" w:rsidRPr="00376013" w:rsidRDefault="00682E5C">
      <w:pPr>
        <w:pStyle w:val="FootnoteText"/>
        <w:rPr>
          <w:rFonts w:ascii="Perpetua" w:hAnsi="Perpetua"/>
          <w:lang w:val="en-GB"/>
        </w:rPr>
      </w:pPr>
      <w:r w:rsidRPr="00376013">
        <w:rPr>
          <w:rStyle w:val="FootnoteReference"/>
          <w:rFonts w:ascii="Perpetua" w:hAnsi="Perpetua"/>
        </w:rPr>
        <w:footnoteRef/>
      </w:r>
      <w:r w:rsidRPr="00376013">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pp. 90-91.</w:t>
      </w:r>
    </w:p>
  </w:footnote>
  <w:footnote w:id="33">
    <w:p w:rsidR="00682E5C" w:rsidRPr="008E36BA" w:rsidRDefault="00682E5C" w:rsidP="00136F7E">
      <w:pPr>
        <w:pStyle w:val="FootnoteText"/>
        <w:rPr>
          <w:rFonts w:ascii="Perpetua" w:hAnsi="Perpetua"/>
          <w:lang w:val="en-GB"/>
        </w:rPr>
      </w:pPr>
      <w:r w:rsidRPr="008E36BA">
        <w:rPr>
          <w:rStyle w:val="FootnoteReference"/>
          <w:rFonts w:ascii="Perpetua" w:hAnsi="Perpetua"/>
        </w:rPr>
        <w:footnoteRef/>
      </w:r>
      <w:r w:rsidRPr="008E36BA">
        <w:rPr>
          <w:rFonts w:ascii="Perpetua" w:hAnsi="Perpetua"/>
        </w:rPr>
        <w:t xml:space="preserve"> </w:t>
      </w:r>
      <w:r>
        <w:rPr>
          <w:rFonts w:ascii="Perpetua" w:hAnsi="Perpetua" w:cs="Adobe Devanagari"/>
          <w:bCs/>
          <w:i/>
          <w:lang w:val="en-GB"/>
        </w:rPr>
        <w:t>T</w:t>
      </w:r>
      <w:r w:rsidRPr="008658D9">
        <w:rPr>
          <w:rFonts w:ascii="Perpetua" w:hAnsi="Perpetua" w:cs="Adobe Devanagari"/>
          <w:bCs/>
          <w:i/>
          <w:lang w:val="en-GB"/>
        </w:rPr>
        <w:t>he</w:t>
      </w:r>
      <w:r>
        <w:rPr>
          <w:rFonts w:ascii="Perpetua" w:hAnsi="Perpetua" w:cs="Adobe Devanagari"/>
          <w:bCs/>
          <w:i/>
          <w:lang w:val="en-GB"/>
        </w:rPr>
        <w:t xml:space="preserve"> Oxford Shakespeare: The Complete Works</w:t>
      </w:r>
      <w:r>
        <w:rPr>
          <w:rFonts w:ascii="Perpetua" w:hAnsi="Perpetua" w:cs="Adobe Devanagari"/>
          <w:bCs/>
          <w:lang w:val="en-GB"/>
        </w:rPr>
        <w:t>, p. 789.</w:t>
      </w:r>
    </w:p>
  </w:footnote>
  <w:footnote w:id="34">
    <w:p w:rsidR="00C10EB6" w:rsidRPr="00C10EB6" w:rsidRDefault="00C10EB6">
      <w:pPr>
        <w:pStyle w:val="FootnoteText"/>
        <w:rPr>
          <w:rFonts w:ascii="Perpetua" w:hAnsi="Perpetua"/>
          <w:lang w:val="en-GB"/>
        </w:rPr>
      </w:pPr>
      <w:r w:rsidRPr="00C10EB6">
        <w:rPr>
          <w:rStyle w:val="FootnoteReference"/>
          <w:rFonts w:ascii="Perpetua" w:hAnsi="Perpetua"/>
        </w:rPr>
        <w:footnoteRef/>
      </w:r>
      <w:r w:rsidRPr="00C10EB6">
        <w:rPr>
          <w:rFonts w:ascii="Perpetua" w:hAnsi="Perpetua"/>
        </w:rPr>
        <w:t xml:space="preserve"> </w:t>
      </w:r>
      <w:r>
        <w:rPr>
          <w:rFonts w:ascii="Perpetua" w:hAnsi="Perpetua"/>
          <w:i/>
        </w:rPr>
        <w:t>Measure for Measure</w:t>
      </w:r>
      <w:r>
        <w:rPr>
          <w:rFonts w:ascii="Perpetua" w:hAnsi="Perpetua"/>
        </w:rPr>
        <w:t>, ed. by Lever, p. xi</w:t>
      </w:r>
      <w:r>
        <w:rPr>
          <w:rFonts w:ascii="Perpetua" w:hAnsi="Perpetua"/>
        </w:rPr>
        <w:t>v</w:t>
      </w:r>
      <w:r>
        <w:rPr>
          <w:rFonts w:ascii="Perpetua" w:hAnsi="Perpetua"/>
        </w:rPr>
        <w:t>.</w:t>
      </w:r>
    </w:p>
  </w:footnote>
  <w:footnote w:id="35">
    <w:p w:rsidR="002B4CA4" w:rsidRPr="002B4CA4" w:rsidRDefault="002B4CA4">
      <w:pPr>
        <w:pStyle w:val="FootnoteText"/>
        <w:rPr>
          <w:rFonts w:ascii="Perpetua" w:hAnsi="Perpetua"/>
          <w:lang w:val="en-GB"/>
        </w:rPr>
      </w:pPr>
      <w:r w:rsidRPr="002B4CA4">
        <w:rPr>
          <w:rStyle w:val="FootnoteReference"/>
          <w:rFonts w:ascii="Perpetua" w:hAnsi="Perpetua"/>
        </w:rPr>
        <w:footnoteRef/>
      </w:r>
      <w:r w:rsidRPr="002B4CA4">
        <w:rPr>
          <w:rFonts w:ascii="Perpetua" w:hAnsi="Perpetua"/>
        </w:rPr>
        <w:t xml:space="preserve"> </w:t>
      </w:r>
      <w:r>
        <w:rPr>
          <w:rFonts w:ascii="Perpetua" w:hAnsi="Perpetua"/>
        </w:rPr>
        <w:t>Wilders</w:t>
      </w:r>
      <w:r>
        <w:rPr>
          <w:rFonts w:ascii="Perpetua" w:hAnsi="Perpetua"/>
        </w:rPr>
        <w:t>, p</w:t>
      </w:r>
      <w:r>
        <w:rPr>
          <w:rFonts w:ascii="Perpetua" w:hAnsi="Perpetua"/>
        </w:rPr>
        <w:t>p</w:t>
      </w:r>
      <w:r>
        <w:rPr>
          <w:rFonts w:ascii="Perpetua" w:hAnsi="Perpetua"/>
        </w:rPr>
        <w:t>. 1</w:t>
      </w:r>
      <w:r>
        <w:rPr>
          <w:rFonts w:ascii="Perpetua" w:hAnsi="Perpetua"/>
        </w:rPr>
        <w:t>49-50</w:t>
      </w:r>
      <w:r>
        <w:rPr>
          <w:rFonts w:ascii="Perpetua" w:hAnsi="Perpetua"/>
        </w:rPr>
        <w:t>.</w:t>
      </w:r>
    </w:p>
  </w:footnote>
  <w:footnote w:id="36">
    <w:p w:rsidR="00682E5C" w:rsidRPr="00910ADD" w:rsidRDefault="00682E5C">
      <w:pPr>
        <w:pStyle w:val="FootnoteText"/>
        <w:rPr>
          <w:rFonts w:ascii="Perpetua" w:hAnsi="Perpetua"/>
          <w:lang w:val="en-GB"/>
        </w:rPr>
      </w:pPr>
      <w:r w:rsidRPr="00910ADD">
        <w:rPr>
          <w:rStyle w:val="FootnoteReference"/>
          <w:rFonts w:ascii="Perpetua" w:hAnsi="Perpetua"/>
        </w:rPr>
        <w:footnoteRef/>
      </w:r>
      <w:r w:rsidRPr="00910ADD">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 80.</w:t>
      </w:r>
    </w:p>
  </w:footnote>
  <w:footnote w:id="37">
    <w:p w:rsidR="00682E5C" w:rsidRPr="005B57EE" w:rsidRDefault="00682E5C" w:rsidP="00E73026">
      <w:pPr>
        <w:pStyle w:val="FootnoteText"/>
        <w:rPr>
          <w:rFonts w:ascii="Perpetua" w:hAnsi="Perpetua"/>
          <w:lang w:val="en-GB"/>
        </w:rPr>
      </w:pPr>
      <w:r w:rsidRPr="005B57EE">
        <w:rPr>
          <w:rStyle w:val="FootnoteReference"/>
          <w:rFonts w:ascii="Perpetua" w:hAnsi="Perpetua"/>
        </w:rPr>
        <w:footnoteRef/>
      </w:r>
      <w:r w:rsidRPr="005B57EE">
        <w:rPr>
          <w:rFonts w:ascii="Perpetua" w:hAnsi="Perpetua"/>
        </w:rPr>
        <w:t xml:space="preserve"> Jacqueline</w:t>
      </w:r>
      <w:r>
        <w:rPr>
          <w:rFonts w:ascii="Perpetua" w:hAnsi="Perpetua"/>
        </w:rPr>
        <w:t xml:space="preserve"> Rose</w:t>
      </w:r>
      <w:r w:rsidRPr="005B57EE">
        <w:rPr>
          <w:rFonts w:ascii="Perpetua" w:hAnsi="Perpetua"/>
        </w:rPr>
        <w:t xml:space="preserve">, ‘Sexuality in the Reading of Shakespeare: </w:t>
      </w:r>
      <w:r w:rsidRPr="005B57EE">
        <w:rPr>
          <w:rFonts w:ascii="Perpetua" w:hAnsi="Perpetua"/>
          <w:i/>
        </w:rPr>
        <w:t>Hamlet</w:t>
      </w:r>
      <w:r w:rsidRPr="005B57EE">
        <w:rPr>
          <w:rFonts w:ascii="Perpetua" w:hAnsi="Perpetua"/>
        </w:rPr>
        <w:t xml:space="preserve"> and </w:t>
      </w:r>
      <w:r w:rsidRPr="005B57EE">
        <w:rPr>
          <w:rFonts w:ascii="Perpetua" w:hAnsi="Perpetua"/>
          <w:i/>
        </w:rPr>
        <w:t>Measure for Measure</w:t>
      </w:r>
      <w:r w:rsidRPr="005B57EE">
        <w:rPr>
          <w:rFonts w:ascii="Perpetua" w:hAnsi="Perpetua"/>
        </w:rPr>
        <w:t xml:space="preserve">’, in </w:t>
      </w:r>
      <w:r w:rsidRPr="005B57EE">
        <w:rPr>
          <w:rFonts w:ascii="Perpetua" w:hAnsi="Perpetua"/>
          <w:i/>
        </w:rPr>
        <w:t xml:space="preserve">Alternative </w:t>
      </w:r>
      <w:proofErr w:type="spellStart"/>
      <w:r w:rsidRPr="005B57EE">
        <w:rPr>
          <w:rFonts w:ascii="Perpetua" w:hAnsi="Perpetua"/>
          <w:i/>
        </w:rPr>
        <w:t>Shakespeares</w:t>
      </w:r>
      <w:proofErr w:type="spellEnd"/>
      <w:r w:rsidRPr="005B57EE">
        <w:rPr>
          <w:rFonts w:ascii="Perpetua" w:hAnsi="Perpetua"/>
        </w:rPr>
        <w:t xml:space="preserve">, ed. John </w:t>
      </w:r>
      <w:proofErr w:type="spellStart"/>
      <w:r w:rsidRPr="005B57EE">
        <w:rPr>
          <w:rFonts w:ascii="Perpetua" w:hAnsi="Perpetua"/>
        </w:rPr>
        <w:t>Drakakis</w:t>
      </w:r>
      <w:proofErr w:type="spellEnd"/>
      <w:r w:rsidRPr="005B57EE">
        <w:rPr>
          <w:rFonts w:ascii="Perpetua" w:hAnsi="Perpetua"/>
        </w:rPr>
        <w:t xml:space="preserve"> (London; New York: Methuen, 1985; reprinted Routledge, 1988), pp. 95-118</w:t>
      </w:r>
      <w:r>
        <w:rPr>
          <w:rFonts w:ascii="Perpetua" w:hAnsi="Perpetua"/>
        </w:rPr>
        <w:t xml:space="preserve"> (p. 95).</w:t>
      </w:r>
    </w:p>
  </w:footnote>
  <w:footnote w:id="38">
    <w:p w:rsidR="00682E5C" w:rsidRPr="00EA5D67" w:rsidRDefault="00682E5C" w:rsidP="00E73026">
      <w:pPr>
        <w:pStyle w:val="FootnoteText"/>
        <w:rPr>
          <w:rFonts w:ascii="Perpetua" w:hAnsi="Perpetua"/>
          <w:lang w:val="en-GB"/>
        </w:rPr>
      </w:pPr>
      <w:r w:rsidRPr="00EA5D67">
        <w:rPr>
          <w:rStyle w:val="FootnoteReference"/>
          <w:rFonts w:ascii="Perpetua" w:hAnsi="Perpetua"/>
        </w:rPr>
        <w:footnoteRef/>
      </w:r>
      <w:r w:rsidRPr="00EA5D67">
        <w:rPr>
          <w:rFonts w:ascii="Perpetua" w:hAnsi="Perpetua"/>
        </w:rPr>
        <w:t xml:space="preserve"> </w:t>
      </w:r>
      <w:r>
        <w:rPr>
          <w:rFonts w:ascii="Perpetua" w:hAnsi="Perpetua"/>
        </w:rPr>
        <w:t>Rose, p. 103.</w:t>
      </w:r>
    </w:p>
  </w:footnote>
  <w:footnote w:id="39">
    <w:p w:rsidR="00682E5C" w:rsidRPr="00D03552" w:rsidRDefault="00682E5C" w:rsidP="00E73026">
      <w:pPr>
        <w:pStyle w:val="FootnoteText"/>
        <w:rPr>
          <w:rFonts w:ascii="Perpetua" w:hAnsi="Perpetua"/>
          <w:lang w:val="en-GB"/>
        </w:rPr>
      </w:pPr>
      <w:r w:rsidRPr="00D03552">
        <w:rPr>
          <w:rStyle w:val="FootnoteReference"/>
          <w:rFonts w:ascii="Perpetua" w:hAnsi="Perpetua"/>
        </w:rPr>
        <w:footnoteRef/>
      </w:r>
      <w:r w:rsidRPr="00D03552">
        <w:rPr>
          <w:rFonts w:ascii="Perpetua" w:hAnsi="Perpetua"/>
        </w:rPr>
        <w:t xml:space="preserve"> </w:t>
      </w:r>
      <w:r>
        <w:rPr>
          <w:rFonts w:ascii="Perpetua" w:hAnsi="Perpetua"/>
        </w:rPr>
        <w:t>Rose, p. 104.</w:t>
      </w:r>
    </w:p>
  </w:footnote>
  <w:footnote w:id="40">
    <w:p w:rsidR="00682E5C" w:rsidRPr="00E73026" w:rsidRDefault="00682E5C" w:rsidP="00E73026">
      <w:pPr>
        <w:pStyle w:val="FootnoteText"/>
        <w:rPr>
          <w:rFonts w:ascii="Perpetua" w:hAnsi="Perpetua"/>
          <w:lang w:val="en-GB"/>
        </w:rPr>
      </w:pPr>
      <w:r w:rsidRPr="00E73026">
        <w:rPr>
          <w:rStyle w:val="FootnoteReference"/>
          <w:rFonts w:ascii="Perpetua" w:hAnsi="Perpetua"/>
        </w:rPr>
        <w:footnoteRef/>
      </w:r>
      <w:r w:rsidRPr="00E73026">
        <w:rPr>
          <w:rFonts w:ascii="Perpetua" w:hAnsi="Perpetua"/>
        </w:rPr>
        <w:t xml:space="preserve"> </w:t>
      </w:r>
      <w:r>
        <w:rPr>
          <w:rFonts w:ascii="Perpetua" w:hAnsi="Perpetua"/>
        </w:rPr>
        <w:t>Rose, p. 105.</w:t>
      </w:r>
    </w:p>
  </w:footnote>
  <w:footnote w:id="41">
    <w:p w:rsidR="00682E5C" w:rsidRPr="00D97339" w:rsidRDefault="00682E5C">
      <w:pPr>
        <w:pStyle w:val="FootnoteText"/>
        <w:rPr>
          <w:rFonts w:ascii="Perpetua" w:hAnsi="Perpetua"/>
          <w:lang w:val="en-GB"/>
        </w:rPr>
      </w:pPr>
      <w:r w:rsidRPr="00D97339">
        <w:rPr>
          <w:rStyle w:val="FootnoteReference"/>
          <w:rFonts w:ascii="Perpetua" w:hAnsi="Perpetua"/>
        </w:rPr>
        <w:footnoteRef/>
      </w:r>
      <w:r w:rsidRPr="00D97339">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 91.</w:t>
      </w:r>
    </w:p>
  </w:footnote>
  <w:footnote w:id="42">
    <w:p w:rsidR="00E922DC" w:rsidRPr="00E922DC" w:rsidRDefault="00E922DC">
      <w:pPr>
        <w:pStyle w:val="FootnoteText"/>
        <w:rPr>
          <w:rFonts w:ascii="Perpetua" w:hAnsi="Perpetua"/>
          <w:lang w:val="en-GB"/>
        </w:rPr>
      </w:pPr>
      <w:r w:rsidRPr="00E922DC">
        <w:rPr>
          <w:rStyle w:val="FootnoteReference"/>
          <w:rFonts w:ascii="Perpetua" w:hAnsi="Perpetua"/>
        </w:rPr>
        <w:footnoteRef/>
      </w:r>
      <w:r w:rsidRPr="00E922DC">
        <w:rPr>
          <w:rFonts w:ascii="Perpetua" w:hAnsi="Perpetua"/>
        </w:rPr>
        <w:t xml:space="preserve"> </w:t>
      </w:r>
      <w:r>
        <w:rPr>
          <w:rFonts w:ascii="Perpetua" w:hAnsi="Perpetua"/>
        </w:rPr>
        <w:t>Wilders, p. 15</w:t>
      </w:r>
      <w:r>
        <w:rPr>
          <w:rFonts w:ascii="Perpetua" w:hAnsi="Perpetua"/>
        </w:rPr>
        <w:t>2</w:t>
      </w:r>
      <w:r>
        <w:rPr>
          <w:rFonts w:ascii="Perpetua" w:hAnsi="Perpetua"/>
        </w:rPr>
        <w:t>.</w:t>
      </w:r>
    </w:p>
  </w:footnote>
  <w:footnote w:id="43">
    <w:p w:rsidR="00682E5C" w:rsidRPr="0012632A" w:rsidRDefault="00682E5C">
      <w:pPr>
        <w:pStyle w:val="FootnoteText"/>
        <w:rPr>
          <w:rFonts w:ascii="Perpetua" w:hAnsi="Perpetua"/>
          <w:lang w:val="en-GB"/>
        </w:rPr>
      </w:pPr>
      <w:r w:rsidRPr="0012632A">
        <w:rPr>
          <w:rStyle w:val="FootnoteReference"/>
          <w:rFonts w:ascii="Perpetua" w:hAnsi="Perpetua"/>
        </w:rPr>
        <w:footnoteRef/>
      </w:r>
      <w:r w:rsidRPr="0012632A">
        <w:rPr>
          <w:rFonts w:ascii="Perpetua" w:hAnsi="Perpetua"/>
        </w:rPr>
        <w:t xml:space="preserve"> </w:t>
      </w:r>
      <w:r>
        <w:rPr>
          <w:rFonts w:ascii="Perpetua" w:hAnsi="Perpetua"/>
        </w:rPr>
        <w:t xml:space="preserve">Donald Beecher, </w:t>
      </w:r>
      <w:r>
        <w:rPr>
          <w:rFonts w:ascii="Perpetua" w:hAnsi="Perpetua"/>
          <w:i/>
        </w:rPr>
        <w:t>Adapted Brains and Imaginary Worlds: Cognitive Science and the Literature of the Renaissance</w:t>
      </w:r>
      <w:r>
        <w:rPr>
          <w:rFonts w:ascii="Perpetua" w:hAnsi="Perpetua"/>
        </w:rPr>
        <w:t xml:space="preserve"> (Montreal; Kingston, ON; London; Chicago, IL: McGill-Queen’s University Press, 2016), p. 90.</w:t>
      </w:r>
    </w:p>
  </w:footnote>
  <w:footnote w:id="44">
    <w:p w:rsidR="00F34EFD" w:rsidRPr="00F34EFD" w:rsidRDefault="00F34EFD">
      <w:pPr>
        <w:pStyle w:val="FootnoteText"/>
        <w:rPr>
          <w:rFonts w:ascii="Perpetua" w:hAnsi="Perpetua"/>
          <w:lang w:val="en-GB"/>
        </w:rPr>
      </w:pPr>
      <w:r w:rsidRPr="00F34EFD">
        <w:rPr>
          <w:rStyle w:val="FootnoteReference"/>
          <w:rFonts w:ascii="Perpetua" w:hAnsi="Perpetua"/>
        </w:rPr>
        <w:footnoteRef/>
      </w:r>
      <w:r w:rsidRPr="00F34EFD">
        <w:rPr>
          <w:rFonts w:ascii="Perpetua" w:hAnsi="Perpetua"/>
        </w:rPr>
        <w:t xml:space="preserve"> </w:t>
      </w:r>
      <w:r>
        <w:rPr>
          <w:rFonts w:ascii="Perpetua" w:hAnsi="Perpetua"/>
        </w:rPr>
        <w:t xml:space="preserve">Bickley and Stevens, </w:t>
      </w:r>
      <w:r>
        <w:rPr>
          <w:rFonts w:ascii="Perpetua" w:hAnsi="Perpetua"/>
          <w:i/>
        </w:rPr>
        <w:t>Essential Shakespeare</w:t>
      </w:r>
      <w:r>
        <w:rPr>
          <w:rFonts w:ascii="Perpetua" w:hAnsi="Perpetua"/>
        </w:rPr>
        <w:t>, p. 9</w:t>
      </w:r>
      <w:r>
        <w:rPr>
          <w:rFonts w:ascii="Perpetua" w:hAnsi="Perpetua"/>
        </w:rPr>
        <w:t>3</w:t>
      </w:r>
      <w:r>
        <w:rPr>
          <w:rFonts w:ascii="Perpetua" w:hAnsi="Perpetua"/>
        </w:rPr>
        <w:t>.</w:t>
      </w:r>
      <w:r w:rsidR="00946779">
        <w:rPr>
          <w:rFonts w:ascii="Perpetua" w:hAnsi="Perpetua"/>
        </w:rPr>
        <w:t xml:space="preserve"> ‘</w:t>
      </w:r>
      <w:proofErr w:type="spellStart"/>
      <w:r w:rsidR="00946779">
        <w:rPr>
          <w:rFonts w:ascii="Perpetua" w:hAnsi="Perpetua"/>
        </w:rPr>
        <w:t>Epizeuxis</w:t>
      </w:r>
      <w:proofErr w:type="spellEnd"/>
      <w:r w:rsidR="00946779">
        <w:rPr>
          <w:rFonts w:ascii="Perpetua" w:hAnsi="Perpetua"/>
        </w:rPr>
        <w:t>’ is the repetition of a word within a verse line, usually without intervening words.</w:t>
      </w:r>
    </w:p>
  </w:footnote>
  <w:footnote w:id="45">
    <w:p w:rsidR="00E922DC" w:rsidRPr="00E922DC" w:rsidRDefault="00E922DC">
      <w:pPr>
        <w:pStyle w:val="FootnoteText"/>
        <w:rPr>
          <w:rFonts w:ascii="Perpetua" w:hAnsi="Perpetua"/>
          <w:lang w:val="en-GB"/>
        </w:rPr>
      </w:pPr>
      <w:r w:rsidRPr="00E922DC">
        <w:rPr>
          <w:rStyle w:val="FootnoteReference"/>
          <w:rFonts w:ascii="Perpetua" w:hAnsi="Perpetua"/>
        </w:rPr>
        <w:footnoteRef/>
      </w:r>
      <w:r w:rsidRPr="00E922DC">
        <w:rPr>
          <w:rFonts w:ascii="Perpetua" w:hAnsi="Perpetua"/>
        </w:rPr>
        <w:t xml:space="preserve"> </w:t>
      </w:r>
      <w:r>
        <w:rPr>
          <w:rFonts w:ascii="Perpetua" w:hAnsi="Perpetua"/>
        </w:rPr>
        <w:t>Wilders, p. 15</w:t>
      </w:r>
      <w:r>
        <w:rPr>
          <w:rFonts w:ascii="Perpetua" w:hAnsi="Perpetua"/>
        </w:rPr>
        <w:t>3</w:t>
      </w:r>
      <w:r>
        <w:rPr>
          <w:rFonts w:ascii="Perpetua" w:hAnsi="Perpetua"/>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050D9A"/>
    <w:multiLevelType w:val="hybridMultilevel"/>
    <w:tmpl w:val="DEE218AA"/>
    <w:lvl w:ilvl="0" w:tplc="CB8EC4B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076809"/>
    <w:multiLevelType w:val="hybridMultilevel"/>
    <w:tmpl w:val="0C9651A8"/>
    <w:lvl w:ilvl="0" w:tplc="E9F0441C">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C70105"/>
    <w:multiLevelType w:val="hybridMultilevel"/>
    <w:tmpl w:val="42623984"/>
    <w:lvl w:ilvl="0" w:tplc="04C67B08">
      <w:start w:val="1"/>
      <w:numFmt w:val="lowerRoman"/>
      <w:lvlText w:val="(%1)"/>
      <w:lvlJc w:val="left"/>
      <w:pPr>
        <w:ind w:left="1080" w:hanging="720"/>
      </w:pPr>
      <w:rPr>
        <w:rFonts w:hint="default"/>
        <w:b/>
        <w:sz w:val="26"/>
        <w:szCs w:val="2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7145DD"/>
    <w:multiLevelType w:val="hybridMultilevel"/>
    <w:tmpl w:val="60028DE4"/>
    <w:lvl w:ilvl="0" w:tplc="FFE20FFA">
      <w:start w:val="1"/>
      <w:numFmt w:val="lowerRoman"/>
      <w:lvlText w:val="(%1)"/>
      <w:lvlJc w:val="left"/>
      <w:pPr>
        <w:ind w:left="1080" w:hanging="72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2890B05"/>
    <w:multiLevelType w:val="hybridMultilevel"/>
    <w:tmpl w:val="B89E2486"/>
    <w:lvl w:ilvl="0" w:tplc="72908030">
      <w:start w:val="1"/>
      <w:numFmt w:val="lowerRoman"/>
      <w:lvlText w:val="(%1)"/>
      <w:lvlJc w:val="left"/>
      <w:pPr>
        <w:ind w:left="720" w:hanging="360"/>
      </w:pPr>
      <w:rPr>
        <w:rFonts w:hint="default"/>
        <w:sz w:val="26"/>
        <w:szCs w:val="2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EE2D6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61A9567D"/>
    <w:multiLevelType w:val="hybridMultilevel"/>
    <w:tmpl w:val="2298A56A"/>
    <w:lvl w:ilvl="0" w:tplc="3F5CFDB6">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5"/>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F3E"/>
    <w:rsid w:val="00004320"/>
    <w:rsid w:val="00030B3D"/>
    <w:rsid w:val="00040BAB"/>
    <w:rsid w:val="00040C92"/>
    <w:rsid w:val="00041D72"/>
    <w:rsid w:val="000479E0"/>
    <w:rsid w:val="00051EC0"/>
    <w:rsid w:val="00056F1C"/>
    <w:rsid w:val="000642EE"/>
    <w:rsid w:val="00081373"/>
    <w:rsid w:val="000847E1"/>
    <w:rsid w:val="000C3735"/>
    <w:rsid w:val="000C39A4"/>
    <w:rsid w:val="000C6CBB"/>
    <w:rsid w:val="000C7C45"/>
    <w:rsid w:val="000E0152"/>
    <w:rsid w:val="00111997"/>
    <w:rsid w:val="00116C00"/>
    <w:rsid w:val="00121AB5"/>
    <w:rsid w:val="0012632A"/>
    <w:rsid w:val="0013098B"/>
    <w:rsid w:val="00135768"/>
    <w:rsid w:val="00136F7E"/>
    <w:rsid w:val="001408B8"/>
    <w:rsid w:val="00144577"/>
    <w:rsid w:val="00164B7E"/>
    <w:rsid w:val="001872DF"/>
    <w:rsid w:val="001968C7"/>
    <w:rsid w:val="001A6631"/>
    <w:rsid w:val="001C118F"/>
    <w:rsid w:val="001C6C76"/>
    <w:rsid w:val="001E542C"/>
    <w:rsid w:val="001E6693"/>
    <w:rsid w:val="001F1BC6"/>
    <w:rsid w:val="00205DCF"/>
    <w:rsid w:val="0021043B"/>
    <w:rsid w:val="00251C7B"/>
    <w:rsid w:val="00252392"/>
    <w:rsid w:val="00254F52"/>
    <w:rsid w:val="0027193C"/>
    <w:rsid w:val="0028126C"/>
    <w:rsid w:val="00290B52"/>
    <w:rsid w:val="00296295"/>
    <w:rsid w:val="002B4CA4"/>
    <w:rsid w:val="002C29BB"/>
    <w:rsid w:val="002C35AF"/>
    <w:rsid w:val="002E0962"/>
    <w:rsid w:val="002F11F3"/>
    <w:rsid w:val="003024D7"/>
    <w:rsid w:val="00304638"/>
    <w:rsid w:val="0032766D"/>
    <w:rsid w:val="003402FC"/>
    <w:rsid w:val="00344AFF"/>
    <w:rsid w:val="003617A9"/>
    <w:rsid w:val="00362515"/>
    <w:rsid w:val="00376013"/>
    <w:rsid w:val="00376BC9"/>
    <w:rsid w:val="003B6478"/>
    <w:rsid w:val="003C135A"/>
    <w:rsid w:val="003D4F00"/>
    <w:rsid w:val="003F05EF"/>
    <w:rsid w:val="004136C2"/>
    <w:rsid w:val="004148DC"/>
    <w:rsid w:val="00414F3E"/>
    <w:rsid w:val="004173B8"/>
    <w:rsid w:val="00421A82"/>
    <w:rsid w:val="00431AF7"/>
    <w:rsid w:val="00440289"/>
    <w:rsid w:val="00441B1E"/>
    <w:rsid w:val="00446541"/>
    <w:rsid w:val="0044769B"/>
    <w:rsid w:val="0045595A"/>
    <w:rsid w:val="0046333F"/>
    <w:rsid w:val="00473053"/>
    <w:rsid w:val="00473977"/>
    <w:rsid w:val="00493805"/>
    <w:rsid w:val="004A5E54"/>
    <w:rsid w:val="004A66CD"/>
    <w:rsid w:val="004B1B88"/>
    <w:rsid w:val="004C2FE2"/>
    <w:rsid w:val="004C4735"/>
    <w:rsid w:val="004C49DF"/>
    <w:rsid w:val="004D17B9"/>
    <w:rsid w:val="004F4A38"/>
    <w:rsid w:val="005158D7"/>
    <w:rsid w:val="00523F23"/>
    <w:rsid w:val="00532181"/>
    <w:rsid w:val="005436BA"/>
    <w:rsid w:val="0055428D"/>
    <w:rsid w:val="00554387"/>
    <w:rsid w:val="00560F3B"/>
    <w:rsid w:val="00582163"/>
    <w:rsid w:val="00584894"/>
    <w:rsid w:val="005879BB"/>
    <w:rsid w:val="005A2AC8"/>
    <w:rsid w:val="005B57EE"/>
    <w:rsid w:val="005C2D87"/>
    <w:rsid w:val="005C45C5"/>
    <w:rsid w:val="005C4889"/>
    <w:rsid w:val="005C5D15"/>
    <w:rsid w:val="005D3B8D"/>
    <w:rsid w:val="005D4EDE"/>
    <w:rsid w:val="005D7E19"/>
    <w:rsid w:val="005E1F56"/>
    <w:rsid w:val="005F2E54"/>
    <w:rsid w:val="005F2E84"/>
    <w:rsid w:val="005F4A00"/>
    <w:rsid w:val="00610872"/>
    <w:rsid w:val="00610F51"/>
    <w:rsid w:val="00613BB7"/>
    <w:rsid w:val="00663630"/>
    <w:rsid w:val="00666D12"/>
    <w:rsid w:val="00682E5C"/>
    <w:rsid w:val="00691C90"/>
    <w:rsid w:val="006A6615"/>
    <w:rsid w:val="006A6FB8"/>
    <w:rsid w:val="006C50AC"/>
    <w:rsid w:val="006C74E5"/>
    <w:rsid w:val="006D0422"/>
    <w:rsid w:val="006D776F"/>
    <w:rsid w:val="006D79FE"/>
    <w:rsid w:val="006E036B"/>
    <w:rsid w:val="006F6EC3"/>
    <w:rsid w:val="007021CD"/>
    <w:rsid w:val="007049EC"/>
    <w:rsid w:val="00714D7D"/>
    <w:rsid w:val="007322A0"/>
    <w:rsid w:val="00734FB6"/>
    <w:rsid w:val="007535B9"/>
    <w:rsid w:val="007805D1"/>
    <w:rsid w:val="00793735"/>
    <w:rsid w:val="007A71B6"/>
    <w:rsid w:val="007D4D3A"/>
    <w:rsid w:val="007E4C79"/>
    <w:rsid w:val="007F0165"/>
    <w:rsid w:val="007F55A1"/>
    <w:rsid w:val="007F7AE8"/>
    <w:rsid w:val="00802380"/>
    <w:rsid w:val="008024E3"/>
    <w:rsid w:val="00836460"/>
    <w:rsid w:val="00841815"/>
    <w:rsid w:val="008423B8"/>
    <w:rsid w:val="008516A6"/>
    <w:rsid w:val="008669B7"/>
    <w:rsid w:val="008722CA"/>
    <w:rsid w:val="00877EE7"/>
    <w:rsid w:val="0088197F"/>
    <w:rsid w:val="00881B5D"/>
    <w:rsid w:val="008A5D66"/>
    <w:rsid w:val="008C657F"/>
    <w:rsid w:val="008C6A53"/>
    <w:rsid w:val="008D2086"/>
    <w:rsid w:val="008E36BA"/>
    <w:rsid w:val="008E3AF5"/>
    <w:rsid w:val="00906BFF"/>
    <w:rsid w:val="00910738"/>
    <w:rsid w:val="00910ADD"/>
    <w:rsid w:val="00914B9D"/>
    <w:rsid w:val="00944C95"/>
    <w:rsid w:val="00946779"/>
    <w:rsid w:val="00954975"/>
    <w:rsid w:val="009664AE"/>
    <w:rsid w:val="00966AC3"/>
    <w:rsid w:val="0098071C"/>
    <w:rsid w:val="009836DA"/>
    <w:rsid w:val="009852E5"/>
    <w:rsid w:val="00994F06"/>
    <w:rsid w:val="009B2FD6"/>
    <w:rsid w:val="009B6E78"/>
    <w:rsid w:val="009D341E"/>
    <w:rsid w:val="009D535F"/>
    <w:rsid w:val="009D7A7D"/>
    <w:rsid w:val="009E3AC5"/>
    <w:rsid w:val="009E7E6F"/>
    <w:rsid w:val="00A04446"/>
    <w:rsid w:val="00A0724C"/>
    <w:rsid w:val="00A07491"/>
    <w:rsid w:val="00A1542D"/>
    <w:rsid w:val="00A15615"/>
    <w:rsid w:val="00A15811"/>
    <w:rsid w:val="00A2579B"/>
    <w:rsid w:val="00A260DC"/>
    <w:rsid w:val="00A27DE6"/>
    <w:rsid w:val="00A362FD"/>
    <w:rsid w:val="00A36747"/>
    <w:rsid w:val="00A40E7A"/>
    <w:rsid w:val="00A46844"/>
    <w:rsid w:val="00A5360E"/>
    <w:rsid w:val="00A86E9D"/>
    <w:rsid w:val="00A97ABE"/>
    <w:rsid w:val="00AB070C"/>
    <w:rsid w:val="00AC229C"/>
    <w:rsid w:val="00AC284E"/>
    <w:rsid w:val="00AC77E2"/>
    <w:rsid w:val="00AD3349"/>
    <w:rsid w:val="00AD6D8F"/>
    <w:rsid w:val="00AE18DB"/>
    <w:rsid w:val="00AE1D54"/>
    <w:rsid w:val="00AF7A26"/>
    <w:rsid w:val="00B0571D"/>
    <w:rsid w:val="00B06EAC"/>
    <w:rsid w:val="00B21AC5"/>
    <w:rsid w:val="00B257F5"/>
    <w:rsid w:val="00B329B9"/>
    <w:rsid w:val="00B44211"/>
    <w:rsid w:val="00B52DCC"/>
    <w:rsid w:val="00B5600D"/>
    <w:rsid w:val="00B62A6C"/>
    <w:rsid w:val="00B95530"/>
    <w:rsid w:val="00B97227"/>
    <w:rsid w:val="00BC097F"/>
    <w:rsid w:val="00BC5A98"/>
    <w:rsid w:val="00BD1E80"/>
    <w:rsid w:val="00BE01B6"/>
    <w:rsid w:val="00BE59DB"/>
    <w:rsid w:val="00C05512"/>
    <w:rsid w:val="00C10EB6"/>
    <w:rsid w:val="00C8335C"/>
    <w:rsid w:val="00C84CD8"/>
    <w:rsid w:val="00CA5D8A"/>
    <w:rsid w:val="00CC1AB1"/>
    <w:rsid w:val="00CE79C9"/>
    <w:rsid w:val="00D005EF"/>
    <w:rsid w:val="00D03552"/>
    <w:rsid w:val="00D115A0"/>
    <w:rsid w:val="00D1349C"/>
    <w:rsid w:val="00D2518B"/>
    <w:rsid w:val="00D3519C"/>
    <w:rsid w:val="00D35D48"/>
    <w:rsid w:val="00D4208B"/>
    <w:rsid w:val="00D43544"/>
    <w:rsid w:val="00D51ACD"/>
    <w:rsid w:val="00D645B1"/>
    <w:rsid w:val="00D6676D"/>
    <w:rsid w:val="00D71475"/>
    <w:rsid w:val="00D91365"/>
    <w:rsid w:val="00D91726"/>
    <w:rsid w:val="00D922AA"/>
    <w:rsid w:val="00D97339"/>
    <w:rsid w:val="00DC03A6"/>
    <w:rsid w:val="00DC0D54"/>
    <w:rsid w:val="00DD0341"/>
    <w:rsid w:val="00DD39D7"/>
    <w:rsid w:val="00DE387F"/>
    <w:rsid w:val="00DE593E"/>
    <w:rsid w:val="00DE5BFA"/>
    <w:rsid w:val="00DF3DDD"/>
    <w:rsid w:val="00DF6B54"/>
    <w:rsid w:val="00E02306"/>
    <w:rsid w:val="00E03895"/>
    <w:rsid w:val="00E04007"/>
    <w:rsid w:val="00E3133E"/>
    <w:rsid w:val="00E54AE8"/>
    <w:rsid w:val="00E554FB"/>
    <w:rsid w:val="00E676A5"/>
    <w:rsid w:val="00E73026"/>
    <w:rsid w:val="00E77A5E"/>
    <w:rsid w:val="00E84284"/>
    <w:rsid w:val="00E8595D"/>
    <w:rsid w:val="00E87001"/>
    <w:rsid w:val="00E87372"/>
    <w:rsid w:val="00E922DC"/>
    <w:rsid w:val="00EA5D67"/>
    <w:rsid w:val="00EC0069"/>
    <w:rsid w:val="00EF5A44"/>
    <w:rsid w:val="00EF5BD5"/>
    <w:rsid w:val="00F035B4"/>
    <w:rsid w:val="00F2015D"/>
    <w:rsid w:val="00F26A7D"/>
    <w:rsid w:val="00F271A8"/>
    <w:rsid w:val="00F34EFD"/>
    <w:rsid w:val="00F52FE6"/>
    <w:rsid w:val="00F62BD9"/>
    <w:rsid w:val="00F63273"/>
    <w:rsid w:val="00F673D3"/>
    <w:rsid w:val="00F87CCA"/>
    <w:rsid w:val="00F96A8C"/>
    <w:rsid w:val="00FB2656"/>
    <w:rsid w:val="00FB5C62"/>
    <w:rsid w:val="00FC76B9"/>
    <w:rsid w:val="00FD35AB"/>
    <w:rsid w:val="00FE029B"/>
    <w:rsid w:val="00FE7A66"/>
    <w:rsid w:val="00FF252D"/>
    <w:rsid w:val="00FF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3A9896-20C0-4C02-8E7F-286C5C34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4F3E"/>
    <w:pPr>
      <w:widowControl w:val="0"/>
      <w:snapToGrid w:val="0"/>
      <w:spacing w:after="0" w:line="240" w:lineRule="auto"/>
    </w:pPr>
    <w:rPr>
      <w:rFonts w:ascii="Courier" w:eastAsia="Times New Roman" w:hAnsi="Courier" w:cs="Times New Roman"/>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F3E"/>
    <w:pPr>
      <w:ind w:left="720"/>
      <w:contextualSpacing/>
    </w:pPr>
  </w:style>
  <w:style w:type="paragraph" w:styleId="FootnoteText">
    <w:name w:val="footnote text"/>
    <w:basedOn w:val="Normal"/>
    <w:link w:val="FootnoteTextChar"/>
    <w:uiPriority w:val="99"/>
    <w:unhideWhenUsed/>
    <w:rsid w:val="00D43544"/>
    <w:rPr>
      <w:sz w:val="20"/>
    </w:rPr>
  </w:style>
  <w:style w:type="character" w:customStyle="1" w:styleId="FootnoteTextChar">
    <w:name w:val="Footnote Text Char"/>
    <w:basedOn w:val="DefaultParagraphFont"/>
    <w:link w:val="FootnoteText"/>
    <w:uiPriority w:val="99"/>
    <w:rsid w:val="00D43544"/>
    <w:rPr>
      <w:rFonts w:ascii="Courier" w:eastAsia="Times New Roman" w:hAnsi="Courier" w:cs="Times New Roman"/>
      <w:sz w:val="20"/>
      <w:szCs w:val="20"/>
      <w:lang w:val="en-US"/>
    </w:rPr>
  </w:style>
  <w:style w:type="character" w:styleId="FootnoteReference">
    <w:name w:val="footnote reference"/>
    <w:basedOn w:val="DefaultParagraphFont"/>
    <w:uiPriority w:val="99"/>
    <w:unhideWhenUsed/>
    <w:rsid w:val="00D43544"/>
    <w:rPr>
      <w:vertAlign w:val="superscript"/>
    </w:rPr>
  </w:style>
  <w:style w:type="paragraph" w:styleId="Header">
    <w:name w:val="header"/>
    <w:basedOn w:val="Normal"/>
    <w:link w:val="HeaderChar"/>
    <w:uiPriority w:val="99"/>
    <w:unhideWhenUsed/>
    <w:rsid w:val="007F0165"/>
    <w:pPr>
      <w:tabs>
        <w:tab w:val="center" w:pos="4513"/>
        <w:tab w:val="right" w:pos="9026"/>
      </w:tabs>
    </w:pPr>
  </w:style>
  <w:style w:type="character" w:customStyle="1" w:styleId="HeaderChar">
    <w:name w:val="Header Char"/>
    <w:basedOn w:val="DefaultParagraphFont"/>
    <w:link w:val="Header"/>
    <w:uiPriority w:val="99"/>
    <w:rsid w:val="007F0165"/>
    <w:rPr>
      <w:rFonts w:ascii="Courier" w:eastAsia="Times New Roman" w:hAnsi="Courier" w:cs="Times New Roman"/>
      <w:sz w:val="24"/>
      <w:szCs w:val="20"/>
      <w:lang w:val="en-US"/>
    </w:rPr>
  </w:style>
  <w:style w:type="paragraph" w:styleId="Footer">
    <w:name w:val="footer"/>
    <w:basedOn w:val="Normal"/>
    <w:link w:val="FooterChar"/>
    <w:uiPriority w:val="99"/>
    <w:unhideWhenUsed/>
    <w:rsid w:val="007F0165"/>
    <w:pPr>
      <w:tabs>
        <w:tab w:val="center" w:pos="4513"/>
        <w:tab w:val="right" w:pos="9026"/>
      </w:tabs>
    </w:pPr>
  </w:style>
  <w:style w:type="character" w:customStyle="1" w:styleId="FooterChar">
    <w:name w:val="Footer Char"/>
    <w:basedOn w:val="DefaultParagraphFont"/>
    <w:link w:val="Footer"/>
    <w:uiPriority w:val="99"/>
    <w:rsid w:val="007F0165"/>
    <w:rPr>
      <w:rFonts w:ascii="Courier" w:eastAsia="Times New Roman" w:hAnsi="Courier" w:cs="Times New Roman"/>
      <w:sz w:val="24"/>
      <w:szCs w:val="20"/>
      <w:lang w:val="en-US"/>
    </w:rPr>
  </w:style>
  <w:style w:type="paragraph" w:styleId="EndnoteText">
    <w:name w:val="endnote text"/>
    <w:basedOn w:val="Normal"/>
    <w:link w:val="EndnoteTextChar"/>
    <w:uiPriority w:val="99"/>
    <w:rsid w:val="00DE5BFA"/>
    <w:pPr>
      <w:widowControl/>
      <w:overflowPunct w:val="0"/>
      <w:autoSpaceDE w:val="0"/>
      <w:autoSpaceDN w:val="0"/>
      <w:adjustRightInd w:val="0"/>
      <w:snapToGrid/>
      <w:textAlignment w:val="baseline"/>
    </w:pPr>
    <w:rPr>
      <w:rFonts w:ascii="Courier New" w:eastAsia="BatangChe" w:hAnsi="Courier New" w:cs="Courier New"/>
      <w:szCs w:val="24"/>
    </w:rPr>
  </w:style>
  <w:style w:type="character" w:customStyle="1" w:styleId="EndnoteTextChar">
    <w:name w:val="Endnote Text Char"/>
    <w:basedOn w:val="DefaultParagraphFont"/>
    <w:link w:val="EndnoteText"/>
    <w:uiPriority w:val="99"/>
    <w:rsid w:val="00DE5BFA"/>
    <w:rPr>
      <w:rFonts w:ascii="Courier New" w:eastAsia="BatangChe" w:hAnsi="Courier New" w:cs="Courier New"/>
      <w:sz w:val="24"/>
      <w:szCs w:val="24"/>
      <w:lang w:val="en-US"/>
    </w:rPr>
  </w:style>
  <w:style w:type="character" w:styleId="EndnoteReference">
    <w:name w:val="endnote reference"/>
    <w:basedOn w:val="DefaultParagraphFont"/>
    <w:uiPriority w:val="99"/>
    <w:rsid w:val="00DE5BFA"/>
    <w:rPr>
      <w:rFonts w:ascii="BatangChe" w:eastAsia="BatangChe" w:hAnsi="BatangChe" w:cs="BatangChe"/>
      <w:vertAlign w:val="superscript"/>
    </w:rPr>
  </w:style>
  <w:style w:type="table" w:styleId="TableGrid">
    <w:name w:val="Table Grid"/>
    <w:basedOn w:val="TableNormal"/>
    <w:uiPriority w:val="59"/>
    <w:rsid w:val="000479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79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D4501A-349C-431A-9503-8CA09B45D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11</Pages>
  <Words>3985</Words>
  <Characters>22719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Mitchell</dc:creator>
  <cp:keywords/>
  <dc:description/>
  <cp:lastModifiedBy>Peter Mitchell</cp:lastModifiedBy>
  <cp:revision>32</cp:revision>
  <dcterms:created xsi:type="dcterms:W3CDTF">2019-05-30T16:01:00Z</dcterms:created>
  <dcterms:modified xsi:type="dcterms:W3CDTF">2019-05-31T02:14:00Z</dcterms:modified>
</cp:coreProperties>
</file>