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A13EBA" w:rsidRPr="005F2D28" w:rsidRDefault="00A13EBA">
      <w:pPr>
        <w:spacing w:line="360" w:lineRule="auto"/>
        <w:jc w:val="center"/>
        <w:rPr>
          <w:b/>
          <w:color w:val="000000" w:themeColor="text1"/>
          <w:sz w:val="32"/>
          <w:szCs w:val="32"/>
        </w:rPr>
      </w:pPr>
    </w:p>
    <w:p w14:paraId="4A3256C2" w14:textId="77777777" w:rsidR="00687B64" w:rsidRPr="005F2D28" w:rsidRDefault="00687B64">
      <w:pPr>
        <w:spacing w:line="360" w:lineRule="auto"/>
        <w:jc w:val="center"/>
        <w:rPr>
          <w:b/>
          <w:color w:val="000000" w:themeColor="text1"/>
          <w:sz w:val="32"/>
          <w:szCs w:val="32"/>
        </w:rPr>
      </w:pPr>
    </w:p>
    <w:p w14:paraId="083720A7" w14:textId="77777777" w:rsidR="00687B64" w:rsidRPr="005F2D28" w:rsidRDefault="00687B64">
      <w:pPr>
        <w:spacing w:line="360" w:lineRule="auto"/>
        <w:jc w:val="center"/>
        <w:rPr>
          <w:b/>
          <w:color w:val="000000" w:themeColor="text1"/>
          <w:sz w:val="32"/>
          <w:szCs w:val="32"/>
        </w:rPr>
      </w:pPr>
    </w:p>
    <w:p w14:paraId="6730EE21" w14:textId="77777777" w:rsidR="005F2D28" w:rsidRDefault="005F2D28" w:rsidP="005F2D28">
      <w:pPr>
        <w:pStyle w:val="Title"/>
        <w:jc w:val="center"/>
      </w:pPr>
      <w:r>
        <w:fldChar w:fldCharType="begin"/>
      </w:r>
      <w:r>
        <w:instrText xml:space="preserve"> INCLUDEPICTURE "https://encrypted-tbn0.gstatic.com/images?q=tbn:ANd9GcQrEgTFeN64ySJnKQJda8-t9eAsREGobN41GQ&amp;s" \* MERGEFORMATINET </w:instrText>
      </w:r>
      <w:r>
        <w:fldChar w:fldCharType="separate"/>
      </w:r>
      <w:r>
        <w:rPr>
          <w:noProof/>
        </w:rPr>
        <w:drawing>
          <wp:inline distT="0" distB="0" distL="0" distR="0" wp14:anchorId="588078EE" wp14:editId="53AC28AA">
            <wp:extent cx="2673927" cy="1067764"/>
            <wp:effectExtent l="0" t="0" r="0" b="0"/>
            <wp:docPr id="2130476773" name="Picture 1" descr="PREVENT Duty Poli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VENT Duty Polic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95287" cy="1076294"/>
                    </a:xfrm>
                    <a:prstGeom prst="rect">
                      <a:avLst/>
                    </a:prstGeom>
                    <a:noFill/>
                    <a:ln>
                      <a:noFill/>
                    </a:ln>
                  </pic:spPr>
                </pic:pic>
              </a:graphicData>
            </a:graphic>
          </wp:inline>
        </w:drawing>
      </w:r>
      <w:r>
        <w:fldChar w:fldCharType="end"/>
      </w:r>
    </w:p>
    <w:p w14:paraId="5B2C4AF8" w14:textId="77777777" w:rsidR="005F2D28" w:rsidRPr="00E10BA4" w:rsidRDefault="005F2D28" w:rsidP="005F2D28">
      <w:pPr>
        <w:pStyle w:val="Title"/>
        <w:jc w:val="center"/>
        <w:rPr>
          <w:sz w:val="28"/>
          <w:szCs w:val="28"/>
        </w:rPr>
      </w:pPr>
      <w:r>
        <w:br/>
      </w:r>
      <w:r>
        <w:br/>
      </w:r>
      <w:r>
        <w:br/>
      </w:r>
      <w:r w:rsidRPr="00E10BA4">
        <w:rPr>
          <w:sz w:val="28"/>
          <w:szCs w:val="28"/>
        </w:rPr>
        <w:t>BA (Hons) Leadership and Management Skills for the Workplace</w:t>
      </w:r>
    </w:p>
    <w:p w14:paraId="4D44E3E9" w14:textId="77777777" w:rsidR="005F2D28" w:rsidRPr="00E10BA4" w:rsidRDefault="005F2D28" w:rsidP="005F2D28">
      <w:pPr>
        <w:pStyle w:val="Title"/>
        <w:jc w:val="center"/>
        <w:rPr>
          <w:sz w:val="28"/>
          <w:szCs w:val="28"/>
        </w:rPr>
      </w:pPr>
      <w:bookmarkStart w:id="0" w:name="OLE_LINK1"/>
      <w:r w:rsidRPr="00E10BA4">
        <w:rPr>
          <w:sz w:val="28"/>
          <w:szCs w:val="28"/>
        </w:rPr>
        <w:br/>
        <w:t>Developing and Managing Individuals and Teams</w:t>
      </w:r>
    </w:p>
    <w:bookmarkEnd w:id="0"/>
    <w:p w14:paraId="66E836FC" w14:textId="77777777" w:rsidR="005F2D28" w:rsidRPr="00E10BA4" w:rsidRDefault="005F2D28" w:rsidP="005F2D28">
      <w:pPr>
        <w:pStyle w:val="Title"/>
        <w:jc w:val="center"/>
        <w:rPr>
          <w:sz w:val="28"/>
          <w:szCs w:val="28"/>
        </w:rPr>
      </w:pPr>
      <w:r w:rsidRPr="00E10BA4">
        <w:rPr>
          <w:sz w:val="28"/>
          <w:szCs w:val="28"/>
        </w:rPr>
        <w:t>Module code: LCLM5002</w:t>
      </w:r>
      <w:r w:rsidRPr="00E10BA4">
        <w:rPr>
          <w:sz w:val="28"/>
          <w:szCs w:val="28"/>
        </w:rPr>
        <w:br/>
      </w:r>
      <w:r w:rsidRPr="00E10BA4">
        <w:rPr>
          <w:sz w:val="28"/>
          <w:szCs w:val="28"/>
        </w:rPr>
        <w:br/>
        <w:t xml:space="preserve">Component 2- Individual Report </w:t>
      </w:r>
    </w:p>
    <w:p w14:paraId="75925D7A" w14:textId="77777777" w:rsidR="005F2D28" w:rsidRPr="00E10BA4" w:rsidRDefault="005F2D28" w:rsidP="005F2D28">
      <w:pPr>
        <w:pStyle w:val="Title"/>
        <w:jc w:val="center"/>
        <w:rPr>
          <w:sz w:val="28"/>
          <w:szCs w:val="28"/>
        </w:rPr>
      </w:pPr>
      <w:r w:rsidRPr="00E10BA4">
        <w:rPr>
          <w:sz w:val="28"/>
          <w:szCs w:val="28"/>
        </w:rPr>
        <w:br/>
      </w:r>
      <w:r w:rsidRPr="00E10BA4">
        <w:rPr>
          <w:sz w:val="28"/>
          <w:szCs w:val="28"/>
        </w:rPr>
        <w:br/>
      </w:r>
      <w:r w:rsidRPr="00E10BA4">
        <w:rPr>
          <w:rStyle w:val="s11"/>
          <w:color w:val="000000"/>
          <w:sz w:val="28"/>
          <w:szCs w:val="28"/>
        </w:rPr>
        <w:t>Student name: David Dumitru</w:t>
      </w:r>
      <w:r w:rsidRPr="00E10BA4">
        <w:rPr>
          <w:color w:val="000000"/>
          <w:sz w:val="28"/>
          <w:szCs w:val="28"/>
        </w:rPr>
        <w:t xml:space="preserve"> </w:t>
      </w:r>
      <w:r w:rsidRPr="00E10BA4">
        <w:rPr>
          <w:color w:val="000000"/>
          <w:sz w:val="28"/>
          <w:szCs w:val="28"/>
        </w:rPr>
        <w:br/>
      </w:r>
      <w:r w:rsidRPr="00E10BA4">
        <w:rPr>
          <w:rStyle w:val="s11"/>
          <w:color w:val="000000"/>
          <w:sz w:val="28"/>
          <w:szCs w:val="28"/>
        </w:rPr>
        <w:t>Student ID: 2324110</w:t>
      </w:r>
    </w:p>
    <w:p w14:paraId="0B18FBCC" w14:textId="77777777" w:rsidR="005F2D28" w:rsidRPr="00E10BA4" w:rsidRDefault="005F2D28" w:rsidP="005F2D28">
      <w:pPr>
        <w:spacing w:line="360" w:lineRule="auto"/>
        <w:jc w:val="center"/>
        <w:rPr>
          <w:b/>
          <w:sz w:val="28"/>
          <w:szCs w:val="28"/>
        </w:rPr>
      </w:pPr>
    </w:p>
    <w:p w14:paraId="00000003" w14:textId="77777777" w:rsidR="00A13EBA" w:rsidRPr="005F2D28" w:rsidRDefault="00A13EBA">
      <w:pPr>
        <w:spacing w:line="360" w:lineRule="auto"/>
        <w:jc w:val="center"/>
        <w:rPr>
          <w:b/>
          <w:color w:val="000000" w:themeColor="text1"/>
          <w:sz w:val="32"/>
          <w:szCs w:val="32"/>
        </w:rPr>
      </w:pPr>
    </w:p>
    <w:p w14:paraId="00000004" w14:textId="77777777" w:rsidR="00A13EBA" w:rsidRPr="005F2D28" w:rsidRDefault="00A13EBA">
      <w:pPr>
        <w:spacing w:line="360" w:lineRule="auto"/>
        <w:jc w:val="center"/>
        <w:rPr>
          <w:b/>
          <w:color w:val="000000" w:themeColor="text1"/>
          <w:sz w:val="32"/>
          <w:szCs w:val="32"/>
        </w:rPr>
      </w:pPr>
    </w:p>
    <w:p w14:paraId="00000005" w14:textId="77777777" w:rsidR="00A13EBA" w:rsidRPr="005F2D28" w:rsidRDefault="00A13EBA">
      <w:pPr>
        <w:spacing w:line="360" w:lineRule="auto"/>
        <w:jc w:val="center"/>
        <w:rPr>
          <w:b/>
          <w:color w:val="000000" w:themeColor="text1"/>
          <w:sz w:val="32"/>
          <w:szCs w:val="32"/>
        </w:rPr>
      </w:pPr>
    </w:p>
    <w:p w14:paraId="00000011" w14:textId="77777777" w:rsidR="00A13EBA" w:rsidRPr="005F2D28" w:rsidRDefault="00A13EBA" w:rsidP="005F2D28">
      <w:pPr>
        <w:spacing w:line="360" w:lineRule="auto"/>
        <w:rPr>
          <w:b/>
          <w:color w:val="000000" w:themeColor="text1"/>
          <w:sz w:val="32"/>
          <w:szCs w:val="32"/>
        </w:rPr>
      </w:pPr>
    </w:p>
    <w:p w14:paraId="00000013" w14:textId="77777777" w:rsidR="00A13EBA" w:rsidRPr="005F2D28" w:rsidRDefault="00A13EBA" w:rsidP="005F2D28">
      <w:pPr>
        <w:spacing w:line="360" w:lineRule="auto"/>
        <w:rPr>
          <w:b/>
          <w:color w:val="000000" w:themeColor="text1"/>
          <w:sz w:val="32"/>
          <w:szCs w:val="32"/>
        </w:rPr>
      </w:pPr>
    </w:p>
    <w:p w14:paraId="00000014" w14:textId="77777777" w:rsidR="00A13EBA" w:rsidRPr="005F2D28" w:rsidRDefault="00A13EBA">
      <w:pPr>
        <w:spacing w:line="360" w:lineRule="auto"/>
        <w:jc w:val="center"/>
        <w:rPr>
          <w:b/>
          <w:color w:val="000000" w:themeColor="text1"/>
          <w:sz w:val="32"/>
          <w:szCs w:val="32"/>
        </w:rPr>
      </w:pPr>
    </w:p>
    <w:sdt>
      <w:sdtPr>
        <w:rPr>
          <w:rFonts w:ascii="Arial" w:eastAsia="Arial" w:hAnsi="Arial" w:cs="Arial"/>
          <w:b w:val="0"/>
          <w:bCs w:val="0"/>
          <w:color w:val="000000" w:themeColor="text1"/>
          <w:sz w:val="36"/>
          <w:szCs w:val="22"/>
          <w:lang w:val="en-GB" w:eastAsia="en-GB"/>
        </w:rPr>
        <w:id w:val="-247736319"/>
        <w:docPartObj>
          <w:docPartGallery w:val="Table of Contents"/>
          <w:docPartUnique/>
        </w:docPartObj>
      </w:sdtPr>
      <w:sdtEndPr>
        <w:rPr>
          <w:noProof/>
          <w:sz w:val="22"/>
        </w:rPr>
      </w:sdtEndPr>
      <w:sdtContent>
        <w:p w14:paraId="2187A330" w14:textId="02685C01" w:rsidR="00687B64" w:rsidRPr="005F2D28" w:rsidRDefault="00A6352B" w:rsidP="00687B64">
          <w:pPr>
            <w:pStyle w:val="TOCHeading"/>
            <w:spacing w:line="360" w:lineRule="auto"/>
            <w:jc w:val="center"/>
            <w:rPr>
              <w:rFonts w:ascii="Arial" w:hAnsi="Arial" w:cs="Arial"/>
              <w:color w:val="000000" w:themeColor="text1"/>
              <w:szCs w:val="22"/>
            </w:rPr>
          </w:pPr>
          <w:r w:rsidRPr="005F2D28">
            <w:rPr>
              <w:rFonts w:ascii="Arial" w:hAnsi="Arial" w:cs="Arial"/>
              <w:color w:val="000000" w:themeColor="text1"/>
              <w:szCs w:val="22"/>
            </w:rPr>
            <w:t>Table of Contents</w:t>
          </w:r>
        </w:p>
        <w:p w14:paraId="24D53BEF" w14:textId="77777777" w:rsidR="00687B64" w:rsidRPr="005F2D28" w:rsidRDefault="00A6352B" w:rsidP="00687B64">
          <w:pPr>
            <w:pStyle w:val="TOC1"/>
            <w:tabs>
              <w:tab w:val="right" w:leader="dot" w:pos="9350"/>
            </w:tabs>
            <w:spacing w:line="360" w:lineRule="auto"/>
            <w:jc w:val="center"/>
            <w:rPr>
              <w:noProof/>
              <w:color w:val="000000" w:themeColor="text1"/>
            </w:rPr>
          </w:pPr>
          <w:r w:rsidRPr="005F2D28">
            <w:rPr>
              <w:color w:val="000000" w:themeColor="text1"/>
            </w:rPr>
            <w:fldChar w:fldCharType="begin"/>
          </w:r>
          <w:r w:rsidRPr="005F2D28">
            <w:rPr>
              <w:color w:val="000000" w:themeColor="text1"/>
            </w:rPr>
            <w:instrText xml:space="preserve"> TOC \o "1-3" \h \z \u </w:instrText>
          </w:r>
          <w:r w:rsidRPr="005F2D28">
            <w:rPr>
              <w:color w:val="000000" w:themeColor="text1"/>
            </w:rPr>
            <w:fldChar w:fldCharType="separate"/>
          </w:r>
          <w:hyperlink w:anchor="_Toc210424698" w:history="1">
            <w:r w:rsidRPr="005F2D28">
              <w:rPr>
                <w:rStyle w:val="Hyperlink"/>
                <w:noProof/>
                <w:color w:val="000000" w:themeColor="text1"/>
              </w:rPr>
              <w:t>1.0 Introduction</w:t>
            </w:r>
            <w:r w:rsidRPr="005F2D28">
              <w:rPr>
                <w:noProof/>
                <w:webHidden/>
                <w:color w:val="000000" w:themeColor="text1"/>
              </w:rPr>
              <w:tab/>
            </w:r>
            <w:r w:rsidRPr="005F2D28">
              <w:rPr>
                <w:noProof/>
                <w:webHidden/>
                <w:color w:val="000000" w:themeColor="text1"/>
              </w:rPr>
              <w:fldChar w:fldCharType="begin"/>
            </w:r>
            <w:r w:rsidRPr="005F2D28">
              <w:rPr>
                <w:noProof/>
                <w:webHidden/>
                <w:color w:val="000000" w:themeColor="text1"/>
              </w:rPr>
              <w:instrText xml:space="preserve"> PAGEREF _Toc210424698 \h </w:instrText>
            </w:r>
            <w:r w:rsidRPr="005F2D28">
              <w:rPr>
                <w:noProof/>
                <w:webHidden/>
                <w:color w:val="000000" w:themeColor="text1"/>
              </w:rPr>
            </w:r>
            <w:r w:rsidRPr="005F2D28">
              <w:rPr>
                <w:noProof/>
                <w:webHidden/>
                <w:color w:val="000000" w:themeColor="text1"/>
              </w:rPr>
              <w:fldChar w:fldCharType="separate"/>
            </w:r>
            <w:r w:rsidR="006F5A86" w:rsidRPr="005F2D28">
              <w:rPr>
                <w:noProof/>
                <w:webHidden/>
                <w:color w:val="000000" w:themeColor="text1"/>
              </w:rPr>
              <w:t>3</w:t>
            </w:r>
            <w:r w:rsidRPr="005F2D28">
              <w:rPr>
                <w:noProof/>
                <w:webHidden/>
                <w:color w:val="000000" w:themeColor="text1"/>
              </w:rPr>
              <w:fldChar w:fldCharType="end"/>
            </w:r>
          </w:hyperlink>
        </w:p>
        <w:p w14:paraId="2368F3E7" w14:textId="77777777" w:rsidR="00687B64" w:rsidRPr="005F2D28" w:rsidRDefault="00A6352B" w:rsidP="00687B64">
          <w:pPr>
            <w:pStyle w:val="TOC1"/>
            <w:tabs>
              <w:tab w:val="right" w:leader="dot" w:pos="9350"/>
            </w:tabs>
            <w:spacing w:line="360" w:lineRule="auto"/>
            <w:jc w:val="center"/>
            <w:rPr>
              <w:noProof/>
              <w:color w:val="000000" w:themeColor="text1"/>
            </w:rPr>
          </w:pPr>
          <w:hyperlink w:anchor="_Toc210424699" w:history="1">
            <w:r w:rsidRPr="005F2D28">
              <w:rPr>
                <w:rStyle w:val="Hyperlink"/>
                <w:noProof/>
                <w:color w:val="000000" w:themeColor="text1"/>
              </w:rPr>
              <w:t>2.0 Business Transformation Factors</w:t>
            </w:r>
            <w:r w:rsidRPr="005F2D28">
              <w:rPr>
                <w:noProof/>
                <w:webHidden/>
                <w:color w:val="000000" w:themeColor="text1"/>
              </w:rPr>
              <w:tab/>
            </w:r>
            <w:r w:rsidRPr="005F2D28">
              <w:rPr>
                <w:noProof/>
                <w:webHidden/>
                <w:color w:val="000000" w:themeColor="text1"/>
              </w:rPr>
              <w:fldChar w:fldCharType="begin"/>
            </w:r>
            <w:r w:rsidRPr="005F2D28">
              <w:rPr>
                <w:noProof/>
                <w:webHidden/>
                <w:color w:val="000000" w:themeColor="text1"/>
              </w:rPr>
              <w:instrText xml:space="preserve"> PAGEREF _Toc210424699 \h </w:instrText>
            </w:r>
            <w:r w:rsidRPr="005F2D28">
              <w:rPr>
                <w:noProof/>
                <w:webHidden/>
                <w:color w:val="000000" w:themeColor="text1"/>
              </w:rPr>
            </w:r>
            <w:r w:rsidRPr="005F2D28">
              <w:rPr>
                <w:noProof/>
                <w:webHidden/>
                <w:color w:val="000000" w:themeColor="text1"/>
              </w:rPr>
              <w:fldChar w:fldCharType="separate"/>
            </w:r>
            <w:r w:rsidR="006F5A86" w:rsidRPr="005F2D28">
              <w:rPr>
                <w:noProof/>
                <w:webHidden/>
                <w:color w:val="000000" w:themeColor="text1"/>
              </w:rPr>
              <w:t>3</w:t>
            </w:r>
            <w:r w:rsidRPr="005F2D28">
              <w:rPr>
                <w:noProof/>
                <w:webHidden/>
                <w:color w:val="000000" w:themeColor="text1"/>
              </w:rPr>
              <w:fldChar w:fldCharType="end"/>
            </w:r>
          </w:hyperlink>
        </w:p>
        <w:p w14:paraId="0C61A19D" w14:textId="77777777" w:rsidR="00687B64" w:rsidRPr="005F2D28" w:rsidRDefault="00A6352B" w:rsidP="00687B64">
          <w:pPr>
            <w:pStyle w:val="TOC1"/>
            <w:tabs>
              <w:tab w:val="right" w:leader="dot" w:pos="9350"/>
            </w:tabs>
            <w:spacing w:line="360" w:lineRule="auto"/>
            <w:jc w:val="center"/>
            <w:rPr>
              <w:noProof/>
              <w:color w:val="000000" w:themeColor="text1"/>
            </w:rPr>
          </w:pPr>
          <w:hyperlink w:anchor="_Toc210424700" w:history="1">
            <w:r w:rsidRPr="005F2D28">
              <w:rPr>
                <w:rStyle w:val="Hyperlink"/>
                <w:noProof/>
                <w:color w:val="000000" w:themeColor="text1"/>
              </w:rPr>
              <w:t>3.0 Contemporary HR Practices to Address Factors</w:t>
            </w:r>
            <w:r w:rsidRPr="005F2D28">
              <w:rPr>
                <w:noProof/>
                <w:webHidden/>
                <w:color w:val="000000" w:themeColor="text1"/>
              </w:rPr>
              <w:tab/>
            </w:r>
            <w:r w:rsidRPr="005F2D28">
              <w:rPr>
                <w:noProof/>
                <w:webHidden/>
                <w:color w:val="000000" w:themeColor="text1"/>
              </w:rPr>
              <w:fldChar w:fldCharType="begin"/>
            </w:r>
            <w:r w:rsidRPr="005F2D28">
              <w:rPr>
                <w:noProof/>
                <w:webHidden/>
                <w:color w:val="000000" w:themeColor="text1"/>
              </w:rPr>
              <w:instrText xml:space="preserve"> PAGEREF _Toc210424700 \h </w:instrText>
            </w:r>
            <w:r w:rsidRPr="005F2D28">
              <w:rPr>
                <w:noProof/>
                <w:webHidden/>
                <w:color w:val="000000" w:themeColor="text1"/>
              </w:rPr>
            </w:r>
            <w:r w:rsidRPr="005F2D28">
              <w:rPr>
                <w:noProof/>
                <w:webHidden/>
                <w:color w:val="000000" w:themeColor="text1"/>
              </w:rPr>
              <w:fldChar w:fldCharType="separate"/>
            </w:r>
            <w:r w:rsidR="006F5A86" w:rsidRPr="005F2D28">
              <w:rPr>
                <w:noProof/>
                <w:webHidden/>
                <w:color w:val="000000" w:themeColor="text1"/>
              </w:rPr>
              <w:t>5</w:t>
            </w:r>
            <w:r w:rsidRPr="005F2D28">
              <w:rPr>
                <w:noProof/>
                <w:webHidden/>
                <w:color w:val="000000" w:themeColor="text1"/>
              </w:rPr>
              <w:fldChar w:fldCharType="end"/>
            </w:r>
          </w:hyperlink>
        </w:p>
        <w:p w14:paraId="1881BC75" w14:textId="77777777" w:rsidR="00687B64" w:rsidRPr="005F2D28" w:rsidRDefault="00A6352B" w:rsidP="00687B64">
          <w:pPr>
            <w:pStyle w:val="TOC1"/>
            <w:tabs>
              <w:tab w:val="right" w:leader="dot" w:pos="9350"/>
            </w:tabs>
            <w:spacing w:line="360" w:lineRule="auto"/>
            <w:jc w:val="center"/>
            <w:rPr>
              <w:noProof/>
              <w:color w:val="000000" w:themeColor="text1"/>
            </w:rPr>
          </w:pPr>
          <w:hyperlink w:anchor="_Toc210424701" w:history="1">
            <w:r w:rsidRPr="005F2D28">
              <w:rPr>
                <w:rStyle w:val="Hyperlink"/>
                <w:noProof/>
                <w:color w:val="000000" w:themeColor="text1"/>
              </w:rPr>
              <w:t>4.0 Managerial Implementation of Practices</w:t>
            </w:r>
            <w:r w:rsidRPr="005F2D28">
              <w:rPr>
                <w:noProof/>
                <w:webHidden/>
                <w:color w:val="000000" w:themeColor="text1"/>
              </w:rPr>
              <w:tab/>
            </w:r>
            <w:r w:rsidRPr="005F2D28">
              <w:rPr>
                <w:noProof/>
                <w:webHidden/>
                <w:color w:val="000000" w:themeColor="text1"/>
              </w:rPr>
              <w:fldChar w:fldCharType="begin"/>
            </w:r>
            <w:r w:rsidRPr="005F2D28">
              <w:rPr>
                <w:noProof/>
                <w:webHidden/>
                <w:color w:val="000000" w:themeColor="text1"/>
              </w:rPr>
              <w:instrText xml:space="preserve"> PAGEREF _Toc210424701 \h </w:instrText>
            </w:r>
            <w:r w:rsidRPr="005F2D28">
              <w:rPr>
                <w:noProof/>
                <w:webHidden/>
                <w:color w:val="000000" w:themeColor="text1"/>
              </w:rPr>
            </w:r>
            <w:r w:rsidRPr="005F2D28">
              <w:rPr>
                <w:noProof/>
                <w:webHidden/>
                <w:color w:val="000000" w:themeColor="text1"/>
              </w:rPr>
              <w:fldChar w:fldCharType="separate"/>
            </w:r>
            <w:r w:rsidR="006F5A86" w:rsidRPr="005F2D28">
              <w:rPr>
                <w:noProof/>
                <w:webHidden/>
                <w:color w:val="000000" w:themeColor="text1"/>
              </w:rPr>
              <w:t>6</w:t>
            </w:r>
            <w:r w:rsidRPr="005F2D28">
              <w:rPr>
                <w:noProof/>
                <w:webHidden/>
                <w:color w:val="000000" w:themeColor="text1"/>
              </w:rPr>
              <w:fldChar w:fldCharType="end"/>
            </w:r>
          </w:hyperlink>
        </w:p>
        <w:p w14:paraId="4427A5BA" w14:textId="77777777" w:rsidR="00687B64" w:rsidRPr="005F2D28" w:rsidRDefault="00A6352B" w:rsidP="00687B64">
          <w:pPr>
            <w:pStyle w:val="TOC1"/>
            <w:tabs>
              <w:tab w:val="right" w:leader="dot" w:pos="9350"/>
            </w:tabs>
            <w:spacing w:line="360" w:lineRule="auto"/>
            <w:jc w:val="center"/>
            <w:rPr>
              <w:noProof/>
              <w:color w:val="000000" w:themeColor="text1"/>
            </w:rPr>
          </w:pPr>
          <w:hyperlink w:anchor="_Toc210424702" w:history="1">
            <w:r w:rsidRPr="005F2D28">
              <w:rPr>
                <w:rStyle w:val="Hyperlink"/>
                <w:noProof/>
                <w:color w:val="000000" w:themeColor="text1"/>
              </w:rPr>
              <w:t>5.0 Conclusions and Recommendations</w:t>
            </w:r>
            <w:r w:rsidRPr="005F2D28">
              <w:rPr>
                <w:noProof/>
                <w:webHidden/>
                <w:color w:val="000000" w:themeColor="text1"/>
              </w:rPr>
              <w:tab/>
            </w:r>
            <w:r w:rsidRPr="005F2D28">
              <w:rPr>
                <w:noProof/>
                <w:webHidden/>
                <w:color w:val="000000" w:themeColor="text1"/>
              </w:rPr>
              <w:fldChar w:fldCharType="begin"/>
            </w:r>
            <w:r w:rsidRPr="005F2D28">
              <w:rPr>
                <w:noProof/>
                <w:webHidden/>
                <w:color w:val="000000" w:themeColor="text1"/>
              </w:rPr>
              <w:instrText xml:space="preserve"> PAGEREF _Toc210424702 \h </w:instrText>
            </w:r>
            <w:r w:rsidRPr="005F2D28">
              <w:rPr>
                <w:noProof/>
                <w:webHidden/>
                <w:color w:val="000000" w:themeColor="text1"/>
              </w:rPr>
            </w:r>
            <w:r w:rsidRPr="005F2D28">
              <w:rPr>
                <w:noProof/>
                <w:webHidden/>
                <w:color w:val="000000" w:themeColor="text1"/>
              </w:rPr>
              <w:fldChar w:fldCharType="separate"/>
            </w:r>
            <w:r w:rsidR="006F5A86" w:rsidRPr="005F2D28">
              <w:rPr>
                <w:noProof/>
                <w:webHidden/>
                <w:color w:val="000000" w:themeColor="text1"/>
              </w:rPr>
              <w:t>7</w:t>
            </w:r>
            <w:r w:rsidRPr="005F2D28">
              <w:rPr>
                <w:noProof/>
                <w:webHidden/>
                <w:color w:val="000000" w:themeColor="text1"/>
              </w:rPr>
              <w:fldChar w:fldCharType="end"/>
            </w:r>
          </w:hyperlink>
        </w:p>
        <w:p w14:paraId="400DA683" w14:textId="77777777" w:rsidR="00687B64" w:rsidRPr="005F2D28" w:rsidRDefault="00A6352B" w:rsidP="00687B64">
          <w:pPr>
            <w:pStyle w:val="TOC1"/>
            <w:tabs>
              <w:tab w:val="right" w:leader="dot" w:pos="9350"/>
            </w:tabs>
            <w:spacing w:line="360" w:lineRule="auto"/>
            <w:jc w:val="center"/>
            <w:rPr>
              <w:noProof/>
              <w:color w:val="000000" w:themeColor="text1"/>
            </w:rPr>
          </w:pPr>
          <w:hyperlink w:anchor="_Toc210424703" w:history="1">
            <w:r w:rsidRPr="005F2D28">
              <w:rPr>
                <w:rStyle w:val="Hyperlink"/>
                <w:noProof/>
                <w:color w:val="000000" w:themeColor="text1"/>
              </w:rPr>
              <w:t>References</w:t>
            </w:r>
            <w:r w:rsidRPr="005F2D28">
              <w:rPr>
                <w:noProof/>
                <w:webHidden/>
                <w:color w:val="000000" w:themeColor="text1"/>
              </w:rPr>
              <w:tab/>
            </w:r>
            <w:r w:rsidRPr="005F2D28">
              <w:rPr>
                <w:noProof/>
                <w:webHidden/>
                <w:color w:val="000000" w:themeColor="text1"/>
              </w:rPr>
              <w:fldChar w:fldCharType="begin"/>
            </w:r>
            <w:r w:rsidRPr="005F2D28">
              <w:rPr>
                <w:noProof/>
                <w:webHidden/>
                <w:color w:val="000000" w:themeColor="text1"/>
              </w:rPr>
              <w:instrText xml:space="preserve"> PAGEREF _Toc210424703 \h </w:instrText>
            </w:r>
            <w:r w:rsidRPr="005F2D28">
              <w:rPr>
                <w:noProof/>
                <w:webHidden/>
                <w:color w:val="000000" w:themeColor="text1"/>
              </w:rPr>
            </w:r>
            <w:r w:rsidRPr="005F2D28">
              <w:rPr>
                <w:noProof/>
                <w:webHidden/>
                <w:color w:val="000000" w:themeColor="text1"/>
              </w:rPr>
              <w:fldChar w:fldCharType="separate"/>
            </w:r>
            <w:r w:rsidR="006F5A86" w:rsidRPr="005F2D28">
              <w:rPr>
                <w:noProof/>
                <w:webHidden/>
                <w:color w:val="000000" w:themeColor="text1"/>
              </w:rPr>
              <w:t>9</w:t>
            </w:r>
            <w:r w:rsidRPr="005F2D28">
              <w:rPr>
                <w:noProof/>
                <w:webHidden/>
                <w:color w:val="000000" w:themeColor="text1"/>
              </w:rPr>
              <w:fldChar w:fldCharType="end"/>
            </w:r>
          </w:hyperlink>
        </w:p>
        <w:p w14:paraId="6B8C3935" w14:textId="66B9D68A" w:rsidR="00687B64" w:rsidRPr="005F2D28" w:rsidRDefault="00A6352B" w:rsidP="00687B64">
          <w:pPr>
            <w:spacing w:line="360" w:lineRule="auto"/>
            <w:jc w:val="center"/>
            <w:rPr>
              <w:color w:val="000000" w:themeColor="text1"/>
            </w:rPr>
          </w:pPr>
          <w:r w:rsidRPr="005F2D28">
            <w:rPr>
              <w:b/>
              <w:bCs/>
              <w:noProof/>
              <w:color w:val="000000" w:themeColor="text1"/>
            </w:rPr>
            <w:fldChar w:fldCharType="end"/>
          </w:r>
        </w:p>
      </w:sdtContent>
    </w:sdt>
    <w:p w14:paraId="00000015" w14:textId="77777777" w:rsidR="00A13EBA" w:rsidRPr="005F2D28" w:rsidRDefault="00A13EBA" w:rsidP="00687B64">
      <w:pPr>
        <w:spacing w:line="360" w:lineRule="auto"/>
        <w:rPr>
          <w:b/>
          <w:color w:val="000000" w:themeColor="text1"/>
          <w:sz w:val="32"/>
          <w:szCs w:val="32"/>
        </w:rPr>
      </w:pPr>
    </w:p>
    <w:p w14:paraId="00000016" w14:textId="77777777" w:rsidR="00A13EBA" w:rsidRPr="005F2D28" w:rsidRDefault="00A13EBA">
      <w:pPr>
        <w:spacing w:line="360" w:lineRule="auto"/>
        <w:jc w:val="center"/>
        <w:rPr>
          <w:b/>
          <w:color w:val="000000" w:themeColor="text1"/>
          <w:sz w:val="32"/>
          <w:szCs w:val="32"/>
        </w:rPr>
      </w:pPr>
    </w:p>
    <w:p w14:paraId="00000017" w14:textId="77777777" w:rsidR="00A13EBA" w:rsidRPr="005F2D28" w:rsidRDefault="00A13EBA">
      <w:pPr>
        <w:spacing w:line="360" w:lineRule="auto"/>
        <w:rPr>
          <w:b/>
          <w:color w:val="000000" w:themeColor="text1"/>
          <w:sz w:val="32"/>
          <w:szCs w:val="32"/>
        </w:rPr>
      </w:pPr>
    </w:p>
    <w:p w14:paraId="5407E710" w14:textId="77777777" w:rsidR="00687B64" w:rsidRPr="005F2D28" w:rsidRDefault="00687B64">
      <w:pPr>
        <w:spacing w:line="360" w:lineRule="auto"/>
        <w:jc w:val="both"/>
        <w:rPr>
          <w:b/>
          <w:color w:val="000000" w:themeColor="text1"/>
          <w:sz w:val="28"/>
          <w:szCs w:val="28"/>
        </w:rPr>
      </w:pPr>
    </w:p>
    <w:p w14:paraId="4E38263B" w14:textId="77777777" w:rsidR="00687B64" w:rsidRPr="005F2D28" w:rsidRDefault="00687B64">
      <w:pPr>
        <w:spacing w:line="360" w:lineRule="auto"/>
        <w:jc w:val="both"/>
        <w:rPr>
          <w:b/>
          <w:color w:val="000000" w:themeColor="text1"/>
          <w:sz w:val="28"/>
          <w:szCs w:val="28"/>
        </w:rPr>
      </w:pPr>
    </w:p>
    <w:p w14:paraId="5B1F81F8" w14:textId="77777777" w:rsidR="00687B64" w:rsidRPr="005F2D28" w:rsidRDefault="00687B64">
      <w:pPr>
        <w:spacing w:line="360" w:lineRule="auto"/>
        <w:jc w:val="both"/>
        <w:rPr>
          <w:b/>
          <w:color w:val="000000" w:themeColor="text1"/>
          <w:sz w:val="28"/>
          <w:szCs w:val="28"/>
        </w:rPr>
      </w:pPr>
    </w:p>
    <w:p w14:paraId="62C9ED72" w14:textId="77777777" w:rsidR="00687B64" w:rsidRPr="005F2D28" w:rsidRDefault="00687B64">
      <w:pPr>
        <w:spacing w:line="360" w:lineRule="auto"/>
        <w:jc w:val="both"/>
        <w:rPr>
          <w:b/>
          <w:color w:val="000000" w:themeColor="text1"/>
          <w:sz w:val="28"/>
          <w:szCs w:val="28"/>
        </w:rPr>
      </w:pPr>
    </w:p>
    <w:p w14:paraId="77A70CE5" w14:textId="77777777" w:rsidR="00687B64" w:rsidRPr="005F2D28" w:rsidRDefault="00687B64">
      <w:pPr>
        <w:spacing w:line="360" w:lineRule="auto"/>
        <w:jc w:val="both"/>
        <w:rPr>
          <w:b/>
          <w:color w:val="000000" w:themeColor="text1"/>
          <w:sz w:val="28"/>
          <w:szCs w:val="28"/>
        </w:rPr>
      </w:pPr>
    </w:p>
    <w:p w14:paraId="5EA6AF44" w14:textId="77777777" w:rsidR="00687B64" w:rsidRPr="005F2D28" w:rsidRDefault="00687B64">
      <w:pPr>
        <w:spacing w:line="360" w:lineRule="auto"/>
        <w:jc w:val="both"/>
        <w:rPr>
          <w:b/>
          <w:color w:val="000000" w:themeColor="text1"/>
          <w:sz w:val="28"/>
          <w:szCs w:val="28"/>
        </w:rPr>
      </w:pPr>
    </w:p>
    <w:p w14:paraId="3B9EAA21" w14:textId="77777777" w:rsidR="00687B64" w:rsidRPr="005F2D28" w:rsidRDefault="00687B64">
      <w:pPr>
        <w:spacing w:line="360" w:lineRule="auto"/>
        <w:jc w:val="both"/>
        <w:rPr>
          <w:b/>
          <w:color w:val="000000" w:themeColor="text1"/>
          <w:sz w:val="28"/>
          <w:szCs w:val="28"/>
        </w:rPr>
      </w:pPr>
    </w:p>
    <w:p w14:paraId="50F19971" w14:textId="77777777" w:rsidR="00687B64" w:rsidRPr="005F2D28" w:rsidRDefault="00687B64">
      <w:pPr>
        <w:spacing w:line="360" w:lineRule="auto"/>
        <w:jc w:val="both"/>
        <w:rPr>
          <w:b/>
          <w:color w:val="000000" w:themeColor="text1"/>
          <w:sz w:val="28"/>
          <w:szCs w:val="28"/>
        </w:rPr>
      </w:pPr>
    </w:p>
    <w:p w14:paraId="5F985BA4" w14:textId="77777777" w:rsidR="00687B64" w:rsidRPr="005F2D28" w:rsidRDefault="00687B64">
      <w:pPr>
        <w:spacing w:line="360" w:lineRule="auto"/>
        <w:jc w:val="both"/>
        <w:rPr>
          <w:b/>
          <w:color w:val="000000" w:themeColor="text1"/>
          <w:sz w:val="28"/>
          <w:szCs w:val="28"/>
        </w:rPr>
      </w:pPr>
    </w:p>
    <w:p w14:paraId="73008960" w14:textId="77777777" w:rsidR="00687B64" w:rsidRPr="005F2D28" w:rsidRDefault="00687B64">
      <w:pPr>
        <w:spacing w:line="360" w:lineRule="auto"/>
        <w:jc w:val="both"/>
        <w:rPr>
          <w:b/>
          <w:color w:val="000000" w:themeColor="text1"/>
          <w:sz w:val="28"/>
          <w:szCs w:val="28"/>
        </w:rPr>
      </w:pPr>
    </w:p>
    <w:p w14:paraId="76A3302B" w14:textId="77777777" w:rsidR="00687B64" w:rsidRPr="005F2D28" w:rsidRDefault="00687B64">
      <w:pPr>
        <w:spacing w:line="360" w:lineRule="auto"/>
        <w:jc w:val="both"/>
        <w:rPr>
          <w:b/>
          <w:color w:val="000000" w:themeColor="text1"/>
          <w:sz w:val="28"/>
          <w:szCs w:val="28"/>
        </w:rPr>
      </w:pPr>
    </w:p>
    <w:p w14:paraId="6D7BCB0B" w14:textId="77777777" w:rsidR="00687B64" w:rsidRPr="005F2D28" w:rsidRDefault="00687B64">
      <w:pPr>
        <w:spacing w:line="360" w:lineRule="auto"/>
        <w:jc w:val="both"/>
        <w:rPr>
          <w:b/>
          <w:color w:val="000000" w:themeColor="text1"/>
          <w:sz w:val="28"/>
          <w:szCs w:val="28"/>
        </w:rPr>
      </w:pPr>
    </w:p>
    <w:p w14:paraId="412954B7" w14:textId="77777777" w:rsidR="00687B64" w:rsidRPr="005F2D28" w:rsidRDefault="00687B64">
      <w:pPr>
        <w:spacing w:line="360" w:lineRule="auto"/>
        <w:jc w:val="both"/>
        <w:rPr>
          <w:b/>
          <w:color w:val="000000" w:themeColor="text1"/>
          <w:sz w:val="28"/>
          <w:szCs w:val="28"/>
        </w:rPr>
      </w:pPr>
    </w:p>
    <w:p w14:paraId="69A3C3B9" w14:textId="77777777" w:rsidR="00687B64" w:rsidRPr="005F2D28" w:rsidRDefault="00687B64">
      <w:pPr>
        <w:spacing w:line="360" w:lineRule="auto"/>
        <w:jc w:val="both"/>
        <w:rPr>
          <w:b/>
          <w:color w:val="000000" w:themeColor="text1"/>
          <w:sz w:val="28"/>
          <w:szCs w:val="28"/>
        </w:rPr>
      </w:pPr>
    </w:p>
    <w:p w14:paraId="4A9888D7" w14:textId="77777777" w:rsidR="00687B64" w:rsidRPr="005F2D28" w:rsidRDefault="00687B64">
      <w:pPr>
        <w:spacing w:line="360" w:lineRule="auto"/>
        <w:jc w:val="both"/>
        <w:rPr>
          <w:b/>
          <w:color w:val="000000" w:themeColor="text1"/>
          <w:sz w:val="28"/>
          <w:szCs w:val="28"/>
        </w:rPr>
      </w:pPr>
    </w:p>
    <w:p w14:paraId="00000018" w14:textId="77777777" w:rsidR="00A13EBA" w:rsidRPr="005F2D28" w:rsidRDefault="00A6352B" w:rsidP="00687B64">
      <w:pPr>
        <w:pStyle w:val="Heading1"/>
        <w:rPr>
          <w:color w:val="000000" w:themeColor="text1"/>
        </w:rPr>
      </w:pPr>
      <w:bookmarkStart w:id="1" w:name="_Toc210424698"/>
      <w:r w:rsidRPr="005F2D28">
        <w:rPr>
          <w:color w:val="000000" w:themeColor="text1"/>
        </w:rPr>
        <w:t>1.0 Introduction</w:t>
      </w:r>
      <w:bookmarkEnd w:id="1"/>
    </w:p>
    <w:p w14:paraId="00000019" w14:textId="226DB1DC" w:rsidR="00A13EBA" w:rsidRPr="005F2D28" w:rsidRDefault="00A6352B">
      <w:pPr>
        <w:spacing w:line="360" w:lineRule="auto"/>
        <w:jc w:val="both"/>
        <w:rPr>
          <w:color w:val="000000" w:themeColor="text1"/>
          <w:sz w:val="20"/>
        </w:rPr>
      </w:pPr>
      <w:r w:rsidRPr="005F2D28">
        <w:rPr>
          <w:color w:val="000000" w:themeColor="text1"/>
          <w:szCs w:val="24"/>
        </w:rPr>
        <w:t>Such imperatives force the firm to critically appraise and revamp its HR practices. In thi</w:t>
      </w:r>
      <w:r w:rsidR="00DA6886" w:rsidRPr="005F2D28">
        <w:rPr>
          <w:color w:val="000000" w:themeColor="text1"/>
          <w:szCs w:val="24"/>
        </w:rPr>
        <w:t>s report, three strategic areas (</w:t>
      </w:r>
      <w:r w:rsidRPr="005F2D28">
        <w:rPr>
          <w:color w:val="000000" w:themeColor="text1"/>
          <w:szCs w:val="24"/>
        </w:rPr>
        <w:t>business transformation, trends in digital tec</w:t>
      </w:r>
      <w:r w:rsidR="00DA6886" w:rsidRPr="005F2D28">
        <w:rPr>
          <w:color w:val="000000" w:themeColor="text1"/>
          <w:szCs w:val="24"/>
        </w:rPr>
        <w:t xml:space="preserve">hnologies, and flexible working) </w:t>
      </w:r>
      <w:r w:rsidRPr="005F2D28">
        <w:rPr>
          <w:color w:val="000000" w:themeColor="text1"/>
          <w:szCs w:val="24"/>
        </w:rPr>
        <w:t>are discussed before surveying the relevant HR practices and managerial responsibilities entailed in their application. Ultimately, the aim is to provide an understanding of how HR may bring about sustainable change as well as how it may safeguard competitiveness.</w:t>
      </w:r>
    </w:p>
    <w:p w14:paraId="0000001A" w14:textId="77777777" w:rsidR="00A13EBA" w:rsidRPr="005F2D28" w:rsidRDefault="00A6352B" w:rsidP="00687B64">
      <w:pPr>
        <w:pStyle w:val="Heading1"/>
        <w:rPr>
          <w:color w:val="000000" w:themeColor="text1"/>
        </w:rPr>
      </w:pPr>
      <w:bookmarkStart w:id="2" w:name="_Toc210424699"/>
      <w:r w:rsidRPr="005F2D28">
        <w:rPr>
          <w:color w:val="000000" w:themeColor="text1"/>
        </w:rPr>
        <w:t>2.0 Business Transformation Factors</w:t>
      </w:r>
      <w:bookmarkEnd w:id="2"/>
    </w:p>
    <w:p w14:paraId="0000001B" w14:textId="0406D5C7" w:rsidR="00A13EBA" w:rsidRPr="005F2D28" w:rsidRDefault="00A6352B">
      <w:pPr>
        <w:spacing w:line="360" w:lineRule="auto"/>
        <w:jc w:val="both"/>
        <w:rPr>
          <w:color w:val="000000" w:themeColor="text1"/>
        </w:rPr>
      </w:pPr>
      <w:r w:rsidRPr="005F2D28">
        <w:rPr>
          <w:color w:val="000000" w:themeColor="text1"/>
        </w:rPr>
        <w:t>O</w:t>
      </w:r>
      <w:r w:rsidR="008C2D7E" w:rsidRPr="005F2D28">
        <w:rPr>
          <w:color w:val="000000" w:themeColor="text1"/>
        </w:rPr>
        <w:t xml:space="preserve">ne of the largest transport providers in the UK, National Express Group, is based in Birmingham. Like other transport companies, they face mounting pressures from environmental targets, technological disruption and shifting employee expectations. National Express is experiencing significant pressures for change from the external and internal considerations described above, which support their current and ongoing transformation agenda. </w:t>
      </w:r>
    </w:p>
    <w:p w14:paraId="0000001C" w14:textId="77777777" w:rsidR="00A13EBA" w:rsidRPr="005F2D28" w:rsidRDefault="00A6352B">
      <w:pPr>
        <w:spacing w:line="360" w:lineRule="auto"/>
        <w:jc w:val="both"/>
        <w:rPr>
          <w:b/>
          <w:color w:val="000000" w:themeColor="text1"/>
        </w:rPr>
      </w:pPr>
      <w:r w:rsidRPr="005F2D28">
        <w:rPr>
          <w:b/>
          <w:color w:val="000000" w:themeColor="text1"/>
        </w:rPr>
        <w:t>Pressures for business transformation</w:t>
      </w:r>
    </w:p>
    <w:p w14:paraId="1B4471B7" w14:textId="0C0A6EAC" w:rsidR="00DA6886" w:rsidRPr="005F2D28" w:rsidRDefault="00DA6886">
      <w:pPr>
        <w:spacing w:line="360" w:lineRule="auto"/>
        <w:jc w:val="both"/>
        <w:rPr>
          <w:color w:val="000000" w:themeColor="text1"/>
        </w:rPr>
      </w:pPr>
      <w:r w:rsidRPr="005F2D28">
        <w:rPr>
          <w:color w:val="000000" w:themeColor="text1"/>
        </w:rPr>
        <w:t>The UK Government's goal to achieve net-zero by 2050 has fast-tracked decarbonisation in public transport. In light of this, National Express has pledged to operate a completely zero-emission UK bus fleet by the year 2030 (National Express, 2023). However, change isn’t simply electrical; the organisation will have to implement measures to reskill engineers, re-train drivers, revise maintenance schedules and embed sustainability as an aspect of organisational culture. Research indicates that sustainability transitions are most likely to succeed when employees who operate are considered part of the initial process of using the practices and shaping the new work routines, and not simply subjected to a top-down approach (WEF, 2022). In this regard, change at National Express is as much a human challenge, as it is a technical one.</w:t>
      </w:r>
    </w:p>
    <w:p w14:paraId="0744823F" w14:textId="6A45627B" w:rsidR="00DA6886" w:rsidRPr="005F2D28" w:rsidRDefault="00A6352B">
      <w:pPr>
        <w:spacing w:line="360" w:lineRule="auto"/>
        <w:jc w:val="both"/>
        <w:rPr>
          <w:color w:val="000000" w:themeColor="text1"/>
        </w:rPr>
      </w:pPr>
      <w:r w:rsidRPr="005F2D28">
        <w:rPr>
          <w:color w:val="000000" w:themeColor="text1"/>
        </w:rPr>
        <w:t xml:space="preserve">One significant concern for National Express is the increasing requirement for sustainability. In 2019, the UK government introduced a goal of net-zero by 2050, and it now requires transport operators to decarbonise rapidly. In 2021, National Express set out a goal of a fully zero-emission UK bus fleet by 2030, demonstrating its commitment to sustainability as part of its transformation agenda. This goal demonstrates to transport operators, including National Express Group, that there is a need to move along a transformative path to facilitate </w:t>
      </w:r>
      <w:r w:rsidRPr="005F2D28">
        <w:rPr>
          <w:color w:val="000000" w:themeColor="text1"/>
        </w:rPr>
        <w:lastRenderedPageBreak/>
        <w:t>environmentally legitimate ways of working. Decarbonising, including National Express transporting goods and individuals, requires technological shifts (i.e., investment in electric buses and infrastructure) and human capital shifts (i.e., employees changing models of operation). The transformation will be both technical and cultural, making the employee transition aligned with sustainability as a priority at every level.</w:t>
      </w:r>
    </w:p>
    <w:p w14:paraId="2EBA5D66" w14:textId="1645388B" w:rsidR="00DA6886" w:rsidRPr="005F2D28" w:rsidRDefault="00A6352B" w:rsidP="00DA6886">
      <w:pPr>
        <w:spacing w:line="360" w:lineRule="auto"/>
        <w:jc w:val="both"/>
        <w:rPr>
          <w:color w:val="000000" w:themeColor="text1"/>
        </w:rPr>
      </w:pPr>
      <w:r w:rsidRPr="005F2D28">
        <w:rPr>
          <w:color w:val="000000" w:themeColor="text1"/>
        </w:rPr>
        <w:t>A second factor of change pertains to changing consumer expectations. Customers are increasingly seeking safe, modern, and sustainable travel options. Shifts in passenger preferences are moving away from cash services towards digital, on-demand services, particularly in response to competitive offerings from ride-haili</w:t>
      </w:r>
      <w:r w:rsidR="00D76DEB" w:rsidRPr="005F2D28">
        <w:rPr>
          <w:color w:val="000000" w:themeColor="text1"/>
        </w:rPr>
        <w:t xml:space="preserve">ng and micro-mobility services. </w:t>
      </w:r>
      <w:r w:rsidR="00DA6886" w:rsidRPr="005F2D28">
        <w:rPr>
          <w:color w:val="000000" w:themeColor="text1"/>
        </w:rPr>
        <w:t xml:space="preserve">There is a growing preference among passengers for integrated, digital, and personalised mobility experiences. For example, Stagecoach introduced a fully contactless smart-ticketing system which resulted in quantifiable increases in customer satisfaction, as well as reduced time spent boarding </w:t>
      </w:r>
      <w:r w:rsidR="006F5A86" w:rsidRPr="005F2D28">
        <w:rPr>
          <w:color w:val="000000" w:themeColor="text1"/>
        </w:rPr>
        <w:t>(Lee et al., 2025)</w:t>
      </w:r>
      <w:r w:rsidR="00DA6886" w:rsidRPr="005F2D28">
        <w:rPr>
          <w:color w:val="000000" w:themeColor="text1"/>
        </w:rPr>
        <w:t>. This shows that there is a customer preference based on the convenience and ease of digital, and that when even an inflection of convenience can add value to the overall experience that can influence customer choice. This means, National Express must be innovating around the customer experience within the target customer segments, and not simply fleet technology.</w:t>
      </w:r>
    </w:p>
    <w:p w14:paraId="0000001F" w14:textId="77777777" w:rsidR="00A13EBA" w:rsidRPr="005F2D28" w:rsidRDefault="00A6352B">
      <w:pPr>
        <w:spacing w:line="360" w:lineRule="auto"/>
        <w:jc w:val="both"/>
        <w:rPr>
          <w:b/>
          <w:color w:val="000000" w:themeColor="text1"/>
        </w:rPr>
      </w:pPr>
      <w:r w:rsidRPr="005F2D28">
        <w:rPr>
          <w:b/>
          <w:color w:val="000000" w:themeColor="text1"/>
        </w:rPr>
        <w:t>Digital Technology Trends</w:t>
      </w:r>
    </w:p>
    <w:p w14:paraId="5E7710E9" w14:textId="4D4C0AC4" w:rsidR="00C54EEA" w:rsidRPr="005F2D28" w:rsidRDefault="00C54EEA" w:rsidP="00D76DEB">
      <w:pPr>
        <w:spacing w:line="360" w:lineRule="auto"/>
        <w:jc w:val="both"/>
        <w:rPr>
          <w:color w:val="000000" w:themeColor="text1"/>
        </w:rPr>
      </w:pPr>
      <w:r w:rsidRPr="005F2D28">
        <w:rPr>
          <w:color w:val="000000" w:themeColor="text1"/>
        </w:rPr>
        <w:t>AI-powered predictive maintenance can reduce fleet downtime and sustainably extend asset lifespan, as illustrated through Arriva Group’s use of telematics and condition-monitoring tools (Arriva, 2023). However, a process of digital transformation increases requirements around data literacy, cross-functional collaboration, and adaptive leadership. Cybersecurity is a further emergent risk area, especially when systems for ticketing, HR processes, and workforce scheduling become cloud-based (Deloitte, 2023) which underscores a steer towards developing digital capability across the organisation as opposed to vertical delivery of systems.</w:t>
      </w:r>
    </w:p>
    <w:p w14:paraId="00000022" w14:textId="18D0B382" w:rsidR="00A13EBA" w:rsidRPr="005F2D28" w:rsidRDefault="00D76DEB" w:rsidP="00D76DEB">
      <w:pPr>
        <w:spacing w:line="360" w:lineRule="auto"/>
        <w:jc w:val="both"/>
        <w:rPr>
          <w:color w:val="000000" w:themeColor="text1"/>
        </w:rPr>
      </w:pPr>
      <w:r w:rsidRPr="005F2D28">
        <w:rPr>
          <w:color w:val="000000" w:themeColor="text1"/>
        </w:rPr>
        <w:t>Cybersecurity is now an established trend as digital growth continues to develop risk of exposure to cyber threats. Employees are trained to practice appropriate caution with customer and company information consistently. An additional part of digital transformation is employee experience. HR technology will be increasingly used for core processes such as recruitment and onboarding. This technology greatly streamlines processes.</w:t>
      </w:r>
    </w:p>
    <w:p w14:paraId="00000023" w14:textId="77777777" w:rsidR="00A13EBA" w:rsidRPr="005F2D28" w:rsidRDefault="00A6352B">
      <w:pPr>
        <w:spacing w:line="360" w:lineRule="auto"/>
        <w:jc w:val="both"/>
        <w:rPr>
          <w:b/>
          <w:color w:val="000000" w:themeColor="text1"/>
        </w:rPr>
      </w:pPr>
      <w:r w:rsidRPr="005F2D28">
        <w:rPr>
          <w:b/>
          <w:color w:val="000000" w:themeColor="text1"/>
        </w:rPr>
        <w:t>Flexible Working Arrangements</w:t>
      </w:r>
    </w:p>
    <w:p w14:paraId="00000025" w14:textId="344E7C97" w:rsidR="00A13EBA" w:rsidRPr="005F2D28" w:rsidRDefault="00D76DEB">
      <w:pPr>
        <w:spacing w:line="360" w:lineRule="auto"/>
        <w:jc w:val="both"/>
        <w:rPr>
          <w:color w:val="000000" w:themeColor="text1"/>
        </w:rPr>
      </w:pPr>
      <w:r w:rsidRPr="005F2D28">
        <w:rPr>
          <w:color w:val="000000" w:themeColor="text1"/>
        </w:rPr>
        <w:t xml:space="preserve">The advancement of flexible and hybrid working models during the COVID-19 pandemic has both presented opportunities and challenges for National Express. Office-based roles (i.e., HR, Finance, Digital) are increasingly asking for job roles that facilitate both working from home and </w:t>
      </w:r>
      <w:r w:rsidRPr="005F2D28">
        <w:rPr>
          <w:color w:val="000000" w:themeColor="text1"/>
        </w:rPr>
        <w:lastRenderedPageBreak/>
        <w:t>working in the office position, signalling a shift in workforce expectations generally focused on autonomy, well-being and a work-life balance. However, flexible working becomes more complex in operational roles (i.e., drivers, engineers, and frontline) where the physical presence at work is necessary. The difference between the employee who can take advantage of flexibility and the employee, whose job is still contingent on hours worked in-person, could create a gap in employee experience. Acknowledging and managing that gap in employee experience, may require substantial HR effort to initiate flexible scheduling, manage well-being programs or benefits, or create another mode of support for employees that work on the frontline.</w:t>
      </w:r>
    </w:p>
    <w:p w14:paraId="00000026" w14:textId="77777777" w:rsidR="00A13EBA" w:rsidRPr="005F2D28" w:rsidRDefault="00A6352B" w:rsidP="00687B64">
      <w:pPr>
        <w:pStyle w:val="Heading1"/>
        <w:rPr>
          <w:color w:val="000000" w:themeColor="text1"/>
        </w:rPr>
      </w:pPr>
      <w:bookmarkStart w:id="3" w:name="_Toc210424700"/>
      <w:r w:rsidRPr="005F2D28">
        <w:rPr>
          <w:color w:val="000000" w:themeColor="text1"/>
        </w:rPr>
        <w:t>3.0 Contemporary HR Practices to Address Factors</w:t>
      </w:r>
      <w:bookmarkEnd w:id="3"/>
    </w:p>
    <w:p w14:paraId="633F30FB" w14:textId="77777777" w:rsidR="00DE7C64" w:rsidRPr="005F2D28" w:rsidRDefault="00A6352B" w:rsidP="00DE7C64">
      <w:pPr>
        <w:spacing w:line="360" w:lineRule="auto"/>
        <w:jc w:val="both"/>
        <w:rPr>
          <w:b/>
          <w:color w:val="000000" w:themeColor="text1"/>
        </w:rPr>
      </w:pPr>
      <w:r w:rsidRPr="005F2D28">
        <w:rPr>
          <w:b/>
          <w:color w:val="000000" w:themeColor="text1"/>
        </w:rPr>
        <w:t>HR Best Practices for Changing Companies</w:t>
      </w:r>
    </w:p>
    <w:p w14:paraId="0A46EE98" w14:textId="4AE1049F" w:rsidR="00DE7C64" w:rsidRPr="005F2D28" w:rsidRDefault="00A6352B" w:rsidP="00DE7C64">
      <w:pPr>
        <w:spacing w:line="360" w:lineRule="auto"/>
        <w:jc w:val="both"/>
        <w:rPr>
          <w:color w:val="000000" w:themeColor="text1"/>
        </w:rPr>
      </w:pPr>
      <w:r w:rsidRPr="005F2D28">
        <w:rPr>
          <w:color w:val="000000" w:themeColor="text1"/>
        </w:rPr>
        <w:t>For human resources to enable employees to contribute to a sustainable and low-carbon transport system, there is a need for employee engagement and a shared culture. One good way to do this is through change management training, which helps employees learn the skills they need to adjust to new systems and processes. With workshops, simulations, and learning through real-life situations, drivers, engineers, and managers can be ready for the switch to electric vehicles and new service models.</w:t>
      </w:r>
    </w:p>
    <w:p w14:paraId="320CF911" w14:textId="30AF7822" w:rsidR="00DA6886" w:rsidRPr="005F2D28" w:rsidRDefault="00DA6886" w:rsidP="00DE7C64">
      <w:pPr>
        <w:spacing w:line="360" w:lineRule="auto"/>
        <w:jc w:val="both"/>
        <w:rPr>
          <w:color w:val="000000" w:themeColor="text1"/>
        </w:rPr>
      </w:pPr>
      <w:r w:rsidRPr="005F2D28">
        <w:rPr>
          <w:color w:val="000000" w:themeColor="text1"/>
        </w:rPr>
        <w:t xml:space="preserve">Training on change management is essential in sustainability transitions, as it helps employees comprehend the rationale for change and its implications (Kotter, 2012). For instance, FirstGroup phased training in electric-fleet transition for engineers and depot managers as a way to reduce skills gaps during implementation </w:t>
      </w:r>
      <w:r w:rsidR="006F5A86" w:rsidRPr="005F2D28">
        <w:rPr>
          <w:color w:val="000000" w:themeColor="text1"/>
        </w:rPr>
        <w:t>(Argyriou, 2025)</w:t>
      </w:r>
      <w:r w:rsidRPr="005F2D28">
        <w:rPr>
          <w:color w:val="000000" w:themeColor="text1"/>
        </w:rPr>
        <w:t>. There may be an opportunity for National Express to utilize scenario-based learning and peer-coaching approaches to provide employees with increased confidence in new operational procedures.</w:t>
      </w:r>
    </w:p>
    <w:p w14:paraId="5E3BF5CA" w14:textId="5CB4C6A9" w:rsidR="00DE7C64" w:rsidRPr="005F2D28" w:rsidRDefault="00A6352B" w:rsidP="00DE7C64">
      <w:pPr>
        <w:spacing w:line="360" w:lineRule="auto"/>
        <w:jc w:val="both"/>
        <w:rPr>
          <w:color w:val="000000" w:themeColor="text1"/>
        </w:rPr>
      </w:pPr>
      <w:r w:rsidRPr="005F2D28">
        <w:rPr>
          <w:color w:val="000000" w:themeColor="text1"/>
        </w:rPr>
        <w:t>Managing talent and planning for future leaders are important practices in any organisation. When changes happen, there are new needs for leadership and skills, so HR must find employees with high potential and help them prepare for future positions. This forward-thinking approach ensures there is always a group of talented people ready t</w:t>
      </w:r>
      <w:r w:rsidR="002B6754" w:rsidRPr="005F2D28">
        <w:rPr>
          <w:color w:val="000000" w:themeColor="text1"/>
        </w:rPr>
        <w:t>o lead sustainability projects.</w:t>
      </w:r>
    </w:p>
    <w:p w14:paraId="3D51258B" w14:textId="77777777" w:rsidR="00DE7C64" w:rsidRPr="005F2D28" w:rsidRDefault="00A6352B" w:rsidP="00DE7C64">
      <w:pPr>
        <w:spacing w:line="360" w:lineRule="auto"/>
        <w:jc w:val="both"/>
        <w:rPr>
          <w:b/>
          <w:color w:val="000000" w:themeColor="text1"/>
        </w:rPr>
      </w:pPr>
      <w:r w:rsidRPr="005F2D28">
        <w:rPr>
          <w:b/>
          <w:color w:val="000000" w:themeColor="text1"/>
        </w:rPr>
        <w:t>HR Practices for Digitalisation</w:t>
      </w:r>
    </w:p>
    <w:p w14:paraId="40F171F3" w14:textId="17FF23CC" w:rsidR="00DA6886" w:rsidRPr="005F2D28" w:rsidRDefault="00A6352B" w:rsidP="00DA6886">
      <w:pPr>
        <w:spacing w:line="360" w:lineRule="auto"/>
        <w:jc w:val="both"/>
        <w:rPr>
          <w:color w:val="000000" w:themeColor="text1"/>
        </w:rPr>
      </w:pPr>
      <w:r w:rsidRPr="005F2D28">
        <w:rPr>
          <w:color w:val="000000" w:themeColor="text1"/>
        </w:rPr>
        <w:t>Performance management software also must evolve in alignment with the digital objectives by measuring areas such as how effectively people utilise the new ticketing system or enhancements in analytical skills.</w:t>
      </w:r>
    </w:p>
    <w:p w14:paraId="0000002E" w14:textId="44398969" w:rsidR="00A13EBA" w:rsidRPr="005F2D28" w:rsidRDefault="00DA6886" w:rsidP="00D76DEB">
      <w:pPr>
        <w:spacing w:line="360" w:lineRule="auto"/>
        <w:jc w:val="both"/>
        <w:rPr>
          <w:color w:val="000000" w:themeColor="text1"/>
        </w:rPr>
      </w:pPr>
      <w:r w:rsidRPr="005F2D28">
        <w:rPr>
          <w:color w:val="000000" w:themeColor="text1"/>
        </w:rPr>
        <w:lastRenderedPageBreak/>
        <w:t xml:space="preserve">Concerning digitalisation, it will be necessary for the HR function to modify performance assessment to record outcomes of technology-based work. For example, Arriva adopted competency scores based on digital behaviours, incorporating these measurements into performance appraisal frameworks to create a supportive context for cultural integration of AI-enabled planning tools </w:t>
      </w:r>
      <w:r w:rsidR="006F5A86" w:rsidRPr="005F2D28">
        <w:rPr>
          <w:color w:val="000000" w:themeColor="text1"/>
        </w:rPr>
        <w:t>(UITP, 2020)</w:t>
      </w:r>
      <w:r w:rsidRPr="005F2D28">
        <w:rPr>
          <w:color w:val="000000" w:themeColor="text1"/>
        </w:rPr>
        <w:t>. Inviting employees into the system's design process, and possibly having them pilot the system as early users, can help mitigate resistance and improve perceptions of both procedural and distributive fair actio</w:t>
      </w:r>
      <w:r w:rsidR="00D76DEB" w:rsidRPr="005F2D28">
        <w:rPr>
          <w:color w:val="000000" w:themeColor="text1"/>
        </w:rPr>
        <w:t>n (</w:t>
      </w:r>
      <w:proofErr w:type="spellStart"/>
      <w:r w:rsidR="00D76DEB" w:rsidRPr="005F2D28">
        <w:rPr>
          <w:color w:val="000000" w:themeColor="text1"/>
        </w:rPr>
        <w:t>Bondarouk</w:t>
      </w:r>
      <w:proofErr w:type="spellEnd"/>
      <w:r w:rsidR="00D76DEB" w:rsidRPr="005F2D28">
        <w:rPr>
          <w:color w:val="000000" w:themeColor="text1"/>
        </w:rPr>
        <w:t xml:space="preserve"> and Brewster, 2016).</w:t>
      </w:r>
    </w:p>
    <w:p w14:paraId="0000002F" w14:textId="77777777" w:rsidR="00A13EBA" w:rsidRPr="005F2D28" w:rsidRDefault="00A6352B">
      <w:pPr>
        <w:spacing w:line="360" w:lineRule="auto"/>
        <w:jc w:val="both"/>
        <w:rPr>
          <w:b/>
          <w:color w:val="000000" w:themeColor="text1"/>
        </w:rPr>
      </w:pPr>
      <w:r w:rsidRPr="005F2D28">
        <w:rPr>
          <w:b/>
          <w:color w:val="000000" w:themeColor="text1"/>
        </w:rPr>
        <w:t>HR Practices for Flexible Work</w:t>
      </w:r>
    </w:p>
    <w:p w14:paraId="0978D179" w14:textId="1E760929" w:rsidR="00DE7C64" w:rsidRPr="005F2D28" w:rsidRDefault="00A6352B" w:rsidP="00DE7C64">
      <w:pPr>
        <w:spacing w:line="360" w:lineRule="auto"/>
        <w:jc w:val="both"/>
        <w:rPr>
          <w:color w:val="000000" w:themeColor="text1"/>
        </w:rPr>
      </w:pPr>
      <w:r w:rsidRPr="005F2D28">
        <w:rPr>
          <w:color w:val="000000" w:themeColor="text1"/>
        </w:rPr>
        <w:t>HR requires new, innovative, flexible and hybrid working models to ensure it's all fair and people remain productive. An important practice includes the establishment of clear hybrid working policies defining who can take part, what's required of them, and available support. It r</w:t>
      </w:r>
      <w:r w:rsidR="00D76DEB" w:rsidRPr="005F2D28">
        <w:rPr>
          <w:color w:val="000000" w:themeColor="text1"/>
        </w:rPr>
        <w:t>emoves confusion and ensures it i</w:t>
      </w:r>
      <w:r w:rsidRPr="005F2D28">
        <w:rPr>
          <w:color w:val="000000" w:themeColor="text1"/>
        </w:rPr>
        <w:t>s all fair within teams.</w:t>
      </w:r>
    </w:p>
    <w:p w14:paraId="232E0E0A" w14:textId="387ECDCF" w:rsidR="002A1423" w:rsidRPr="005F2D28" w:rsidRDefault="00A6352B" w:rsidP="002A1423">
      <w:pPr>
        <w:spacing w:line="360" w:lineRule="auto"/>
        <w:jc w:val="both"/>
        <w:rPr>
          <w:color w:val="000000" w:themeColor="text1"/>
        </w:rPr>
      </w:pPr>
      <w:r w:rsidRPr="005F2D28">
        <w:rPr>
          <w:color w:val="000000" w:themeColor="text1"/>
        </w:rPr>
        <w:t xml:space="preserve">In positions where hybrid models are not viable, HR can have flexible shift systems developed. As HR technology can assist with scheduling flexibility for drivers and engineers in work hours, such flexibility in hours and working conditions fosters satisfaction in employment without endangering </w:t>
      </w:r>
      <w:r w:rsidR="00DA6886" w:rsidRPr="005F2D28">
        <w:rPr>
          <w:color w:val="000000" w:themeColor="text1"/>
        </w:rPr>
        <w:t xml:space="preserve">the </w:t>
      </w:r>
      <w:r w:rsidRPr="005F2D28">
        <w:rPr>
          <w:color w:val="000000" w:themeColor="text1"/>
        </w:rPr>
        <w:t xml:space="preserve">service delivery. </w:t>
      </w:r>
    </w:p>
    <w:p w14:paraId="38DD64AF" w14:textId="77777777" w:rsidR="002A1423" w:rsidRPr="005F2D28" w:rsidRDefault="00A6352B" w:rsidP="002A1423">
      <w:pPr>
        <w:spacing w:line="360" w:lineRule="auto"/>
        <w:jc w:val="both"/>
        <w:rPr>
          <w:color w:val="000000" w:themeColor="text1"/>
        </w:rPr>
      </w:pPr>
      <w:r w:rsidRPr="005F2D28">
        <w:rPr>
          <w:color w:val="000000" w:themeColor="text1"/>
        </w:rPr>
        <w:t xml:space="preserve">The other important practice is wellbeing programmes. The wellbeing programme offers mental health support, team member assistance programmes, as well as wellness workshops to help employees manage their own workload obligations as well as their personal responsibilities.. As a result, programs help decrease absence as well as turnover. </w:t>
      </w:r>
    </w:p>
    <w:p w14:paraId="206C5941" w14:textId="3DC35266" w:rsidR="002A1423" w:rsidRPr="005F2D28" w:rsidRDefault="00A6352B" w:rsidP="002A1423">
      <w:pPr>
        <w:spacing w:line="360" w:lineRule="auto"/>
        <w:jc w:val="both"/>
        <w:rPr>
          <w:color w:val="000000" w:themeColor="text1"/>
        </w:rPr>
      </w:pPr>
      <w:r w:rsidRPr="005F2D28">
        <w:rPr>
          <w:color w:val="000000" w:themeColor="text1"/>
        </w:rPr>
        <w:t xml:space="preserve">HR analytics can also help track the effectiveness of the flexible work programs. Workforce productivity, workforce satisfaction, and turnover statistics can be reviewed to support redeveloping program policies, assuring that, through </w:t>
      </w:r>
      <w:r w:rsidR="00DA6886" w:rsidRPr="005F2D28">
        <w:rPr>
          <w:color w:val="000000" w:themeColor="text1"/>
        </w:rPr>
        <w:t>adjustments;</w:t>
      </w:r>
      <w:r w:rsidRPr="005F2D28">
        <w:rPr>
          <w:color w:val="000000" w:themeColor="text1"/>
        </w:rPr>
        <w:t xml:space="preserve"> flexible work can be sustainable and </w:t>
      </w:r>
      <w:r w:rsidR="00DA6886" w:rsidRPr="005F2D28">
        <w:rPr>
          <w:color w:val="000000" w:themeColor="text1"/>
        </w:rPr>
        <w:t>effective.</w:t>
      </w:r>
    </w:p>
    <w:p w14:paraId="00000033" w14:textId="16BD964D" w:rsidR="00A13EBA" w:rsidRPr="005F2D28" w:rsidRDefault="00A6352B" w:rsidP="002A1423">
      <w:pPr>
        <w:spacing w:line="360" w:lineRule="auto"/>
        <w:jc w:val="both"/>
        <w:rPr>
          <w:color w:val="000000" w:themeColor="text1"/>
        </w:rPr>
      </w:pPr>
      <w:r w:rsidRPr="005F2D28">
        <w:rPr>
          <w:color w:val="000000" w:themeColor="text1"/>
        </w:rPr>
        <w:t>Summary practices today mean significantly establishing priorities at National Express to manage challenges in change management, digitalisation, and flexibility. While change management, reskilling programs, and flexible work practices can be thought of as operating processes, they are also aligning practices for the workforce to the organisation.</w:t>
      </w:r>
    </w:p>
    <w:p w14:paraId="00000034" w14:textId="77777777" w:rsidR="00A13EBA" w:rsidRPr="005F2D28" w:rsidRDefault="00A6352B" w:rsidP="00687B64">
      <w:pPr>
        <w:pStyle w:val="Heading1"/>
        <w:rPr>
          <w:color w:val="000000" w:themeColor="text1"/>
        </w:rPr>
      </w:pPr>
      <w:bookmarkStart w:id="4" w:name="_Toc210424701"/>
      <w:r w:rsidRPr="005F2D28">
        <w:rPr>
          <w:color w:val="000000" w:themeColor="text1"/>
        </w:rPr>
        <w:t>4.0 Managerial Implementation of Practices</w:t>
      </w:r>
      <w:bookmarkEnd w:id="4"/>
    </w:p>
    <w:p w14:paraId="57F0902D" w14:textId="77777777" w:rsidR="00DE7C64" w:rsidRPr="005F2D28" w:rsidRDefault="00A6352B" w:rsidP="00DE7C64">
      <w:pPr>
        <w:spacing w:line="360" w:lineRule="auto"/>
        <w:jc w:val="both"/>
        <w:rPr>
          <w:color w:val="000000" w:themeColor="text1"/>
          <w:szCs w:val="24"/>
        </w:rPr>
      </w:pPr>
      <w:r w:rsidRPr="005F2D28">
        <w:rPr>
          <w:color w:val="000000" w:themeColor="text1"/>
          <w:szCs w:val="24"/>
        </w:rPr>
        <w:t>National Express today requires firm management support to apply sound HR practices. In different functions, managers hold the central position in ensuring the quick application of strategies on digital transformation, flexible work, and business changes.</w:t>
      </w:r>
    </w:p>
    <w:p w14:paraId="42D7F753" w14:textId="68CDBAC3" w:rsidR="00DE7C64" w:rsidRPr="005F2D28" w:rsidRDefault="00A6352B" w:rsidP="00DE7C64">
      <w:pPr>
        <w:spacing w:line="360" w:lineRule="auto"/>
        <w:jc w:val="both"/>
        <w:rPr>
          <w:color w:val="000000" w:themeColor="text1"/>
          <w:szCs w:val="24"/>
        </w:rPr>
      </w:pPr>
      <w:r w:rsidRPr="005F2D28">
        <w:rPr>
          <w:color w:val="000000" w:themeColor="text1"/>
          <w:szCs w:val="24"/>
        </w:rPr>
        <w:lastRenderedPageBreak/>
        <w:t>Firstly, when considering trends in digital technology, managers must enthusiastically endorse the development of digital skills among employees. Above all, research reveals that the diffusion of digital tools halts without leadership endorsement and clear communication about their advantage (</w:t>
      </w:r>
      <w:proofErr w:type="spellStart"/>
      <w:r w:rsidRPr="005F2D28">
        <w:rPr>
          <w:color w:val="000000" w:themeColor="text1"/>
          <w:szCs w:val="24"/>
        </w:rPr>
        <w:t>Bondarouk</w:t>
      </w:r>
      <w:proofErr w:type="spellEnd"/>
      <w:r w:rsidRPr="005F2D28">
        <w:rPr>
          <w:color w:val="000000" w:themeColor="text1"/>
          <w:szCs w:val="24"/>
        </w:rPr>
        <w:t xml:space="preserve"> </w:t>
      </w:r>
      <w:r w:rsidR="00B07C22" w:rsidRPr="005F2D28">
        <w:rPr>
          <w:color w:val="000000" w:themeColor="text1"/>
          <w:szCs w:val="24"/>
        </w:rPr>
        <w:t>and</w:t>
      </w:r>
      <w:r w:rsidRPr="005F2D28">
        <w:rPr>
          <w:color w:val="000000" w:themeColor="text1"/>
          <w:szCs w:val="24"/>
        </w:rPr>
        <w:t xml:space="preserve"> Brewster, 2016). National Express managers should therefore present technology developments such as contactless ticketing, AI scheduling, or HR analytics as aids for making life at work less burdensome rather than as something threatening. Managers must also monitor any resistance by promoting openness and the discussion of employees' worries about losing their jobs or feeling inadequate. Should they fail to do so, it may trigger employees feeling isolated, as well as low morale, which is likely to undermine the success of the changes.</w:t>
      </w:r>
    </w:p>
    <w:p w14:paraId="2B776168" w14:textId="7469E0A3" w:rsidR="006F1FFE" w:rsidRPr="005F2D28" w:rsidRDefault="00A6352B" w:rsidP="00DE7C64">
      <w:pPr>
        <w:spacing w:line="360" w:lineRule="auto"/>
        <w:jc w:val="both"/>
        <w:rPr>
          <w:color w:val="000000" w:themeColor="text1"/>
          <w:szCs w:val="24"/>
        </w:rPr>
      </w:pPr>
      <w:r w:rsidRPr="005F2D28">
        <w:rPr>
          <w:color w:val="000000" w:themeColor="text1"/>
          <w:szCs w:val="24"/>
        </w:rPr>
        <w:t xml:space="preserve">Next, departmental managers need to make sure that HR practices supporting flexible work are used fairly and consistently. National Express works in transport, where many jobs (like drivers) cannot be done from home. </w:t>
      </w:r>
      <w:r w:rsidR="007E259C" w:rsidRPr="005F2D28">
        <w:rPr>
          <w:color w:val="000000" w:themeColor="text1"/>
          <w:szCs w:val="24"/>
        </w:rPr>
        <w:t>Thus, managers must find a balance between flexibility for admin and planning, whilst fairness for those staff who are operational</w:t>
      </w:r>
      <w:r w:rsidRPr="005F2D28">
        <w:rPr>
          <w:color w:val="000000" w:themeColor="text1"/>
          <w:szCs w:val="24"/>
        </w:rPr>
        <w:t xml:space="preserve">. </w:t>
      </w:r>
      <w:r w:rsidR="006F1FFE" w:rsidRPr="005F2D28">
        <w:rPr>
          <w:color w:val="000000" w:themeColor="text1"/>
          <w:szCs w:val="24"/>
        </w:rPr>
        <w:t>For example, managers can support flexible working at National Express by improving the existing policies, so that employees can complete their work and leave/log off before the standard closing hours</w:t>
      </w:r>
      <w:r w:rsidR="006F5A86" w:rsidRPr="005F2D28">
        <w:rPr>
          <w:color w:val="000000" w:themeColor="text1"/>
          <w:szCs w:val="24"/>
        </w:rPr>
        <w:t xml:space="preserve"> (CIPD, 2024)</w:t>
      </w:r>
      <w:r w:rsidR="006F1FFE" w:rsidRPr="005F2D28">
        <w:rPr>
          <w:color w:val="000000" w:themeColor="text1"/>
          <w:szCs w:val="24"/>
        </w:rPr>
        <w:t>. In other instances, it is possible to compress the tasks by enhancing the person-job fit characteristics when assigning them to teams (i.e. streamlined task distribution in a Lean format). Regardless of the application, an effort is essential to avoid employees from feeling distrustful of the management over their inaction to introduce flexible working practices</w:t>
      </w:r>
      <w:r w:rsidR="006F5A86" w:rsidRPr="005F2D28">
        <w:rPr>
          <w:color w:val="000000" w:themeColor="text1"/>
          <w:szCs w:val="24"/>
        </w:rPr>
        <w:t xml:space="preserve"> (De Menezes and Kelliher, 2017)</w:t>
      </w:r>
      <w:r w:rsidR="006F1FFE" w:rsidRPr="005F2D28">
        <w:rPr>
          <w:color w:val="000000" w:themeColor="text1"/>
          <w:szCs w:val="24"/>
        </w:rPr>
        <w:t>.</w:t>
      </w:r>
    </w:p>
    <w:p w14:paraId="0000003C" w14:textId="77777777" w:rsidR="00A13EBA" w:rsidRPr="005F2D28" w:rsidRDefault="00A6352B" w:rsidP="00687B64">
      <w:pPr>
        <w:pStyle w:val="Heading1"/>
        <w:rPr>
          <w:color w:val="000000" w:themeColor="text1"/>
        </w:rPr>
      </w:pPr>
      <w:bookmarkStart w:id="5" w:name="_Toc210424702"/>
      <w:r w:rsidRPr="005F2D28">
        <w:rPr>
          <w:color w:val="000000" w:themeColor="text1"/>
        </w:rPr>
        <w:t>5.0 Conclusions and Recommendations</w:t>
      </w:r>
      <w:bookmarkEnd w:id="5"/>
    </w:p>
    <w:p w14:paraId="46D68EE4" w14:textId="14C0AA79" w:rsidR="00DA6886" w:rsidRPr="005F2D28" w:rsidRDefault="006F1FFE" w:rsidP="00DA6886">
      <w:pPr>
        <w:spacing w:line="360" w:lineRule="auto"/>
        <w:jc w:val="both"/>
        <w:rPr>
          <w:color w:val="000000" w:themeColor="text1"/>
          <w:szCs w:val="24"/>
        </w:rPr>
      </w:pPr>
      <w:r w:rsidRPr="005F2D28">
        <w:rPr>
          <w:color w:val="000000" w:themeColor="text1"/>
          <w:szCs w:val="24"/>
        </w:rPr>
        <w:t xml:space="preserve">National Express operates in the context of sustainability pressures, digital transformation, and changing worker expectations. The organisation's commitments to decarbonisation and modernising its services align with this context. However, the extent to which its strategic initiatives will be realised rests on the engagement of its workforce, the organisation's capacity to develop key capabilities, and the presence of fair employment practices. Human resources </w:t>
      </w:r>
      <w:proofErr w:type="gramStart"/>
      <w:r w:rsidRPr="005F2D28">
        <w:rPr>
          <w:color w:val="000000" w:themeColor="text1"/>
          <w:szCs w:val="24"/>
        </w:rPr>
        <w:t>is</w:t>
      </w:r>
      <w:proofErr w:type="gramEnd"/>
      <w:r w:rsidRPr="005F2D28">
        <w:rPr>
          <w:color w:val="000000" w:themeColor="text1"/>
          <w:szCs w:val="24"/>
        </w:rPr>
        <w:t xml:space="preserve"> central to the transition, especially to provide certainty and assurance to employees and to ensure that frontline (and corporate) employee experience is not undermined by the transition. To support and stabilise organisational performance, service reliability, and an employer brand remains intact in the future, it is necessary for key behaviours to be embedded, leadership </w:t>
      </w:r>
      <w:r w:rsidRPr="005F2D28">
        <w:rPr>
          <w:color w:val="000000" w:themeColor="text1"/>
          <w:szCs w:val="24"/>
        </w:rPr>
        <w:lastRenderedPageBreak/>
        <w:t>capability to be enhanced, flexible models that respect operational constraints to be developed, and a workforce to be digitally upskilled and trained in the digital customer experience.</w:t>
      </w:r>
    </w:p>
    <w:p w14:paraId="61D5C676" w14:textId="21280C9E" w:rsidR="006F5A86" w:rsidRPr="005F2D28" w:rsidRDefault="006F5A86" w:rsidP="006F5A86">
      <w:pPr>
        <w:spacing w:line="360" w:lineRule="auto"/>
        <w:jc w:val="both"/>
        <w:rPr>
          <w:color w:val="000000" w:themeColor="text1"/>
          <w:szCs w:val="24"/>
        </w:rPr>
      </w:pPr>
      <w:r w:rsidRPr="005F2D28">
        <w:rPr>
          <w:b/>
          <w:color w:val="000000" w:themeColor="text1"/>
          <w:szCs w:val="24"/>
        </w:rPr>
        <w:t xml:space="preserve">Internal Training and Development: </w:t>
      </w:r>
      <w:r w:rsidRPr="005F2D28">
        <w:rPr>
          <w:color w:val="000000" w:themeColor="text1"/>
          <w:szCs w:val="24"/>
        </w:rPr>
        <w:t xml:space="preserve">National Express should provide tailored training for drivers, engineering teams, and depot supervisors on electric service vehicle operations, charging infrastructure and safety. To facilitate knowledge transfer naturally and to minimise disruption, phased rollouts of training would be beneficial, similar to FirstGroup’s model of gradually electrifying their fleet. </w:t>
      </w:r>
    </w:p>
    <w:p w14:paraId="5C92629F" w14:textId="355E803B" w:rsidR="006F5A86" w:rsidRPr="005F2D28" w:rsidRDefault="006F5A86" w:rsidP="006F5A86">
      <w:pPr>
        <w:spacing w:line="360" w:lineRule="auto"/>
        <w:jc w:val="both"/>
        <w:rPr>
          <w:color w:val="000000" w:themeColor="text1"/>
          <w:szCs w:val="24"/>
        </w:rPr>
      </w:pPr>
      <w:r w:rsidRPr="005F2D28">
        <w:rPr>
          <w:b/>
          <w:color w:val="000000" w:themeColor="text1"/>
          <w:szCs w:val="24"/>
        </w:rPr>
        <w:t>Structured Learning Platform</w:t>
      </w:r>
      <w:r w:rsidRPr="005F2D28">
        <w:rPr>
          <w:color w:val="000000" w:themeColor="text1"/>
          <w:szCs w:val="24"/>
        </w:rPr>
        <w:t xml:space="preserve">: Managers could assign digital proficiency tiers for all employees; employees would be able to complete short, modular learning blocks hosted via the internal HR platform. Their performance appraisals would document completion, reinforcing motivation and embedding computational literacy skill sets within the organisation. </w:t>
      </w:r>
    </w:p>
    <w:p w14:paraId="3E6A64CD" w14:textId="70180E19" w:rsidR="006F5A86" w:rsidRPr="005F2D28" w:rsidRDefault="006F5A86" w:rsidP="006F5A86">
      <w:pPr>
        <w:spacing w:line="360" w:lineRule="auto"/>
        <w:jc w:val="both"/>
        <w:rPr>
          <w:color w:val="000000" w:themeColor="text1"/>
          <w:szCs w:val="24"/>
        </w:rPr>
      </w:pPr>
      <w:r w:rsidRPr="005F2D28">
        <w:rPr>
          <w:b/>
          <w:color w:val="000000" w:themeColor="text1"/>
          <w:szCs w:val="24"/>
        </w:rPr>
        <w:t xml:space="preserve">Flexible Working Practices: </w:t>
      </w:r>
      <w:r w:rsidRPr="005F2D28">
        <w:rPr>
          <w:color w:val="000000" w:themeColor="text1"/>
          <w:szCs w:val="24"/>
        </w:rPr>
        <w:t>Earlier trials carried out by Transport for London showed that enabling controlled shifts by staff resulted in less absence and increased morale (Pearson, 2024). National Express could do the same and enable their drivers to request the routes or time blocks they wish for their particular shift patterns.</w:t>
      </w:r>
    </w:p>
    <w:p w14:paraId="365CD023" w14:textId="77777777" w:rsidR="006F5A86" w:rsidRPr="005F2D28" w:rsidRDefault="006F5A86" w:rsidP="006F5A86">
      <w:pPr>
        <w:spacing w:line="360" w:lineRule="auto"/>
        <w:jc w:val="both"/>
        <w:rPr>
          <w:color w:val="000000" w:themeColor="text1"/>
          <w:szCs w:val="24"/>
        </w:rPr>
      </w:pPr>
    </w:p>
    <w:p w14:paraId="21A98D35" w14:textId="77777777" w:rsidR="006F5A86" w:rsidRPr="005F2D28" w:rsidRDefault="006F5A86" w:rsidP="006F5A86">
      <w:pPr>
        <w:spacing w:line="360" w:lineRule="auto"/>
        <w:jc w:val="both"/>
        <w:rPr>
          <w:color w:val="000000" w:themeColor="text1"/>
          <w:szCs w:val="24"/>
        </w:rPr>
      </w:pPr>
    </w:p>
    <w:p w14:paraId="009AF077" w14:textId="77777777" w:rsidR="006F5A86" w:rsidRPr="005F2D28" w:rsidRDefault="006F5A86" w:rsidP="006F5A86">
      <w:pPr>
        <w:spacing w:line="360" w:lineRule="auto"/>
        <w:jc w:val="both"/>
        <w:rPr>
          <w:color w:val="000000" w:themeColor="text1"/>
          <w:szCs w:val="24"/>
        </w:rPr>
      </w:pPr>
    </w:p>
    <w:p w14:paraId="5307C046" w14:textId="77777777" w:rsidR="006F5A86" w:rsidRPr="005F2D28" w:rsidRDefault="006F5A86" w:rsidP="006F5A86">
      <w:pPr>
        <w:spacing w:line="360" w:lineRule="auto"/>
        <w:jc w:val="both"/>
        <w:rPr>
          <w:color w:val="000000" w:themeColor="text1"/>
          <w:szCs w:val="24"/>
        </w:rPr>
      </w:pPr>
    </w:p>
    <w:p w14:paraId="6B681C5D" w14:textId="77777777" w:rsidR="006F5A86" w:rsidRPr="005F2D28" w:rsidRDefault="006F5A86" w:rsidP="006F5A86">
      <w:pPr>
        <w:spacing w:line="360" w:lineRule="auto"/>
        <w:jc w:val="both"/>
        <w:rPr>
          <w:color w:val="000000" w:themeColor="text1"/>
          <w:szCs w:val="24"/>
        </w:rPr>
      </w:pPr>
    </w:p>
    <w:p w14:paraId="14150669" w14:textId="77777777" w:rsidR="006F5A86" w:rsidRPr="005F2D28" w:rsidRDefault="006F5A86" w:rsidP="006F5A86">
      <w:pPr>
        <w:spacing w:line="360" w:lineRule="auto"/>
        <w:jc w:val="both"/>
        <w:rPr>
          <w:color w:val="000000" w:themeColor="text1"/>
          <w:szCs w:val="24"/>
        </w:rPr>
      </w:pPr>
    </w:p>
    <w:p w14:paraId="05A3AFE8" w14:textId="77777777" w:rsidR="006F5A86" w:rsidRPr="005F2D28" w:rsidRDefault="006F5A86" w:rsidP="006F5A86">
      <w:pPr>
        <w:spacing w:line="360" w:lineRule="auto"/>
        <w:jc w:val="both"/>
        <w:rPr>
          <w:color w:val="000000" w:themeColor="text1"/>
          <w:szCs w:val="24"/>
        </w:rPr>
      </w:pPr>
    </w:p>
    <w:p w14:paraId="73A00EE0" w14:textId="77777777" w:rsidR="006F5A86" w:rsidRPr="005F2D28" w:rsidRDefault="006F5A86" w:rsidP="006F5A86">
      <w:pPr>
        <w:spacing w:line="360" w:lineRule="auto"/>
        <w:jc w:val="both"/>
        <w:rPr>
          <w:color w:val="000000" w:themeColor="text1"/>
          <w:szCs w:val="24"/>
        </w:rPr>
      </w:pPr>
    </w:p>
    <w:p w14:paraId="5E679F09" w14:textId="77777777" w:rsidR="006F5A86" w:rsidRPr="005F2D28" w:rsidRDefault="006F5A86" w:rsidP="006F5A86">
      <w:pPr>
        <w:spacing w:line="360" w:lineRule="auto"/>
        <w:jc w:val="both"/>
        <w:rPr>
          <w:color w:val="000000" w:themeColor="text1"/>
          <w:szCs w:val="24"/>
        </w:rPr>
      </w:pPr>
    </w:p>
    <w:p w14:paraId="484CF941" w14:textId="77777777" w:rsidR="006F5A86" w:rsidRPr="005F2D28" w:rsidRDefault="006F5A86" w:rsidP="006F5A86">
      <w:pPr>
        <w:spacing w:line="360" w:lineRule="auto"/>
        <w:jc w:val="both"/>
        <w:rPr>
          <w:color w:val="000000" w:themeColor="text1"/>
          <w:szCs w:val="24"/>
        </w:rPr>
      </w:pPr>
    </w:p>
    <w:p w14:paraId="4C031C69" w14:textId="77777777" w:rsidR="006F5A86" w:rsidRPr="005F2D28" w:rsidRDefault="006F5A86" w:rsidP="006F5A86">
      <w:pPr>
        <w:spacing w:line="360" w:lineRule="auto"/>
        <w:jc w:val="both"/>
        <w:rPr>
          <w:color w:val="000000" w:themeColor="text1"/>
          <w:szCs w:val="24"/>
        </w:rPr>
      </w:pPr>
    </w:p>
    <w:p w14:paraId="2E65D444" w14:textId="77777777" w:rsidR="006F5A86" w:rsidRPr="005F2D28" w:rsidRDefault="006F5A86" w:rsidP="006F5A86">
      <w:pPr>
        <w:spacing w:line="360" w:lineRule="auto"/>
        <w:jc w:val="both"/>
        <w:rPr>
          <w:color w:val="000000" w:themeColor="text1"/>
          <w:szCs w:val="24"/>
        </w:rPr>
      </w:pPr>
    </w:p>
    <w:p w14:paraId="138D12AB" w14:textId="77777777" w:rsidR="006F5A86" w:rsidRPr="005F2D28" w:rsidRDefault="006F5A86" w:rsidP="006F5A86">
      <w:pPr>
        <w:spacing w:line="360" w:lineRule="auto"/>
        <w:jc w:val="both"/>
        <w:rPr>
          <w:color w:val="000000" w:themeColor="text1"/>
          <w:szCs w:val="24"/>
        </w:rPr>
      </w:pPr>
    </w:p>
    <w:p w14:paraId="2611D50F" w14:textId="77777777" w:rsidR="006F5A86" w:rsidRPr="005F2D28" w:rsidRDefault="006F5A86" w:rsidP="006F5A86">
      <w:pPr>
        <w:spacing w:line="360" w:lineRule="auto"/>
        <w:jc w:val="both"/>
        <w:rPr>
          <w:color w:val="000000" w:themeColor="text1"/>
          <w:szCs w:val="24"/>
        </w:rPr>
      </w:pPr>
    </w:p>
    <w:p w14:paraId="15275700" w14:textId="77777777" w:rsidR="006F5A86" w:rsidRPr="005F2D28" w:rsidRDefault="006F5A86" w:rsidP="006F5A86">
      <w:pPr>
        <w:spacing w:line="360" w:lineRule="auto"/>
        <w:jc w:val="both"/>
        <w:rPr>
          <w:color w:val="000000" w:themeColor="text1"/>
          <w:szCs w:val="24"/>
        </w:rPr>
      </w:pPr>
    </w:p>
    <w:p w14:paraId="21415778" w14:textId="77777777" w:rsidR="006F5A86" w:rsidRPr="005F2D28" w:rsidRDefault="006F5A86" w:rsidP="006F5A86">
      <w:pPr>
        <w:spacing w:line="360" w:lineRule="auto"/>
        <w:jc w:val="both"/>
        <w:rPr>
          <w:color w:val="000000" w:themeColor="text1"/>
          <w:szCs w:val="24"/>
        </w:rPr>
      </w:pPr>
    </w:p>
    <w:p w14:paraId="72A66080" w14:textId="77777777" w:rsidR="006F5A86" w:rsidRPr="005F2D28" w:rsidRDefault="006F5A86" w:rsidP="00DA6886">
      <w:pPr>
        <w:spacing w:line="360" w:lineRule="auto"/>
        <w:jc w:val="both"/>
        <w:rPr>
          <w:color w:val="000000" w:themeColor="text1"/>
          <w:szCs w:val="24"/>
        </w:rPr>
      </w:pPr>
    </w:p>
    <w:p w14:paraId="3414DD57" w14:textId="77777777" w:rsidR="006F5A86" w:rsidRPr="005F2D28" w:rsidRDefault="006F5A86" w:rsidP="00DA6886">
      <w:pPr>
        <w:spacing w:line="360" w:lineRule="auto"/>
        <w:jc w:val="both"/>
        <w:rPr>
          <w:color w:val="000000" w:themeColor="text1"/>
          <w:szCs w:val="24"/>
        </w:rPr>
      </w:pPr>
    </w:p>
    <w:p w14:paraId="3E58A0A6" w14:textId="77777777" w:rsidR="006F1FFE" w:rsidRPr="005F2D28" w:rsidRDefault="006F1FFE" w:rsidP="00DA6886">
      <w:pPr>
        <w:spacing w:line="360" w:lineRule="auto"/>
        <w:jc w:val="both"/>
        <w:rPr>
          <w:color w:val="000000" w:themeColor="text1"/>
          <w:szCs w:val="24"/>
        </w:rPr>
      </w:pPr>
    </w:p>
    <w:p w14:paraId="783875AD" w14:textId="77777777" w:rsidR="002B6754" w:rsidRPr="005F2D28" w:rsidRDefault="002B6754">
      <w:pPr>
        <w:spacing w:line="360" w:lineRule="auto"/>
        <w:jc w:val="both"/>
        <w:rPr>
          <w:b/>
          <w:color w:val="000000" w:themeColor="text1"/>
          <w:sz w:val="28"/>
          <w:szCs w:val="28"/>
        </w:rPr>
      </w:pPr>
    </w:p>
    <w:p w14:paraId="0000005C" w14:textId="77777777" w:rsidR="00A13EBA" w:rsidRPr="005F2D28" w:rsidRDefault="00A6352B" w:rsidP="00687B64">
      <w:pPr>
        <w:pStyle w:val="Heading1"/>
        <w:rPr>
          <w:color w:val="000000" w:themeColor="text1"/>
        </w:rPr>
      </w:pPr>
      <w:bookmarkStart w:id="6" w:name="_Toc210424703"/>
      <w:r w:rsidRPr="005F2D28">
        <w:rPr>
          <w:color w:val="000000" w:themeColor="text1"/>
        </w:rPr>
        <w:t>References</w:t>
      </w:r>
      <w:bookmarkEnd w:id="6"/>
    </w:p>
    <w:p w14:paraId="53F2D576" w14:textId="77777777" w:rsidR="006F5A86" w:rsidRPr="005F2D28" w:rsidRDefault="006F5A86" w:rsidP="006F5A86">
      <w:pPr>
        <w:pStyle w:val="NormalWeb"/>
        <w:spacing w:before="0" w:beforeAutospacing="0" w:after="240" w:afterAutospacing="0" w:line="360" w:lineRule="auto"/>
        <w:jc w:val="both"/>
        <w:rPr>
          <w:rFonts w:ascii="Arial" w:hAnsi="Arial" w:cs="Arial"/>
          <w:color w:val="000000" w:themeColor="text1"/>
          <w:sz w:val="22"/>
          <w:szCs w:val="22"/>
        </w:rPr>
      </w:pPr>
      <w:r w:rsidRPr="005F2D28">
        <w:rPr>
          <w:rFonts w:ascii="Arial" w:hAnsi="Arial" w:cs="Arial"/>
          <w:color w:val="000000" w:themeColor="text1"/>
          <w:sz w:val="22"/>
          <w:szCs w:val="22"/>
        </w:rPr>
        <w:t xml:space="preserve">Argyriou, I. (2025). Bus regulation and the net-zero transition dynamics in Great Britain. </w:t>
      </w:r>
      <w:r w:rsidRPr="005F2D28">
        <w:rPr>
          <w:rFonts w:ascii="Arial" w:hAnsi="Arial" w:cs="Arial"/>
          <w:i/>
          <w:iCs/>
          <w:color w:val="000000" w:themeColor="text1"/>
          <w:sz w:val="22"/>
          <w:szCs w:val="22"/>
        </w:rPr>
        <w:t>International Journal of Sustainable Transportation</w:t>
      </w:r>
      <w:r w:rsidRPr="005F2D28">
        <w:rPr>
          <w:rFonts w:ascii="Arial" w:hAnsi="Arial" w:cs="Arial"/>
          <w:color w:val="000000" w:themeColor="text1"/>
          <w:sz w:val="22"/>
          <w:szCs w:val="22"/>
        </w:rPr>
        <w:t xml:space="preserve">, 19(10), pp.1–16. </w:t>
      </w:r>
      <w:proofErr w:type="spellStart"/>
      <w:r w:rsidRPr="005F2D28">
        <w:rPr>
          <w:rFonts w:ascii="Arial" w:hAnsi="Arial" w:cs="Arial"/>
          <w:color w:val="000000" w:themeColor="text1"/>
          <w:sz w:val="22"/>
          <w:szCs w:val="22"/>
        </w:rPr>
        <w:t>doi:https</w:t>
      </w:r>
      <w:proofErr w:type="spellEnd"/>
      <w:r w:rsidRPr="005F2D28">
        <w:rPr>
          <w:rFonts w:ascii="Arial" w:hAnsi="Arial" w:cs="Arial"/>
          <w:color w:val="000000" w:themeColor="text1"/>
          <w:sz w:val="22"/>
          <w:szCs w:val="22"/>
        </w:rPr>
        <w:t>://doi.org/10.1080/15568318.2025.2524475.</w:t>
      </w:r>
    </w:p>
    <w:p w14:paraId="25F3E330" w14:textId="77777777" w:rsidR="006F5A86" w:rsidRPr="005F2D28" w:rsidRDefault="006F5A86">
      <w:pPr>
        <w:spacing w:after="240" w:line="360" w:lineRule="auto"/>
        <w:jc w:val="both"/>
        <w:rPr>
          <w:color w:val="000000" w:themeColor="text1"/>
        </w:rPr>
      </w:pPr>
      <w:r w:rsidRPr="005F2D28">
        <w:rPr>
          <w:color w:val="000000" w:themeColor="text1"/>
        </w:rPr>
        <w:t xml:space="preserve">Bondarouk, T. and Brewster, C. (2016) ‘Conceptualising the future of HRM and technology research’, </w:t>
      </w:r>
      <w:r w:rsidRPr="005F2D28">
        <w:rPr>
          <w:i/>
          <w:color w:val="000000" w:themeColor="text1"/>
        </w:rPr>
        <w:t>The International Journal of Human Resource Management</w:t>
      </w:r>
      <w:r w:rsidRPr="005F2D28">
        <w:rPr>
          <w:color w:val="000000" w:themeColor="text1"/>
        </w:rPr>
        <w:t>, 27(21), pp. 2652–2671.</w:t>
      </w:r>
    </w:p>
    <w:p w14:paraId="185F81AE" w14:textId="77777777" w:rsidR="006F5A86" w:rsidRPr="005F2D28" w:rsidRDefault="006F5A86">
      <w:pPr>
        <w:spacing w:before="240" w:after="240" w:line="360" w:lineRule="auto"/>
        <w:jc w:val="both"/>
        <w:rPr>
          <w:color w:val="000000" w:themeColor="text1"/>
        </w:rPr>
      </w:pPr>
      <w:r w:rsidRPr="005F2D28">
        <w:rPr>
          <w:color w:val="000000" w:themeColor="text1"/>
        </w:rPr>
        <w:t xml:space="preserve">CIPD (2023) </w:t>
      </w:r>
      <w:r w:rsidRPr="005F2D28">
        <w:rPr>
          <w:i/>
          <w:color w:val="000000" w:themeColor="text1"/>
        </w:rPr>
        <w:t>Flexible Working: Guide</w:t>
      </w:r>
      <w:r w:rsidRPr="005F2D28">
        <w:rPr>
          <w:color w:val="000000" w:themeColor="text1"/>
        </w:rPr>
        <w:t>. London: Chartered Institute of Personnel and Development. [Accessed 3 October 2025].</w:t>
      </w:r>
    </w:p>
    <w:p w14:paraId="22FEB080" w14:textId="77777777" w:rsidR="006F5A86" w:rsidRPr="005F2D28" w:rsidRDefault="006F5A86" w:rsidP="006F5A86">
      <w:pPr>
        <w:pStyle w:val="NormalWeb"/>
        <w:spacing w:before="0" w:beforeAutospacing="0" w:after="240" w:afterAutospacing="0" w:line="360" w:lineRule="auto"/>
        <w:jc w:val="both"/>
        <w:rPr>
          <w:rFonts w:ascii="Arial" w:hAnsi="Arial" w:cs="Arial"/>
          <w:color w:val="000000" w:themeColor="text1"/>
          <w:sz w:val="22"/>
          <w:szCs w:val="22"/>
        </w:rPr>
      </w:pPr>
      <w:r w:rsidRPr="005F2D28">
        <w:rPr>
          <w:rFonts w:ascii="Arial" w:hAnsi="Arial" w:cs="Arial"/>
          <w:color w:val="000000" w:themeColor="text1"/>
          <w:sz w:val="22"/>
          <w:szCs w:val="22"/>
        </w:rPr>
        <w:t xml:space="preserve">CIPD (2024). </w:t>
      </w:r>
      <w:r w:rsidRPr="005F2D28">
        <w:rPr>
          <w:rFonts w:ascii="Arial" w:hAnsi="Arial" w:cs="Arial"/>
          <w:i/>
          <w:iCs/>
          <w:color w:val="000000" w:themeColor="text1"/>
          <w:sz w:val="22"/>
          <w:szCs w:val="22"/>
        </w:rPr>
        <w:t>CIPD | Flexible and hybrid working practices in 2023</w:t>
      </w:r>
      <w:r w:rsidRPr="005F2D28">
        <w:rPr>
          <w:rFonts w:ascii="Arial" w:hAnsi="Arial" w:cs="Arial"/>
          <w:color w:val="000000" w:themeColor="text1"/>
          <w:sz w:val="22"/>
          <w:szCs w:val="22"/>
        </w:rPr>
        <w:t>. [online] CIPD. Available at: https://www.cipd.org/en/knowledge/reports/flexible-hybrid-working/ [Accessed 3 Nov. 2025].</w:t>
      </w:r>
    </w:p>
    <w:p w14:paraId="1FC5F27F" w14:textId="77777777" w:rsidR="006F5A86" w:rsidRPr="005F2D28" w:rsidRDefault="006F5A86">
      <w:pPr>
        <w:spacing w:before="240" w:after="240" w:line="360" w:lineRule="auto"/>
        <w:jc w:val="both"/>
        <w:rPr>
          <w:color w:val="000000" w:themeColor="text1"/>
        </w:rPr>
      </w:pPr>
      <w:r w:rsidRPr="005F2D28">
        <w:rPr>
          <w:color w:val="000000" w:themeColor="text1"/>
        </w:rPr>
        <w:t xml:space="preserve">De Menezes, L.M. and Kelliher, C. (2017) ‘Flexible Working, Individual Performance, and Employee Attitudes: Comparing Formal and Informal Arrangements’, </w:t>
      </w:r>
      <w:r w:rsidRPr="005F2D28">
        <w:rPr>
          <w:i/>
          <w:color w:val="000000" w:themeColor="text1"/>
        </w:rPr>
        <w:t>Human Resource Management Journal</w:t>
      </w:r>
      <w:r w:rsidRPr="005F2D28">
        <w:rPr>
          <w:color w:val="000000" w:themeColor="text1"/>
        </w:rPr>
        <w:t>, 27(1), pp. 34–51.</w:t>
      </w:r>
    </w:p>
    <w:p w14:paraId="07F4BD5E" w14:textId="77777777" w:rsidR="006F5A86" w:rsidRPr="005F2D28" w:rsidRDefault="006F5A86">
      <w:pPr>
        <w:spacing w:before="240" w:after="240" w:line="360" w:lineRule="auto"/>
        <w:jc w:val="both"/>
        <w:rPr>
          <w:color w:val="000000" w:themeColor="text1"/>
        </w:rPr>
      </w:pPr>
      <w:r w:rsidRPr="005F2D28">
        <w:rPr>
          <w:color w:val="000000" w:themeColor="text1"/>
        </w:rPr>
        <w:t xml:space="preserve">Deloitte (2022) </w:t>
      </w:r>
      <w:r w:rsidRPr="005F2D28">
        <w:rPr>
          <w:i/>
          <w:color w:val="000000" w:themeColor="text1"/>
        </w:rPr>
        <w:t>Digital Transformation in Transportation: Trends and Workforce Implications</w:t>
      </w:r>
      <w:r w:rsidRPr="005F2D28">
        <w:rPr>
          <w:color w:val="000000" w:themeColor="text1"/>
        </w:rPr>
        <w:t>. London: Deloitte Insights. [Accessed 3 October 2025].</w:t>
      </w:r>
    </w:p>
    <w:p w14:paraId="531180B6" w14:textId="77777777" w:rsidR="006F5A86" w:rsidRPr="005F2D28" w:rsidRDefault="006F5A86" w:rsidP="006F5A86">
      <w:pPr>
        <w:pStyle w:val="NormalWeb"/>
        <w:spacing w:before="0" w:beforeAutospacing="0" w:after="240" w:afterAutospacing="0" w:line="360" w:lineRule="auto"/>
        <w:jc w:val="both"/>
        <w:rPr>
          <w:rFonts w:ascii="Arial" w:hAnsi="Arial" w:cs="Arial"/>
          <w:color w:val="000000" w:themeColor="text1"/>
          <w:sz w:val="22"/>
          <w:szCs w:val="22"/>
        </w:rPr>
      </w:pPr>
      <w:r w:rsidRPr="005F2D28">
        <w:rPr>
          <w:rFonts w:ascii="Arial" w:hAnsi="Arial" w:cs="Arial"/>
          <w:color w:val="000000" w:themeColor="text1"/>
          <w:sz w:val="22"/>
          <w:szCs w:val="22"/>
        </w:rPr>
        <w:t xml:space="preserve">Deloitte (2023). </w:t>
      </w:r>
      <w:r w:rsidRPr="005F2D28">
        <w:rPr>
          <w:rFonts w:ascii="Arial" w:hAnsi="Arial" w:cs="Arial"/>
          <w:i/>
          <w:iCs/>
          <w:color w:val="000000" w:themeColor="text1"/>
          <w:sz w:val="22"/>
          <w:szCs w:val="22"/>
        </w:rPr>
        <w:t>AI in cybersecurity: A double-edged sword</w:t>
      </w:r>
      <w:r w:rsidRPr="005F2D28">
        <w:rPr>
          <w:rFonts w:ascii="Arial" w:hAnsi="Arial" w:cs="Arial"/>
          <w:color w:val="000000" w:themeColor="text1"/>
          <w:sz w:val="22"/>
          <w:szCs w:val="22"/>
        </w:rPr>
        <w:t>. [online] Deloitte United Kingdom. Available at: https://www.deloitte.com/middle-east/en/our-thinking/mepov-magazine/securing-the-future/ai-in-cybersecurity.html [Accessed 3 Nov. 2025].</w:t>
      </w:r>
    </w:p>
    <w:p w14:paraId="61839D7B" w14:textId="77777777" w:rsidR="006F5A86" w:rsidRPr="005F2D28" w:rsidRDefault="006F5A86">
      <w:pPr>
        <w:spacing w:before="240" w:after="240" w:line="360" w:lineRule="auto"/>
        <w:jc w:val="both"/>
        <w:rPr>
          <w:color w:val="000000" w:themeColor="text1"/>
        </w:rPr>
      </w:pPr>
      <w:r w:rsidRPr="005F2D28">
        <w:rPr>
          <w:color w:val="000000" w:themeColor="text1"/>
        </w:rPr>
        <w:t xml:space="preserve">Grant, A.M. (2019). </w:t>
      </w:r>
      <w:r w:rsidRPr="005F2D28">
        <w:rPr>
          <w:i/>
          <w:color w:val="000000" w:themeColor="text1"/>
        </w:rPr>
        <w:t>Think Again: The Power of Knowing What You Don’t Know</w:t>
      </w:r>
      <w:r w:rsidRPr="005F2D28">
        <w:rPr>
          <w:color w:val="000000" w:themeColor="text1"/>
        </w:rPr>
        <w:t>. London: Penguin.</w:t>
      </w:r>
    </w:p>
    <w:p w14:paraId="113D6FF2" w14:textId="77777777" w:rsidR="006F5A86" w:rsidRPr="005F2D28" w:rsidRDefault="006F5A86">
      <w:pPr>
        <w:spacing w:before="240" w:after="240" w:line="360" w:lineRule="auto"/>
        <w:jc w:val="both"/>
        <w:rPr>
          <w:color w:val="000000" w:themeColor="text1"/>
        </w:rPr>
      </w:pPr>
      <w:r w:rsidRPr="005F2D28">
        <w:rPr>
          <w:color w:val="000000" w:themeColor="text1"/>
        </w:rPr>
        <w:t xml:space="preserve">Kotter, J.P. (2012). </w:t>
      </w:r>
      <w:r w:rsidRPr="005F2D28">
        <w:rPr>
          <w:i/>
          <w:color w:val="000000" w:themeColor="text1"/>
        </w:rPr>
        <w:t>Leading Change</w:t>
      </w:r>
      <w:r w:rsidRPr="005F2D28">
        <w:rPr>
          <w:color w:val="000000" w:themeColor="text1"/>
        </w:rPr>
        <w:t>. Boston: Harvard Business Review Press.</w:t>
      </w:r>
    </w:p>
    <w:p w14:paraId="7CFC5ED8" w14:textId="77777777" w:rsidR="006F5A86" w:rsidRPr="005F2D28" w:rsidRDefault="006F5A86" w:rsidP="006F5A86">
      <w:pPr>
        <w:pStyle w:val="NormalWeb"/>
        <w:spacing w:before="0" w:beforeAutospacing="0" w:after="240" w:afterAutospacing="0" w:line="360" w:lineRule="auto"/>
        <w:jc w:val="both"/>
        <w:rPr>
          <w:rFonts w:ascii="Arial" w:hAnsi="Arial" w:cs="Arial"/>
          <w:color w:val="000000" w:themeColor="text1"/>
          <w:sz w:val="22"/>
          <w:szCs w:val="22"/>
        </w:rPr>
      </w:pPr>
      <w:r w:rsidRPr="005F2D28">
        <w:rPr>
          <w:rFonts w:ascii="Arial" w:hAnsi="Arial" w:cs="Arial"/>
          <w:color w:val="000000" w:themeColor="text1"/>
          <w:sz w:val="22"/>
          <w:szCs w:val="22"/>
        </w:rPr>
        <w:t xml:space="preserve">Lee, B., Garn, W., Masoud </w:t>
      </w:r>
      <w:proofErr w:type="spellStart"/>
      <w:r w:rsidRPr="005F2D28">
        <w:rPr>
          <w:rFonts w:ascii="Arial" w:hAnsi="Arial" w:cs="Arial"/>
          <w:color w:val="000000" w:themeColor="text1"/>
          <w:sz w:val="22"/>
          <w:szCs w:val="22"/>
        </w:rPr>
        <w:t>Fakhimi</w:t>
      </w:r>
      <w:proofErr w:type="spellEnd"/>
      <w:r w:rsidRPr="005F2D28">
        <w:rPr>
          <w:rFonts w:ascii="Arial" w:hAnsi="Arial" w:cs="Arial"/>
          <w:color w:val="000000" w:themeColor="text1"/>
          <w:sz w:val="22"/>
          <w:szCs w:val="22"/>
        </w:rPr>
        <w:t xml:space="preserve"> and Ryman-Tubb, N.F. (2025). Improving public transport through machine learning influence flow analysis (MIFA): Southern England bus case study. </w:t>
      </w:r>
      <w:r w:rsidRPr="005F2D28">
        <w:rPr>
          <w:rFonts w:ascii="Arial" w:hAnsi="Arial" w:cs="Arial"/>
          <w:i/>
          <w:iCs/>
          <w:color w:val="000000" w:themeColor="text1"/>
          <w:sz w:val="22"/>
          <w:szCs w:val="22"/>
        </w:rPr>
        <w:t>Public Transport</w:t>
      </w:r>
      <w:r w:rsidRPr="005F2D28">
        <w:rPr>
          <w:rFonts w:ascii="Arial" w:hAnsi="Arial" w:cs="Arial"/>
          <w:color w:val="000000" w:themeColor="text1"/>
          <w:sz w:val="22"/>
          <w:szCs w:val="22"/>
        </w:rPr>
        <w:t xml:space="preserve">. </w:t>
      </w:r>
      <w:proofErr w:type="spellStart"/>
      <w:r w:rsidRPr="005F2D28">
        <w:rPr>
          <w:rFonts w:ascii="Arial" w:hAnsi="Arial" w:cs="Arial"/>
          <w:color w:val="000000" w:themeColor="text1"/>
          <w:sz w:val="22"/>
          <w:szCs w:val="22"/>
        </w:rPr>
        <w:t>doi:https</w:t>
      </w:r>
      <w:proofErr w:type="spellEnd"/>
      <w:r w:rsidRPr="005F2D28">
        <w:rPr>
          <w:rFonts w:ascii="Arial" w:hAnsi="Arial" w:cs="Arial"/>
          <w:color w:val="000000" w:themeColor="text1"/>
          <w:sz w:val="22"/>
          <w:szCs w:val="22"/>
        </w:rPr>
        <w:t>://doi.org/10.1007/s12469-024-00387-2.</w:t>
      </w:r>
    </w:p>
    <w:p w14:paraId="78CF6CB1" w14:textId="77777777" w:rsidR="006F5A86" w:rsidRPr="005F2D28" w:rsidRDefault="006F5A86">
      <w:pPr>
        <w:spacing w:before="240" w:after="240" w:line="360" w:lineRule="auto"/>
        <w:jc w:val="both"/>
        <w:rPr>
          <w:color w:val="000000" w:themeColor="text1"/>
        </w:rPr>
      </w:pPr>
      <w:r w:rsidRPr="005F2D28">
        <w:rPr>
          <w:color w:val="000000" w:themeColor="text1"/>
        </w:rPr>
        <w:lastRenderedPageBreak/>
        <w:t xml:space="preserve">National Express Group (2023) </w:t>
      </w:r>
      <w:r w:rsidRPr="005F2D28">
        <w:rPr>
          <w:i/>
          <w:color w:val="000000" w:themeColor="text1"/>
        </w:rPr>
        <w:t>Annual Report and Accounts 2023</w:t>
      </w:r>
      <w:r w:rsidRPr="005F2D28">
        <w:rPr>
          <w:color w:val="000000" w:themeColor="text1"/>
        </w:rPr>
        <w:t>. Birmingham: National Express. [Accessed 3 October 2025].</w:t>
      </w:r>
    </w:p>
    <w:p w14:paraId="4889B59D" w14:textId="77777777" w:rsidR="006F5A86" w:rsidRPr="005F2D28" w:rsidRDefault="006F5A86">
      <w:pPr>
        <w:spacing w:before="240" w:after="240" w:line="360" w:lineRule="auto"/>
        <w:jc w:val="both"/>
        <w:rPr>
          <w:color w:val="000000" w:themeColor="text1"/>
        </w:rPr>
      </w:pPr>
      <w:r w:rsidRPr="005F2D28">
        <w:rPr>
          <w:color w:val="000000" w:themeColor="text1"/>
        </w:rPr>
        <w:t xml:space="preserve">Noe, R.A., Hollenbeck, J.R., Gerhart, B. and Wright, P.M. (2021). </w:t>
      </w:r>
      <w:r w:rsidRPr="005F2D28">
        <w:rPr>
          <w:i/>
          <w:color w:val="000000" w:themeColor="text1"/>
        </w:rPr>
        <w:t>Fundamentals of Human Resource Management</w:t>
      </w:r>
      <w:r w:rsidRPr="005F2D28">
        <w:rPr>
          <w:color w:val="000000" w:themeColor="text1"/>
        </w:rPr>
        <w:t>. 8th ed. New York: McGraw-Hill Education.</w:t>
      </w:r>
    </w:p>
    <w:p w14:paraId="660936DA" w14:textId="77777777" w:rsidR="006F5A86" w:rsidRPr="005F2D28" w:rsidRDefault="006F5A86" w:rsidP="006F5A86">
      <w:pPr>
        <w:pStyle w:val="NormalWeb"/>
        <w:spacing w:before="0" w:beforeAutospacing="0" w:after="240" w:afterAutospacing="0" w:line="360" w:lineRule="auto"/>
        <w:jc w:val="both"/>
        <w:rPr>
          <w:rFonts w:ascii="Arial" w:hAnsi="Arial" w:cs="Arial"/>
          <w:color w:val="000000" w:themeColor="text1"/>
          <w:sz w:val="22"/>
          <w:szCs w:val="22"/>
        </w:rPr>
      </w:pPr>
      <w:r w:rsidRPr="005F2D28">
        <w:rPr>
          <w:rFonts w:ascii="Arial" w:hAnsi="Arial" w:cs="Arial"/>
          <w:color w:val="000000" w:themeColor="text1"/>
          <w:sz w:val="22"/>
          <w:szCs w:val="22"/>
        </w:rPr>
        <w:t xml:space="preserve">Pearson, M. (2024). The Right to Request Flexible Working: Evidence from Employment Tribunal Judgments. </w:t>
      </w:r>
      <w:r w:rsidRPr="005F2D28">
        <w:rPr>
          <w:rFonts w:ascii="Arial" w:hAnsi="Arial" w:cs="Arial"/>
          <w:i/>
          <w:iCs/>
          <w:color w:val="000000" w:themeColor="text1"/>
          <w:sz w:val="22"/>
          <w:szCs w:val="22"/>
        </w:rPr>
        <w:t>Industrial Law Journal</w:t>
      </w:r>
      <w:r w:rsidRPr="005F2D28">
        <w:rPr>
          <w:rFonts w:ascii="Arial" w:hAnsi="Arial" w:cs="Arial"/>
          <w:color w:val="000000" w:themeColor="text1"/>
          <w:sz w:val="22"/>
          <w:szCs w:val="22"/>
        </w:rPr>
        <w:t xml:space="preserve">, 54(1). </w:t>
      </w:r>
      <w:proofErr w:type="spellStart"/>
      <w:r w:rsidRPr="005F2D28">
        <w:rPr>
          <w:rFonts w:ascii="Arial" w:hAnsi="Arial" w:cs="Arial"/>
          <w:color w:val="000000" w:themeColor="text1"/>
          <w:sz w:val="22"/>
          <w:szCs w:val="22"/>
        </w:rPr>
        <w:t>doi:https</w:t>
      </w:r>
      <w:proofErr w:type="spellEnd"/>
      <w:r w:rsidRPr="005F2D28">
        <w:rPr>
          <w:rFonts w:ascii="Arial" w:hAnsi="Arial" w:cs="Arial"/>
          <w:color w:val="000000" w:themeColor="text1"/>
          <w:sz w:val="22"/>
          <w:szCs w:val="22"/>
        </w:rPr>
        <w:t>://doi.org/10.1093/</w:t>
      </w:r>
      <w:proofErr w:type="spellStart"/>
      <w:r w:rsidRPr="005F2D28">
        <w:rPr>
          <w:rFonts w:ascii="Arial" w:hAnsi="Arial" w:cs="Arial"/>
          <w:color w:val="000000" w:themeColor="text1"/>
          <w:sz w:val="22"/>
          <w:szCs w:val="22"/>
        </w:rPr>
        <w:t>indlaw</w:t>
      </w:r>
      <w:proofErr w:type="spellEnd"/>
      <w:r w:rsidRPr="005F2D28">
        <w:rPr>
          <w:rFonts w:ascii="Arial" w:hAnsi="Arial" w:cs="Arial"/>
          <w:color w:val="000000" w:themeColor="text1"/>
          <w:sz w:val="22"/>
          <w:szCs w:val="22"/>
        </w:rPr>
        <w:t>/dwae016.</w:t>
      </w:r>
    </w:p>
    <w:p w14:paraId="0A8A3BD7" w14:textId="77777777" w:rsidR="006F5A86" w:rsidRPr="005F2D28" w:rsidRDefault="006F5A86">
      <w:pPr>
        <w:spacing w:before="240" w:after="240" w:line="360" w:lineRule="auto"/>
        <w:jc w:val="both"/>
        <w:rPr>
          <w:color w:val="000000" w:themeColor="text1"/>
        </w:rPr>
      </w:pPr>
      <w:r w:rsidRPr="005F2D28">
        <w:rPr>
          <w:color w:val="000000" w:themeColor="text1"/>
        </w:rPr>
        <w:t xml:space="preserve">PwC (2021) </w:t>
      </w:r>
      <w:r w:rsidRPr="005F2D28">
        <w:rPr>
          <w:i/>
          <w:color w:val="000000" w:themeColor="text1"/>
        </w:rPr>
        <w:t>Future of Work in Transport: Skills and Workforce Transformation</w:t>
      </w:r>
      <w:r w:rsidRPr="005F2D28">
        <w:rPr>
          <w:color w:val="000000" w:themeColor="text1"/>
        </w:rPr>
        <w:t>. London: PwC. [Accessed 3 October 2025].</w:t>
      </w:r>
    </w:p>
    <w:p w14:paraId="74265722" w14:textId="77777777" w:rsidR="006F5A86" w:rsidRPr="005F2D28" w:rsidRDefault="006F5A86">
      <w:pPr>
        <w:spacing w:before="240" w:after="240" w:line="360" w:lineRule="auto"/>
        <w:jc w:val="both"/>
        <w:rPr>
          <w:color w:val="000000" w:themeColor="text1"/>
        </w:rPr>
      </w:pPr>
      <w:r w:rsidRPr="005F2D28">
        <w:rPr>
          <w:color w:val="000000" w:themeColor="text1"/>
        </w:rPr>
        <w:t xml:space="preserve">Shuck, B., Adelson, J.L. and Reio, T.G. (2017) ‘The Employee Engagement Scale: Initial Evidence for Construct Validity and Implications for HR Practice’, </w:t>
      </w:r>
      <w:r w:rsidRPr="005F2D28">
        <w:rPr>
          <w:i/>
          <w:color w:val="000000" w:themeColor="text1"/>
        </w:rPr>
        <w:t>Human Resource Management</w:t>
      </w:r>
      <w:r w:rsidRPr="005F2D28">
        <w:rPr>
          <w:color w:val="000000" w:themeColor="text1"/>
        </w:rPr>
        <w:t>, 56(6), pp. 985–1004.</w:t>
      </w:r>
    </w:p>
    <w:p w14:paraId="7DE99DBF" w14:textId="77777777" w:rsidR="006F5A86" w:rsidRPr="005F2D28" w:rsidRDefault="006F5A86" w:rsidP="006F5A86">
      <w:pPr>
        <w:pStyle w:val="NormalWeb"/>
        <w:spacing w:before="0" w:beforeAutospacing="0" w:after="240" w:afterAutospacing="0" w:line="360" w:lineRule="auto"/>
        <w:jc w:val="both"/>
        <w:rPr>
          <w:rFonts w:ascii="Arial" w:hAnsi="Arial" w:cs="Arial"/>
          <w:color w:val="000000" w:themeColor="text1"/>
          <w:sz w:val="22"/>
          <w:szCs w:val="22"/>
        </w:rPr>
      </w:pPr>
      <w:r w:rsidRPr="005F2D28">
        <w:rPr>
          <w:rFonts w:ascii="Arial" w:hAnsi="Arial" w:cs="Arial"/>
          <w:color w:val="000000" w:themeColor="text1"/>
          <w:sz w:val="22"/>
          <w:szCs w:val="22"/>
        </w:rPr>
        <w:t xml:space="preserve">UITP (2020). </w:t>
      </w:r>
      <w:r w:rsidRPr="005F2D28">
        <w:rPr>
          <w:rFonts w:ascii="Arial" w:hAnsi="Arial" w:cs="Arial"/>
          <w:i/>
          <w:iCs/>
          <w:color w:val="000000" w:themeColor="text1"/>
          <w:sz w:val="22"/>
          <w:szCs w:val="22"/>
        </w:rPr>
        <w:t>Digital transformation and social dialogue in urban public transport</w:t>
      </w:r>
      <w:r w:rsidRPr="005F2D28">
        <w:rPr>
          <w:rFonts w:ascii="Arial" w:hAnsi="Arial" w:cs="Arial"/>
          <w:color w:val="000000" w:themeColor="text1"/>
          <w:sz w:val="22"/>
          <w:szCs w:val="22"/>
        </w:rPr>
        <w:t>. [online] The International Association of Public Transport. Available at: https://www.uitp.org/wp-content/uploads/sites/7/2025/04/Final-report-Digital-transformation-and-social-dialogue-in-urban-public-transport-EN.pdf [Accessed 3 Nov. 2025].</w:t>
      </w:r>
    </w:p>
    <w:p w14:paraId="0655A5E5" w14:textId="77777777" w:rsidR="006F5A86" w:rsidRPr="005F2D28" w:rsidRDefault="006F5A86">
      <w:pPr>
        <w:spacing w:before="240" w:after="240" w:line="360" w:lineRule="auto"/>
        <w:jc w:val="both"/>
        <w:rPr>
          <w:color w:val="000000" w:themeColor="text1"/>
        </w:rPr>
      </w:pPr>
      <w:r w:rsidRPr="005F2D28">
        <w:rPr>
          <w:color w:val="000000" w:themeColor="text1"/>
        </w:rPr>
        <w:t xml:space="preserve">Ulrich, D., Allen, J., Brockbank, W., Younger, J. and Nyman, M. (2015). </w:t>
      </w:r>
      <w:r w:rsidRPr="005F2D28">
        <w:rPr>
          <w:i/>
          <w:color w:val="000000" w:themeColor="text1"/>
        </w:rPr>
        <w:t>HR Competencies: Mastery at the Intersection of People and Business</w:t>
      </w:r>
      <w:r w:rsidRPr="005F2D28">
        <w:rPr>
          <w:color w:val="000000" w:themeColor="text1"/>
        </w:rPr>
        <w:t>. 2nd ed. Alexandria, VA: Society for Human Resource Management.</w:t>
      </w:r>
    </w:p>
    <w:p w14:paraId="1EC9FF43" w14:textId="77777777" w:rsidR="006F5A86" w:rsidRPr="005F2D28" w:rsidRDefault="006F5A86">
      <w:pPr>
        <w:spacing w:before="240" w:after="240" w:line="360" w:lineRule="auto"/>
        <w:jc w:val="both"/>
        <w:rPr>
          <w:color w:val="000000" w:themeColor="text1"/>
        </w:rPr>
      </w:pPr>
      <w:r w:rsidRPr="005F2D28">
        <w:rPr>
          <w:color w:val="000000" w:themeColor="text1"/>
        </w:rPr>
        <w:t xml:space="preserve">Walker, R.M. (2020) ‘Public Sector Transformation and the Role of Human Resource Management’, </w:t>
      </w:r>
      <w:r w:rsidRPr="005F2D28">
        <w:rPr>
          <w:i/>
          <w:color w:val="000000" w:themeColor="text1"/>
        </w:rPr>
        <w:t>Public Management Review</w:t>
      </w:r>
      <w:r w:rsidRPr="005F2D28">
        <w:rPr>
          <w:color w:val="000000" w:themeColor="text1"/>
        </w:rPr>
        <w:t>, 22(3), pp. 414–432.</w:t>
      </w:r>
    </w:p>
    <w:p w14:paraId="4652623D" w14:textId="77777777" w:rsidR="006F5A86" w:rsidRPr="005F2D28" w:rsidRDefault="006F5A86">
      <w:pPr>
        <w:spacing w:before="240" w:after="240" w:line="360" w:lineRule="auto"/>
        <w:jc w:val="both"/>
        <w:rPr>
          <w:color w:val="000000" w:themeColor="text1"/>
        </w:rPr>
      </w:pPr>
      <w:r w:rsidRPr="005F2D28">
        <w:rPr>
          <w:color w:val="000000" w:themeColor="text1"/>
        </w:rPr>
        <w:t xml:space="preserve">Westerman, G., Bonnet, D. and McAfee, A. (2014) </w:t>
      </w:r>
      <w:r w:rsidRPr="005F2D28">
        <w:rPr>
          <w:i/>
          <w:color w:val="000000" w:themeColor="text1"/>
        </w:rPr>
        <w:t>Leading Digital: Turning Technology into Business Transformation</w:t>
      </w:r>
      <w:r w:rsidRPr="005F2D28">
        <w:rPr>
          <w:color w:val="000000" w:themeColor="text1"/>
        </w:rPr>
        <w:t>. Boston: Harvard Business Review Press.</w:t>
      </w:r>
    </w:p>
    <w:p w14:paraId="618FA124" w14:textId="77777777" w:rsidR="006F5A86" w:rsidRPr="005F2D28" w:rsidRDefault="006F5A86" w:rsidP="00217C6E">
      <w:pPr>
        <w:spacing w:before="240" w:after="240" w:line="360" w:lineRule="auto"/>
        <w:jc w:val="both"/>
        <w:rPr>
          <w:color w:val="000000" w:themeColor="text1"/>
        </w:rPr>
      </w:pPr>
      <w:r w:rsidRPr="005F2D28">
        <w:rPr>
          <w:color w:val="000000" w:themeColor="text1"/>
        </w:rPr>
        <w:t xml:space="preserve">World Economic Forum (2020). </w:t>
      </w:r>
      <w:r w:rsidRPr="005F2D28">
        <w:rPr>
          <w:i/>
          <w:color w:val="000000" w:themeColor="text1"/>
        </w:rPr>
        <w:t>The Future of Jobs Report 2020</w:t>
      </w:r>
      <w:r w:rsidRPr="005F2D28">
        <w:rPr>
          <w:color w:val="000000" w:themeColor="text1"/>
        </w:rPr>
        <w:t>. Geneva: World Economic Forum. [Accessed 3 October 2025].</w:t>
      </w:r>
    </w:p>
    <w:sectPr w:rsidR="006F5A86" w:rsidRPr="005F2D28" w:rsidSect="00687B64">
      <w:footerReference w:type="default" r:id="rId8"/>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F64F48" w14:textId="77777777" w:rsidR="00EE14E3" w:rsidRDefault="00EE14E3">
      <w:pPr>
        <w:spacing w:line="240" w:lineRule="auto"/>
      </w:pPr>
      <w:r>
        <w:separator/>
      </w:r>
    </w:p>
  </w:endnote>
  <w:endnote w:type="continuationSeparator" w:id="0">
    <w:p w14:paraId="62F57C49" w14:textId="77777777" w:rsidR="00EE14E3" w:rsidRDefault="00EE14E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9687363"/>
      <w:docPartObj>
        <w:docPartGallery w:val="Page Numbers (Bottom of Page)"/>
        <w:docPartUnique/>
      </w:docPartObj>
    </w:sdtPr>
    <w:sdtEndPr>
      <w:rPr>
        <w:noProof/>
      </w:rPr>
    </w:sdtEndPr>
    <w:sdtContent>
      <w:p w14:paraId="1436ECBF" w14:textId="1C89C803" w:rsidR="00687B64" w:rsidRDefault="00A6352B">
        <w:pPr>
          <w:pStyle w:val="Footer"/>
          <w:jc w:val="right"/>
        </w:pPr>
        <w:r>
          <w:fldChar w:fldCharType="begin"/>
        </w:r>
        <w:r>
          <w:instrText xml:space="preserve"> PAGE   \* MERGEFORMAT </w:instrText>
        </w:r>
        <w:r>
          <w:fldChar w:fldCharType="separate"/>
        </w:r>
        <w:r w:rsidR="006F5A86">
          <w:rPr>
            <w:noProof/>
          </w:rPr>
          <w:t>2</w:t>
        </w:r>
        <w:r>
          <w:rPr>
            <w:noProof/>
          </w:rPr>
          <w:fldChar w:fldCharType="end"/>
        </w:r>
      </w:p>
    </w:sdtContent>
  </w:sdt>
  <w:p w14:paraId="1C53E630" w14:textId="77777777" w:rsidR="00687B64" w:rsidRDefault="00687B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2B682" w14:textId="77777777" w:rsidR="00EE14E3" w:rsidRDefault="00EE14E3">
      <w:pPr>
        <w:spacing w:line="240" w:lineRule="auto"/>
      </w:pPr>
      <w:r>
        <w:separator/>
      </w:r>
    </w:p>
  </w:footnote>
  <w:footnote w:type="continuationSeparator" w:id="0">
    <w:p w14:paraId="00ADEFEB" w14:textId="77777777" w:rsidR="00EE14E3" w:rsidRDefault="00EE14E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EBA"/>
    <w:rsid w:val="00030561"/>
    <w:rsid w:val="00140D4A"/>
    <w:rsid w:val="001849C4"/>
    <w:rsid w:val="00217C6E"/>
    <w:rsid w:val="00290127"/>
    <w:rsid w:val="00293156"/>
    <w:rsid w:val="002A1423"/>
    <w:rsid w:val="002B478C"/>
    <w:rsid w:val="002B6754"/>
    <w:rsid w:val="002D183B"/>
    <w:rsid w:val="00327B6E"/>
    <w:rsid w:val="0044632A"/>
    <w:rsid w:val="004738A9"/>
    <w:rsid w:val="00593B42"/>
    <w:rsid w:val="005F1624"/>
    <w:rsid w:val="005F2D28"/>
    <w:rsid w:val="00687B64"/>
    <w:rsid w:val="006F1FFE"/>
    <w:rsid w:val="006F5A86"/>
    <w:rsid w:val="007654C2"/>
    <w:rsid w:val="00786CA4"/>
    <w:rsid w:val="007E259C"/>
    <w:rsid w:val="00825865"/>
    <w:rsid w:val="008605CC"/>
    <w:rsid w:val="008C2D7E"/>
    <w:rsid w:val="00A13EBA"/>
    <w:rsid w:val="00A6352B"/>
    <w:rsid w:val="00A7151D"/>
    <w:rsid w:val="00B07C22"/>
    <w:rsid w:val="00C54EEA"/>
    <w:rsid w:val="00D76DEB"/>
    <w:rsid w:val="00DA6886"/>
    <w:rsid w:val="00DE7C64"/>
    <w:rsid w:val="00E12088"/>
    <w:rsid w:val="00EE14E3"/>
    <w:rsid w:val="00F145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3C386"/>
  <w15:docId w15:val="{1BB39B58-8FF5-6849-BFB8-5C3144C82E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687B64"/>
    <w:pPr>
      <w:keepNext/>
      <w:keepLines/>
      <w:spacing w:before="400" w:after="120" w:line="360" w:lineRule="auto"/>
      <w:outlineLvl w:val="0"/>
    </w:pPr>
    <w:rPr>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687B64"/>
    <w:pPr>
      <w:tabs>
        <w:tab w:val="center" w:pos="4513"/>
        <w:tab w:val="right" w:pos="9026"/>
      </w:tabs>
      <w:spacing w:line="240" w:lineRule="auto"/>
    </w:pPr>
  </w:style>
  <w:style w:type="character" w:customStyle="1" w:styleId="HeaderChar">
    <w:name w:val="Header Char"/>
    <w:basedOn w:val="DefaultParagraphFont"/>
    <w:link w:val="Header"/>
    <w:uiPriority w:val="99"/>
    <w:rsid w:val="00687B64"/>
  </w:style>
  <w:style w:type="paragraph" w:styleId="Footer">
    <w:name w:val="footer"/>
    <w:basedOn w:val="Normal"/>
    <w:link w:val="FooterChar"/>
    <w:uiPriority w:val="99"/>
    <w:unhideWhenUsed/>
    <w:rsid w:val="00687B64"/>
    <w:pPr>
      <w:tabs>
        <w:tab w:val="center" w:pos="4513"/>
        <w:tab w:val="right" w:pos="9026"/>
      </w:tabs>
      <w:spacing w:line="240" w:lineRule="auto"/>
    </w:pPr>
  </w:style>
  <w:style w:type="character" w:customStyle="1" w:styleId="FooterChar">
    <w:name w:val="Footer Char"/>
    <w:basedOn w:val="DefaultParagraphFont"/>
    <w:link w:val="Footer"/>
    <w:uiPriority w:val="99"/>
    <w:rsid w:val="00687B64"/>
  </w:style>
  <w:style w:type="paragraph" w:styleId="TOCHeading">
    <w:name w:val="TOC Heading"/>
    <w:basedOn w:val="Heading1"/>
    <w:next w:val="Normal"/>
    <w:uiPriority w:val="39"/>
    <w:semiHidden/>
    <w:unhideWhenUsed/>
    <w:qFormat/>
    <w:rsid w:val="00687B64"/>
    <w:pPr>
      <w:spacing w:before="480" w:after="0" w:line="276" w:lineRule="auto"/>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687B64"/>
    <w:pPr>
      <w:spacing w:after="100"/>
    </w:pPr>
  </w:style>
  <w:style w:type="character" w:styleId="Hyperlink">
    <w:name w:val="Hyperlink"/>
    <w:basedOn w:val="DefaultParagraphFont"/>
    <w:uiPriority w:val="99"/>
    <w:unhideWhenUsed/>
    <w:rsid w:val="00687B64"/>
    <w:rPr>
      <w:color w:val="0000FF" w:themeColor="hyperlink"/>
      <w:u w:val="single"/>
    </w:rPr>
  </w:style>
  <w:style w:type="paragraph" w:styleId="BalloonText">
    <w:name w:val="Balloon Text"/>
    <w:basedOn w:val="Normal"/>
    <w:link w:val="BalloonTextChar"/>
    <w:uiPriority w:val="99"/>
    <w:semiHidden/>
    <w:unhideWhenUsed/>
    <w:rsid w:val="00687B6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7B64"/>
    <w:rPr>
      <w:rFonts w:ascii="Tahoma" w:hAnsi="Tahoma" w:cs="Tahoma"/>
      <w:sz w:val="16"/>
      <w:szCs w:val="16"/>
    </w:rPr>
  </w:style>
  <w:style w:type="paragraph" w:styleId="NormalWeb">
    <w:name w:val="Normal (Web)"/>
    <w:basedOn w:val="Normal"/>
    <w:uiPriority w:val="99"/>
    <w:unhideWhenUsed/>
    <w:rsid w:val="006F5A8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itleChar">
    <w:name w:val="Title Char"/>
    <w:basedOn w:val="DefaultParagraphFont"/>
    <w:link w:val="Title"/>
    <w:uiPriority w:val="10"/>
    <w:rsid w:val="005F2D28"/>
    <w:rPr>
      <w:sz w:val="52"/>
      <w:szCs w:val="52"/>
    </w:rPr>
  </w:style>
  <w:style w:type="character" w:customStyle="1" w:styleId="s11">
    <w:name w:val="s11"/>
    <w:basedOn w:val="DefaultParagraphFont"/>
    <w:rsid w:val="005F2D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0299898">
      <w:bodyDiv w:val="1"/>
      <w:marLeft w:val="0"/>
      <w:marRight w:val="0"/>
      <w:marTop w:val="0"/>
      <w:marBottom w:val="0"/>
      <w:divBdr>
        <w:top w:val="none" w:sz="0" w:space="0" w:color="auto"/>
        <w:left w:val="none" w:sz="0" w:space="0" w:color="auto"/>
        <w:bottom w:val="none" w:sz="0" w:space="0" w:color="auto"/>
        <w:right w:val="none" w:sz="0" w:space="0" w:color="auto"/>
      </w:divBdr>
      <w:divsChild>
        <w:div w:id="729232218">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CB8EB4-0FFD-4BF4-9F37-CB4D486CD1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2801</Words>
  <Characters>15968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Diana Roabis</cp:lastModifiedBy>
  <cp:revision>2</cp:revision>
  <dcterms:created xsi:type="dcterms:W3CDTF">2025-11-07T23:18:00Z</dcterms:created>
  <dcterms:modified xsi:type="dcterms:W3CDTF">2025-11-07T23:18:00Z</dcterms:modified>
</cp:coreProperties>
</file>