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5D110" w14:textId="508228F2" w:rsidR="00E97303" w:rsidRPr="00FD69D8" w:rsidRDefault="00E97303" w:rsidP="00E97303">
      <w:pPr>
        <w:jc w:val="center"/>
        <w:rPr>
          <w:rFonts w:asciiTheme="majorHAnsi" w:hAnsiTheme="majorHAnsi" w:cstheme="majorHAnsi"/>
          <w:b/>
          <w:bCs/>
          <w:sz w:val="32"/>
          <w:szCs w:val="32"/>
          <w:u w:val="single"/>
        </w:rPr>
      </w:pPr>
      <w:r>
        <w:rPr>
          <w:rFonts w:asciiTheme="majorHAnsi" w:hAnsiTheme="majorHAnsi" w:cstheme="majorHAnsi"/>
          <w:b/>
          <w:bCs/>
          <w:sz w:val="32"/>
          <w:szCs w:val="32"/>
          <w:u w:val="single"/>
        </w:rPr>
        <w:t xml:space="preserve">University Wales Trinity St </w:t>
      </w:r>
      <w:r w:rsidRPr="00FD69D8">
        <w:rPr>
          <w:rFonts w:asciiTheme="majorHAnsi" w:hAnsiTheme="majorHAnsi" w:cstheme="majorHAnsi"/>
          <w:b/>
          <w:bCs/>
          <w:sz w:val="32"/>
          <w:szCs w:val="32"/>
          <w:u w:val="single"/>
        </w:rPr>
        <w:t>David</w:t>
      </w:r>
    </w:p>
    <w:p w14:paraId="3FD228C1" w14:textId="77777777" w:rsidR="00E97303" w:rsidRPr="00FD69D8" w:rsidRDefault="00E97303" w:rsidP="00E97303">
      <w:pPr>
        <w:jc w:val="center"/>
        <w:rPr>
          <w:rFonts w:asciiTheme="majorHAnsi" w:hAnsiTheme="majorHAnsi" w:cstheme="majorHAnsi"/>
          <w:b/>
          <w:bCs/>
          <w:sz w:val="32"/>
          <w:szCs w:val="32"/>
          <w:u w:val="single"/>
        </w:rPr>
      </w:pPr>
    </w:p>
    <w:p w14:paraId="7C725B10" w14:textId="77777777" w:rsidR="00E97303" w:rsidRPr="00FD69D8" w:rsidRDefault="00E97303" w:rsidP="00E97303">
      <w:pPr>
        <w:jc w:val="center"/>
        <w:rPr>
          <w:rFonts w:asciiTheme="majorHAnsi" w:hAnsiTheme="majorHAnsi" w:cstheme="majorHAnsi"/>
          <w:b/>
          <w:bCs/>
          <w:sz w:val="32"/>
          <w:szCs w:val="32"/>
          <w:u w:val="single"/>
        </w:rPr>
      </w:pPr>
    </w:p>
    <w:p w14:paraId="4A1C64AE" w14:textId="77777777" w:rsidR="00E97303" w:rsidRPr="00FD69D8" w:rsidRDefault="00E97303" w:rsidP="00E97303">
      <w:pPr>
        <w:jc w:val="center"/>
        <w:rPr>
          <w:rFonts w:asciiTheme="majorHAnsi" w:hAnsiTheme="majorHAnsi" w:cstheme="majorHAnsi"/>
          <w:b/>
          <w:bCs/>
          <w:sz w:val="32"/>
          <w:szCs w:val="32"/>
          <w:u w:val="single"/>
        </w:rPr>
      </w:pPr>
      <w:r w:rsidRPr="00FD69D8">
        <w:rPr>
          <w:rFonts w:asciiTheme="majorHAnsi" w:hAnsiTheme="majorHAnsi" w:cstheme="majorHAnsi"/>
          <w:noProof/>
        </w:rPr>
        <w:drawing>
          <wp:inline distT="0" distB="0" distL="0" distR="0" wp14:anchorId="2EE45DCF" wp14:editId="09EFA725">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3E4F4865" w14:textId="77777777" w:rsidR="00E97303" w:rsidRPr="00FD69D8" w:rsidRDefault="00E97303" w:rsidP="00E97303">
      <w:pPr>
        <w:jc w:val="center"/>
        <w:rPr>
          <w:rFonts w:asciiTheme="majorHAnsi" w:hAnsiTheme="majorHAnsi" w:cstheme="majorHAnsi"/>
          <w:b/>
          <w:bCs/>
          <w:sz w:val="32"/>
          <w:szCs w:val="32"/>
          <w:u w:val="single"/>
        </w:rPr>
      </w:pPr>
    </w:p>
    <w:p w14:paraId="029914BA" w14:textId="77777777" w:rsidR="00E97303" w:rsidRPr="00FD69D8" w:rsidRDefault="00E97303" w:rsidP="00E97303">
      <w:pPr>
        <w:jc w:val="center"/>
        <w:rPr>
          <w:rFonts w:asciiTheme="majorHAnsi" w:hAnsiTheme="majorHAnsi" w:cstheme="majorHAnsi"/>
          <w:b/>
          <w:bCs/>
          <w:sz w:val="32"/>
          <w:szCs w:val="32"/>
          <w:u w:val="single"/>
        </w:rPr>
      </w:pPr>
    </w:p>
    <w:p w14:paraId="45BCC25E" w14:textId="77777777" w:rsidR="00E97303" w:rsidRPr="00FD69D8" w:rsidRDefault="00E97303" w:rsidP="00E97303">
      <w:pPr>
        <w:jc w:val="center"/>
        <w:rPr>
          <w:rFonts w:asciiTheme="majorHAnsi" w:hAnsiTheme="majorHAnsi" w:cstheme="majorHAnsi"/>
          <w:b/>
          <w:bCs/>
          <w:sz w:val="32"/>
          <w:szCs w:val="32"/>
          <w:u w:val="single"/>
        </w:rPr>
      </w:pPr>
    </w:p>
    <w:p w14:paraId="75795CB9" w14:textId="77777777" w:rsidR="00E97303" w:rsidRPr="00FD69D8" w:rsidRDefault="00E97303" w:rsidP="00E97303">
      <w:pPr>
        <w:jc w:val="center"/>
        <w:rPr>
          <w:rFonts w:asciiTheme="majorHAnsi" w:hAnsiTheme="majorHAnsi" w:cstheme="majorHAnsi"/>
          <w:b/>
          <w:bCs/>
          <w:sz w:val="32"/>
          <w:szCs w:val="32"/>
          <w:u w:val="single"/>
        </w:rPr>
      </w:pPr>
    </w:p>
    <w:p w14:paraId="4BE72E7A" w14:textId="7F25F8CA" w:rsidR="00E97303" w:rsidRPr="00FD69D8" w:rsidRDefault="00E97303" w:rsidP="00E97303">
      <w:pPr>
        <w:spacing w:line="256" w:lineRule="auto"/>
        <w:jc w:val="cente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AC</w:t>
      </w:r>
      <w:r w:rsidR="00AC5790" w:rsidRPr="00FD69D8">
        <w:rPr>
          <w:rFonts w:asciiTheme="majorHAnsi" w:hAnsiTheme="majorHAnsi" w:cstheme="majorHAnsi"/>
          <w:b/>
          <w:i/>
          <w:iCs/>
          <w:sz w:val="28"/>
          <w:szCs w:val="24"/>
          <w:u w:val="single"/>
        </w:rPr>
        <w:t>DA</w:t>
      </w:r>
      <w:r w:rsidR="009E7FDC" w:rsidRPr="00FD69D8">
        <w:rPr>
          <w:rFonts w:asciiTheme="majorHAnsi" w:hAnsiTheme="majorHAnsi" w:cstheme="majorHAnsi"/>
          <w:b/>
          <w:i/>
          <w:iCs/>
          <w:sz w:val="28"/>
          <w:szCs w:val="24"/>
          <w:u w:val="single"/>
        </w:rPr>
        <w:t xml:space="preserve"> 502</w:t>
      </w:r>
      <w:r w:rsidR="00975BD1" w:rsidRPr="00FD69D8">
        <w:rPr>
          <w:rFonts w:asciiTheme="majorHAnsi" w:hAnsiTheme="majorHAnsi" w:cstheme="majorHAnsi"/>
          <w:b/>
          <w:i/>
          <w:iCs/>
          <w:sz w:val="28"/>
          <w:szCs w:val="24"/>
          <w:u w:val="single"/>
        </w:rPr>
        <w:t>3</w:t>
      </w:r>
      <w:r w:rsidR="00CD37F2" w:rsidRPr="00FD69D8">
        <w:rPr>
          <w:rFonts w:asciiTheme="majorHAnsi" w:hAnsiTheme="majorHAnsi" w:cstheme="majorHAnsi"/>
          <w:b/>
          <w:i/>
          <w:iCs/>
          <w:sz w:val="28"/>
          <w:szCs w:val="24"/>
          <w:u w:val="single"/>
        </w:rPr>
        <w:t xml:space="preserve">: </w:t>
      </w:r>
      <w:r w:rsidR="00975BD1" w:rsidRPr="00FD69D8">
        <w:rPr>
          <w:rFonts w:asciiTheme="majorHAnsi" w:hAnsiTheme="majorHAnsi" w:cstheme="majorHAnsi"/>
          <w:b/>
          <w:i/>
          <w:iCs/>
          <w:sz w:val="28"/>
          <w:szCs w:val="24"/>
          <w:u w:val="single"/>
        </w:rPr>
        <w:t>Nuclear Safety</w:t>
      </w:r>
    </w:p>
    <w:p w14:paraId="7EEECF2A" w14:textId="77777777" w:rsidR="00E97303" w:rsidRPr="00FD69D8" w:rsidRDefault="00E97303" w:rsidP="00E97303">
      <w:pPr>
        <w:spacing w:line="256" w:lineRule="auto"/>
        <w:jc w:val="center"/>
        <w:rPr>
          <w:rFonts w:asciiTheme="majorHAnsi" w:hAnsiTheme="majorHAnsi" w:cstheme="majorHAnsi"/>
          <w:b/>
          <w:i/>
          <w:iCs/>
          <w:sz w:val="28"/>
          <w:szCs w:val="24"/>
          <w:u w:val="single"/>
        </w:rPr>
      </w:pPr>
    </w:p>
    <w:p w14:paraId="2A8E7E16" w14:textId="77777777" w:rsidR="00E97303" w:rsidRPr="00FD69D8" w:rsidRDefault="00E97303" w:rsidP="00E97303">
      <w:pPr>
        <w:spacing w:line="256" w:lineRule="auto"/>
        <w:jc w:val="center"/>
        <w:rPr>
          <w:rFonts w:asciiTheme="majorHAnsi" w:hAnsiTheme="majorHAnsi" w:cstheme="majorHAnsi"/>
          <w:b/>
          <w:i/>
          <w:iCs/>
          <w:sz w:val="28"/>
          <w:szCs w:val="24"/>
          <w:u w:val="single"/>
        </w:rPr>
      </w:pPr>
    </w:p>
    <w:p w14:paraId="3787E756" w14:textId="77777777" w:rsidR="00E97303" w:rsidRPr="00FD69D8" w:rsidRDefault="00E97303" w:rsidP="00E97303">
      <w:pPr>
        <w:spacing w:line="256" w:lineRule="auto"/>
        <w:jc w:val="center"/>
        <w:rPr>
          <w:rFonts w:asciiTheme="majorHAnsi" w:hAnsiTheme="majorHAnsi" w:cstheme="majorHAnsi"/>
          <w:b/>
          <w:i/>
          <w:iCs/>
          <w:sz w:val="28"/>
          <w:szCs w:val="24"/>
          <w:u w:val="single"/>
        </w:rPr>
      </w:pPr>
    </w:p>
    <w:p w14:paraId="73C2A3CF" w14:textId="77777777" w:rsidR="00E97303" w:rsidRPr="00FD69D8" w:rsidRDefault="00E97303" w:rsidP="00E97303">
      <w:pPr>
        <w:spacing w:line="256" w:lineRule="auto"/>
        <w:jc w:val="cente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Author: Uwais Patel</w:t>
      </w:r>
    </w:p>
    <w:p w14:paraId="0D1326AD" w14:textId="77777777" w:rsidR="00E97303" w:rsidRPr="00FD69D8" w:rsidRDefault="00E97303" w:rsidP="00E97303">
      <w:pPr>
        <w:spacing w:line="256" w:lineRule="auto"/>
        <w:jc w:val="center"/>
        <w:rPr>
          <w:rFonts w:asciiTheme="majorHAnsi" w:hAnsiTheme="majorHAnsi" w:cstheme="majorHAnsi"/>
          <w:b/>
          <w:i/>
          <w:iCs/>
          <w:sz w:val="28"/>
          <w:szCs w:val="24"/>
          <w:u w:val="single"/>
        </w:rPr>
      </w:pPr>
    </w:p>
    <w:p w14:paraId="32BF72AC" w14:textId="4B0923A0" w:rsidR="00E97303" w:rsidRPr="00FD69D8" w:rsidRDefault="00E97303" w:rsidP="00E97303">
      <w:pPr>
        <w:spacing w:line="256" w:lineRule="auto"/>
        <w:jc w:val="center"/>
        <w:rPr>
          <w:rFonts w:asciiTheme="majorHAnsi" w:hAnsiTheme="majorHAnsi" w:cstheme="majorHAnsi"/>
          <w:b/>
          <w:i/>
          <w:iCs/>
          <w:sz w:val="28"/>
          <w:szCs w:val="24"/>
          <w:u w:val="single"/>
        </w:rPr>
        <w:sectPr w:rsidR="00E97303" w:rsidRPr="00FD69D8" w:rsidSect="00E97303">
          <w:footerReference w:type="default" r:id="rId8"/>
          <w:pgSz w:w="11906" w:h="16838"/>
          <w:pgMar w:top="1440" w:right="1440" w:bottom="1440" w:left="1440" w:header="708" w:footer="708" w:gutter="0"/>
          <w:cols w:space="720"/>
        </w:sectPr>
      </w:pPr>
      <w:r w:rsidRPr="00FD69D8">
        <w:rPr>
          <w:rFonts w:asciiTheme="majorHAnsi" w:hAnsiTheme="majorHAnsi" w:cstheme="majorHAnsi"/>
          <w:b/>
          <w:i/>
          <w:iCs/>
          <w:sz w:val="28"/>
          <w:szCs w:val="24"/>
          <w:u w:val="single"/>
        </w:rPr>
        <w:t xml:space="preserve">Lecturer:  </w:t>
      </w:r>
      <w:r w:rsidR="00975BD1" w:rsidRPr="00FD69D8">
        <w:rPr>
          <w:rFonts w:asciiTheme="majorHAnsi" w:hAnsiTheme="majorHAnsi" w:cstheme="majorHAnsi"/>
          <w:b/>
          <w:i/>
          <w:iCs/>
          <w:sz w:val="28"/>
          <w:szCs w:val="24"/>
          <w:u w:val="single"/>
        </w:rPr>
        <w:t xml:space="preserve"> HMS Sultan</w:t>
      </w:r>
    </w:p>
    <w:p w14:paraId="759EF052" w14:textId="77777777" w:rsidR="00E97303" w:rsidRPr="00FD69D8" w:rsidRDefault="00E97303" w:rsidP="00E97303">
      <w:pPr>
        <w:spacing w:line="256" w:lineRule="auto"/>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lastRenderedPageBreak/>
        <w:t>Contents Page</w:t>
      </w:r>
    </w:p>
    <w:p w14:paraId="6D7670B3" w14:textId="77777777" w:rsidR="00E97303" w:rsidRPr="00FD69D8" w:rsidRDefault="00E97303" w:rsidP="00E97303">
      <w:pPr>
        <w:spacing w:line="256" w:lineRule="auto"/>
        <w:rPr>
          <w:rFonts w:asciiTheme="majorHAnsi" w:hAnsiTheme="majorHAnsi" w:cstheme="majorHAnsi"/>
          <w:b/>
          <w:i/>
          <w:iCs/>
          <w:sz w:val="28"/>
          <w:szCs w:val="24"/>
          <w:u w:val="single"/>
        </w:rPr>
      </w:pPr>
    </w:p>
    <w:p w14:paraId="73CE670E" w14:textId="7F787A5A" w:rsidR="00E97303" w:rsidRPr="00FD69D8" w:rsidRDefault="00E97303" w:rsidP="00E97303">
      <w:pPr>
        <w:spacing w:line="256" w:lineRule="auto"/>
        <w:rPr>
          <w:rFonts w:asciiTheme="majorHAnsi" w:hAnsiTheme="majorHAnsi" w:cstheme="majorHAnsi"/>
          <w:bCs/>
          <w:sz w:val="24"/>
        </w:rPr>
      </w:pPr>
      <w:r w:rsidRPr="00FD69D8">
        <w:rPr>
          <w:rFonts w:asciiTheme="majorHAnsi" w:hAnsiTheme="majorHAnsi" w:cstheme="majorHAnsi"/>
          <w:bCs/>
          <w:sz w:val="24"/>
        </w:rPr>
        <w:t>Title Page</w:t>
      </w:r>
      <w:r w:rsidR="00A91C32" w:rsidRPr="00FD69D8">
        <w:rPr>
          <w:rFonts w:asciiTheme="majorHAnsi" w:hAnsiTheme="majorHAnsi" w:cstheme="majorHAnsi"/>
          <w:bCs/>
          <w:sz w:val="24"/>
        </w:rPr>
        <w:t>…………………………………………………………………………………………….………………………………….1</w:t>
      </w:r>
    </w:p>
    <w:p w14:paraId="505470CE" w14:textId="4A8F865A" w:rsidR="00E97303" w:rsidRDefault="00E97303" w:rsidP="00E97303">
      <w:pPr>
        <w:spacing w:line="256" w:lineRule="auto"/>
        <w:rPr>
          <w:rFonts w:asciiTheme="majorHAnsi" w:hAnsiTheme="majorHAnsi" w:cstheme="majorHAnsi"/>
          <w:bCs/>
          <w:sz w:val="24"/>
        </w:rPr>
      </w:pPr>
      <w:r w:rsidRPr="00FD69D8">
        <w:rPr>
          <w:rFonts w:asciiTheme="majorHAnsi" w:hAnsiTheme="majorHAnsi" w:cstheme="majorHAnsi"/>
          <w:bCs/>
          <w:sz w:val="24"/>
        </w:rPr>
        <w:t>Contents Page</w:t>
      </w:r>
      <w:r w:rsidR="00A91C32" w:rsidRPr="00FD69D8">
        <w:rPr>
          <w:rFonts w:asciiTheme="majorHAnsi" w:hAnsiTheme="majorHAnsi" w:cstheme="majorHAnsi"/>
          <w:bCs/>
          <w:sz w:val="24"/>
        </w:rPr>
        <w:t>……………………………………………………………………………………………………………</w:t>
      </w:r>
      <w:proofErr w:type="gramStart"/>
      <w:r w:rsidR="00A91C32" w:rsidRPr="00FD69D8">
        <w:rPr>
          <w:rFonts w:asciiTheme="majorHAnsi" w:hAnsiTheme="majorHAnsi" w:cstheme="majorHAnsi"/>
          <w:bCs/>
          <w:sz w:val="24"/>
        </w:rPr>
        <w:t>…..</w:t>
      </w:r>
      <w:proofErr w:type="gramEnd"/>
      <w:r w:rsidR="00A91C32" w:rsidRPr="00FD69D8">
        <w:rPr>
          <w:rFonts w:asciiTheme="majorHAnsi" w:hAnsiTheme="majorHAnsi" w:cstheme="majorHAnsi"/>
          <w:bCs/>
          <w:sz w:val="24"/>
        </w:rPr>
        <w:t>……….2</w:t>
      </w:r>
    </w:p>
    <w:p w14:paraId="2C3B2280" w14:textId="4F6F2CAD" w:rsidR="00E07AF0" w:rsidRPr="00FD69D8" w:rsidRDefault="00E07AF0" w:rsidP="00E07AF0">
      <w:pPr>
        <w:spacing w:line="256" w:lineRule="auto"/>
        <w:rPr>
          <w:rFonts w:asciiTheme="majorHAnsi" w:hAnsiTheme="majorHAnsi" w:cstheme="majorHAnsi"/>
          <w:bCs/>
          <w:sz w:val="24"/>
        </w:rPr>
      </w:pPr>
      <w:r>
        <w:rPr>
          <w:rFonts w:asciiTheme="majorHAnsi" w:hAnsiTheme="majorHAnsi" w:cstheme="majorHAnsi"/>
          <w:bCs/>
          <w:sz w:val="24"/>
        </w:rPr>
        <w:t>Abstract…….</w:t>
      </w:r>
      <w:r w:rsidRPr="00FD69D8">
        <w:rPr>
          <w:rFonts w:asciiTheme="majorHAnsi" w:hAnsiTheme="majorHAnsi" w:cstheme="majorHAnsi"/>
          <w:bCs/>
          <w:sz w:val="24"/>
        </w:rPr>
        <w:t>……………………………………………………………………………………………………………………………3</w:t>
      </w:r>
    </w:p>
    <w:p w14:paraId="52787E41" w14:textId="6BD436EC" w:rsidR="00E97303" w:rsidRPr="00FD69D8" w:rsidRDefault="00E97303" w:rsidP="00E97303">
      <w:pPr>
        <w:spacing w:line="256" w:lineRule="auto"/>
        <w:rPr>
          <w:rFonts w:asciiTheme="majorHAnsi" w:hAnsiTheme="majorHAnsi" w:cstheme="majorHAnsi"/>
          <w:bCs/>
          <w:sz w:val="24"/>
        </w:rPr>
      </w:pPr>
      <w:r w:rsidRPr="00FD69D8">
        <w:rPr>
          <w:rFonts w:asciiTheme="majorHAnsi" w:hAnsiTheme="majorHAnsi" w:cstheme="majorHAnsi"/>
          <w:bCs/>
          <w:sz w:val="24"/>
        </w:rPr>
        <w:t>Introduction</w:t>
      </w:r>
      <w:r w:rsidR="00A91C32" w:rsidRPr="00FD69D8">
        <w:rPr>
          <w:rFonts w:asciiTheme="majorHAnsi" w:hAnsiTheme="majorHAnsi" w:cstheme="majorHAnsi"/>
          <w:bCs/>
          <w:sz w:val="24"/>
        </w:rPr>
        <w:t>……………………………………………………………………………………</w:t>
      </w:r>
      <w:r w:rsidR="00584290" w:rsidRPr="00FD69D8">
        <w:rPr>
          <w:rFonts w:asciiTheme="majorHAnsi" w:hAnsiTheme="majorHAnsi" w:cstheme="majorHAnsi"/>
          <w:bCs/>
          <w:sz w:val="24"/>
        </w:rPr>
        <w:t>………………………………………3</w:t>
      </w:r>
    </w:p>
    <w:p w14:paraId="7711D857" w14:textId="00276939" w:rsidR="00E07AF0" w:rsidRPr="00FD69D8" w:rsidRDefault="00E07AF0" w:rsidP="00E07AF0">
      <w:pPr>
        <w:spacing w:line="256" w:lineRule="auto"/>
        <w:rPr>
          <w:rFonts w:asciiTheme="majorHAnsi" w:hAnsiTheme="majorHAnsi" w:cstheme="majorHAnsi"/>
          <w:bCs/>
          <w:sz w:val="24"/>
        </w:rPr>
      </w:pPr>
      <w:r>
        <w:rPr>
          <w:rFonts w:asciiTheme="majorHAnsi" w:hAnsiTheme="majorHAnsi" w:cstheme="majorHAnsi"/>
          <w:bCs/>
          <w:sz w:val="24"/>
        </w:rPr>
        <w:t>Technical Exposure…</w:t>
      </w:r>
      <w:r w:rsidRPr="00FD69D8">
        <w:rPr>
          <w:rFonts w:asciiTheme="majorHAnsi" w:hAnsiTheme="majorHAnsi" w:cstheme="majorHAnsi"/>
          <w:bCs/>
          <w:sz w:val="24"/>
        </w:rPr>
        <w:t>………………………………………………………………………………………………………………3</w:t>
      </w:r>
    </w:p>
    <w:p w14:paraId="3D178819" w14:textId="1BF09CF9" w:rsidR="002B2483" w:rsidRPr="00FD69D8" w:rsidRDefault="00E07AF0" w:rsidP="00F00D36">
      <w:pPr>
        <w:rPr>
          <w:rFonts w:asciiTheme="majorHAnsi" w:hAnsiTheme="majorHAnsi" w:cstheme="majorHAnsi"/>
          <w:bCs/>
          <w:sz w:val="24"/>
        </w:rPr>
      </w:pPr>
      <w:r>
        <w:rPr>
          <w:rFonts w:asciiTheme="majorHAnsi" w:hAnsiTheme="majorHAnsi" w:cstheme="majorHAnsi"/>
          <w:bCs/>
          <w:sz w:val="24"/>
        </w:rPr>
        <w:t>Case Analysis………………………………………………………………………………………………………………………</w:t>
      </w:r>
      <w:proofErr w:type="gramStart"/>
      <w:r>
        <w:rPr>
          <w:rFonts w:asciiTheme="majorHAnsi" w:hAnsiTheme="majorHAnsi" w:cstheme="majorHAnsi"/>
          <w:bCs/>
          <w:sz w:val="24"/>
        </w:rPr>
        <w:t>…..</w:t>
      </w:r>
      <w:proofErr w:type="gramEnd"/>
      <w:r>
        <w:rPr>
          <w:rFonts w:asciiTheme="majorHAnsi" w:hAnsiTheme="majorHAnsi" w:cstheme="majorHAnsi"/>
          <w:bCs/>
          <w:sz w:val="24"/>
        </w:rPr>
        <w:t>4</w:t>
      </w:r>
    </w:p>
    <w:p w14:paraId="4D71938C" w14:textId="57F9745E" w:rsidR="002B2483" w:rsidRPr="00FD69D8" w:rsidRDefault="00E07AF0" w:rsidP="00E07AF0">
      <w:pPr>
        <w:rPr>
          <w:rFonts w:asciiTheme="majorHAnsi" w:hAnsiTheme="majorHAnsi" w:cstheme="majorHAnsi"/>
          <w:bCs/>
          <w:sz w:val="24"/>
        </w:rPr>
      </w:pPr>
      <w:r>
        <w:rPr>
          <w:rFonts w:asciiTheme="majorHAnsi" w:hAnsiTheme="majorHAnsi" w:cstheme="majorHAnsi"/>
          <w:bCs/>
          <w:sz w:val="24"/>
        </w:rPr>
        <w:t>Discussion……………………………………………………………………………………………………………………………….6</w:t>
      </w:r>
    </w:p>
    <w:p w14:paraId="532F5615" w14:textId="5975B143" w:rsidR="002B2483" w:rsidRPr="00FD69D8" w:rsidRDefault="00E07AF0" w:rsidP="00F00D36">
      <w:pPr>
        <w:rPr>
          <w:rFonts w:asciiTheme="majorHAnsi" w:hAnsiTheme="majorHAnsi" w:cstheme="majorHAnsi"/>
          <w:bCs/>
          <w:sz w:val="24"/>
        </w:rPr>
      </w:pPr>
      <w:r>
        <w:rPr>
          <w:rFonts w:asciiTheme="majorHAnsi" w:hAnsiTheme="majorHAnsi" w:cstheme="majorHAnsi"/>
          <w:bCs/>
          <w:sz w:val="24"/>
        </w:rPr>
        <w:t>IRR 17 Compliance………………………………………………………………………………………………………………….7</w:t>
      </w:r>
    </w:p>
    <w:p w14:paraId="3EACFC88" w14:textId="07365FA2" w:rsidR="002B2483" w:rsidRPr="00FD69D8" w:rsidRDefault="00E07AF0" w:rsidP="00F00D36">
      <w:pPr>
        <w:rPr>
          <w:rFonts w:asciiTheme="majorHAnsi" w:hAnsiTheme="majorHAnsi" w:cstheme="majorHAnsi"/>
          <w:bCs/>
          <w:sz w:val="24"/>
        </w:rPr>
      </w:pPr>
      <w:r>
        <w:rPr>
          <w:rFonts w:asciiTheme="majorHAnsi" w:hAnsiTheme="majorHAnsi" w:cstheme="majorHAnsi"/>
          <w:bCs/>
          <w:sz w:val="24"/>
        </w:rPr>
        <w:t>ONR Safety Assessment Safety Princip</w:t>
      </w:r>
      <w:r w:rsidR="006678E0">
        <w:rPr>
          <w:rFonts w:asciiTheme="majorHAnsi" w:hAnsiTheme="majorHAnsi" w:cstheme="majorHAnsi"/>
          <w:bCs/>
          <w:sz w:val="24"/>
        </w:rPr>
        <w:t>les……………………………………………………………………………….8</w:t>
      </w:r>
    </w:p>
    <w:p w14:paraId="528C874B" w14:textId="39D6E31F" w:rsidR="002B2483" w:rsidRPr="00FD69D8" w:rsidRDefault="006678E0" w:rsidP="00F00D36">
      <w:pPr>
        <w:rPr>
          <w:rFonts w:asciiTheme="majorHAnsi" w:hAnsiTheme="majorHAnsi" w:cstheme="majorHAnsi"/>
          <w:bCs/>
          <w:sz w:val="24"/>
        </w:rPr>
      </w:pPr>
      <w:r>
        <w:rPr>
          <w:rFonts w:asciiTheme="majorHAnsi" w:hAnsiTheme="majorHAnsi" w:cstheme="majorHAnsi"/>
          <w:bCs/>
          <w:sz w:val="24"/>
        </w:rPr>
        <w:t>ALARP Recommendations……………………………………………………………………………………………………….9</w:t>
      </w:r>
    </w:p>
    <w:p w14:paraId="5154FF7B" w14:textId="7F50352C" w:rsidR="002B2483" w:rsidRPr="00FD69D8" w:rsidRDefault="006678E0" w:rsidP="00F00D36">
      <w:pPr>
        <w:rPr>
          <w:rFonts w:asciiTheme="majorHAnsi" w:hAnsiTheme="majorHAnsi" w:cstheme="majorHAnsi"/>
          <w:bCs/>
          <w:sz w:val="24"/>
        </w:rPr>
      </w:pPr>
      <w:r>
        <w:rPr>
          <w:rFonts w:asciiTheme="majorHAnsi" w:hAnsiTheme="majorHAnsi" w:cstheme="majorHAnsi"/>
          <w:bCs/>
          <w:sz w:val="24"/>
        </w:rPr>
        <w:t>Conclusion</w:t>
      </w:r>
      <w:r w:rsidR="000906B1">
        <w:rPr>
          <w:rFonts w:asciiTheme="majorHAnsi" w:hAnsiTheme="majorHAnsi" w:cstheme="majorHAnsi"/>
          <w:bCs/>
          <w:sz w:val="24"/>
        </w:rPr>
        <w:t>………………………………………………………………………………………………………………………………</w:t>
      </w:r>
      <w:r>
        <w:rPr>
          <w:rFonts w:asciiTheme="majorHAnsi" w:hAnsiTheme="majorHAnsi" w:cstheme="majorHAnsi"/>
          <w:bCs/>
          <w:sz w:val="24"/>
        </w:rPr>
        <w:t>9</w:t>
      </w:r>
    </w:p>
    <w:p w14:paraId="769D8BD1" w14:textId="2E64189B" w:rsidR="002B2483" w:rsidRPr="00FD69D8" w:rsidRDefault="000906B1" w:rsidP="00F00D36">
      <w:pPr>
        <w:rPr>
          <w:rFonts w:asciiTheme="majorHAnsi" w:hAnsiTheme="majorHAnsi" w:cstheme="majorHAnsi"/>
          <w:bCs/>
          <w:sz w:val="24"/>
        </w:rPr>
      </w:pPr>
      <w:r>
        <w:rPr>
          <w:rFonts w:asciiTheme="majorHAnsi" w:hAnsiTheme="majorHAnsi" w:cstheme="majorHAnsi"/>
          <w:bCs/>
          <w:sz w:val="24"/>
        </w:rPr>
        <w:t>References……………………………………………………………………………………………………………………………10</w:t>
      </w:r>
    </w:p>
    <w:p w14:paraId="30F9DB28" w14:textId="77777777" w:rsidR="002B2483" w:rsidRPr="00FD69D8" w:rsidRDefault="002B2483" w:rsidP="00F00D36">
      <w:pPr>
        <w:rPr>
          <w:rFonts w:asciiTheme="majorHAnsi" w:hAnsiTheme="majorHAnsi" w:cstheme="majorHAnsi"/>
          <w:bCs/>
          <w:sz w:val="24"/>
        </w:rPr>
      </w:pPr>
    </w:p>
    <w:p w14:paraId="0972C0A2" w14:textId="77777777" w:rsidR="002B2483" w:rsidRPr="00FD69D8" w:rsidRDefault="002B2483" w:rsidP="00F00D36">
      <w:pPr>
        <w:rPr>
          <w:rFonts w:asciiTheme="majorHAnsi" w:hAnsiTheme="majorHAnsi" w:cstheme="majorHAnsi"/>
          <w:bCs/>
          <w:sz w:val="24"/>
        </w:rPr>
      </w:pPr>
    </w:p>
    <w:p w14:paraId="5612CA7B" w14:textId="77777777" w:rsidR="002B2483" w:rsidRPr="00FD69D8" w:rsidRDefault="002B2483" w:rsidP="00F00D36">
      <w:pPr>
        <w:rPr>
          <w:rFonts w:asciiTheme="majorHAnsi" w:hAnsiTheme="majorHAnsi" w:cstheme="majorHAnsi"/>
          <w:bCs/>
          <w:sz w:val="24"/>
        </w:rPr>
      </w:pPr>
    </w:p>
    <w:p w14:paraId="471305B1" w14:textId="77777777" w:rsidR="002B2483" w:rsidRPr="00FD69D8" w:rsidRDefault="002B2483" w:rsidP="00F00D36">
      <w:pPr>
        <w:rPr>
          <w:rFonts w:asciiTheme="majorHAnsi" w:hAnsiTheme="majorHAnsi" w:cstheme="majorHAnsi"/>
          <w:bCs/>
          <w:sz w:val="24"/>
        </w:rPr>
      </w:pPr>
    </w:p>
    <w:p w14:paraId="6565368F" w14:textId="77777777" w:rsidR="002B2483" w:rsidRPr="00FD69D8" w:rsidRDefault="002B2483" w:rsidP="00F00D36">
      <w:pPr>
        <w:rPr>
          <w:rFonts w:asciiTheme="majorHAnsi" w:hAnsiTheme="majorHAnsi" w:cstheme="majorHAnsi"/>
          <w:bCs/>
          <w:sz w:val="24"/>
        </w:rPr>
      </w:pPr>
    </w:p>
    <w:p w14:paraId="2CAC45FD" w14:textId="77777777" w:rsidR="002B2483" w:rsidRPr="00FD69D8" w:rsidRDefault="002B2483" w:rsidP="00F00D36">
      <w:pPr>
        <w:rPr>
          <w:rFonts w:asciiTheme="majorHAnsi" w:hAnsiTheme="majorHAnsi" w:cstheme="majorHAnsi"/>
          <w:bCs/>
          <w:sz w:val="24"/>
        </w:rPr>
      </w:pPr>
    </w:p>
    <w:p w14:paraId="3E924B88" w14:textId="77777777" w:rsidR="002B2483" w:rsidRPr="00FD69D8" w:rsidRDefault="002B2483" w:rsidP="00F00D36">
      <w:pPr>
        <w:rPr>
          <w:rFonts w:asciiTheme="majorHAnsi" w:hAnsiTheme="majorHAnsi" w:cstheme="majorHAnsi"/>
          <w:bCs/>
          <w:sz w:val="24"/>
        </w:rPr>
      </w:pPr>
    </w:p>
    <w:p w14:paraId="7BDBD7EB" w14:textId="77777777" w:rsidR="002B2483" w:rsidRPr="00FD69D8" w:rsidRDefault="002B2483" w:rsidP="00F00D36">
      <w:pPr>
        <w:rPr>
          <w:rFonts w:asciiTheme="majorHAnsi" w:hAnsiTheme="majorHAnsi" w:cstheme="majorHAnsi"/>
          <w:bCs/>
          <w:sz w:val="24"/>
        </w:rPr>
      </w:pPr>
    </w:p>
    <w:p w14:paraId="18E5B1A3" w14:textId="77777777" w:rsidR="002B2483" w:rsidRPr="00FD69D8" w:rsidRDefault="002B2483" w:rsidP="00F00D36">
      <w:pPr>
        <w:rPr>
          <w:rFonts w:asciiTheme="majorHAnsi" w:hAnsiTheme="majorHAnsi" w:cstheme="majorHAnsi"/>
          <w:bCs/>
          <w:sz w:val="24"/>
        </w:rPr>
      </w:pPr>
    </w:p>
    <w:p w14:paraId="5F4C8BC6" w14:textId="77777777" w:rsidR="00F00D36" w:rsidRPr="00FD69D8" w:rsidRDefault="00F00D36" w:rsidP="00F00D36">
      <w:pPr>
        <w:rPr>
          <w:rFonts w:asciiTheme="majorHAnsi" w:hAnsiTheme="majorHAnsi" w:cstheme="majorHAnsi"/>
          <w:bCs/>
          <w:sz w:val="24"/>
        </w:rPr>
      </w:pPr>
    </w:p>
    <w:p w14:paraId="41433F3B" w14:textId="77777777" w:rsidR="00982D10" w:rsidRPr="00FD69D8" w:rsidRDefault="00982D10" w:rsidP="00F00D36">
      <w:pPr>
        <w:rPr>
          <w:rFonts w:asciiTheme="majorHAnsi" w:hAnsiTheme="majorHAnsi" w:cstheme="majorHAnsi"/>
          <w:bCs/>
          <w:sz w:val="24"/>
        </w:rPr>
      </w:pPr>
    </w:p>
    <w:p w14:paraId="330DACBE" w14:textId="77777777" w:rsidR="00975BD1" w:rsidRPr="00FD69D8" w:rsidRDefault="00975BD1" w:rsidP="00F00D36">
      <w:pPr>
        <w:rPr>
          <w:rFonts w:asciiTheme="majorHAnsi" w:hAnsiTheme="majorHAnsi" w:cstheme="majorHAnsi"/>
          <w:bCs/>
          <w:sz w:val="24"/>
        </w:rPr>
      </w:pPr>
    </w:p>
    <w:p w14:paraId="1B6E38F8" w14:textId="77777777" w:rsidR="00975BD1" w:rsidRPr="00FD69D8" w:rsidRDefault="00975BD1" w:rsidP="00F00D36">
      <w:pPr>
        <w:rPr>
          <w:rFonts w:asciiTheme="majorHAnsi" w:hAnsiTheme="majorHAnsi" w:cstheme="majorHAnsi"/>
          <w:bCs/>
          <w:sz w:val="24"/>
        </w:rPr>
      </w:pPr>
    </w:p>
    <w:p w14:paraId="186AE01D" w14:textId="77777777" w:rsidR="00975BD1" w:rsidRPr="00FD69D8" w:rsidRDefault="00975BD1" w:rsidP="00F00D36">
      <w:pPr>
        <w:rPr>
          <w:rFonts w:asciiTheme="majorHAnsi" w:hAnsiTheme="majorHAnsi" w:cstheme="majorHAnsi"/>
          <w:bCs/>
          <w:sz w:val="24"/>
        </w:rPr>
      </w:pPr>
    </w:p>
    <w:p w14:paraId="20F755AE" w14:textId="77777777" w:rsidR="00B62604" w:rsidRDefault="00B62604" w:rsidP="002B2483">
      <w:pPr>
        <w:rPr>
          <w:rFonts w:asciiTheme="majorHAnsi" w:hAnsiTheme="majorHAnsi" w:cstheme="majorHAnsi"/>
          <w:bCs/>
          <w:sz w:val="24"/>
        </w:rPr>
      </w:pPr>
    </w:p>
    <w:p w14:paraId="1B040046" w14:textId="6E3922C2" w:rsidR="002B2483" w:rsidRPr="00FD69D8" w:rsidRDefault="00626153"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lastRenderedPageBreak/>
        <w:t>Abstract</w:t>
      </w:r>
    </w:p>
    <w:p w14:paraId="64F0373E" w14:textId="2521E771" w:rsidR="004A574C" w:rsidRPr="00FD69D8" w:rsidRDefault="004A574C" w:rsidP="004A574C">
      <w:pPr>
        <w:rPr>
          <w:rFonts w:asciiTheme="majorHAnsi" w:hAnsiTheme="majorHAnsi" w:cstheme="majorHAnsi"/>
          <w:bCs/>
          <w:sz w:val="20"/>
          <w:szCs w:val="18"/>
        </w:rPr>
      </w:pPr>
      <w:r w:rsidRPr="00FD69D8">
        <w:rPr>
          <w:rFonts w:asciiTheme="majorHAnsi" w:hAnsiTheme="majorHAnsi" w:cstheme="majorHAnsi"/>
          <w:bCs/>
          <w:sz w:val="20"/>
          <w:szCs w:val="18"/>
        </w:rPr>
        <w:t>This report analyses a radiological incident involving a self-shielded Caesium-137 blood irradiator in a hospital haematology department on 3 February 2025. The incident occurred when a secondary shutter mechanism failed to close fully despite the control system indicating a safe condition. As a result, an operator was exposed to gamma radiation whilst investigating a drawer malfunction. The source activity on the incident date was</w:t>
      </w:r>
      <w:r w:rsidR="00241E58" w:rsidRPr="00FD69D8">
        <w:rPr>
          <w:rFonts w:asciiTheme="majorHAnsi" w:hAnsiTheme="majorHAnsi" w:cstheme="majorHAnsi"/>
          <w:bCs/>
          <w:sz w:val="20"/>
          <w:szCs w:val="18"/>
        </w:rPr>
        <w:t xml:space="preserve"> said to be</w:t>
      </w:r>
      <w:r w:rsidRPr="00FD69D8">
        <w:rPr>
          <w:rFonts w:asciiTheme="majorHAnsi" w:hAnsiTheme="majorHAnsi" w:cstheme="majorHAnsi"/>
          <w:bCs/>
          <w:sz w:val="20"/>
          <w:szCs w:val="18"/>
        </w:rPr>
        <w:t xml:space="preserve"> using radioactive decay calculations. Dose rates at relevant distances were estimated using the inverse square law and published gamma dose-rate constants. Effective doses received during the initial and close inspection were compared with measured dosimetry results. Health implications arising from the exposure were considered alongside the significance of measured whole-body doses and observed skin effects. Compliance with the Ionising Radiations Regulations 2017 (IRR17) was assessed, together with an evaluation against ONR Safety Assessment Principle EKP.5 Defence in Depth and selected supporting principles. Recommendations are proposed using ALARP principles, focusing on engineering improvements, maintenance controls, testing arrangements and operational procedures. The analysis concludes that deficiencies in maintenance verification, interlock design and safety assurance contributed to the incident.</w:t>
      </w:r>
    </w:p>
    <w:p w14:paraId="5A44AAA2" w14:textId="77777777" w:rsidR="004A574C" w:rsidRPr="00FD69D8" w:rsidRDefault="004A574C" w:rsidP="002B2483">
      <w:pPr>
        <w:rPr>
          <w:rFonts w:asciiTheme="majorHAnsi" w:hAnsiTheme="majorHAnsi" w:cstheme="majorHAnsi"/>
          <w:bCs/>
          <w:sz w:val="20"/>
          <w:szCs w:val="18"/>
        </w:rPr>
      </w:pPr>
    </w:p>
    <w:p w14:paraId="62CED915" w14:textId="0BEBB0FF" w:rsidR="00ED70FC" w:rsidRPr="00FD69D8" w:rsidRDefault="009C2875"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In</w:t>
      </w:r>
      <w:r w:rsidR="00870A21" w:rsidRPr="00FD69D8">
        <w:rPr>
          <w:rFonts w:asciiTheme="majorHAnsi" w:hAnsiTheme="majorHAnsi" w:cstheme="majorHAnsi"/>
          <w:b/>
          <w:i/>
          <w:iCs/>
          <w:sz w:val="28"/>
          <w:szCs w:val="24"/>
          <w:u w:val="single"/>
        </w:rPr>
        <w:t>troduction</w:t>
      </w:r>
    </w:p>
    <w:p w14:paraId="0681D532" w14:textId="03E3987B" w:rsidR="004A574C" w:rsidRPr="00FD69D8" w:rsidRDefault="004A574C" w:rsidP="004A574C">
      <w:pPr>
        <w:rPr>
          <w:rFonts w:asciiTheme="majorHAnsi" w:hAnsiTheme="majorHAnsi" w:cstheme="majorHAnsi"/>
          <w:bCs/>
          <w:sz w:val="20"/>
          <w:szCs w:val="18"/>
        </w:rPr>
      </w:pPr>
      <w:r w:rsidRPr="00FD69D8">
        <w:rPr>
          <w:rFonts w:asciiTheme="majorHAnsi" w:hAnsiTheme="majorHAnsi" w:cstheme="majorHAnsi"/>
          <w:bCs/>
          <w:sz w:val="20"/>
          <w:szCs w:val="18"/>
        </w:rPr>
        <w:t>Blood irradiators are routinely used in healthcare facilities to irradiate blood products and prevent transfusion-associated graft-versus-host disease. These systems commonly employ sealed radioactive sources that provide reliable and continuous gamma radiation output without requiring electrical generation of radiation.</w:t>
      </w:r>
      <w:r w:rsidR="00393DFF" w:rsidRPr="00FD69D8">
        <w:rPr>
          <w:rFonts w:asciiTheme="majorHAnsi" w:hAnsiTheme="majorHAnsi" w:cstheme="majorHAnsi"/>
          <w:bCs/>
          <w:sz w:val="20"/>
          <w:szCs w:val="18"/>
        </w:rPr>
        <w:t xml:space="preserve"> </w:t>
      </w:r>
      <w:r w:rsidR="00B05E3C" w:rsidRPr="00B05E3C">
        <w:rPr>
          <w:rFonts w:asciiTheme="majorHAnsi" w:hAnsiTheme="majorHAnsi" w:cstheme="majorHAnsi"/>
          <w:bCs/>
          <w:sz w:val="20"/>
          <w:szCs w:val="18"/>
        </w:rPr>
        <w:t>(Federal Register, 2026)</w:t>
      </w:r>
    </w:p>
    <w:p w14:paraId="3DDCA5F9" w14:textId="28257147" w:rsidR="004A574C" w:rsidRPr="00FD69D8" w:rsidRDefault="004A574C" w:rsidP="004A574C">
      <w:pPr>
        <w:rPr>
          <w:rFonts w:asciiTheme="majorHAnsi" w:hAnsiTheme="majorHAnsi" w:cstheme="majorHAnsi"/>
          <w:bCs/>
          <w:sz w:val="20"/>
          <w:szCs w:val="18"/>
        </w:rPr>
      </w:pPr>
      <w:r w:rsidRPr="00FD69D8">
        <w:rPr>
          <w:rFonts w:asciiTheme="majorHAnsi" w:hAnsiTheme="majorHAnsi" w:cstheme="majorHAnsi"/>
          <w:bCs/>
          <w:sz w:val="20"/>
          <w:szCs w:val="18"/>
        </w:rPr>
        <w:t>The irradiator involved in this incident utilised Caesium-137 (¹³⁷Cs) source pencils arranged within a rotating source assembly. During normal operation, blood products are exposed to gamma radiation when the source moves into the irradiation position</w:t>
      </w:r>
      <w:r w:rsidR="00897BF2" w:rsidRPr="00FD69D8">
        <w:rPr>
          <w:rFonts w:asciiTheme="majorHAnsi" w:hAnsiTheme="majorHAnsi" w:cstheme="majorHAnsi"/>
          <w:bCs/>
          <w:sz w:val="20"/>
          <w:szCs w:val="18"/>
        </w:rPr>
        <w:t xml:space="preserve"> </w:t>
      </w:r>
      <w:r w:rsidR="00ED4110" w:rsidRPr="00ED4110">
        <w:rPr>
          <w:rFonts w:asciiTheme="majorHAnsi" w:hAnsiTheme="majorHAnsi" w:cstheme="majorHAnsi"/>
          <w:bCs/>
          <w:sz w:val="20"/>
          <w:szCs w:val="18"/>
        </w:rPr>
        <w:t>(ScienceDirect, n.d.)</w:t>
      </w:r>
      <w:r w:rsidR="00897BF2" w:rsidRPr="00FD69D8">
        <w:rPr>
          <w:rFonts w:asciiTheme="majorHAnsi" w:hAnsiTheme="majorHAnsi" w:cstheme="majorHAnsi"/>
          <w:bCs/>
          <w:sz w:val="20"/>
          <w:szCs w:val="18"/>
        </w:rPr>
        <w:t>.</w:t>
      </w:r>
      <w:r w:rsidRPr="00FD69D8">
        <w:rPr>
          <w:rFonts w:asciiTheme="majorHAnsi" w:hAnsiTheme="majorHAnsi" w:cstheme="majorHAnsi"/>
          <w:bCs/>
          <w:sz w:val="20"/>
          <w:szCs w:val="18"/>
        </w:rPr>
        <w:t xml:space="preserve"> </w:t>
      </w:r>
      <w:r w:rsidR="005E0159" w:rsidRPr="00FD69D8">
        <w:rPr>
          <w:rFonts w:asciiTheme="majorHAnsi" w:hAnsiTheme="majorHAnsi" w:cstheme="majorHAnsi"/>
          <w:bCs/>
          <w:sz w:val="20"/>
          <w:szCs w:val="18"/>
        </w:rPr>
        <w:t>A</w:t>
      </w:r>
      <w:r w:rsidR="004A6C3D" w:rsidRPr="00FD69D8">
        <w:rPr>
          <w:rFonts w:asciiTheme="majorHAnsi" w:hAnsiTheme="majorHAnsi" w:cstheme="majorHAnsi"/>
          <w:bCs/>
          <w:sz w:val="20"/>
          <w:szCs w:val="18"/>
        </w:rPr>
        <w:t>ft</w:t>
      </w:r>
      <w:r w:rsidR="005E0159" w:rsidRPr="00FD69D8">
        <w:rPr>
          <w:rFonts w:asciiTheme="majorHAnsi" w:hAnsiTheme="majorHAnsi" w:cstheme="majorHAnsi"/>
          <w:bCs/>
          <w:sz w:val="20"/>
          <w:szCs w:val="18"/>
        </w:rPr>
        <w:t>er</w:t>
      </w:r>
      <w:r w:rsidRPr="00FD69D8">
        <w:rPr>
          <w:rFonts w:asciiTheme="majorHAnsi" w:hAnsiTheme="majorHAnsi" w:cstheme="majorHAnsi"/>
          <w:bCs/>
          <w:sz w:val="20"/>
          <w:szCs w:val="18"/>
        </w:rPr>
        <w:t xml:space="preserve"> completion of the irradiation cycle, the source returns behind </w:t>
      </w:r>
      <w:proofErr w:type="gramStart"/>
      <w:r w:rsidRPr="00FD69D8">
        <w:rPr>
          <w:rFonts w:asciiTheme="majorHAnsi" w:hAnsiTheme="majorHAnsi" w:cstheme="majorHAnsi"/>
          <w:bCs/>
          <w:sz w:val="20"/>
          <w:szCs w:val="18"/>
        </w:rPr>
        <w:t>shielding</w:t>
      </w:r>
      <w:proofErr w:type="gramEnd"/>
      <w:r w:rsidRPr="00FD69D8">
        <w:rPr>
          <w:rFonts w:asciiTheme="majorHAnsi" w:hAnsiTheme="majorHAnsi" w:cstheme="majorHAnsi"/>
          <w:bCs/>
          <w:sz w:val="20"/>
          <w:szCs w:val="18"/>
        </w:rPr>
        <w:t xml:space="preserve"> and a secondary shutter closes to provide additional attenuation.</w:t>
      </w:r>
    </w:p>
    <w:p w14:paraId="54D80DE2" w14:textId="3CCFE957" w:rsidR="004A574C" w:rsidRPr="00FD69D8" w:rsidRDefault="004A574C" w:rsidP="004A574C">
      <w:pPr>
        <w:rPr>
          <w:rFonts w:asciiTheme="majorHAnsi" w:hAnsiTheme="majorHAnsi" w:cstheme="majorHAnsi"/>
          <w:bCs/>
          <w:sz w:val="20"/>
          <w:szCs w:val="18"/>
        </w:rPr>
      </w:pPr>
      <w:r w:rsidRPr="00FD69D8">
        <w:rPr>
          <w:rFonts w:asciiTheme="majorHAnsi" w:hAnsiTheme="majorHAnsi" w:cstheme="majorHAnsi"/>
          <w:bCs/>
          <w:sz w:val="20"/>
          <w:szCs w:val="18"/>
        </w:rPr>
        <w:t>Caesium-137 is a suitable isotope for blood irradiation because it emits gamma radiation with an energy of approximately 662 keV,</w:t>
      </w:r>
      <w:r w:rsidR="003B1FF0" w:rsidRPr="00FD69D8">
        <w:rPr>
          <w:rFonts w:asciiTheme="majorHAnsi" w:hAnsiTheme="majorHAnsi" w:cstheme="majorHAnsi"/>
          <w:bCs/>
          <w:sz w:val="20"/>
          <w:szCs w:val="18"/>
        </w:rPr>
        <w:t xml:space="preserve"> allowing</w:t>
      </w:r>
      <w:r w:rsidRPr="00FD69D8">
        <w:rPr>
          <w:rFonts w:asciiTheme="majorHAnsi" w:hAnsiTheme="majorHAnsi" w:cstheme="majorHAnsi"/>
          <w:bCs/>
          <w:sz w:val="20"/>
          <w:szCs w:val="18"/>
        </w:rPr>
        <w:t xml:space="preserve"> effective irradiation of blood products. It also</w:t>
      </w:r>
      <w:r w:rsidR="003B1FF0" w:rsidRPr="00FD69D8">
        <w:rPr>
          <w:rFonts w:asciiTheme="majorHAnsi" w:hAnsiTheme="majorHAnsi" w:cstheme="majorHAnsi"/>
          <w:bCs/>
          <w:sz w:val="20"/>
          <w:szCs w:val="18"/>
        </w:rPr>
        <w:t xml:space="preserve"> uses</w:t>
      </w:r>
      <w:r w:rsidRPr="00FD69D8">
        <w:rPr>
          <w:rFonts w:asciiTheme="majorHAnsi" w:hAnsiTheme="majorHAnsi" w:cstheme="majorHAnsi"/>
          <w:bCs/>
          <w:sz w:val="20"/>
          <w:szCs w:val="18"/>
        </w:rPr>
        <w:t xml:space="preserve"> a relatively long half-life of approximately 30.17 years, allowing many years of use before source replacement becomes necessary. </w:t>
      </w:r>
      <w:proofErr w:type="gramStart"/>
      <w:r w:rsidR="002D17E2" w:rsidRPr="00FD69D8">
        <w:rPr>
          <w:rFonts w:asciiTheme="majorHAnsi" w:hAnsiTheme="majorHAnsi" w:cstheme="majorHAnsi"/>
          <w:bCs/>
          <w:sz w:val="20"/>
          <w:szCs w:val="18"/>
        </w:rPr>
        <w:t>Also</w:t>
      </w:r>
      <w:proofErr w:type="gramEnd"/>
      <w:r w:rsidR="002D17E2" w:rsidRPr="00FD69D8">
        <w:rPr>
          <w:rFonts w:asciiTheme="majorHAnsi" w:hAnsiTheme="majorHAnsi" w:cstheme="majorHAnsi"/>
          <w:bCs/>
          <w:sz w:val="20"/>
          <w:szCs w:val="18"/>
        </w:rPr>
        <w:t xml:space="preserve"> </w:t>
      </w:r>
      <w:r w:rsidRPr="00FD69D8">
        <w:rPr>
          <w:rFonts w:asciiTheme="majorHAnsi" w:hAnsiTheme="majorHAnsi" w:cstheme="majorHAnsi"/>
          <w:bCs/>
          <w:sz w:val="20"/>
          <w:szCs w:val="18"/>
        </w:rPr>
        <w:t>its predictable decay and established shielding requirements make it practical for medical applications</w:t>
      </w:r>
      <w:r w:rsidR="00DC461E" w:rsidRPr="00FD69D8">
        <w:rPr>
          <w:rFonts w:asciiTheme="majorHAnsi" w:hAnsiTheme="majorHAnsi" w:cstheme="majorHAnsi"/>
          <w:bCs/>
          <w:sz w:val="20"/>
          <w:szCs w:val="18"/>
        </w:rPr>
        <w:t xml:space="preserve"> </w:t>
      </w:r>
      <w:r w:rsidR="00ED4110" w:rsidRPr="00ED4110">
        <w:rPr>
          <w:rFonts w:asciiTheme="majorHAnsi" w:hAnsiTheme="majorHAnsi" w:cstheme="majorHAnsi"/>
          <w:bCs/>
          <w:sz w:val="20"/>
          <w:szCs w:val="18"/>
        </w:rPr>
        <w:t>(National Academies Press, 2021).</w:t>
      </w:r>
    </w:p>
    <w:p w14:paraId="7F997B6D" w14:textId="4E4DA6E4" w:rsidR="004A574C" w:rsidRPr="00FD69D8" w:rsidRDefault="004A574C" w:rsidP="004A574C">
      <w:pPr>
        <w:rPr>
          <w:rFonts w:asciiTheme="majorHAnsi" w:hAnsiTheme="majorHAnsi" w:cstheme="majorHAnsi"/>
          <w:bCs/>
          <w:sz w:val="20"/>
          <w:szCs w:val="18"/>
        </w:rPr>
      </w:pPr>
      <w:r w:rsidRPr="00FD69D8">
        <w:rPr>
          <w:rFonts w:asciiTheme="majorHAnsi" w:hAnsiTheme="majorHAnsi" w:cstheme="majorHAnsi"/>
          <w:bCs/>
          <w:sz w:val="20"/>
          <w:szCs w:val="18"/>
        </w:rPr>
        <w:t xml:space="preserve">This report evaluates the causes and consequences of the reported radiological incident and assesses the </w:t>
      </w:r>
      <w:r w:rsidR="004C068E" w:rsidRPr="00FD69D8">
        <w:rPr>
          <w:rFonts w:asciiTheme="majorHAnsi" w:hAnsiTheme="majorHAnsi" w:cstheme="majorHAnsi"/>
          <w:bCs/>
          <w:sz w:val="20"/>
          <w:szCs w:val="18"/>
        </w:rPr>
        <w:t>acceptability</w:t>
      </w:r>
      <w:r w:rsidRPr="00FD69D8">
        <w:rPr>
          <w:rFonts w:asciiTheme="majorHAnsi" w:hAnsiTheme="majorHAnsi" w:cstheme="majorHAnsi"/>
          <w:bCs/>
          <w:sz w:val="20"/>
          <w:szCs w:val="18"/>
        </w:rPr>
        <w:t xml:space="preserve"> of the safety arrangements associated with the irradiator.</w:t>
      </w:r>
    </w:p>
    <w:p w14:paraId="70059B07" w14:textId="77777777" w:rsidR="004A574C" w:rsidRPr="00FD69D8" w:rsidRDefault="004A574C" w:rsidP="002B2483">
      <w:pPr>
        <w:rPr>
          <w:rFonts w:asciiTheme="majorHAnsi" w:hAnsiTheme="majorHAnsi" w:cstheme="majorHAnsi"/>
          <w:bCs/>
          <w:sz w:val="20"/>
          <w:szCs w:val="18"/>
        </w:rPr>
      </w:pPr>
    </w:p>
    <w:p w14:paraId="37A86373" w14:textId="34814741" w:rsidR="00870A21" w:rsidRPr="00FD69D8" w:rsidRDefault="00FA293E"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Technical</w:t>
      </w:r>
      <w:r w:rsidR="0065125A" w:rsidRPr="00FD69D8">
        <w:rPr>
          <w:rFonts w:asciiTheme="majorHAnsi" w:hAnsiTheme="majorHAnsi" w:cstheme="majorHAnsi"/>
          <w:b/>
          <w:i/>
          <w:iCs/>
          <w:sz w:val="28"/>
          <w:szCs w:val="24"/>
          <w:u w:val="single"/>
        </w:rPr>
        <w:t xml:space="preserve"> Exposure</w:t>
      </w:r>
    </w:p>
    <w:p w14:paraId="4FD2D2CD" w14:textId="77777777" w:rsidR="007E3877" w:rsidRPr="00FD69D8" w:rsidRDefault="007E3877" w:rsidP="007E3877">
      <w:pPr>
        <w:rPr>
          <w:rFonts w:asciiTheme="majorHAnsi" w:hAnsiTheme="majorHAnsi" w:cstheme="majorHAnsi"/>
          <w:b/>
          <w:bCs/>
          <w:sz w:val="20"/>
          <w:szCs w:val="18"/>
        </w:rPr>
      </w:pPr>
      <w:r w:rsidRPr="00FD69D8">
        <w:rPr>
          <w:rFonts w:asciiTheme="majorHAnsi" w:hAnsiTheme="majorHAnsi" w:cstheme="majorHAnsi"/>
          <w:b/>
          <w:bCs/>
          <w:sz w:val="20"/>
          <w:szCs w:val="18"/>
        </w:rPr>
        <w:t>Caesium-137 Radiation Characteristics</w:t>
      </w:r>
    </w:p>
    <w:p w14:paraId="65EDDF28" w14:textId="2552E215" w:rsidR="007E3877" w:rsidRPr="00FD69D8" w:rsidRDefault="007E3877" w:rsidP="007E3877">
      <w:pPr>
        <w:rPr>
          <w:rFonts w:asciiTheme="majorHAnsi" w:hAnsiTheme="majorHAnsi" w:cstheme="majorHAnsi"/>
          <w:bCs/>
          <w:sz w:val="20"/>
          <w:szCs w:val="18"/>
        </w:rPr>
      </w:pPr>
      <w:r w:rsidRPr="00FD69D8">
        <w:rPr>
          <w:rFonts w:asciiTheme="majorHAnsi" w:hAnsiTheme="majorHAnsi" w:cstheme="majorHAnsi"/>
          <w:bCs/>
          <w:sz w:val="20"/>
          <w:szCs w:val="18"/>
        </w:rPr>
        <w:t>Caesium-137 is a beta-emitting radionuclide that decays to metastable barium-137m, which subsequently emits a 662 keV gamma photon. This gamma emission is the primary source of external radiation hazard</w:t>
      </w:r>
      <w:r w:rsidR="00B15B2C" w:rsidRPr="00FD69D8">
        <w:rPr>
          <w:rFonts w:asciiTheme="majorHAnsi" w:hAnsiTheme="majorHAnsi" w:cstheme="majorHAnsi"/>
          <w:bCs/>
          <w:sz w:val="20"/>
          <w:szCs w:val="18"/>
        </w:rPr>
        <w:t xml:space="preserve"> </w:t>
      </w:r>
      <w:r w:rsidR="00E1354D" w:rsidRPr="00E1354D">
        <w:rPr>
          <w:rFonts w:asciiTheme="majorHAnsi" w:hAnsiTheme="majorHAnsi" w:cstheme="majorHAnsi"/>
          <w:bCs/>
          <w:sz w:val="20"/>
          <w:szCs w:val="18"/>
        </w:rPr>
        <w:t>(</w:t>
      </w:r>
      <w:proofErr w:type="spellStart"/>
      <w:r w:rsidR="00E1354D" w:rsidRPr="00E1354D">
        <w:rPr>
          <w:rFonts w:asciiTheme="majorHAnsi" w:hAnsiTheme="majorHAnsi" w:cstheme="majorHAnsi"/>
          <w:bCs/>
          <w:sz w:val="20"/>
          <w:szCs w:val="18"/>
        </w:rPr>
        <w:t>Ionactive</w:t>
      </w:r>
      <w:proofErr w:type="spellEnd"/>
      <w:r w:rsidR="00E1354D" w:rsidRPr="00E1354D">
        <w:rPr>
          <w:rFonts w:asciiTheme="majorHAnsi" w:hAnsiTheme="majorHAnsi" w:cstheme="majorHAnsi"/>
          <w:bCs/>
          <w:sz w:val="20"/>
          <w:szCs w:val="18"/>
        </w:rPr>
        <w:t>, 2023).</w:t>
      </w:r>
    </w:p>
    <w:p w14:paraId="7196F5D1" w14:textId="77777777" w:rsidR="007E3877" w:rsidRPr="00FD69D8" w:rsidRDefault="007E3877" w:rsidP="007E3877">
      <w:pPr>
        <w:rPr>
          <w:rFonts w:asciiTheme="majorHAnsi" w:hAnsiTheme="majorHAnsi" w:cstheme="majorHAnsi"/>
          <w:bCs/>
          <w:sz w:val="20"/>
          <w:szCs w:val="18"/>
        </w:rPr>
      </w:pPr>
      <w:r w:rsidRPr="00FD69D8">
        <w:rPr>
          <w:rFonts w:asciiTheme="majorHAnsi" w:hAnsiTheme="majorHAnsi" w:cstheme="majorHAnsi"/>
          <w:bCs/>
          <w:sz w:val="20"/>
          <w:szCs w:val="18"/>
        </w:rPr>
        <w:t>Important characteristics include:</w:t>
      </w:r>
    </w:p>
    <w:p w14:paraId="47614F88" w14:textId="77777777" w:rsidR="007E3877" w:rsidRPr="00FD69D8" w:rsidRDefault="007E3877">
      <w:pPr>
        <w:numPr>
          <w:ilvl w:val="0"/>
          <w:numId w:val="1"/>
        </w:numPr>
        <w:rPr>
          <w:rFonts w:asciiTheme="majorHAnsi" w:hAnsiTheme="majorHAnsi" w:cstheme="majorHAnsi"/>
          <w:bCs/>
          <w:sz w:val="20"/>
          <w:szCs w:val="18"/>
        </w:rPr>
      </w:pPr>
      <w:r w:rsidRPr="00FD69D8">
        <w:rPr>
          <w:rFonts w:asciiTheme="majorHAnsi" w:hAnsiTheme="majorHAnsi" w:cstheme="majorHAnsi"/>
          <w:bCs/>
          <w:sz w:val="20"/>
          <w:szCs w:val="18"/>
        </w:rPr>
        <w:t>Half-life = 30.17 years.</w:t>
      </w:r>
    </w:p>
    <w:p w14:paraId="7B34F0F0" w14:textId="77777777" w:rsidR="007E3877" w:rsidRPr="00FD69D8" w:rsidRDefault="007E3877">
      <w:pPr>
        <w:numPr>
          <w:ilvl w:val="0"/>
          <w:numId w:val="1"/>
        </w:numPr>
        <w:rPr>
          <w:rFonts w:asciiTheme="majorHAnsi" w:hAnsiTheme="majorHAnsi" w:cstheme="majorHAnsi"/>
          <w:bCs/>
          <w:sz w:val="20"/>
          <w:szCs w:val="18"/>
        </w:rPr>
      </w:pPr>
      <w:r w:rsidRPr="00FD69D8">
        <w:rPr>
          <w:rFonts w:asciiTheme="majorHAnsi" w:hAnsiTheme="majorHAnsi" w:cstheme="majorHAnsi"/>
          <w:bCs/>
          <w:sz w:val="20"/>
          <w:szCs w:val="18"/>
        </w:rPr>
        <w:t>Principal gamma energy = 662 keV.</w:t>
      </w:r>
    </w:p>
    <w:p w14:paraId="390C33E7" w14:textId="77777777" w:rsidR="007E3877" w:rsidRPr="00FD69D8" w:rsidRDefault="007E3877">
      <w:pPr>
        <w:numPr>
          <w:ilvl w:val="0"/>
          <w:numId w:val="1"/>
        </w:numPr>
        <w:rPr>
          <w:rFonts w:asciiTheme="majorHAnsi" w:hAnsiTheme="majorHAnsi" w:cstheme="majorHAnsi"/>
          <w:bCs/>
          <w:sz w:val="20"/>
          <w:szCs w:val="18"/>
        </w:rPr>
      </w:pPr>
      <w:r w:rsidRPr="00FD69D8">
        <w:rPr>
          <w:rFonts w:asciiTheme="majorHAnsi" w:hAnsiTheme="majorHAnsi" w:cstheme="majorHAnsi"/>
          <w:bCs/>
          <w:sz w:val="20"/>
          <w:szCs w:val="18"/>
        </w:rPr>
        <w:t>Long operational lifetime.</w:t>
      </w:r>
    </w:p>
    <w:p w14:paraId="2430038E" w14:textId="07E94925" w:rsidR="007E3877" w:rsidRPr="00FD69D8" w:rsidRDefault="007E3877">
      <w:pPr>
        <w:numPr>
          <w:ilvl w:val="0"/>
          <w:numId w:val="1"/>
        </w:numPr>
        <w:rPr>
          <w:rFonts w:asciiTheme="majorHAnsi" w:hAnsiTheme="majorHAnsi" w:cstheme="majorHAnsi"/>
          <w:bCs/>
          <w:sz w:val="20"/>
          <w:szCs w:val="18"/>
        </w:rPr>
      </w:pPr>
      <w:r w:rsidRPr="00FD69D8">
        <w:rPr>
          <w:rFonts w:asciiTheme="majorHAnsi" w:hAnsiTheme="majorHAnsi" w:cstheme="majorHAnsi"/>
          <w:bCs/>
          <w:sz w:val="20"/>
          <w:szCs w:val="18"/>
        </w:rPr>
        <w:t>High penetrating capability requiring dense shielding materials such as lead.</w:t>
      </w:r>
      <w:r w:rsidR="00EB14F7" w:rsidRPr="00FD69D8">
        <w:rPr>
          <w:rFonts w:asciiTheme="majorHAnsi" w:hAnsiTheme="majorHAnsi" w:cstheme="majorHAnsi"/>
          <w:bCs/>
          <w:sz w:val="20"/>
          <w:szCs w:val="18"/>
        </w:rPr>
        <w:t xml:space="preserve"> </w:t>
      </w:r>
      <w:r w:rsidR="00E1354D" w:rsidRPr="00E1354D">
        <w:rPr>
          <w:rFonts w:asciiTheme="majorHAnsi" w:hAnsiTheme="majorHAnsi" w:cstheme="majorHAnsi"/>
          <w:bCs/>
          <w:sz w:val="20"/>
          <w:szCs w:val="18"/>
        </w:rPr>
        <w:t>(</w:t>
      </w:r>
      <w:proofErr w:type="spellStart"/>
      <w:r w:rsidR="00E1354D" w:rsidRPr="00E1354D">
        <w:rPr>
          <w:rFonts w:asciiTheme="majorHAnsi" w:hAnsiTheme="majorHAnsi" w:cstheme="majorHAnsi"/>
          <w:bCs/>
          <w:sz w:val="20"/>
          <w:szCs w:val="18"/>
        </w:rPr>
        <w:t>Ionactive</w:t>
      </w:r>
      <w:proofErr w:type="spellEnd"/>
      <w:r w:rsidR="00E1354D" w:rsidRPr="00E1354D">
        <w:rPr>
          <w:rFonts w:asciiTheme="majorHAnsi" w:hAnsiTheme="majorHAnsi" w:cstheme="majorHAnsi"/>
          <w:bCs/>
          <w:sz w:val="20"/>
          <w:szCs w:val="18"/>
        </w:rPr>
        <w:t>, 2023).</w:t>
      </w:r>
    </w:p>
    <w:p w14:paraId="7C3B8606" w14:textId="77777777" w:rsidR="00EB14F7" w:rsidRPr="00FD69D8" w:rsidRDefault="00EB14F7" w:rsidP="00EB14F7">
      <w:pPr>
        <w:rPr>
          <w:rFonts w:asciiTheme="majorHAnsi" w:hAnsiTheme="majorHAnsi" w:cstheme="majorHAnsi"/>
          <w:bCs/>
          <w:sz w:val="20"/>
          <w:szCs w:val="18"/>
        </w:rPr>
      </w:pPr>
    </w:p>
    <w:p w14:paraId="73B75F36" w14:textId="77777777" w:rsidR="00EB14F7" w:rsidRPr="00FD69D8" w:rsidRDefault="00EB14F7" w:rsidP="00EB14F7">
      <w:pPr>
        <w:rPr>
          <w:rFonts w:asciiTheme="majorHAnsi" w:hAnsiTheme="majorHAnsi" w:cstheme="majorHAnsi"/>
          <w:bCs/>
          <w:sz w:val="20"/>
          <w:szCs w:val="18"/>
        </w:rPr>
      </w:pPr>
    </w:p>
    <w:p w14:paraId="610521DF" w14:textId="01980C44" w:rsidR="007E3877" w:rsidRPr="00FD69D8" w:rsidRDefault="007E3877" w:rsidP="007E3877">
      <w:pPr>
        <w:rPr>
          <w:rFonts w:asciiTheme="majorHAnsi" w:hAnsiTheme="majorHAnsi" w:cstheme="majorHAnsi"/>
          <w:b/>
          <w:bCs/>
          <w:sz w:val="20"/>
          <w:szCs w:val="18"/>
        </w:rPr>
      </w:pPr>
      <w:r w:rsidRPr="00FD69D8">
        <w:rPr>
          <w:rFonts w:asciiTheme="majorHAnsi" w:hAnsiTheme="majorHAnsi" w:cstheme="majorHAnsi"/>
          <w:b/>
          <w:bCs/>
          <w:sz w:val="20"/>
          <w:szCs w:val="18"/>
        </w:rPr>
        <w:t>Radiation Attenuation</w:t>
      </w:r>
    </w:p>
    <w:p w14:paraId="1CF14633" w14:textId="13C87B5B" w:rsidR="007E3877" w:rsidRPr="00FD69D8" w:rsidRDefault="007E3877" w:rsidP="007E3877">
      <w:pPr>
        <w:rPr>
          <w:rFonts w:asciiTheme="majorHAnsi" w:hAnsiTheme="majorHAnsi" w:cstheme="majorHAnsi"/>
          <w:bCs/>
          <w:sz w:val="20"/>
          <w:szCs w:val="18"/>
        </w:rPr>
      </w:pPr>
      <w:r w:rsidRPr="00FD69D8">
        <w:rPr>
          <w:rFonts w:asciiTheme="majorHAnsi" w:hAnsiTheme="majorHAnsi" w:cstheme="majorHAnsi"/>
          <w:bCs/>
          <w:sz w:val="20"/>
          <w:szCs w:val="18"/>
        </w:rPr>
        <w:t>Gamma radiation intensity is reduced through:</w:t>
      </w:r>
    </w:p>
    <w:p w14:paraId="6F1ED25D" w14:textId="0A7833EF" w:rsidR="007E3877" w:rsidRPr="00FD69D8" w:rsidRDefault="007E3877">
      <w:pPr>
        <w:pStyle w:val="ListParagraph"/>
        <w:numPr>
          <w:ilvl w:val="0"/>
          <w:numId w:val="2"/>
        </w:numPr>
        <w:rPr>
          <w:rFonts w:asciiTheme="majorHAnsi" w:hAnsiTheme="majorHAnsi" w:cstheme="majorHAnsi"/>
          <w:b/>
          <w:bCs/>
          <w:sz w:val="20"/>
          <w:szCs w:val="18"/>
        </w:rPr>
      </w:pPr>
      <w:r w:rsidRPr="00FD69D8">
        <w:rPr>
          <w:rFonts w:asciiTheme="majorHAnsi" w:hAnsiTheme="majorHAnsi" w:cstheme="majorHAnsi"/>
          <w:b/>
          <w:bCs/>
          <w:sz w:val="20"/>
          <w:szCs w:val="18"/>
        </w:rPr>
        <w:t>Time</w:t>
      </w:r>
    </w:p>
    <w:p w14:paraId="79CE3547" w14:textId="6628851B" w:rsidR="00EB14F7" w:rsidRPr="00FD69D8" w:rsidRDefault="007E3877" w:rsidP="00EB14F7">
      <w:pPr>
        <w:ind w:left="720"/>
        <w:rPr>
          <w:rFonts w:asciiTheme="majorHAnsi" w:hAnsiTheme="majorHAnsi" w:cstheme="majorHAnsi"/>
          <w:bCs/>
          <w:sz w:val="20"/>
          <w:szCs w:val="18"/>
        </w:rPr>
      </w:pPr>
      <w:r w:rsidRPr="00FD69D8">
        <w:rPr>
          <w:rFonts w:asciiTheme="majorHAnsi" w:hAnsiTheme="majorHAnsi" w:cstheme="majorHAnsi"/>
          <w:bCs/>
          <w:sz w:val="20"/>
          <w:szCs w:val="18"/>
        </w:rPr>
        <w:t>Reducing exposure duration reduces dose proportionally.</w:t>
      </w:r>
    </w:p>
    <w:p w14:paraId="204E00B2" w14:textId="791CF8CD" w:rsidR="007E3877" w:rsidRPr="00FD69D8" w:rsidRDefault="007E3877">
      <w:pPr>
        <w:pStyle w:val="ListParagraph"/>
        <w:numPr>
          <w:ilvl w:val="0"/>
          <w:numId w:val="3"/>
        </w:numPr>
        <w:rPr>
          <w:rFonts w:asciiTheme="majorHAnsi" w:hAnsiTheme="majorHAnsi" w:cstheme="majorHAnsi"/>
          <w:b/>
          <w:bCs/>
          <w:sz w:val="20"/>
          <w:szCs w:val="18"/>
        </w:rPr>
      </w:pPr>
      <w:r w:rsidRPr="00FD69D8">
        <w:rPr>
          <w:rFonts w:asciiTheme="majorHAnsi" w:hAnsiTheme="majorHAnsi" w:cstheme="majorHAnsi"/>
          <w:b/>
          <w:bCs/>
          <w:sz w:val="20"/>
          <w:szCs w:val="18"/>
        </w:rPr>
        <w:t>Distance</w:t>
      </w:r>
    </w:p>
    <w:p w14:paraId="6B7D72F2" w14:textId="6781D013" w:rsidR="007E3877" w:rsidRPr="00FD69D8" w:rsidRDefault="004103F8" w:rsidP="00EB14F7">
      <w:pPr>
        <w:ind w:firstLine="720"/>
        <w:rPr>
          <w:rFonts w:asciiTheme="majorHAnsi" w:hAnsiTheme="majorHAnsi" w:cstheme="majorHAnsi"/>
          <w:bCs/>
          <w:sz w:val="20"/>
          <w:szCs w:val="18"/>
        </w:rPr>
      </w:pPr>
      <w:r w:rsidRPr="00FD69D8">
        <w:rPr>
          <w:rFonts w:asciiTheme="majorHAnsi" w:hAnsiTheme="majorHAnsi" w:cstheme="majorHAnsi"/>
          <w:b/>
          <w:bCs/>
          <w:noProof/>
          <w:sz w:val="20"/>
          <w:szCs w:val="18"/>
        </w:rPr>
        <mc:AlternateContent>
          <mc:Choice Requires="wps">
            <w:drawing>
              <wp:anchor distT="45720" distB="45720" distL="114300" distR="114300" simplePos="0" relativeHeight="251659264" behindDoc="0" locked="0" layoutInCell="1" allowOverlap="1" wp14:anchorId="6DE2A98D" wp14:editId="3F494CB2">
                <wp:simplePos x="0" y="0"/>
                <wp:positionH relativeFrom="column">
                  <wp:posOffset>5259705</wp:posOffset>
                </wp:positionH>
                <wp:positionV relativeFrom="paragraph">
                  <wp:posOffset>360680</wp:posOffset>
                </wp:positionV>
                <wp:extent cx="1176655" cy="687705"/>
                <wp:effectExtent l="0" t="0" r="2349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6655" cy="687705"/>
                        </a:xfrm>
                        <a:prstGeom prst="rect">
                          <a:avLst/>
                        </a:prstGeom>
                        <a:solidFill>
                          <a:srgbClr val="FFFFFF"/>
                        </a:solidFill>
                        <a:ln w="9525">
                          <a:solidFill>
                            <a:srgbClr val="000000"/>
                          </a:solidFill>
                          <a:miter lim="800000"/>
                          <a:headEnd/>
                          <a:tailEnd/>
                        </a:ln>
                      </wps:spPr>
                      <wps:txbx>
                        <w:txbxContent>
                          <w:p w14:paraId="65D3AC8F" w14:textId="4DD1C899" w:rsidR="004103F8" w:rsidRDefault="00E1354D">
                            <w:r w:rsidRPr="00E1354D">
                              <w:t>(</w:t>
                            </w:r>
                            <w:proofErr w:type="spellStart"/>
                            <w:r w:rsidRPr="00E1354D">
                              <w:t>Ionactive</w:t>
                            </w:r>
                            <w:proofErr w:type="spellEnd"/>
                            <w:r w:rsidRPr="00E1354D">
                              <w: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E2A98D" id="_x0000_t202" coordsize="21600,21600" o:spt="202" path="m,l,21600r21600,l21600,xe">
                <v:stroke joinstyle="miter"/>
                <v:path gradientshapeok="t" o:connecttype="rect"/>
              </v:shapetype>
              <v:shape id="Text Box 2" o:spid="_x0000_s1026" type="#_x0000_t202" style="position:absolute;left:0;text-align:left;margin-left:414.15pt;margin-top:28.4pt;width:92.65pt;height:54.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">
                <v:textbox>
                  <w:txbxContent>
                    <w:p w14:paraId="65D3AC8F" w14:textId="4DD1C899" w:rsidR="004103F8" w:rsidRDefault="00E1354D">
                      <w:r w:rsidRPr="00E1354D">
                        <w:t>(</w:t>
                      </w:r>
                      <w:proofErr w:type="spellStart"/>
                      <w:r w:rsidRPr="00E1354D">
                        <w:t>Ionactive</w:t>
                      </w:r>
                      <w:proofErr w:type="spellEnd"/>
                      <w:r w:rsidRPr="00E1354D">
                        <w:t>, 2023).</w:t>
                      </w:r>
                    </w:p>
                  </w:txbxContent>
                </v:textbox>
                <w10:wrap type="square"/>
              </v:shape>
            </w:pict>
          </mc:Fallback>
        </mc:AlternateContent>
      </w:r>
      <w:r w:rsidR="007E3877" w:rsidRPr="00FD69D8">
        <w:rPr>
          <w:rFonts w:asciiTheme="majorHAnsi" w:hAnsiTheme="majorHAnsi" w:cstheme="majorHAnsi"/>
          <w:bCs/>
          <w:sz w:val="20"/>
          <w:szCs w:val="18"/>
        </w:rPr>
        <w:t>Radiation intensity follows the inverse square law:</w:t>
      </w:r>
    </w:p>
    <w:p w14:paraId="46AF964A" w14:textId="419826C3" w:rsidR="007E3877" w:rsidRPr="00FD69D8" w:rsidRDefault="007E3877" w:rsidP="007E3877">
      <w:pPr>
        <w:rPr>
          <w:rFonts w:asciiTheme="majorHAnsi" w:hAnsiTheme="majorHAnsi" w:cstheme="majorHAnsi"/>
          <w:bCs/>
          <w:sz w:val="20"/>
          <w:szCs w:val="18"/>
        </w:rPr>
      </w:pPr>
      <m:oMathPara>
        <m:oMath>
          <m:r>
            <w:rPr>
              <w:rFonts w:ascii="Cambria Math" w:hAnsi="Cambria Math" w:cstheme="majorHAnsi"/>
              <w:sz w:val="20"/>
              <w:szCs w:val="18"/>
            </w:rPr>
            <m:t>I∝</m:t>
          </m:r>
          <m:f>
            <m:fPr>
              <m:ctrlPr>
                <w:rPr>
                  <w:rFonts w:ascii="Cambria Math" w:hAnsi="Cambria Math" w:cstheme="majorHAnsi"/>
                  <w:bCs/>
                  <w:sz w:val="20"/>
                  <w:szCs w:val="18"/>
                </w:rPr>
              </m:ctrlPr>
            </m:fPr>
            <m:num>
              <m:r>
                <w:rPr>
                  <w:rFonts w:ascii="Cambria Math" w:hAnsi="Cambria Math" w:cstheme="majorHAnsi"/>
                  <w:sz w:val="20"/>
                  <w:szCs w:val="18"/>
                </w:rPr>
                <m:t>1</m:t>
              </m:r>
            </m:num>
            <m:den>
              <m:sSup>
                <m:sSupPr>
                  <m:ctrlPr>
                    <w:rPr>
                      <w:rFonts w:ascii="Cambria Math" w:hAnsi="Cambria Math" w:cstheme="majorHAnsi"/>
                      <w:bCs/>
                      <w:sz w:val="20"/>
                      <w:szCs w:val="18"/>
                    </w:rPr>
                  </m:ctrlPr>
                </m:sSupPr>
                <m:e>
                  <m:r>
                    <w:rPr>
                      <w:rFonts w:ascii="Cambria Math" w:hAnsi="Cambria Math" w:cstheme="majorHAnsi"/>
                      <w:sz w:val="20"/>
                      <w:szCs w:val="18"/>
                    </w:rPr>
                    <m:t>r</m:t>
                  </m:r>
                </m:e>
                <m:sup>
                  <m:r>
                    <w:rPr>
                      <w:rFonts w:ascii="Cambria Math" w:hAnsi="Cambria Math" w:cstheme="majorHAnsi"/>
                      <w:sz w:val="20"/>
                      <w:szCs w:val="18"/>
                    </w:rPr>
                    <m:t>2</m:t>
                  </m:r>
                </m:sup>
              </m:sSup>
            </m:den>
          </m:f>
          <m:r>
            <m:rPr>
              <m:sty m:val="p"/>
            </m:rPr>
            <w:rPr>
              <w:rFonts w:asciiTheme="majorHAnsi" w:hAnsiTheme="majorHAnsi" w:cstheme="majorHAnsi"/>
              <w:sz w:val="20"/>
              <w:szCs w:val="18"/>
            </w:rPr>
            <w:br/>
          </m:r>
        </m:oMath>
      </m:oMathPara>
    </w:p>
    <w:p w14:paraId="59256FC5" w14:textId="77777777" w:rsidR="007E3877" w:rsidRPr="00FD69D8" w:rsidRDefault="007E3877" w:rsidP="007E3877">
      <w:pPr>
        <w:rPr>
          <w:rFonts w:asciiTheme="majorHAnsi" w:hAnsiTheme="majorHAnsi" w:cstheme="majorHAnsi"/>
          <w:bCs/>
          <w:sz w:val="20"/>
          <w:szCs w:val="18"/>
        </w:rPr>
      </w:pPr>
      <w:r w:rsidRPr="00FD69D8">
        <w:rPr>
          <w:rFonts w:asciiTheme="majorHAnsi" w:hAnsiTheme="majorHAnsi" w:cstheme="majorHAnsi"/>
          <w:bCs/>
          <w:sz w:val="20"/>
          <w:szCs w:val="18"/>
        </w:rPr>
        <w:t>Doubling distance reduces dose rate by a factor of four.</w:t>
      </w:r>
    </w:p>
    <w:p w14:paraId="082CEBD4" w14:textId="77777777" w:rsidR="000C6B16" w:rsidRPr="00FD69D8" w:rsidRDefault="000C6B16" w:rsidP="007E3877">
      <w:pPr>
        <w:rPr>
          <w:rFonts w:asciiTheme="majorHAnsi" w:hAnsiTheme="majorHAnsi" w:cstheme="majorHAnsi"/>
          <w:bCs/>
          <w:sz w:val="20"/>
          <w:szCs w:val="18"/>
        </w:rPr>
      </w:pPr>
    </w:p>
    <w:p w14:paraId="0C3DBF12" w14:textId="77777777" w:rsidR="007E3877" w:rsidRPr="00FD69D8" w:rsidRDefault="007E3877">
      <w:pPr>
        <w:pStyle w:val="ListParagraph"/>
        <w:numPr>
          <w:ilvl w:val="0"/>
          <w:numId w:val="3"/>
        </w:numPr>
        <w:rPr>
          <w:rFonts w:asciiTheme="majorHAnsi" w:hAnsiTheme="majorHAnsi" w:cstheme="majorHAnsi"/>
          <w:b/>
          <w:bCs/>
          <w:sz w:val="20"/>
          <w:szCs w:val="18"/>
        </w:rPr>
      </w:pPr>
      <w:r w:rsidRPr="00FD69D8">
        <w:rPr>
          <w:rFonts w:asciiTheme="majorHAnsi" w:hAnsiTheme="majorHAnsi" w:cstheme="majorHAnsi"/>
          <w:b/>
          <w:bCs/>
          <w:sz w:val="20"/>
          <w:szCs w:val="18"/>
        </w:rPr>
        <w:t>Shielding</w:t>
      </w:r>
    </w:p>
    <w:p w14:paraId="37D7DB99" w14:textId="4C4F33F1" w:rsidR="007E3877" w:rsidRPr="00FD69D8" w:rsidRDefault="007E3877" w:rsidP="000C6B16">
      <w:pPr>
        <w:ind w:left="720"/>
        <w:rPr>
          <w:rFonts w:asciiTheme="majorHAnsi" w:hAnsiTheme="majorHAnsi" w:cstheme="majorHAnsi"/>
          <w:bCs/>
          <w:sz w:val="20"/>
          <w:szCs w:val="18"/>
        </w:rPr>
      </w:pPr>
      <w:r w:rsidRPr="00FD69D8">
        <w:rPr>
          <w:rFonts w:asciiTheme="majorHAnsi" w:hAnsiTheme="majorHAnsi" w:cstheme="majorHAnsi"/>
          <w:bCs/>
          <w:sz w:val="20"/>
          <w:szCs w:val="18"/>
        </w:rPr>
        <w:t>Lead shielding attenuates gamma radiation through absorption and scattering processes. The irradiator uses both a primary shield and a secondary shutter system to minimise external dose rates</w:t>
      </w:r>
      <w:r w:rsidR="002618AB" w:rsidRPr="00FD69D8">
        <w:rPr>
          <w:rFonts w:asciiTheme="majorHAnsi" w:hAnsiTheme="majorHAnsi" w:cstheme="majorHAnsi"/>
          <w:bCs/>
          <w:sz w:val="20"/>
          <w:szCs w:val="18"/>
        </w:rPr>
        <w:t xml:space="preserve"> </w:t>
      </w:r>
      <w:r w:rsidR="00D95588" w:rsidRPr="00D95588">
        <w:rPr>
          <w:rFonts w:asciiTheme="majorHAnsi" w:hAnsiTheme="majorHAnsi" w:cstheme="majorHAnsi"/>
          <w:bCs/>
          <w:sz w:val="20"/>
          <w:szCs w:val="18"/>
        </w:rPr>
        <w:t>(US EPA, 2025).</w:t>
      </w:r>
    </w:p>
    <w:p w14:paraId="6F10500D" w14:textId="77777777" w:rsidR="007E3877" w:rsidRPr="00FD69D8" w:rsidRDefault="007E3877">
      <w:pPr>
        <w:pStyle w:val="ListParagraph"/>
        <w:numPr>
          <w:ilvl w:val="0"/>
          <w:numId w:val="3"/>
        </w:numPr>
        <w:rPr>
          <w:rFonts w:asciiTheme="majorHAnsi" w:hAnsiTheme="majorHAnsi" w:cstheme="majorHAnsi"/>
          <w:b/>
          <w:bCs/>
          <w:sz w:val="20"/>
          <w:szCs w:val="18"/>
        </w:rPr>
      </w:pPr>
      <w:r w:rsidRPr="00FD69D8">
        <w:rPr>
          <w:rFonts w:asciiTheme="majorHAnsi" w:hAnsiTheme="majorHAnsi" w:cstheme="majorHAnsi"/>
          <w:b/>
          <w:bCs/>
          <w:sz w:val="20"/>
          <w:szCs w:val="18"/>
        </w:rPr>
        <w:t>Point Source Assumption</w:t>
      </w:r>
    </w:p>
    <w:p w14:paraId="5FDBE9E6" w14:textId="388C528D" w:rsidR="007E3877" w:rsidRPr="00FD69D8" w:rsidRDefault="007E3877" w:rsidP="000C6B16">
      <w:pPr>
        <w:ind w:left="720"/>
        <w:rPr>
          <w:rFonts w:asciiTheme="majorHAnsi" w:hAnsiTheme="majorHAnsi" w:cstheme="majorHAnsi"/>
          <w:bCs/>
          <w:sz w:val="20"/>
          <w:szCs w:val="18"/>
        </w:rPr>
      </w:pPr>
      <w:r w:rsidRPr="00FD69D8">
        <w:rPr>
          <w:rFonts w:asciiTheme="majorHAnsi" w:hAnsiTheme="majorHAnsi" w:cstheme="majorHAnsi"/>
          <w:bCs/>
          <w:sz w:val="20"/>
          <w:szCs w:val="18"/>
        </w:rPr>
        <w:t>For dose-rate calculations the source may be approximated as a point source. This</w:t>
      </w:r>
      <w:r w:rsidR="00EC06E7" w:rsidRPr="00FD69D8">
        <w:rPr>
          <w:rFonts w:asciiTheme="majorHAnsi" w:hAnsiTheme="majorHAnsi" w:cstheme="majorHAnsi"/>
          <w:bCs/>
          <w:sz w:val="20"/>
          <w:szCs w:val="18"/>
        </w:rPr>
        <w:t xml:space="preserve"> makes</w:t>
      </w:r>
      <w:r w:rsidRPr="00FD69D8">
        <w:rPr>
          <w:rFonts w:asciiTheme="majorHAnsi" w:hAnsiTheme="majorHAnsi" w:cstheme="majorHAnsi"/>
          <w:bCs/>
          <w:sz w:val="20"/>
          <w:szCs w:val="18"/>
        </w:rPr>
        <w:t xml:space="preserve"> calculations </w:t>
      </w:r>
      <w:r w:rsidR="00EC06E7" w:rsidRPr="00FD69D8">
        <w:rPr>
          <w:rFonts w:asciiTheme="majorHAnsi" w:hAnsiTheme="majorHAnsi" w:cstheme="majorHAnsi"/>
          <w:bCs/>
          <w:sz w:val="20"/>
          <w:szCs w:val="18"/>
        </w:rPr>
        <w:t xml:space="preserve">simple </w:t>
      </w:r>
      <w:r w:rsidRPr="00FD69D8">
        <w:rPr>
          <w:rFonts w:asciiTheme="majorHAnsi" w:hAnsiTheme="majorHAnsi" w:cstheme="majorHAnsi"/>
          <w:bCs/>
          <w:sz w:val="20"/>
          <w:szCs w:val="18"/>
        </w:rPr>
        <w:t>but introduces uncertainty because the actual source assembly</w:t>
      </w:r>
      <w:r w:rsidR="00EC06E7" w:rsidRPr="00FD69D8">
        <w:rPr>
          <w:rFonts w:asciiTheme="majorHAnsi" w:hAnsiTheme="majorHAnsi" w:cstheme="majorHAnsi"/>
          <w:bCs/>
          <w:sz w:val="20"/>
          <w:szCs w:val="18"/>
        </w:rPr>
        <w:t xml:space="preserve"> has</w:t>
      </w:r>
      <w:r w:rsidRPr="00FD69D8">
        <w:rPr>
          <w:rFonts w:asciiTheme="majorHAnsi" w:hAnsiTheme="majorHAnsi" w:cstheme="majorHAnsi"/>
          <w:bCs/>
          <w:sz w:val="20"/>
          <w:szCs w:val="18"/>
        </w:rPr>
        <w:t xml:space="preserve"> multiple source pencils distributed over a </w:t>
      </w:r>
      <w:r w:rsidR="007D493B" w:rsidRPr="00FD69D8">
        <w:rPr>
          <w:rFonts w:asciiTheme="majorHAnsi" w:hAnsiTheme="majorHAnsi" w:cstheme="majorHAnsi"/>
          <w:bCs/>
          <w:sz w:val="20"/>
          <w:szCs w:val="18"/>
        </w:rPr>
        <w:t>similar</w:t>
      </w:r>
      <w:r w:rsidRPr="00FD69D8">
        <w:rPr>
          <w:rFonts w:asciiTheme="majorHAnsi" w:hAnsiTheme="majorHAnsi" w:cstheme="majorHAnsi"/>
          <w:bCs/>
          <w:sz w:val="20"/>
          <w:szCs w:val="18"/>
        </w:rPr>
        <w:t xml:space="preserve"> volume. At distances much </w:t>
      </w:r>
      <w:r w:rsidR="007D493B" w:rsidRPr="00FD69D8">
        <w:rPr>
          <w:rFonts w:asciiTheme="majorHAnsi" w:hAnsiTheme="majorHAnsi" w:cstheme="majorHAnsi"/>
          <w:bCs/>
          <w:sz w:val="20"/>
          <w:szCs w:val="18"/>
        </w:rPr>
        <w:t>bigger</w:t>
      </w:r>
      <w:r w:rsidRPr="00FD69D8">
        <w:rPr>
          <w:rFonts w:asciiTheme="majorHAnsi" w:hAnsiTheme="majorHAnsi" w:cstheme="majorHAnsi"/>
          <w:bCs/>
          <w:sz w:val="20"/>
          <w:szCs w:val="18"/>
        </w:rPr>
        <w:t xml:space="preserve"> than source dimensions, the approximat</w:t>
      </w:r>
      <w:r w:rsidR="007D493B" w:rsidRPr="00FD69D8">
        <w:rPr>
          <w:rFonts w:asciiTheme="majorHAnsi" w:hAnsiTheme="majorHAnsi" w:cstheme="majorHAnsi"/>
          <w:bCs/>
          <w:sz w:val="20"/>
          <w:szCs w:val="18"/>
        </w:rPr>
        <w:t>e</w:t>
      </w:r>
      <w:r w:rsidRPr="00FD69D8">
        <w:rPr>
          <w:rFonts w:asciiTheme="majorHAnsi" w:hAnsiTheme="majorHAnsi" w:cstheme="majorHAnsi"/>
          <w:bCs/>
          <w:sz w:val="20"/>
          <w:szCs w:val="18"/>
        </w:rPr>
        <w:t xml:space="preserve"> becomes valid. At 0.5 m and 0.9 m, some deviation from ideal point-source behaviour should be expected.</w:t>
      </w:r>
    </w:p>
    <w:p w14:paraId="6423768E" w14:textId="77777777" w:rsidR="003F3A0E" w:rsidRPr="00FD69D8" w:rsidRDefault="003F3A0E" w:rsidP="002B2483">
      <w:pPr>
        <w:rPr>
          <w:rFonts w:asciiTheme="majorHAnsi" w:hAnsiTheme="majorHAnsi" w:cstheme="majorHAnsi"/>
          <w:bCs/>
          <w:sz w:val="20"/>
          <w:szCs w:val="18"/>
        </w:rPr>
      </w:pPr>
    </w:p>
    <w:p w14:paraId="6ECE5F7B" w14:textId="77777777" w:rsidR="007E3877" w:rsidRPr="00FD69D8" w:rsidRDefault="007E3877" w:rsidP="002B2483">
      <w:pPr>
        <w:rPr>
          <w:rFonts w:asciiTheme="majorHAnsi" w:hAnsiTheme="majorHAnsi" w:cstheme="majorHAnsi"/>
          <w:b/>
          <w:i/>
          <w:iCs/>
          <w:sz w:val="28"/>
          <w:szCs w:val="24"/>
          <w:u w:val="single"/>
        </w:rPr>
      </w:pPr>
    </w:p>
    <w:p w14:paraId="3627F9BD" w14:textId="627C309F" w:rsidR="003B7CD4" w:rsidRPr="00FD69D8" w:rsidRDefault="0065125A"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Case Analysis</w:t>
      </w:r>
    </w:p>
    <w:p w14:paraId="566DDDB7" w14:textId="77777777" w:rsidR="00D7486B" w:rsidRPr="00FD69D8" w:rsidRDefault="00D7486B" w:rsidP="00D7486B">
      <w:pPr>
        <w:rPr>
          <w:rFonts w:asciiTheme="majorHAnsi" w:hAnsiTheme="majorHAnsi" w:cstheme="majorHAnsi"/>
          <w:b/>
          <w:bCs/>
          <w:sz w:val="20"/>
          <w:szCs w:val="18"/>
        </w:rPr>
      </w:pPr>
      <w:r w:rsidRPr="00FD69D8">
        <w:rPr>
          <w:rFonts w:asciiTheme="majorHAnsi" w:hAnsiTheme="majorHAnsi" w:cstheme="majorHAnsi"/>
          <w:b/>
          <w:bCs/>
          <w:sz w:val="20"/>
          <w:szCs w:val="18"/>
        </w:rPr>
        <w:t>Source Activity at the Time of the Incident</w:t>
      </w:r>
    </w:p>
    <w:p w14:paraId="4FDFA739" w14:textId="78F0694D" w:rsidR="00D7486B" w:rsidRPr="00FD69D8" w:rsidRDefault="00D7486B" w:rsidP="00D7486B">
      <w:pPr>
        <w:rPr>
          <w:rFonts w:asciiTheme="majorHAnsi" w:hAnsiTheme="majorHAnsi" w:cstheme="majorHAnsi"/>
          <w:bCs/>
          <w:sz w:val="20"/>
          <w:szCs w:val="18"/>
        </w:rPr>
      </w:pPr>
      <w:r w:rsidRPr="00FD69D8">
        <w:rPr>
          <w:rFonts w:asciiTheme="majorHAnsi" w:hAnsiTheme="majorHAnsi" w:cstheme="majorHAnsi"/>
          <w:bCs/>
          <w:sz w:val="20"/>
          <w:szCs w:val="18"/>
        </w:rPr>
        <w:t xml:space="preserve">The blood irradiator contained a Caesium-137 source with an original activity of 240 </w:t>
      </w:r>
      <w:proofErr w:type="spellStart"/>
      <w:r w:rsidRPr="00FD69D8">
        <w:rPr>
          <w:rFonts w:asciiTheme="majorHAnsi" w:hAnsiTheme="majorHAnsi" w:cstheme="majorHAnsi"/>
          <w:bCs/>
          <w:sz w:val="20"/>
          <w:szCs w:val="18"/>
        </w:rPr>
        <w:t>TBq</w:t>
      </w:r>
      <w:proofErr w:type="spellEnd"/>
      <w:r w:rsidRPr="00FD69D8">
        <w:rPr>
          <w:rFonts w:asciiTheme="majorHAnsi" w:hAnsiTheme="majorHAnsi" w:cstheme="majorHAnsi"/>
          <w:bCs/>
          <w:sz w:val="20"/>
          <w:szCs w:val="18"/>
        </w:rPr>
        <w:t xml:space="preserve">, certified on 12 May 1994. The incident occurred on 3 February 2025. Because radioactive materials decay over time, the source activity would have decreased since installation. </w:t>
      </w:r>
    </w:p>
    <w:p w14:paraId="521F0535" w14:textId="77777777" w:rsidR="00D7486B" w:rsidRPr="00FD69D8" w:rsidRDefault="00D7486B" w:rsidP="00D7486B">
      <w:pPr>
        <w:rPr>
          <w:rFonts w:asciiTheme="majorHAnsi" w:hAnsiTheme="majorHAnsi" w:cstheme="majorHAnsi"/>
          <w:bCs/>
          <w:sz w:val="20"/>
          <w:szCs w:val="18"/>
        </w:rPr>
      </w:pPr>
      <w:r w:rsidRPr="00FD69D8">
        <w:rPr>
          <w:rFonts w:asciiTheme="majorHAnsi" w:hAnsiTheme="majorHAnsi" w:cstheme="majorHAnsi"/>
          <w:bCs/>
          <w:sz w:val="20"/>
          <w:szCs w:val="18"/>
        </w:rPr>
        <w:t xml:space="preserve">Using the radioactive decay equation and the Cs-137 half-life of 30.17 years, the activity at the time of the incident was calculated to be approximately </w:t>
      </w:r>
      <w:r w:rsidRPr="00FD69D8">
        <w:rPr>
          <w:rFonts w:asciiTheme="majorHAnsi" w:hAnsiTheme="majorHAnsi" w:cstheme="majorHAnsi"/>
          <w:b/>
          <w:bCs/>
          <w:sz w:val="20"/>
          <w:szCs w:val="18"/>
        </w:rPr>
        <w:t xml:space="preserve">118 </w:t>
      </w:r>
      <w:proofErr w:type="spellStart"/>
      <w:r w:rsidRPr="00FD69D8">
        <w:rPr>
          <w:rFonts w:asciiTheme="majorHAnsi" w:hAnsiTheme="majorHAnsi" w:cstheme="majorHAnsi"/>
          <w:b/>
          <w:bCs/>
          <w:sz w:val="20"/>
          <w:szCs w:val="18"/>
        </w:rPr>
        <w:t>TBq</w:t>
      </w:r>
      <w:proofErr w:type="spellEnd"/>
      <w:r w:rsidRPr="00FD69D8">
        <w:rPr>
          <w:rFonts w:asciiTheme="majorHAnsi" w:hAnsiTheme="majorHAnsi" w:cstheme="majorHAnsi"/>
          <w:bCs/>
          <w:sz w:val="20"/>
          <w:szCs w:val="18"/>
        </w:rPr>
        <w:t>.</w:t>
      </w:r>
    </w:p>
    <w:p w14:paraId="2F5816F7" w14:textId="77777777" w:rsidR="00D7486B" w:rsidRPr="00FD69D8" w:rsidRDefault="00E707C0" w:rsidP="00D7486B">
      <w:pPr>
        <w:rPr>
          <w:rFonts w:asciiTheme="majorHAnsi" w:hAnsiTheme="majorHAnsi" w:cstheme="majorHAnsi"/>
          <w:b/>
          <w:bCs/>
          <w:sz w:val="20"/>
          <w:szCs w:val="18"/>
        </w:rPr>
      </w:pPr>
      <w:r w:rsidRPr="00FD69D8">
        <w:rPr>
          <w:rFonts w:asciiTheme="majorHAnsi" w:hAnsiTheme="majorHAnsi" w:cstheme="majorHAnsi"/>
          <w:bCs/>
          <w:sz w:val="20"/>
          <w:szCs w:val="18"/>
        </w:rPr>
        <w:br/>
      </w:r>
      <w:r w:rsidR="00D7486B" w:rsidRPr="00FD69D8">
        <w:rPr>
          <w:rFonts w:asciiTheme="majorHAnsi" w:hAnsiTheme="majorHAnsi" w:cstheme="majorHAnsi"/>
          <w:b/>
          <w:bCs/>
          <w:sz w:val="20"/>
          <w:szCs w:val="18"/>
        </w:rPr>
        <w:t>Estimated Dose Rate at 1 Metre</w:t>
      </w:r>
    </w:p>
    <w:p w14:paraId="6175DB45" w14:textId="77777777" w:rsidR="00D7486B" w:rsidRPr="00FD69D8" w:rsidRDefault="00D7486B" w:rsidP="00D7486B">
      <w:pPr>
        <w:rPr>
          <w:rFonts w:asciiTheme="majorHAnsi" w:hAnsiTheme="majorHAnsi" w:cstheme="majorHAnsi"/>
          <w:bCs/>
          <w:sz w:val="20"/>
          <w:szCs w:val="18"/>
        </w:rPr>
      </w:pPr>
      <w:r w:rsidRPr="00FD69D8">
        <w:rPr>
          <w:rFonts w:asciiTheme="majorHAnsi" w:hAnsiTheme="majorHAnsi" w:cstheme="majorHAnsi"/>
          <w:bCs/>
          <w:sz w:val="20"/>
          <w:szCs w:val="18"/>
        </w:rPr>
        <w:t xml:space="preserve">The dose rate from a </w:t>
      </w:r>
      <w:proofErr w:type="gramStart"/>
      <w:r w:rsidRPr="00FD69D8">
        <w:rPr>
          <w:rFonts w:asciiTheme="majorHAnsi" w:hAnsiTheme="majorHAnsi" w:cstheme="majorHAnsi"/>
          <w:bCs/>
          <w:sz w:val="20"/>
          <w:szCs w:val="18"/>
        </w:rPr>
        <w:t>radioactive source decreases</w:t>
      </w:r>
      <w:proofErr w:type="gramEnd"/>
      <w:r w:rsidRPr="00FD69D8">
        <w:rPr>
          <w:rFonts w:asciiTheme="majorHAnsi" w:hAnsiTheme="majorHAnsi" w:cstheme="majorHAnsi"/>
          <w:bCs/>
          <w:sz w:val="20"/>
          <w:szCs w:val="18"/>
        </w:rPr>
        <w:t xml:space="preserve"> with distance and can be estimated using the gamma dose-rate constant for Cs-137.</w:t>
      </w:r>
    </w:p>
    <w:p w14:paraId="0169C23B" w14:textId="77777777" w:rsidR="00D7486B" w:rsidRPr="00FD69D8" w:rsidRDefault="00D7486B" w:rsidP="00D7486B">
      <w:pPr>
        <w:rPr>
          <w:rFonts w:asciiTheme="majorHAnsi" w:hAnsiTheme="majorHAnsi" w:cstheme="majorHAnsi"/>
          <w:bCs/>
          <w:sz w:val="20"/>
          <w:szCs w:val="18"/>
        </w:rPr>
      </w:pPr>
      <w:r w:rsidRPr="00FD69D8">
        <w:rPr>
          <w:rFonts w:asciiTheme="majorHAnsi" w:hAnsiTheme="majorHAnsi" w:cstheme="majorHAnsi"/>
          <w:bCs/>
          <w:sz w:val="20"/>
          <w:szCs w:val="18"/>
        </w:rPr>
        <w:t xml:space="preserve">Using the calculated activity of 118 </w:t>
      </w:r>
      <w:proofErr w:type="spellStart"/>
      <w:r w:rsidRPr="00FD69D8">
        <w:rPr>
          <w:rFonts w:asciiTheme="majorHAnsi" w:hAnsiTheme="majorHAnsi" w:cstheme="majorHAnsi"/>
          <w:bCs/>
          <w:sz w:val="20"/>
          <w:szCs w:val="18"/>
        </w:rPr>
        <w:t>TBq</w:t>
      </w:r>
      <w:proofErr w:type="spellEnd"/>
      <w:r w:rsidRPr="00FD69D8">
        <w:rPr>
          <w:rFonts w:asciiTheme="majorHAnsi" w:hAnsiTheme="majorHAnsi" w:cstheme="majorHAnsi"/>
          <w:bCs/>
          <w:sz w:val="20"/>
          <w:szCs w:val="18"/>
        </w:rPr>
        <w:t>, the unshielded dose rate at 1 metre was estimated to be approximately:</w:t>
      </w:r>
    </w:p>
    <w:p w14:paraId="514D14F1" w14:textId="77777777" w:rsidR="00D7486B" w:rsidRPr="00FD69D8" w:rsidRDefault="00D7486B" w:rsidP="00D7486B">
      <w:pPr>
        <w:rPr>
          <w:rFonts w:asciiTheme="majorHAnsi" w:hAnsiTheme="majorHAnsi" w:cstheme="majorHAnsi"/>
          <w:b/>
          <w:bCs/>
          <w:sz w:val="20"/>
          <w:szCs w:val="18"/>
        </w:rPr>
      </w:pPr>
      <w:r w:rsidRPr="00FD69D8">
        <w:rPr>
          <w:rFonts w:asciiTheme="majorHAnsi" w:hAnsiTheme="majorHAnsi" w:cstheme="majorHAnsi"/>
          <w:b/>
          <w:bCs/>
          <w:sz w:val="20"/>
          <w:szCs w:val="18"/>
        </w:rPr>
        <w:lastRenderedPageBreak/>
        <w:t>10 Sv h⁻¹</w:t>
      </w:r>
    </w:p>
    <w:p w14:paraId="0A6DF00F" w14:textId="77777777" w:rsidR="00D15F84" w:rsidRPr="00FD69D8" w:rsidRDefault="00D15F84" w:rsidP="00D7486B">
      <w:pPr>
        <w:rPr>
          <w:rFonts w:asciiTheme="majorHAnsi" w:hAnsiTheme="majorHAnsi" w:cstheme="majorHAnsi"/>
          <w:b/>
          <w:bCs/>
          <w:sz w:val="20"/>
          <w:szCs w:val="18"/>
        </w:rPr>
      </w:pPr>
    </w:p>
    <w:p w14:paraId="125F0C06" w14:textId="77777777" w:rsidR="00D15F84" w:rsidRPr="00FD69D8" w:rsidRDefault="00D15F84" w:rsidP="00D7486B">
      <w:pPr>
        <w:rPr>
          <w:rFonts w:asciiTheme="majorHAnsi" w:hAnsiTheme="majorHAnsi" w:cstheme="majorHAnsi"/>
          <w:bCs/>
          <w:sz w:val="20"/>
          <w:szCs w:val="18"/>
        </w:rPr>
      </w:pPr>
    </w:p>
    <w:p w14:paraId="5564055D" w14:textId="77777777" w:rsidR="009B2F8B" w:rsidRPr="00FD69D8" w:rsidRDefault="009B2F8B" w:rsidP="009B2F8B">
      <w:pPr>
        <w:rPr>
          <w:rFonts w:asciiTheme="majorHAnsi" w:hAnsiTheme="majorHAnsi" w:cstheme="majorHAnsi"/>
          <w:b/>
          <w:bCs/>
          <w:sz w:val="20"/>
          <w:szCs w:val="18"/>
        </w:rPr>
      </w:pPr>
      <w:r w:rsidRPr="00FD69D8">
        <w:rPr>
          <w:rFonts w:asciiTheme="majorHAnsi" w:hAnsiTheme="majorHAnsi" w:cstheme="majorHAnsi"/>
          <w:b/>
          <w:bCs/>
          <w:sz w:val="20"/>
          <w:szCs w:val="18"/>
        </w:rPr>
        <w:t>Initial Inspection Phase</w:t>
      </w:r>
    </w:p>
    <w:p w14:paraId="792EB06D" w14:textId="635CF0C9"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 xml:space="preserve">Following the reported drawer problem, the operator opened the drawer and remained approximately 0.9 m from the source for between 75 and 105 seconds. The incident reconstruction suggested that the incomplete shutter reduced the radiation field to approximately 15-30% of the normal unshielded dose rate. </w:t>
      </w:r>
    </w:p>
    <w:p w14:paraId="0F33382B" w14:textId="613199B3"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Applying this attenuation gives a</w:t>
      </w:r>
      <w:r w:rsidR="00885DAC" w:rsidRPr="00FD69D8">
        <w:rPr>
          <w:rFonts w:asciiTheme="majorHAnsi" w:hAnsiTheme="majorHAnsi" w:cstheme="majorHAnsi"/>
          <w:bCs/>
          <w:sz w:val="20"/>
          <w:szCs w:val="18"/>
        </w:rPr>
        <w:t xml:space="preserve"> </w:t>
      </w:r>
      <w:r w:rsidRPr="00FD69D8">
        <w:rPr>
          <w:rFonts w:asciiTheme="majorHAnsi" w:hAnsiTheme="majorHAnsi" w:cstheme="majorHAnsi"/>
          <w:bCs/>
          <w:sz w:val="20"/>
          <w:szCs w:val="18"/>
        </w:rPr>
        <w:t>dose rate of approximately:</w:t>
      </w:r>
    </w:p>
    <w:p w14:paraId="3AFE72C2"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
          <w:bCs/>
          <w:sz w:val="20"/>
          <w:szCs w:val="18"/>
        </w:rPr>
        <w:t>1.8-3.7 Sv h⁻¹</w:t>
      </w:r>
    </w:p>
    <w:p w14:paraId="4E854B9A" w14:textId="46E247A3"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 xml:space="preserve">This would result in </w:t>
      </w:r>
      <w:proofErr w:type="gramStart"/>
      <w:r w:rsidRPr="00FD69D8">
        <w:rPr>
          <w:rFonts w:asciiTheme="majorHAnsi" w:hAnsiTheme="majorHAnsi" w:cstheme="majorHAnsi"/>
          <w:bCs/>
          <w:sz w:val="20"/>
          <w:szCs w:val="18"/>
        </w:rPr>
        <w:t>an</w:t>
      </w:r>
      <w:proofErr w:type="gramEnd"/>
      <w:r w:rsidRPr="00FD69D8">
        <w:rPr>
          <w:rFonts w:asciiTheme="majorHAnsi" w:hAnsiTheme="majorHAnsi" w:cstheme="majorHAnsi"/>
          <w:bCs/>
          <w:sz w:val="20"/>
          <w:szCs w:val="18"/>
        </w:rPr>
        <w:t xml:space="preserve"> dose of:</w:t>
      </w:r>
    </w:p>
    <w:p w14:paraId="6AB22597"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
          <w:bCs/>
          <w:sz w:val="20"/>
          <w:szCs w:val="18"/>
        </w:rPr>
        <w:t>38-108 mSv</w:t>
      </w:r>
    </w:p>
    <w:p w14:paraId="4102A5B9" w14:textId="2BFC14B3" w:rsidR="009B2F8B" w:rsidRPr="00FD69D8" w:rsidRDefault="009B2F8B" w:rsidP="00885DAC">
      <w:pPr>
        <w:rPr>
          <w:rFonts w:asciiTheme="majorHAnsi" w:hAnsiTheme="majorHAnsi" w:cstheme="majorHAnsi"/>
          <w:bCs/>
          <w:sz w:val="20"/>
          <w:szCs w:val="18"/>
        </w:rPr>
      </w:pPr>
      <w:r w:rsidRPr="00FD69D8">
        <w:rPr>
          <w:rFonts w:asciiTheme="majorHAnsi" w:hAnsiTheme="majorHAnsi" w:cstheme="majorHAnsi"/>
          <w:bCs/>
          <w:sz w:val="20"/>
          <w:szCs w:val="18"/>
        </w:rPr>
        <w:t>during the initial inspection phase.</w:t>
      </w:r>
    </w:p>
    <w:p w14:paraId="29BF9861" w14:textId="6B97223E"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 xml:space="preserve">The operator then leaned closer to inspect the drawer alignment. During this phase, the torso was approximately 0.5 m from the source and exposure lasted between 12 and 20 seconds. The reconstruction indicated that shielding effectiveness was reduced, resulting in radiation levels of approximately 35-50% of the unshielded field. </w:t>
      </w:r>
    </w:p>
    <w:p w14:paraId="36458AD2"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Because the operator was much closer to the source, the estimated dose rate increased significantly to:</w:t>
      </w:r>
    </w:p>
    <w:p w14:paraId="24EB5C01"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
          <w:bCs/>
          <w:sz w:val="20"/>
          <w:szCs w:val="18"/>
        </w:rPr>
        <w:t>13.9-19.8 Sv h⁻¹</w:t>
      </w:r>
    </w:p>
    <w:p w14:paraId="7435514D"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The estimated dose received during this phase was:</w:t>
      </w:r>
    </w:p>
    <w:p w14:paraId="3C7CE6FE"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
          <w:bCs/>
          <w:sz w:val="20"/>
          <w:szCs w:val="18"/>
        </w:rPr>
        <w:t>46-110 mSv</w:t>
      </w:r>
    </w:p>
    <w:p w14:paraId="1A476397" w14:textId="77777777" w:rsidR="009B2F8B" w:rsidRPr="00FD69D8" w:rsidRDefault="009B2F8B" w:rsidP="009B2F8B">
      <w:pPr>
        <w:rPr>
          <w:rFonts w:asciiTheme="majorHAnsi" w:hAnsiTheme="majorHAnsi" w:cstheme="majorHAnsi"/>
          <w:b/>
          <w:bCs/>
          <w:sz w:val="20"/>
          <w:szCs w:val="18"/>
        </w:rPr>
      </w:pPr>
      <w:r w:rsidRPr="00FD69D8">
        <w:rPr>
          <w:rFonts w:asciiTheme="majorHAnsi" w:hAnsiTheme="majorHAnsi" w:cstheme="majorHAnsi"/>
          <w:b/>
          <w:bCs/>
          <w:sz w:val="20"/>
          <w:szCs w:val="18"/>
        </w:rPr>
        <w:t>Estimated Total Dose</w:t>
      </w:r>
    </w:p>
    <w:p w14:paraId="3FC4506D"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Combining both phases gives a total estimated dose of:</w:t>
      </w:r>
    </w:p>
    <w:p w14:paraId="694E44C1" w14:textId="77777777"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
          <w:bCs/>
          <w:sz w:val="20"/>
          <w:szCs w:val="18"/>
        </w:rPr>
        <w:t>84-218 mSv</w:t>
      </w:r>
    </w:p>
    <w:p w14:paraId="7AB0942D" w14:textId="4091E4A5" w:rsidR="009B2F8B" w:rsidRPr="00FD69D8" w:rsidRDefault="009B2F8B" w:rsidP="009B2F8B">
      <w:pPr>
        <w:rPr>
          <w:rFonts w:asciiTheme="majorHAnsi" w:hAnsiTheme="majorHAnsi" w:cstheme="majorHAnsi"/>
          <w:bCs/>
          <w:sz w:val="20"/>
          <w:szCs w:val="18"/>
        </w:rPr>
      </w:pPr>
      <w:r w:rsidRPr="00FD69D8">
        <w:rPr>
          <w:rFonts w:asciiTheme="majorHAnsi" w:hAnsiTheme="majorHAnsi" w:cstheme="majorHAnsi"/>
          <w:bCs/>
          <w:sz w:val="20"/>
          <w:szCs w:val="18"/>
        </w:rPr>
        <w:t xml:space="preserve">This calculation </w:t>
      </w:r>
      <w:r w:rsidR="00A72764" w:rsidRPr="00FD69D8">
        <w:rPr>
          <w:rFonts w:asciiTheme="majorHAnsi" w:hAnsiTheme="majorHAnsi" w:cstheme="majorHAnsi"/>
          <w:bCs/>
          <w:sz w:val="20"/>
          <w:szCs w:val="18"/>
        </w:rPr>
        <w:t>shows</w:t>
      </w:r>
      <w:r w:rsidRPr="00FD69D8">
        <w:rPr>
          <w:rFonts w:asciiTheme="majorHAnsi" w:hAnsiTheme="majorHAnsi" w:cstheme="majorHAnsi"/>
          <w:bCs/>
          <w:sz w:val="20"/>
          <w:szCs w:val="18"/>
        </w:rPr>
        <w:t xml:space="preserve"> a range because the exact exposure time, operator position and degree of shielding are uncertain.</w:t>
      </w:r>
    </w:p>
    <w:p w14:paraId="510C8281" w14:textId="77777777" w:rsidR="00A72764" w:rsidRPr="00FD69D8" w:rsidRDefault="00A72764" w:rsidP="009B2F8B">
      <w:pPr>
        <w:rPr>
          <w:rFonts w:asciiTheme="majorHAnsi" w:hAnsiTheme="majorHAnsi" w:cstheme="majorHAnsi"/>
          <w:bCs/>
          <w:sz w:val="20"/>
          <w:szCs w:val="18"/>
        </w:rPr>
      </w:pPr>
    </w:p>
    <w:p w14:paraId="336F7285" w14:textId="77777777" w:rsidR="00FC613E" w:rsidRPr="00FD69D8" w:rsidRDefault="00FC613E" w:rsidP="00FC613E">
      <w:pPr>
        <w:rPr>
          <w:rFonts w:asciiTheme="majorHAnsi" w:hAnsiTheme="majorHAnsi" w:cstheme="majorHAnsi"/>
          <w:b/>
          <w:bCs/>
          <w:sz w:val="20"/>
          <w:szCs w:val="18"/>
        </w:rPr>
      </w:pPr>
      <w:r w:rsidRPr="00FD69D8">
        <w:rPr>
          <w:rFonts w:asciiTheme="majorHAnsi" w:hAnsiTheme="majorHAnsi" w:cstheme="majorHAnsi"/>
          <w:b/>
          <w:bCs/>
          <w:sz w:val="20"/>
          <w:szCs w:val="18"/>
        </w:rPr>
        <w:t>Comparison with Measured Dose</w:t>
      </w:r>
    </w:p>
    <w:p w14:paraId="55892980" w14:textId="77777777" w:rsidR="00FC613E" w:rsidRPr="00FD69D8" w:rsidRDefault="00FC613E" w:rsidP="00FC613E">
      <w:pPr>
        <w:rPr>
          <w:rFonts w:asciiTheme="majorHAnsi" w:hAnsiTheme="majorHAnsi" w:cstheme="majorHAnsi"/>
          <w:bCs/>
          <w:sz w:val="20"/>
          <w:szCs w:val="18"/>
        </w:rPr>
      </w:pPr>
      <w:r w:rsidRPr="00FD69D8">
        <w:rPr>
          <w:rFonts w:asciiTheme="majorHAnsi" w:hAnsiTheme="majorHAnsi" w:cstheme="majorHAnsi"/>
          <w:bCs/>
          <w:sz w:val="20"/>
          <w:szCs w:val="18"/>
        </w:rPr>
        <w:t>The operator's dosimeters recorded:</w:t>
      </w:r>
    </w:p>
    <w:p w14:paraId="0A09F925" w14:textId="77777777" w:rsidR="00FC613E" w:rsidRPr="00FD69D8" w:rsidRDefault="00FC613E">
      <w:pPr>
        <w:numPr>
          <w:ilvl w:val="0"/>
          <w:numId w:val="6"/>
        </w:numPr>
        <w:rPr>
          <w:rFonts w:asciiTheme="majorHAnsi" w:hAnsiTheme="majorHAnsi" w:cstheme="majorHAnsi"/>
          <w:bCs/>
          <w:sz w:val="20"/>
          <w:szCs w:val="18"/>
        </w:rPr>
      </w:pPr>
      <w:r w:rsidRPr="00FD69D8">
        <w:rPr>
          <w:rFonts w:asciiTheme="majorHAnsi" w:hAnsiTheme="majorHAnsi" w:cstheme="majorHAnsi"/>
          <w:bCs/>
          <w:sz w:val="20"/>
          <w:szCs w:val="18"/>
        </w:rPr>
        <w:t xml:space="preserve">EPD dose: </w:t>
      </w:r>
      <w:r w:rsidRPr="00FD69D8">
        <w:rPr>
          <w:rFonts w:asciiTheme="majorHAnsi" w:hAnsiTheme="majorHAnsi" w:cstheme="majorHAnsi"/>
          <w:b/>
          <w:bCs/>
          <w:sz w:val="20"/>
          <w:szCs w:val="18"/>
        </w:rPr>
        <w:t>44 mSv</w:t>
      </w:r>
    </w:p>
    <w:p w14:paraId="3BA7AFF2" w14:textId="77777777" w:rsidR="00FC613E" w:rsidRPr="00FD69D8" w:rsidRDefault="00FC613E">
      <w:pPr>
        <w:numPr>
          <w:ilvl w:val="0"/>
          <w:numId w:val="6"/>
        </w:numPr>
        <w:rPr>
          <w:rFonts w:asciiTheme="majorHAnsi" w:hAnsiTheme="majorHAnsi" w:cstheme="majorHAnsi"/>
          <w:bCs/>
          <w:sz w:val="20"/>
          <w:szCs w:val="18"/>
        </w:rPr>
      </w:pPr>
      <w:r w:rsidRPr="00FD69D8">
        <w:rPr>
          <w:rFonts w:asciiTheme="majorHAnsi" w:hAnsiTheme="majorHAnsi" w:cstheme="majorHAnsi"/>
          <w:bCs/>
          <w:sz w:val="20"/>
          <w:szCs w:val="18"/>
        </w:rPr>
        <w:t xml:space="preserve">TLD dose: </w:t>
      </w:r>
      <w:r w:rsidRPr="00FD69D8">
        <w:rPr>
          <w:rFonts w:asciiTheme="majorHAnsi" w:hAnsiTheme="majorHAnsi" w:cstheme="majorHAnsi"/>
          <w:b/>
          <w:bCs/>
          <w:sz w:val="20"/>
          <w:szCs w:val="18"/>
        </w:rPr>
        <w:t>58 mSv</w:t>
      </w:r>
    </w:p>
    <w:p w14:paraId="2B15B6E6" w14:textId="37FD67C8" w:rsidR="00FC613E" w:rsidRPr="00FD69D8" w:rsidRDefault="00FC613E">
      <w:pPr>
        <w:numPr>
          <w:ilvl w:val="0"/>
          <w:numId w:val="6"/>
        </w:numPr>
        <w:rPr>
          <w:rFonts w:asciiTheme="majorHAnsi" w:hAnsiTheme="majorHAnsi" w:cstheme="majorHAnsi"/>
          <w:bCs/>
          <w:sz w:val="20"/>
          <w:szCs w:val="18"/>
        </w:rPr>
      </w:pPr>
      <w:r w:rsidRPr="00FD69D8">
        <w:rPr>
          <w:rFonts w:asciiTheme="majorHAnsi" w:hAnsiTheme="majorHAnsi" w:cstheme="majorHAnsi"/>
          <w:bCs/>
          <w:sz w:val="20"/>
          <w:szCs w:val="18"/>
        </w:rPr>
        <w:t xml:space="preserve">Peak dose rate: </w:t>
      </w:r>
      <w:r w:rsidRPr="00FD69D8">
        <w:rPr>
          <w:rFonts w:asciiTheme="majorHAnsi" w:hAnsiTheme="majorHAnsi" w:cstheme="majorHAnsi"/>
          <w:b/>
          <w:bCs/>
          <w:sz w:val="20"/>
          <w:szCs w:val="18"/>
        </w:rPr>
        <w:t>4.0 Sv h⁻¹</w:t>
      </w:r>
      <w:r w:rsidRPr="00FD69D8">
        <w:rPr>
          <w:rFonts w:asciiTheme="majorHAnsi" w:hAnsiTheme="majorHAnsi" w:cstheme="majorHAnsi"/>
          <w:bCs/>
          <w:sz w:val="20"/>
          <w:szCs w:val="18"/>
        </w:rPr>
        <w:t xml:space="preserve"> </w:t>
      </w:r>
    </w:p>
    <w:p w14:paraId="7B16632D" w14:textId="23E3FCDD" w:rsidR="00FC613E" w:rsidRPr="00FD69D8" w:rsidRDefault="00FC613E" w:rsidP="00FC613E">
      <w:pPr>
        <w:rPr>
          <w:rFonts w:asciiTheme="majorHAnsi" w:hAnsiTheme="majorHAnsi" w:cstheme="majorHAnsi"/>
          <w:bCs/>
          <w:sz w:val="20"/>
          <w:szCs w:val="18"/>
        </w:rPr>
      </w:pPr>
      <w:r w:rsidRPr="00FD69D8">
        <w:rPr>
          <w:rFonts w:asciiTheme="majorHAnsi" w:hAnsiTheme="majorHAnsi" w:cstheme="majorHAnsi"/>
          <w:bCs/>
          <w:sz w:val="20"/>
          <w:szCs w:val="18"/>
        </w:rPr>
        <w:t xml:space="preserve">The calculated dose is higher than the measured dose. This is expected because the calculations assume a simple point source and use worst-case assumptions. </w:t>
      </w:r>
      <w:r w:rsidR="00FD69D8" w:rsidRPr="00FD69D8">
        <w:rPr>
          <w:rFonts w:asciiTheme="majorHAnsi" w:hAnsiTheme="majorHAnsi" w:cstheme="majorHAnsi"/>
          <w:bCs/>
          <w:sz w:val="20"/>
          <w:szCs w:val="18"/>
        </w:rPr>
        <w:t>The</w:t>
      </w:r>
      <w:r w:rsidRPr="00FD69D8">
        <w:rPr>
          <w:rFonts w:asciiTheme="majorHAnsi" w:hAnsiTheme="majorHAnsi" w:cstheme="majorHAnsi"/>
          <w:bCs/>
          <w:sz w:val="20"/>
          <w:szCs w:val="18"/>
        </w:rPr>
        <w:t xml:space="preserve"> radiation field was uneven, shielding was still present to some </w:t>
      </w:r>
      <w:r w:rsidR="00FD69D8" w:rsidRPr="00FD69D8">
        <w:rPr>
          <w:rFonts w:asciiTheme="majorHAnsi" w:hAnsiTheme="majorHAnsi" w:cstheme="majorHAnsi"/>
          <w:bCs/>
          <w:sz w:val="20"/>
          <w:szCs w:val="18"/>
        </w:rPr>
        <w:t>extent,</w:t>
      </w:r>
      <w:r w:rsidRPr="00FD69D8">
        <w:rPr>
          <w:rFonts w:asciiTheme="majorHAnsi" w:hAnsiTheme="majorHAnsi" w:cstheme="majorHAnsi"/>
          <w:bCs/>
          <w:sz w:val="20"/>
          <w:szCs w:val="18"/>
        </w:rPr>
        <w:t xml:space="preserve"> and not all parts of the body were exposed to the highest radiation levels at the same time. </w:t>
      </w:r>
    </w:p>
    <w:p w14:paraId="545C1DBC" w14:textId="6DA0FCE1" w:rsidR="00E707C0" w:rsidRPr="00FD69D8" w:rsidRDefault="00E707C0" w:rsidP="00E707C0">
      <w:pPr>
        <w:rPr>
          <w:rFonts w:asciiTheme="majorHAnsi" w:hAnsiTheme="majorHAnsi" w:cstheme="majorHAnsi"/>
          <w:bCs/>
          <w:sz w:val="20"/>
          <w:szCs w:val="18"/>
        </w:rPr>
      </w:pPr>
    </w:p>
    <w:p w14:paraId="1820D75C" w14:textId="77777777" w:rsidR="00EE34A0" w:rsidRDefault="00EE34A0" w:rsidP="00E707C0">
      <w:pPr>
        <w:rPr>
          <w:rFonts w:asciiTheme="majorHAnsi" w:hAnsiTheme="majorHAnsi" w:cstheme="majorHAnsi"/>
          <w:bCs/>
          <w:sz w:val="20"/>
          <w:szCs w:val="18"/>
        </w:rPr>
      </w:pPr>
    </w:p>
    <w:p w14:paraId="7034B67A" w14:textId="77777777" w:rsidR="00FD69D8" w:rsidRPr="00FD69D8" w:rsidRDefault="00FD69D8" w:rsidP="00E707C0">
      <w:pPr>
        <w:rPr>
          <w:rFonts w:asciiTheme="majorHAnsi" w:hAnsiTheme="majorHAnsi" w:cstheme="majorHAnsi"/>
          <w:bCs/>
          <w:sz w:val="20"/>
          <w:szCs w:val="18"/>
        </w:rPr>
      </w:pPr>
    </w:p>
    <w:p w14:paraId="1D1BE92A" w14:textId="77777777" w:rsidR="00A72764" w:rsidRPr="00FD69D8" w:rsidRDefault="00A72764" w:rsidP="00E707C0">
      <w:pPr>
        <w:rPr>
          <w:rFonts w:asciiTheme="majorHAnsi" w:hAnsiTheme="majorHAnsi" w:cstheme="majorHAnsi"/>
          <w:bCs/>
          <w:sz w:val="20"/>
          <w:szCs w:val="18"/>
        </w:rPr>
      </w:pPr>
    </w:p>
    <w:p w14:paraId="5C0A6A90" w14:textId="77777777" w:rsidR="00E707C0" w:rsidRPr="00FD69D8" w:rsidRDefault="00E707C0" w:rsidP="002B2483">
      <w:pPr>
        <w:rPr>
          <w:rFonts w:asciiTheme="majorHAnsi" w:hAnsiTheme="majorHAnsi" w:cstheme="majorHAnsi"/>
          <w:bCs/>
          <w:sz w:val="20"/>
          <w:szCs w:val="18"/>
        </w:rPr>
      </w:pPr>
    </w:p>
    <w:p w14:paraId="7469EA27" w14:textId="5BC12FE8" w:rsidR="00821F9F" w:rsidRPr="00FD69D8" w:rsidRDefault="0065125A" w:rsidP="00821F9F">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 xml:space="preserve">Discussion </w:t>
      </w:r>
    </w:p>
    <w:p w14:paraId="1A6FE6A4" w14:textId="77777777" w:rsidR="00821F9F" w:rsidRPr="00FD69D8" w:rsidRDefault="00821F9F" w:rsidP="00821F9F">
      <w:pPr>
        <w:rPr>
          <w:rFonts w:asciiTheme="majorHAnsi" w:hAnsiTheme="majorHAnsi" w:cstheme="majorHAnsi"/>
          <w:b/>
          <w:bCs/>
          <w:sz w:val="20"/>
          <w:szCs w:val="18"/>
        </w:rPr>
      </w:pPr>
      <w:r w:rsidRPr="00FD69D8">
        <w:rPr>
          <w:rFonts w:asciiTheme="majorHAnsi" w:hAnsiTheme="majorHAnsi" w:cstheme="majorHAnsi"/>
          <w:b/>
          <w:bCs/>
          <w:sz w:val="20"/>
          <w:szCs w:val="18"/>
        </w:rPr>
        <w:t>Comparison with Measured Dosimetry</w:t>
      </w:r>
    </w:p>
    <w:p w14:paraId="300FDDBB" w14:textId="616F2535" w:rsidR="005D4D09" w:rsidRPr="00FD69D8" w:rsidRDefault="005D4D09" w:rsidP="005D4D09">
      <w:pPr>
        <w:rPr>
          <w:rFonts w:asciiTheme="majorHAnsi" w:hAnsiTheme="majorHAnsi" w:cstheme="majorHAnsi"/>
          <w:sz w:val="20"/>
          <w:szCs w:val="18"/>
        </w:rPr>
      </w:pPr>
      <w:r w:rsidRPr="00FD69D8">
        <w:rPr>
          <w:rFonts w:asciiTheme="majorHAnsi" w:hAnsiTheme="majorHAnsi" w:cstheme="majorHAnsi"/>
          <w:sz w:val="20"/>
          <w:szCs w:val="18"/>
        </w:rPr>
        <w:t xml:space="preserve">Dosimetry is the scientific practice of measuring and calculating the quantity of ionizing radiation energy absorbed by a substance or living tissue </w:t>
      </w:r>
      <w:r w:rsidR="00DB7041" w:rsidRPr="00DB7041">
        <w:rPr>
          <w:rFonts w:asciiTheme="majorHAnsi" w:hAnsiTheme="majorHAnsi" w:cstheme="majorHAnsi"/>
          <w:sz w:val="20"/>
          <w:szCs w:val="18"/>
        </w:rPr>
        <w:t>(IAEA, 2021). </w:t>
      </w:r>
    </w:p>
    <w:p w14:paraId="51EFD4C1" w14:textId="77777777"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Measured results:</w:t>
      </w:r>
    </w:p>
    <w:p w14:paraId="78C1CC46" w14:textId="77777777" w:rsidR="00821F9F" w:rsidRPr="00FD69D8" w:rsidRDefault="00821F9F">
      <w:pPr>
        <w:numPr>
          <w:ilvl w:val="0"/>
          <w:numId w:val="4"/>
        </w:numPr>
        <w:rPr>
          <w:rFonts w:asciiTheme="majorHAnsi" w:hAnsiTheme="majorHAnsi" w:cstheme="majorHAnsi"/>
          <w:bCs/>
          <w:sz w:val="20"/>
          <w:szCs w:val="18"/>
        </w:rPr>
      </w:pPr>
      <w:r w:rsidRPr="00FD69D8">
        <w:rPr>
          <w:rFonts w:asciiTheme="majorHAnsi" w:hAnsiTheme="majorHAnsi" w:cstheme="majorHAnsi"/>
          <w:bCs/>
          <w:sz w:val="20"/>
          <w:szCs w:val="18"/>
        </w:rPr>
        <w:t>EPD dose = 44 mSv</w:t>
      </w:r>
    </w:p>
    <w:p w14:paraId="3DC6834E" w14:textId="77777777" w:rsidR="00821F9F" w:rsidRPr="00FD69D8" w:rsidRDefault="00821F9F">
      <w:pPr>
        <w:numPr>
          <w:ilvl w:val="0"/>
          <w:numId w:val="4"/>
        </w:numPr>
        <w:rPr>
          <w:rFonts w:asciiTheme="majorHAnsi" w:hAnsiTheme="majorHAnsi" w:cstheme="majorHAnsi"/>
          <w:bCs/>
          <w:sz w:val="20"/>
          <w:szCs w:val="18"/>
        </w:rPr>
      </w:pPr>
      <w:r w:rsidRPr="00FD69D8">
        <w:rPr>
          <w:rFonts w:asciiTheme="majorHAnsi" w:hAnsiTheme="majorHAnsi" w:cstheme="majorHAnsi"/>
          <w:bCs/>
          <w:sz w:val="20"/>
          <w:szCs w:val="18"/>
        </w:rPr>
        <w:t>TLD dose = 58 mSv</w:t>
      </w:r>
    </w:p>
    <w:p w14:paraId="03A81424" w14:textId="77777777" w:rsidR="00821F9F" w:rsidRPr="00FD69D8" w:rsidRDefault="00821F9F">
      <w:pPr>
        <w:numPr>
          <w:ilvl w:val="0"/>
          <w:numId w:val="4"/>
        </w:numPr>
        <w:rPr>
          <w:rFonts w:asciiTheme="majorHAnsi" w:hAnsiTheme="majorHAnsi" w:cstheme="majorHAnsi"/>
          <w:bCs/>
          <w:sz w:val="20"/>
          <w:szCs w:val="18"/>
        </w:rPr>
      </w:pPr>
      <w:r w:rsidRPr="00FD69D8">
        <w:rPr>
          <w:rFonts w:asciiTheme="majorHAnsi" w:hAnsiTheme="majorHAnsi" w:cstheme="majorHAnsi"/>
          <w:bCs/>
          <w:sz w:val="20"/>
          <w:szCs w:val="18"/>
        </w:rPr>
        <w:t>Peak dose rate = 4.0 Sv h⁻¹</w:t>
      </w:r>
    </w:p>
    <w:p w14:paraId="62196385" w14:textId="183EB2E7"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 xml:space="preserve">The reconstructed dose range exceeds measured values. Several factors explain this </w:t>
      </w:r>
      <w:r w:rsidR="00D96B6E" w:rsidRPr="00FD69D8">
        <w:rPr>
          <w:rFonts w:asciiTheme="majorHAnsi" w:hAnsiTheme="majorHAnsi" w:cstheme="majorHAnsi"/>
          <w:bCs/>
          <w:sz w:val="20"/>
          <w:szCs w:val="18"/>
        </w:rPr>
        <w:t>inconsistency</w:t>
      </w:r>
      <w:r w:rsidRPr="00FD69D8">
        <w:rPr>
          <w:rFonts w:asciiTheme="majorHAnsi" w:hAnsiTheme="majorHAnsi" w:cstheme="majorHAnsi"/>
          <w:bCs/>
          <w:sz w:val="20"/>
          <w:szCs w:val="18"/>
        </w:rPr>
        <w:t>.</w:t>
      </w:r>
    </w:p>
    <w:p w14:paraId="030BD93C" w14:textId="1EB7D2FA"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Firstly, the reconstruction assumes bounding values for attenuation and exposure time. Secondly, the radiation field was highly non-uniform</w:t>
      </w:r>
      <w:r w:rsidR="00395BB1" w:rsidRPr="00FD69D8">
        <w:rPr>
          <w:rFonts w:asciiTheme="majorHAnsi" w:hAnsiTheme="majorHAnsi" w:cstheme="majorHAnsi"/>
          <w:bCs/>
          <w:sz w:val="20"/>
          <w:szCs w:val="18"/>
        </w:rPr>
        <w:t>ed</w:t>
      </w:r>
      <w:r w:rsidRPr="00FD69D8">
        <w:rPr>
          <w:rFonts w:asciiTheme="majorHAnsi" w:hAnsiTheme="majorHAnsi" w:cstheme="majorHAnsi"/>
          <w:bCs/>
          <w:sz w:val="20"/>
          <w:szCs w:val="18"/>
        </w:rPr>
        <w:t xml:space="preserve">, </w:t>
      </w:r>
      <w:r w:rsidR="00FE7997" w:rsidRPr="00FD69D8">
        <w:rPr>
          <w:rFonts w:asciiTheme="majorHAnsi" w:hAnsiTheme="majorHAnsi" w:cstheme="majorHAnsi"/>
          <w:bCs/>
          <w:sz w:val="20"/>
          <w:szCs w:val="18"/>
        </w:rPr>
        <w:t xml:space="preserve">which </w:t>
      </w:r>
      <w:r w:rsidRPr="00FD69D8">
        <w:rPr>
          <w:rFonts w:asciiTheme="majorHAnsi" w:hAnsiTheme="majorHAnsi" w:cstheme="majorHAnsi"/>
          <w:bCs/>
          <w:sz w:val="20"/>
          <w:szCs w:val="18"/>
        </w:rPr>
        <w:t>mean</w:t>
      </w:r>
      <w:r w:rsidR="00FE7997" w:rsidRPr="00FD69D8">
        <w:rPr>
          <w:rFonts w:asciiTheme="majorHAnsi" w:hAnsiTheme="majorHAnsi" w:cstheme="majorHAnsi"/>
          <w:bCs/>
          <w:sz w:val="20"/>
          <w:szCs w:val="18"/>
        </w:rPr>
        <w:t>s</w:t>
      </w:r>
      <w:r w:rsidRPr="00FD69D8">
        <w:rPr>
          <w:rFonts w:asciiTheme="majorHAnsi" w:hAnsiTheme="majorHAnsi" w:cstheme="majorHAnsi"/>
          <w:bCs/>
          <w:sz w:val="20"/>
          <w:szCs w:val="18"/>
        </w:rPr>
        <w:t xml:space="preserve"> that only parts of the body received the highest dose rates. Thirdly, detector position influences measured dose. The chest-mounted EPD and waist-mounted TLD experienced different exposure geometries,</w:t>
      </w:r>
      <w:r w:rsidR="00BF596E" w:rsidRPr="00FD69D8">
        <w:rPr>
          <w:rFonts w:asciiTheme="majorHAnsi" w:hAnsiTheme="majorHAnsi" w:cstheme="majorHAnsi"/>
          <w:bCs/>
          <w:sz w:val="20"/>
          <w:szCs w:val="18"/>
        </w:rPr>
        <w:t xml:space="preserve"> showing the difference</w:t>
      </w:r>
      <w:r w:rsidRPr="00FD69D8">
        <w:rPr>
          <w:rFonts w:asciiTheme="majorHAnsi" w:hAnsiTheme="majorHAnsi" w:cstheme="majorHAnsi"/>
          <w:bCs/>
          <w:sz w:val="20"/>
          <w:szCs w:val="18"/>
        </w:rPr>
        <w:t xml:space="preserve"> in readings.</w:t>
      </w:r>
    </w:p>
    <w:p w14:paraId="78998632" w14:textId="57A3ADF5" w:rsidR="00821F9F" w:rsidRPr="00FD69D8" w:rsidRDefault="00BF596E" w:rsidP="00821F9F">
      <w:pPr>
        <w:rPr>
          <w:rFonts w:asciiTheme="majorHAnsi" w:hAnsiTheme="majorHAnsi" w:cstheme="majorHAnsi"/>
          <w:bCs/>
          <w:sz w:val="20"/>
          <w:szCs w:val="18"/>
        </w:rPr>
      </w:pPr>
      <w:r w:rsidRPr="00FD69D8">
        <w:rPr>
          <w:rFonts w:asciiTheme="majorHAnsi" w:hAnsiTheme="majorHAnsi" w:cstheme="majorHAnsi"/>
          <w:bCs/>
          <w:sz w:val="20"/>
          <w:szCs w:val="18"/>
        </w:rPr>
        <w:t xml:space="preserve">Also </w:t>
      </w:r>
      <w:r w:rsidR="00821F9F" w:rsidRPr="00FD69D8">
        <w:rPr>
          <w:rFonts w:asciiTheme="majorHAnsi" w:hAnsiTheme="majorHAnsi" w:cstheme="majorHAnsi"/>
          <w:bCs/>
          <w:sz w:val="20"/>
          <w:szCs w:val="18"/>
        </w:rPr>
        <w:t xml:space="preserve">source shielding and scatter effects </w:t>
      </w:r>
      <w:r w:rsidRPr="00FD69D8">
        <w:rPr>
          <w:rFonts w:asciiTheme="majorHAnsi" w:hAnsiTheme="majorHAnsi" w:cstheme="majorHAnsi"/>
          <w:bCs/>
          <w:sz w:val="20"/>
          <w:szCs w:val="18"/>
        </w:rPr>
        <w:t xml:space="preserve">have </w:t>
      </w:r>
      <w:r w:rsidR="00821F9F" w:rsidRPr="00FD69D8">
        <w:rPr>
          <w:rFonts w:asciiTheme="majorHAnsi" w:hAnsiTheme="majorHAnsi" w:cstheme="majorHAnsi"/>
          <w:bCs/>
          <w:sz w:val="20"/>
          <w:szCs w:val="18"/>
        </w:rPr>
        <w:t xml:space="preserve">likely reduced actual dose rates below </w:t>
      </w:r>
      <w:r w:rsidR="00BD7B52" w:rsidRPr="00FD69D8">
        <w:rPr>
          <w:rFonts w:asciiTheme="majorHAnsi" w:hAnsiTheme="majorHAnsi" w:cstheme="majorHAnsi"/>
          <w:bCs/>
          <w:sz w:val="20"/>
          <w:szCs w:val="18"/>
        </w:rPr>
        <w:t>the ideal</w:t>
      </w:r>
      <w:r w:rsidR="00821F9F" w:rsidRPr="00FD69D8">
        <w:rPr>
          <w:rFonts w:asciiTheme="majorHAnsi" w:hAnsiTheme="majorHAnsi" w:cstheme="majorHAnsi"/>
          <w:bCs/>
          <w:sz w:val="20"/>
          <w:szCs w:val="18"/>
        </w:rPr>
        <w:t xml:space="preserve"> point-source estimates.</w:t>
      </w:r>
    </w:p>
    <w:p w14:paraId="34BE1D3C" w14:textId="0A337107"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 xml:space="preserve">The measured peak dose rate of 4.0 Sv h⁻¹ lies within the range predicted by the reconstruction and </w:t>
      </w:r>
      <w:r w:rsidR="00BD7B52" w:rsidRPr="00FD69D8">
        <w:rPr>
          <w:rFonts w:asciiTheme="majorHAnsi" w:hAnsiTheme="majorHAnsi" w:cstheme="majorHAnsi"/>
          <w:bCs/>
          <w:sz w:val="20"/>
          <w:szCs w:val="18"/>
        </w:rPr>
        <w:t xml:space="preserve">this also </w:t>
      </w:r>
      <w:r w:rsidRPr="00FD69D8">
        <w:rPr>
          <w:rFonts w:asciiTheme="majorHAnsi" w:hAnsiTheme="majorHAnsi" w:cstheme="majorHAnsi"/>
          <w:bCs/>
          <w:sz w:val="20"/>
          <w:szCs w:val="18"/>
        </w:rPr>
        <w:t xml:space="preserve">supports the conclusion that short-duration exposure </w:t>
      </w:r>
      <w:r w:rsidR="00E41E3E" w:rsidRPr="00FD69D8">
        <w:rPr>
          <w:rFonts w:asciiTheme="majorHAnsi" w:hAnsiTheme="majorHAnsi" w:cstheme="majorHAnsi"/>
          <w:bCs/>
          <w:sz w:val="20"/>
          <w:szCs w:val="18"/>
        </w:rPr>
        <w:t>happened</w:t>
      </w:r>
      <w:r w:rsidRPr="00FD69D8">
        <w:rPr>
          <w:rFonts w:asciiTheme="majorHAnsi" w:hAnsiTheme="majorHAnsi" w:cstheme="majorHAnsi"/>
          <w:bCs/>
          <w:sz w:val="20"/>
          <w:szCs w:val="18"/>
        </w:rPr>
        <w:t>.</w:t>
      </w:r>
    </w:p>
    <w:p w14:paraId="462EE10C" w14:textId="77777777" w:rsidR="00E41E3E" w:rsidRPr="00FD69D8" w:rsidRDefault="00E41E3E" w:rsidP="00821F9F">
      <w:pPr>
        <w:rPr>
          <w:rFonts w:asciiTheme="majorHAnsi" w:hAnsiTheme="majorHAnsi" w:cstheme="majorHAnsi"/>
          <w:bCs/>
          <w:sz w:val="20"/>
          <w:szCs w:val="18"/>
        </w:rPr>
      </w:pPr>
    </w:p>
    <w:p w14:paraId="7C7454F2" w14:textId="77777777" w:rsidR="00821F9F" w:rsidRPr="00FD69D8" w:rsidRDefault="00821F9F" w:rsidP="00821F9F">
      <w:pPr>
        <w:rPr>
          <w:rFonts w:asciiTheme="majorHAnsi" w:hAnsiTheme="majorHAnsi" w:cstheme="majorHAnsi"/>
          <w:b/>
          <w:bCs/>
          <w:sz w:val="20"/>
          <w:szCs w:val="18"/>
        </w:rPr>
      </w:pPr>
      <w:r w:rsidRPr="00FD69D8">
        <w:rPr>
          <w:rFonts w:asciiTheme="majorHAnsi" w:hAnsiTheme="majorHAnsi" w:cstheme="majorHAnsi"/>
          <w:b/>
          <w:bCs/>
          <w:sz w:val="20"/>
          <w:szCs w:val="18"/>
        </w:rPr>
        <w:t>Health Implications</w:t>
      </w:r>
    </w:p>
    <w:p w14:paraId="15EBB310" w14:textId="452E9218"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Whole-body doses between approximately 50 and 100 mSv are unlikely to cause acute radiation syndrome</w:t>
      </w:r>
      <w:r w:rsidR="00122860" w:rsidRPr="00FD69D8">
        <w:rPr>
          <w:rFonts w:asciiTheme="majorHAnsi" w:hAnsiTheme="majorHAnsi" w:cstheme="majorHAnsi"/>
          <w:bCs/>
          <w:sz w:val="20"/>
          <w:szCs w:val="18"/>
        </w:rPr>
        <w:t xml:space="preserve"> </w:t>
      </w:r>
      <w:r w:rsidR="007C772E" w:rsidRPr="007C772E">
        <w:rPr>
          <w:rFonts w:asciiTheme="majorHAnsi" w:hAnsiTheme="majorHAnsi" w:cstheme="majorHAnsi"/>
          <w:bCs/>
          <w:sz w:val="20"/>
          <w:szCs w:val="18"/>
        </w:rPr>
        <w:t>(World Health Organization, 2023).</w:t>
      </w:r>
    </w:p>
    <w:p w14:paraId="0E413D10" w14:textId="7A82B35F"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The operator's reported symptoms of headache, dizziness and numbness occurred immediately after the event.</w:t>
      </w:r>
      <w:r w:rsidR="00EC63DB" w:rsidRPr="00FD69D8">
        <w:rPr>
          <w:rFonts w:asciiTheme="majorHAnsi" w:hAnsiTheme="majorHAnsi" w:cstheme="majorHAnsi"/>
          <w:bCs/>
          <w:sz w:val="20"/>
          <w:szCs w:val="18"/>
        </w:rPr>
        <w:t xml:space="preserve"> These</w:t>
      </w:r>
      <w:r w:rsidRPr="00FD69D8">
        <w:rPr>
          <w:rFonts w:asciiTheme="majorHAnsi" w:hAnsiTheme="majorHAnsi" w:cstheme="majorHAnsi"/>
          <w:bCs/>
          <w:sz w:val="20"/>
          <w:szCs w:val="18"/>
        </w:rPr>
        <w:t xml:space="preserve"> symptoms are often non-specific and are not generally expected from whole-body doses of this alone.</w:t>
      </w:r>
    </w:p>
    <w:p w14:paraId="77D056E4" w14:textId="17730A38"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However, localised exposure is a more significant concern. The appearance of mild erythema on three fingers three days later</w:t>
      </w:r>
      <w:r w:rsidR="00EC63DB" w:rsidRPr="00FD69D8">
        <w:rPr>
          <w:rFonts w:asciiTheme="majorHAnsi" w:hAnsiTheme="majorHAnsi" w:cstheme="majorHAnsi"/>
          <w:bCs/>
          <w:sz w:val="20"/>
          <w:szCs w:val="18"/>
        </w:rPr>
        <w:t xml:space="preserve"> </w:t>
      </w:r>
      <w:r w:rsidR="00DA56F3" w:rsidRPr="00FD69D8">
        <w:rPr>
          <w:rFonts w:asciiTheme="majorHAnsi" w:hAnsiTheme="majorHAnsi" w:cstheme="majorHAnsi"/>
          <w:bCs/>
          <w:sz w:val="20"/>
          <w:szCs w:val="18"/>
        </w:rPr>
        <w:t>shows increased</w:t>
      </w:r>
      <w:r w:rsidRPr="00FD69D8">
        <w:rPr>
          <w:rFonts w:asciiTheme="majorHAnsi" w:hAnsiTheme="majorHAnsi" w:cstheme="majorHAnsi"/>
          <w:bCs/>
          <w:sz w:val="20"/>
          <w:szCs w:val="18"/>
        </w:rPr>
        <w:t xml:space="preserve"> local skin dose to the extrem</w:t>
      </w:r>
      <w:r w:rsidR="00DA56F3" w:rsidRPr="00FD69D8">
        <w:rPr>
          <w:rFonts w:asciiTheme="majorHAnsi" w:hAnsiTheme="majorHAnsi" w:cstheme="majorHAnsi"/>
          <w:bCs/>
          <w:sz w:val="20"/>
          <w:szCs w:val="18"/>
        </w:rPr>
        <w:t>e</w:t>
      </w:r>
      <w:r w:rsidRPr="00FD69D8">
        <w:rPr>
          <w:rFonts w:asciiTheme="majorHAnsi" w:hAnsiTheme="majorHAnsi" w:cstheme="majorHAnsi"/>
          <w:bCs/>
          <w:sz w:val="20"/>
          <w:szCs w:val="18"/>
        </w:rPr>
        <w:t>. This is consistent with the operator leaning towards the source and placing hands within a higher radiation field.</w:t>
      </w:r>
    </w:p>
    <w:p w14:paraId="0EA25EFE" w14:textId="77777777" w:rsidR="00821F9F" w:rsidRPr="00FD69D8" w:rsidRDefault="00821F9F" w:rsidP="00821F9F">
      <w:pPr>
        <w:rPr>
          <w:rFonts w:asciiTheme="majorHAnsi" w:hAnsiTheme="majorHAnsi" w:cstheme="majorHAnsi"/>
          <w:bCs/>
          <w:sz w:val="20"/>
          <w:szCs w:val="18"/>
        </w:rPr>
      </w:pPr>
      <w:r w:rsidRPr="00FD69D8">
        <w:rPr>
          <w:rFonts w:asciiTheme="majorHAnsi" w:hAnsiTheme="majorHAnsi" w:cstheme="majorHAnsi"/>
          <w:bCs/>
          <w:sz w:val="20"/>
          <w:szCs w:val="18"/>
        </w:rPr>
        <w:t>Long-term effects may include:</w:t>
      </w:r>
    </w:p>
    <w:p w14:paraId="0622FAFD" w14:textId="6D7C2474" w:rsidR="00821F9F" w:rsidRPr="00FD69D8" w:rsidRDefault="00821F9F">
      <w:pPr>
        <w:numPr>
          <w:ilvl w:val="0"/>
          <w:numId w:val="5"/>
        </w:numPr>
        <w:rPr>
          <w:rFonts w:asciiTheme="majorHAnsi" w:hAnsiTheme="majorHAnsi" w:cstheme="majorHAnsi"/>
          <w:bCs/>
          <w:sz w:val="20"/>
          <w:szCs w:val="18"/>
        </w:rPr>
      </w:pPr>
      <w:r w:rsidRPr="00FD69D8">
        <w:rPr>
          <w:rFonts w:asciiTheme="majorHAnsi" w:hAnsiTheme="majorHAnsi" w:cstheme="majorHAnsi"/>
          <w:bCs/>
          <w:sz w:val="20"/>
          <w:szCs w:val="18"/>
        </w:rPr>
        <w:t>Small increase in lifetime cancer risk</w:t>
      </w:r>
      <w:r w:rsidR="0079130A" w:rsidRPr="00FD69D8">
        <w:rPr>
          <w:rFonts w:asciiTheme="majorHAnsi" w:hAnsiTheme="majorHAnsi" w:cstheme="majorHAnsi"/>
          <w:bCs/>
          <w:sz w:val="20"/>
          <w:szCs w:val="18"/>
        </w:rPr>
        <w:t xml:space="preserve"> </w:t>
      </w:r>
      <w:r w:rsidR="00DB7041" w:rsidRPr="00DB7041">
        <w:rPr>
          <w:rFonts w:asciiTheme="majorHAnsi" w:hAnsiTheme="majorHAnsi" w:cstheme="majorHAnsi"/>
          <w:bCs/>
          <w:sz w:val="20"/>
          <w:szCs w:val="18"/>
        </w:rPr>
        <w:t>(US EPA, 2024).</w:t>
      </w:r>
    </w:p>
    <w:p w14:paraId="07035EAE" w14:textId="378ADD42" w:rsidR="00821F9F" w:rsidRPr="00FD69D8" w:rsidRDefault="00821F9F">
      <w:pPr>
        <w:numPr>
          <w:ilvl w:val="0"/>
          <w:numId w:val="5"/>
        </w:numPr>
        <w:rPr>
          <w:rFonts w:asciiTheme="majorHAnsi" w:hAnsiTheme="majorHAnsi" w:cstheme="majorHAnsi"/>
          <w:bCs/>
          <w:sz w:val="20"/>
          <w:szCs w:val="18"/>
        </w:rPr>
      </w:pPr>
      <w:r w:rsidRPr="00FD69D8">
        <w:rPr>
          <w:rFonts w:asciiTheme="majorHAnsi" w:hAnsiTheme="majorHAnsi" w:cstheme="majorHAnsi"/>
          <w:bCs/>
          <w:sz w:val="20"/>
          <w:szCs w:val="18"/>
        </w:rPr>
        <w:t>Potential tissue effects to exposed fingers if extremity doses were significantly higher than whole-body doses</w:t>
      </w:r>
      <w:r w:rsidR="0079130A" w:rsidRPr="00FD69D8">
        <w:rPr>
          <w:rFonts w:asciiTheme="majorHAnsi" w:hAnsiTheme="majorHAnsi" w:cstheme="majorHAnsi"/>
          <w:bCs/>
          <w:sz w:val="20"/>
          <w:szCs w:val="18"/>
        </w:rPr>
        <w:t xml:space="preserve"> </w:t>
      </w:r>
      <w:r w:rsidR="007C772E" w:rsidRPr="007C772E">
        <w:rPr>
          <w:rFonts w:asciiTheme="majorHAnsi" w:hAnsiTheme="majorHAnsi" w:cstheme="majorHAnsi"/>
          <w:bCs/>
          <w:sz w:val="20"/>
          <w:szCs w:val="18"/>
        </w:rPr>
        <w:t>(US EPA, 2024).</w:t>
      </w:r>
    </w:p>
    <w:p w14:paraId="2753F77A" w14:textId="75E2FE7F" w:rsidR="00821F9F" w:rsidRPr="00FD69D8" w:rsidRDefault="00821F9F">
      <w:pPr>
        <w:numPr>
          <w:ilvl w:val="0"/>
          <w:numId w:val="5"/>
        </w:numPr>
        <w:rPr>
          <w:rFonts w:asciiTheme="majorHAnsi" w:hAnsiTheme="majorHAnsi" w:cstheme="majorHAnsi"/>
          <w:bCs/>
          <w:sz w:val="20"/>
          <w:szCs w:val="18"/>
        </w:rPr>
      </w:pPr>
      <w:r w:rsidRPr="00FD69D8">
        <w:rPr>
          <w:rFonts w:asciiTheme="majorHAnsi" w:hAnsiTheme="majorHAnsi" w:cstheme="majorHAnsi"/>
          <w:bCs/>
          <w:sz w:val="20"/>
          <w:szCs w:val="18"/>
        </w:rPr>
        <w:t>Requirement for continued medical monitoring</w:t>
      </w:r>
      <w:r w:rsidR="0079130A" w:rsidRPr="00FD69D8">
        <w:rPr>
          <w:rFonts w:asciiTheme="majorHAnsi" w:hAnsiTheme="majorHAnsi" w:cstheme="majorHAnsi"/>
          <w:bCs/>
          <w:sz w:val="20"/>
          <w:szCs w:val="18"/>
        </w:rPr>
        <w:t xml:space="preserve"> </w:t>
      </w:r>
      <w:r w:rsidR="007C772E" w:rsidRPr="007C772E">
        <w:rPr>
          <w:rFonts w:asciiTheme="majorHAnsi" w:hAnsiTheme="majorHAnsi" w:cstheme="majorHAnsi"/>
          <w:bCs/>
          <w:sz w:val="20"/>
          <w:szCs w:val="18"/>
        </w:rPr>
        <w:t>(US EPA, 2024).</w:t>
      </w:r>
    </w:p>
    <w:p w14:paraId="6C7DF9CA" w14:textId="77777777" w:rsidR="00821F9F" w:rsidRPr="00FD69D8" w:rsidRDefault="00821F9F" w:rsidP="002B2483">
      <w:pPr>
        <w:rPr>
          <w:rFonts w:asciiTheme="majorHAnsi" w:hAnsiTheme="majorHAnsi" w:cstheme="majorHAnsi"/>
          <w:bCs/>
          <w:sz w:val="20"/>
          <w:szCs w:val="18"/>
        </w:rPr>
      </w:pPr>
    </w:p>
    <w:p w14:paraId="47EA3C98" w14:textId="77777777" w:rsidR="00C36F4E" w:rsidRPr="00FD69D8" w:rsidRDefault="00C36F4E" w:rsidP="002B2483">
      <w:pPr>
        <w:rPr>
          <w:rFonts w:asciiTheme="majorHAnsi" w:hAnsiTheme="majorHAnsi" w:cstheme="majorHAnsi"/>
          <w:bCs/>
          <w:sz w:val="20"/>
          <w:szCs w:val="18"/>
        </w:rPr>
      </w:pPr>
    </w:p>
    <w:p w14:paraId="681081A8" w14:textId="77777777" w:rsidR="00C36F4E" w:rsidRPr="00FD69D8" w:rsidRDefault="00C36F4E" w:rsidP="002B2483">
      <w:pPr>
        <w:rPr>
          <w:rFonts w:asciiTheme="majorHAnsi" w:hAnsiTheme="majorHAnsi" w:cstheme="majorHAnsi"/>
          <w:bCs/>
          <w:sz w:val="20"/>
          <w:szCs w:val="18"/>
        </w:rPr>
      </w:pPr>
    </w:p>
    <w:p w14:paraId="432E1E60" w14:textId="77777777" w:rsidR="00C36F4E" w:rsidRPr="00FD69D8" w:rsidRDefault="00C36F4E" w:rsidP="002B2483">
      <w:pPr>
        <w:rPr>
          <w:rFonts w:asciiTheme="majorHAnsi" w:hAnsiTheme="majorHAnsi" w:cstheme="majorHAnsi"/>
          <w:bCs/>
          <w:sz w:val="20"/>
          <w:szCs w:val="18"/>
        </w:rPr>
      </w:pPr>
    </w:p>
    <w:p w14:paraId="2D8CC9EE" w14:textId="77777777" w:rsidR="00C36F4E" w:rsidRPr="00FD69D8" w:rsidRDefault="00C36F4E" w:rsidP="002B2483">
      <w:pPr>
        <w:rPr>
          <w:rFonts w:asciiTheme="majorHAnsi" w:hAnsiTheme="majorHAnsi" w:cstheme="majorHAnsi"/>
          <w:bCs/>
          <w:sz w:val="20"/>
          <w:szCs w:val="18"/>
        </w:rPr>
      </w:pPr>
    </w:p>
    <w:p w14:paraId="557C577A" w14:textId="77777777" w:rsidR="00C36F4E" w:rsidRPr="00FD69D8" w:rsidRDefault="00C36F4E" w:rsidP="002B2483">
      <w:pPr>
        <w:rPr>
          <w:rFonts w:asciiTheme="majorHAnsi" w:hAnsiTheme="majorHAnsi" w:cstheme="majorHAnsi"/>
          <w:bCs/>
          <w:sz w:val="20"/>
          <w:szCs w:val="18"/>
        </w:rPr>
      </w:pPr>
    </w:p>
    <w:p w14:paraId="76512C24" w14:textId="1902D22E" w:rsidR="00614BEE" w:rsidRPr="00FD69D8" w:rsidRDefault="00614BEE"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IRR17 Compliance</w:t>
      </w:r>
    </w:p>
    <w:p w14:paraId="18F60510" w14:textId="14068B1D" w:rsidR="005665BA" w:rsidRPr="00FD69D8" w:rsidRDefault="005665BA" w:rsidP="005665BA">
      <w:pPr>
        <w:rPr>
          <w:rFonts w:asciiTheme="majorHAnsi" w:hAnsiTheme="majorHAnsi" w:cstheme="majorHAnsi"/>
          <w:sz w:val="20"/>
          <w:szCs w:val="18"/>
        </w:rPr>
      </w:pPr>
      <w:r w:rsidRPr="00FD69D8">
        <w:rPr>
          <w:rFonts w:asciiTheme="majorHAnsi" w:hAnsiTheme="majorHAnsi" w:cstheme="majorHAnsi"/>
          <w:sz w:val="20"/>
          <w:szCs w:val="18"/>
        </w:rPr>
        <w:t xml:space="preserve">IRR17 is the statutory UK legislation that legally binds employers to protect workers and the public from ionizing radiation by restricting exposures to the lowest reasonably practicable levels </w:t>
      </w:r>
      <w:r w:rsidR="000E4CDC" w:rsidRPr="000E4CDC">
        <w:rPr>
          <w:rFonts w:asciiTheme="majorHAnsi" w:hAnsiTheme="majorHAnsi" w:cstheme="majorHAnsi"/>
          <w:sz w:val="20"/>
          <w:szCs w:val="18"/>
        </w:rPr>
        <w:t>(Health and Safety Executive, 2017).</w:t>
      </w:r>
    </w:p>
    <w:p w14:paraId="224404C3" w14:textId="77777777" w:rsidR="00A30607" w:rsidRPr="00FD69D8" w:rsidRDefault="00A30607" w:rsidP="00A30607">
      <w:pPr>
        <w:rPr>
          <w:rFonts w:asciiTheme="majorHAnsi" w:hAnsiTheme="majorHAnsi" w:cstheme="majorHAnsi"/>
          <w:b/>
          <w:bCs/>
          <w:sz w:val="20"/>
          <w:szCs w:val="18"/>
        </w:rPr>
      </w:pPr>
      <w:r w:rsidRPr="00FD69D8">
        <w:rPr>
          <w:rFonts w:asciiTheme="majorHAnsi" w:hAnsiTheme="majorHAnsi" w:cstheme="majorHAnsi"/>
          <w:b/>
          <w:bCs/>
          <w:sz w:val="20"/>
          <w:szCs w:val="18"/>
        </w:rPr>
        <w:t>Regulation 9: Restriction of Exposure</w:t>
      </w:r>
    </w:p>
    <w:p w14:paraId="49C3DE67" w14:textId="77777777" w:rsidR="00AF747A" w:rsidRPr="00FD69D8" w:rsidRDefault="00AF747A" w:rsidP="00AF747A">
      <w:pPr>
        <w:rPr>
          <w:rFonts w:asciiTheme="majorHAnsi" w:hAnsiTheme="majorHAnsi" w:cstheme="majorHAnsi"/>
          <w:sz w:val="20"/>
          <w:szCs w:val="18"/>
        </w:rPr>
      </w:pPr>
      <w:r w:rsidRPr="00FD69D8">
        <w:rPr>
          <w:rFonts w:asciiTheme="majorHAnsi" w:hAnsiTheme="majorHAnsi" w:cstheme="majorHAnsi"/>
          <w:sz w:val="20"/>
          <w:szCs w:val="18"/>
        </w:rPr>
        <w:t>In this incident, the operator received a significant radiation dose after opening the irradiator drawer while the secondary shutter was partially open. Although the source rotor was in its safe position, the failure of the shutter mechanism allowed radiation to escape through an unintended path. This indicates that exposure was not adequately restricted following an engineering failure and that existing control measures were not sufficient to prevent the operator being exposed.</w:t>
      </w:r>
    </w:p>
    <w:p w14:paraId="7A3802E3" w14:textId="77777777" w:rsidR="00AF747A" w:rsidRPr="00FD69D8" w:rsidRDefault="00AF747A" w:rsidP="00AF747A">
      <w:pPr>
        <w:rPr>
          <w:rFonts w:asciiTheme="majorHAnsi" w:hAnsiTheme="majorHAnsi" w:cstheme="majorHAnsi"/>
          <w:sz w:val="20"/>
          <w:szCs w:val="18"/>
        </w:rPr>
      </w:pPr>
      <w:r w:rsidRPr="00FD69D8">
        <w:rPr>
          <w:rFonts w:asciiTheme="majorHAnsi" w:hAnsiTheme="majorHAnsi" w:cstheme="majorHAnsi"/>
          <w:b/>
          <w:bCs/>
          <w:sz w:val="20"/>
          <w:szCs w:val="18"/>
        </w:rPr>
        <w:t>Assessment: Partially Compliant / Potential Non-compliance</w:t>
      </w:r>
    </w:p>
    <w:p w14:paraId="79CC055A" w14:textId="77777777" w:rsidR="00893FCA" w:rsidRPr="00FD69D8" w:rsidRDefault="00893FCA" w:rsidP="00893FCA">
      <w:pPr>
        <w:rPr>
          <w:rFonts w:asciiTheme="majorHAnsi" w:hAnsiTheme="majorHAnsi" w:cstheme="majorHAnsi"/>
          <w:sz w:val="20"/>
          <w:szCs w:val="18"/>
        </w:rPr>
      </w:pPr>
    </w:p>
    <w:p w14:paraId="6FA7E481" w14:textId="77777777" w:rsidR="00A30607" w:rsidRPr="00FD69D8" w:rsidRDefault="00A30607" w:rsidP="00A30607">
      <w:pPr>
        <w:rPr>
          <w:rFonts w:asciiTheme="majorHAnsi" w:hAnsiTheme="majorHAnsi" w:cstheme="majorHAnsi"/>
          <w:b/>
          <w:bCs/>
          <w:sz w:val="20"/>
          <w:szCs w:val="18"/>
        </w:rPr>
      </w:pPr>
      <w:r w:rsidRPr="00FD69D8">
        <w:rPr>
          <w:rFonts w:asciiTheme="majorHAnsi" w:hAnsiTheme="majorHAnsi" w:cstheme="majorHAnsi"/>
          <w:b/>
          <w:bCs/>
          <w:sz w:val="20"/>
          <w:szCs w:val="18"/>
        </w:rPr>
        <w:t>Regulation 8: Radiation Risk Assessment</w:t>
      </w:r>
    </w:p>
    <w:p w14:paraId="126AC8B9" w14:textId="77777777" w:rsidR="00A67E83" w:rsidRPr="00FD69D8" w:rsidRDefault="00A67E83" w:rsidP="00A67E83">
      <w:pPr>
        <w:rPr>
          <w:rFonts w:asciiTheme="majorHAnsi" w:hAnsiTheme="majorHAnsi" w:cstheme="majorHAnsi"/>
          <w:sz w:val="20"/>
          <w:szCs w:val="18"/>
        </w:rPr>
      </w:pPr>
      <w:r w:rsidRPr="00FD69D8">
        <w:rPr>
          <w:rFonts w:asciiTheme="majorHAnsi" w:hAnsiTheme="majorHAnsi" w:cstheme="majorHAnsi"/>
          <w:sz w:val="20"/>
          <w:szCs w:val="18"/>
        </w:rPr>
        <w:t>Employers must carry out a suitable and sufficient assessment of the risks arising from work with ionising radiation, including reasonably foreseeable radiation accidents.</w:t>
      </w:r>
    </w:p>
    <w:p w14:paraId="25A32492" w14:textId="77777777" w:rsidR="00A67E83" w:rsidRPr="00FD69D8" w:rsidRDefault="00A67E83" w:rsidP="00A67E83">
      <w:pPr>
        <w:rPr>
          <w:rFonts w:asciiTheme="majorHAnsi" w:hAnsiTheme="majorHAnsi" w:cstheme="majorHAnsi"/>
          <w:sz w:val="20"/>
          <w:szCs w:val="18"/>
        </w:rPr>
      </w:pPr>
      <w:r w:rsidRPr="00FD69D8">
        <w:rPr>
          <w:rFonts w:asciiTheme="majorHAnsi" w:hAnsiTheme="majorHAnsi" w:cstheme="majorHAnsi"/>
          <w:sz w:val="20"/>
          <w:szCs w:val="18"/>
        </w:rPr>
        <w:t>The irradiator had a history of drawer-closing problems and had recently undergone maintenance involving the shutter linkage system. However, no formal operational test of the shutter mechanism was recorded after maintenance. The risk assessment should have considered the possibility of the shutter failing to close fully and the consequences of opening the drawer while shielding was incomplete.</w:t>
      </w:r>
    </w:p>
    <w:p w14:paraId="69CA579F" w14:textId="77777777" w:rsidR="00FB3740" w:rsidRPr="00FD69D8" w:rsidRDefault="00FB3740" w:rsidP="00A67E83">
      <w:pPr>
        <w:rPr>
          <w:rFonts w:asciiTheme="majorHAnsi" w:hAnsiTheme="majorHAnsi" w:cstheme="majorHAnsi"/>
          <w:sz w:val="20"/>
          <w:szCs w:val="18"/>
        </w:rPr>
      </w:pPr>
    </w:p>
    <w:p w14:paraId="45C21C28" w14:textId="68CBBFD3" w:rsidR="00FB3740" w:rsidRPr="00FD69D8" w:rsidRDefault="00FB3740" w:rsidP="00FB3740">
      <w:pPr>
        <w:rPr>
          <w:rFonts w:asciiTheme="majorHAnsi" w:hAnsiTheme="majorHAnsi" w:cstheme="majorHAnsi"/>
          <w:b/>
          <w:bCs/>
          <w:sz w:val="20"/>
          <w:szCs w:val="18"/>
        </w:rPr>
      </w:pPr>
      <w:r w:rsidRPr="00FD69D8">
        <w:rPr>
          <w:rFonts w:asciiTheme="majorHAnsi" w:hAnsiTheme="majorHAnsi" w:cstheme="majorHAnsi"/>
          <w:b/>
          <w:bCs/>
          <w:sz w:val="20"/>
          <w:szCs w:val="18"/>
        </w:rPr>
        <w:t xml:space="preserve">Assessment: Potential </w:t>
      </w:r>
      <w:proofErr w:type="gramStart"/>
      <w:r w:rsidRPr="00FD69D8">
        <w:rPr>
          <w:rFonts w:asciiTheme="majorHAnsi" w:hAnsiTheme="majorHAnsi" w:cstheme="majorHAnsi"/>
          <w:b/>
          <w:bCs/>
          <w:sz w:val="20"/>
          <w:szCs w:val="18"/>
        </w:rPr>
        <w:t>Non-compliance</w:t>
      </w:r>
      <w:proofErr w:type="gramEnd"/>
    </w:p>
    <w:p w14:paraId="5FE04DD0" w14:textId="77777777" w:rsidR="00893FCA" w:rsidRPr="00FD69D8" w:rsidRDefault="00893FCA" w:rsidP="00893FCA">
      <w:pPr>
        <w:rPr>
          <w:rFonts w:asciiTheme="majorHAnsi" w:hAnsiTheme="majorHAnsi" w:cstheme="majorHAnsi"/>
          <w:sz w:val="20"/>
          <w:szCs w:val="18"/>
        </w:rPr>
      </w:pPr>
    </w:p>
    <w:p w14:paraId="5D70CA10" w14:textId="77777777" w:rsidR="00A30607" w:rsidRPr="00FD69D8" w:rsidRDefault="00A30607" w:rsidP="00A30607">
      <w:pPr>
        <w:rPr>
          <w:rFonts w:asciiTheme="majorHAnsi" w:hAnsiTheme="majorHAnsi" w:cstheme="majorHAnsi"/>
          <w:b/>
          <w:bCs/>
          <w:sz w:val="20"/>
          <w:szCs w:val="18"/>
        </w:rPr>
      </w:pPr>
      <w:r w:rsidRPr="00FD69D8">
        <w:rPr>
          <w:rFonts w:asciiTheme="majorHAnsi" w:hAnsiTheme="majorHAnsi" w:cstheme="majorHAnsi"/>
          <w:b/>
          <w:bCs/>
          <w:sz w:val="20"/>
          <w:szCs w:val="18"/>
        </w:rPr>
        <w:t>Regulation 13: Contingency Plans</w:t>
      </w:r>
    </w:p>
    <w:p w14:paraId="04D72B65" w14:textId="77777777" w:rsidR="00A67E83" w:rsidRPr="00FD69D8" w:rsidRDefault="00A67E83" w:rsidP="00A67E83">
      <w:pPr>
        <w:rPr>
          <w:rFonts w:asciiTheme="majorHAnsi" w:hAnsiTheme="majorHAnsi" w:cstheme="majorHAnsi"/>
          <w:sz w:val="20"/>
          <w:szCs w:val="18"/>
        </w:rPr>
      </w:pPr>
      <w:r w:rsidRPr="00FD69D8">
        <w:rPr>
          <w:rFonts w:asciiTheme="majorHAnsi" w:hAnsiTheme="majorHAnsi" w:cstheme="majorHAnsi"/>
          <w:sz w:val="20"/>
          <w:szCs w:val="18"/>
        </w:rPr>
        <w:t>Employers must prepare contingency plans for reasonably foreseeable radiation accidents and take steps to prevent such accidents and limit their consequences.</w:t>
      </w:r>
    </w:p>
    <w:p w14:paraId="4DA87671" w14:textId="353AB16D" w:rsidR="00A67E83" w:rsidRPr="00FD69D8" w:rsidRDefault="00A67E83" w:rsidP="00A67E83">
      <w:pPr>
        <w:rPr>
          <w:rFonts w:asciiTheme="majorHAnsi" w:hAnsiTheme="majorHAnsi" w:cstheme="majorHAnsi"/>
          <w:sz w:val="20"/>
          <w:szCs w:val="18"/>
        </w:rPr>
      </w:pPr>
      <w:r w:rsidRPr="00FD69D8">
        <w:rPr>
          <w:rFonts w:asciiTheme="majorHAnsi" w:hAnsiTheme="majorHAnsi" w:cstheme="majorHAnsi"/>
          <w:sz w:val="20"/>
          <w:szCs w:val="18"/>
        </w:rPr>
        <w:t xml:space="preserve">Several safety barriers failed during this event: the shutter failed to close fully, the control system did not detect the fault, the drawer could still be </w:t>
      </w:r>
      <w:r w:rsidR="00FB3740" w:rsidRPr="00FD69D8">
        <w:rPr>
          <w:rFonts w:asciiTheme="majorHAnsi" w:hAnsiTheme="majorHAnsi" w:cstheme="majorHAnsi"/>
          <w:sz w:val="20"/>
          <w:szCs w:val="18"/>
        </w:rPr>
        <w:t>opened,</w:t>
      </w:r>
      <w:r w:rsidRPr="00FD69D8">
        <w:rPr>
          <w:rFonts w:asciiTheme="majorHAnsi" w:hAnsiTheme="majorHAnsi" w:cstheme="majorHAnsi"/>
          <w:sz w:val="20"/>
          <w:szCs w:val="18"/>
        </w:rPr>
        <w:t xml:space="preserve"> and the operator was unaware of the abnormal radiation condition. These failures suggest that the arrangements for dealing with a reasonably foreseeable radiation accident may not have been sufficient to prevent or limit exposure.</w:t>
      </w:r>
    </w:p>
    <w:p w14:paraId="52D4A218" w14:textId="77777777" w:rsidR="00A67E83" w:rsidRPr="00FD69D8" w:rsidRDefault="00A67E83" w:rsidP="00A67E83">
      <w:pPr>
        <w:rPr>
          <w:rFonts w:asciiTheme="majorHAnsi" w:hAnsiTheme="majorHAnsi" w:cstheme="majorHAnsi"/>
          <w:sz w:val="20"/>
          <w:szCs w:val="18"/>
        </w:rPr>
      </w:pPr>
      <w:r w:rsidRPr="00FD69D8">
        <w:rPr>
          <w:rFonts w:asciiTheme="majorHAnsi" w:hAnsiTheme="majorHAnsi" w:cstheme="majorHAnsi"/>
          <w:b/>
          <w:bCs/>
          <w:sz w:val="20"/>
          <w:szCs w:val="18"/>
        </w:rPr>
        <w:t xml:space="preserve">Assessment: Potential </w:t>
      </w:r>
      <w:proofErr w:type="gramStart"/>
      <w:r w:rsidRPr="00FD69D8">
        <w:rPr>
          <w:rFonts w:asciiTheme="majorHAnsi" w:hAnsiTheme="majorHAnsi" w:cstheme="majorHAnsi"/>
          <w:b/>
          <w:bCs/>
          <w:sz w:val="20"/>
          <w:szCs w:val="18"/>
        </w:rPr>
        <w:t>Non-compliance</w:t>
      </w:r>
      <w:proofErr w:type="gramEnd"/>
    </w:p>
    <w:p w14:paraId="575D151D" w14:textId="77777777" w:rsidR="00893FCA" w:rsidRPr="00FD69D8" w:rsidRDefault="00893FCA" w:rsidP="00893FCA">
      <w:pPr>
        <w:rPr>
          <w:rFonts w:asciiTheme="majorHAnsi" w:hAnsiTheme="majorHAnsi" w:cstheme="majorHAnsi"/>
          <w:sz w:val="20"/>
          <w:szCs w:val="18"/>
        </w:rPr>
      </w:pPr>
    </w:p>
    <w:p w14:paraId="5B1BCD4E" w14:textId="77777777" w:rsidR="00A30607" w:rsidRPr="00FD69D8" w:rsidRDefault="00A30607" w:rsidP="00A30607">
      <w:pPr>
        <w:rPr>
          <w:rFonts w:asciiTheme="majorHAnsi" w:hAnsiTheme="majorHAnsi" w:cstheme="majorHAnsi"/>
          <w:b/>
          <w:bCs/>
          <w:sz w:val="20"/>
          <w:szCs w:val="18"/>
        </w:rPr>
      </w:pPr>
      <w:r w:rsidRPr="00FD69D8">
        <w:rPr>
          <w:rFonts w:asciiTheme="majorHAnsi" w:hAnsiTheme="majorHAnsi" w:cstheme="majorHAnsi"/>
          <w:b/>
          <w:bCs/>
          <w:sz w:val="20"/>
          <w:szCs w:val="18"/>
        </w:rPr>
        <w:t>Regulation 17: Designation of Controlled or Supervised Areas</w:t>
      </w:r>
    </w:p>
    <w:p w14:paraId="6FEC4B80" w14:textId="77777777" w:rsidR="000E5457" w:rsidRPr="00FD69D8" w:rsidRDefault="000E5457" w:rsidP="000E5457">
      <w:pPr>
        <w:rPr>
          <w:rFonts w:asciiTheme="majorHAnsi" w:hAnsiTheme="majorHAnsi" w:cstheme="majorHAnsi"/>
          <w:sz w:val="20"/>
          <w:szCs w:val="18"/>
        </w:rPr>
      </w:pPr>
      <w:r w:rsidRPr="00FD69D8">
        <w:rPr>
          <w:rFonts w:asciiTheme="majorHAnsi" w:hAnsiTheme="majorHAnsi" w:cstheme="majorHAnsi"/>
          <w:sz w:val="20"/>
          <w:szCs w:val="18"/>
        </w:rPr>
        <w:t>Controlled and supervised areas must be designated where the radiation risk requires special procedures or controls to restrict exposure or prevent radiation accidents.</w:t>
      </w:r>
    </w:p>
    <w:p w14:paraId="57196D8D" w14:textId="77777777" w:rsidR="000E5457" w:rsidRPr="00FD69D8" w:rsidRDefault="000E5457" w:rsidP="000E5457">
      <w:pPr>
        <w:rPr>
          <w:rFonts w:asciiTheme="majorHAnsi" w:hAnsiTheme="majorHAnsi" w:cstheme="majorHAnsi"/>
          <w:sz w:val="20"/>
          <w:szCs w:val="18"/>
        </w:rPr>
      </w:pPr>
      <w:r w:rsidRPr="00FD69D8">
        <w:rPr>
          <w:rFonts w:asciiTheme="majorHAnsi" w:hAnsiTheme="majorHAnsi" w:cstheme="majorHAnsi"/>
          <w:sz w:val="20"/>
          <w:szCs w:val="18"/>
        </w:rPr>
        <w:t xml:space="preserve">When the drawer was opened, a high radiation field existed near the irradiator. The investigation should establish whether the area was correctly designated and whether the designation was appropriate for the </w:t>
      </w:r>
      <w:r w:rsidRPr="00FD69D8">
        <w:rPr>
          <w:rFonts w:asciiTheme="majorHAnsi" w:hAnsiTheme="majorHAnsi" w:cstheme="majorHAnsi"/>
          <w:sz w:val="20"/>
          <w:szCs w:val="18"/>
        </w:rPr>
        <w:lastRenderedPageBreak/>
        <w:t>radiation risks associated with foreseeable equipment failures. However, the operator's ability to approach the irradiator does not alone demonstrate a breach of Regulation 17.</w:t>
      </w:r>
    </w:p>
    <w:p w14:paraId="058CA466" w14:textId="77777777" w:rsidR="000E5457" w:rsidRPr="00FD69D8" w:rsidRDefault="000E5457" w:rsidP="000E5457">
      <w:pPr>
        <w:rPr>
          <w:rFonts w:asciiTheme="majorHAnsi" w:hAnsiTheme="majorHAnsi" w:cstheme="majorHAnsi"/>
          <w:sz w:val="20"/>
          <w:szCs w:val="18"/>
        </w:rPr>
      </w:pPr>
      <w:r w:rsidRPr="00FD69D8">
        <w:rPr>
          <w:rFonts w:asciiTheme="majorHAnsi" w:hAnsiTheme="majorHAnsi" w:cstheme="majorHAnsi"/>
          <w:b/>
          <w:bCs/>
          <w:sz w:val="20"/>
          <w:szCs w:val="18"/>
        </w:rPr>
        <w:t>Assessment: Compliance cannot be confirmed / Potential Non-compliance</w:t>
      </w:r>
    </w:p>
    <w:p w14:paraId="79B037CB" w14:textId="77777777" w:rsidR="00893FCA" w:rsidRPr="00FD69D8" w:rsidRDefault="00893FCA" w:rsidP="00893FCA">
      <w:pPr>
        <w:rPr>
          <w:rFonts w:asciiTheme="majorHAnsi" w:hAnsiTheme="majorHAnsi" w:cstheme="majorHAnsi"/>
          <w:sz w:val="20"/>
          <w:szCs w:val="18"/>
        </w:rPr>
      </w:pPr>
    </w:p>
    <w:p w14:paraId="18147282" w14:textId="77777777" w:rsidR="00893FCA" w:rsidRPr="00FD69D8" w:rsidRDefault="00893FCA" w:rsidP="00893FCA">
      <w:pPr>
        <w:rPr>
          <w:rFonts w:asciiTheme="majorHAnsi" w:hAnsiTheme="majorHAnsi" w:cstheme="majorHAnsi"/>
          <w:sz w:val="20"/>
          <w:szCs w:val="18"/>
        </w:rPr>
      </w:pPr>
    </w:p>
    <w:p w14:paraId="4CD26CD1" w14:textId="77777777" w:rsidR="00893FCA" w:rsidRPr="00FD69D8" w:rsidRDefault="00893FCA" w:rsidP="00893FCA">
      <w:pPr>
        <w:rPr>
          <w:rFonts w:asciiTheme="majorHAnsi" w:hAnsiTheme="majorHAnsi" w:cstheme="majorHAnsi"/>
          <w:sz w:val="20"/>
          <w:szCs w:val="18"/>
        </w:rPr>
      </w:pPr>
    </w:p>
    <w:p w14:paraId="64DCE3D3" w14:textId="77777777" w:rsidR="000E5457" w:rsidRPr="00FD69D8" w:rsidRDefault="000E5457" w:rsidP="00A30607">
      <w:pPr>
        <w:rPr>
          <w:rFonts w:asciiTheme="majorHAnsi" w:hAnsiTheme="majorHAnsi" w:cstheme="majorHAnsi"/>
          <w:sz w:val="20"/>
          <w:szCs w:val="18"/>
        </w:rPr>
      </w:pPr>
    </w:p>
    <w:p w14:paraId="3649B882" w14:textId="77777777" w:rsidR="000E5457" w:rsidRPr="00FD69D8" w:rsidRDefault="000E5457" w:rsidP="000E5457">
      <w:pPr>
        <w:rPr>
          <w:rFonts w:asciiTheme="majorHAnsi" w:hAnsiTheme="majorHAnsi" w:cstheme="majorHAnsi"/>
          <w:b/>
          <w:bCs/>
          <w:sz w:val="20"/>
          <w:szCs w:val="18"/>
        </w:rPr>
      </w:pPr>
      <w:r w:rsidRPr="00FD69D8">
        <w:rPr>
          <w:rFonts w:asciiTheme="majorHAnsi" w:hAnsiTheme="majorHAnsi" w:cstheme="majorHAnsi"/>
          <w:b/>
          <w:bCs/>
          <w:sz w:val="20"/>
          <w:szCs w:val="18"/>
        </w:rPr>
        <w:t>Regulation 11: Maintenance and Examination of Engineering Controls etc.</w:t>
      </w:r>
    </w:p>
    <w:p w14:paraId="453816A9" w14:textId="77777777" w:rsidR="000E5457" w:rsidRPr="00FD69D8" w:rsidRDefault="000E5457" w:rsidP="000E5457">
      <w:pPr>
        <w:rPr>
          <w:rFonts w:asciiTheme="majorHAnsi" w:hAnsiTheme="majorHAnsi" w:cstheme="majorHAnsi"/>
          <w:sz w:val="20"/>
          <w:szCs w:val="18"/>
        </w:rPr>
      </w:pPr>
      <w:r w:rsidRPr="00FD69D8">
        <w:rPr>
          <w:rFonts w:asciiTheme="majorHAnsi" w:hAnsiTheme="majorHAnsi" w:cstheme="majorHAnsi"/>
          <w:sz w:val="20"/>
          <w:szCs w:val="18"/>
        </w:rPr>
        <w:t>IRR17 requires engineering controls, safety features and warning devices used to restrict exposure to be properly maintained and, where appropriate, thoroughly examined and tested.</w:t>
      </w:r>
    </w:p>
    <w:p w14:paraId="13CA3D85" w14:textId="77777777" w:rsidR="000E5457" w:rsidRPr="00FD69D8" w:rsidRDefault="000E5457" w:rsidP="000E5457">
      <w:pPr>
        <w:rPr>
          <w:rFonts w:asciiTheme="majorHAnsi" w:hAnsiTheme="majorHAnsi" w:cstheme="majorHAnsi"/>
          <w:sz w:val="20"/>
          <w:szCs w:val="18"/>
        </w:rPr>
      </w:pPr>
      <w:r w:rsidRPr="00FD69D8">
        <w:rPr>
          <w:rFonts w:asciiTheme="majorHAnsi" w:hAnsiTheme="majorHAnsi" w:cstheme="majorHAnsi"/>
          <w:sz w:val="20"/>
          <w:szCs w:val="18"/>
        </w:rPr>
        <w:t>The incident dossier states that maintenance was carried out on internal components, including the shutter linkage system. Following this work, no formal operational test of shutter closure was recorded. Later inspection found increased friction and partial obstruction within the shutter mechanism. This is a strong indication that a safety-significant engineering control may not have been adequately examined or tested following maintenance.</w:t>
      </w:r>
    </w:p>
    <w:p w14:paraId="50A6CEEA" w14:textId="77777777" w:rsidR="000E5457" w:rsidRPr="00FD69D8" w:rsidRDefault="000E5457" w:rsidP="000E5457">
      <w:pPr>
        <w:rPr>
          <w:rFonts w:asciiTheme="majorHAnsi" w:hAnsiTheme="majorHAnsi" w:cstheme="majorHAnsi"/>
          <w:b/>
          <w:bCs/>
          <w:sz w:val="20"/>
          <w:szCs w:val="18"/>
        </w:rPr>
      </w:pPr>
      <w:r w:rsidRPr="00FD69D8">
        <w:rPr>
          <w:rFonts w:asciiTheme="majorHAnsi" w:hAnsiTheme="majorHAnsi" w:cstheme="majorHAnsi"/>
          <w:b/>
          <w:bCs/>
          <w:sz w:val="20"/>
          <w:szCs w:val="18"/>
        </w:rPr>
        <w:t xml:space="preserve">Assessment: Likely </w:t>
      </w:r>
      <w:proofErr w:type="gramStart"/>
      <w:r w:rsidRPr="00FD69D8">
        <w:rPr>
          <w:rFonts w:asciiTheme="majorHAnsi" w:hAnsiTheme="majorHAnsi" w:cstheme="majorHAnsi"/>
          <w:b/>
          <w:bCs/>
          <w:sz w:val="20"/>
          <w:szCs w:val="18"/>
        </w:rPr>
        <w:t>Non-compliance</w:t>
      </w:r>
      <w:proofErr w:type="gramEnd"/>
    </w:p>
    <w:p w14:paraId="09B4D567" w14:textId="77777777" w:rsidR="00342347" w:rsidRPr="00FD69D8" w:rsidRDefault="00342347" w:rsidP="002B2483">
      <w:pPr>
        <w:rPr>
          <w:rFonts w:asciiTheme="majorHAnsi" w:hAnsiTheme="majorHAnsi" w:cstheme="majorHAnsi"/>
          <w:bCs/>
          <w:sz w:val="28"/>
          <w:szCs w:val="24"/>
        </w:rPr>
      </w:pPr>
    </w:p>
    <w:p w14:paraId="6AE08F3D" w14:textId="0D100FEB" w:rsidR="00FD69D8" w:rsidRPr="00DD4B37" w:rsidRDefault="00614BEE" w:rsidP="00DD4B37">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ONR Safety Assessment Principles</w:t>
      </w:r>
    </w:p>
    <w:p w14:paraId="43E3F62B" w14:textId="77777777"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Defence in Depth requires multiple independent layers of protection.</w:t>
      </w:r>
    </w:p>
    <w:p w14:paraId="1B67B5C0" w14:textId="77777777"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The irradiator relied on:</w:t>
      </w:r>
    </w:p>
    <w:p w14:paraId="74B45054" w14:textId="77777777" w:rsidR="00FD69D8" w:rsidRPr="00FD69D8" w:rsidRDefault="00FD69D8">
      <w:pPr>
        <w:numPr>
          <w:ilvl w:val="0"/>
          <w:numId w:val="7"/>
        </w:num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Source positioning system.</w:t>
      </w:r>
    </w:p>
    <w:p w14:paraId="447A8E97" w14:textId="77777777" w:rsidR="00FD69D8" w:rsidRPr="00FD69D8" w:rsidRDefault="00FD69D8">
      <w:pPr>
        <w:numPr>
          <w:ilvl w:val="0"/>
          <w:numId w:val="7"/>
        </w:num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Secondary shutter.</w:t>
      </w:r>
    </w:p>
    <w:p w14:paraId="2CBD1C3C" w14:textId="1C4B7E9D" w:rsidR="00FD69D8" w:rsidRPr="00FD69D8" w:rsidRDefault="00FD69D8">
      <w:pPr>
        <w:numPr>
          <w:ilvl w:val="0"/>
          <w:numId w:val="7"/>
        </w:num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Interlock systems</w:t>
      </w:r>
      <w:r w:rsidR="00D94807">
        <w:rPr>
          <w:rFonts w:asciiTheme="majorHAnsi" w:hAnsiTheme="majorHAnsi" w:cstheme="majorHAnsi"/>
          <w:bCs/>
          <w:sz w:val="20"/>
          <w:szCs w:val="18"/>
        </w:rPr>
        <w:t xml:space="preserve"> </w:t>
      </w:r>
      <w:r w:rsidR="00E83A96" w:rsidRPr="00E83A96">
        <w:rPr>
          <w:rFonts w:asciiTheme="majorHAnsi" w:hAnsiTheme="majorHAnsi" w:cstheme="majorHAnsi"/>
          <w:bCs/>
          <w:sz w:val="20"/>
          <w:szCs w:val="18"/>
        </w:rPr>
        <w:t>(NDE-ED, n.d.).</w:t>
      </w:r>
    </w:p>
    <w:p w14:paraId="6DF0FA6B" w14:textId="2B1E9F46" w:rsidR="00FD69D8" w:rsidRPr="00FD69D8" w:rsidRDefault="00FD69D8">
      <w:pPr>
        <w:numPr>
          <w:ilvl w:val="0"/>
          <w:numId w:val="7"/>
        </w:num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Administrative controls</w:t>
      </w:r>
      <w:r w:rsidR="00D94807">
        <w:rPr>
          <w:rFonts w:asciiTheme="majorHAnsi" w:hAnsiTheme="majorHAnsi" w:cstheme="majorHAnsi"/>
          <w:bCs/>
          <w:sz w:val="20"/>
          <w:szCs w:val="18"/>
        </w:rPr>
        <w:t xml:space="preserve"> </w:t>
      </w:r>
      <w:r w:rsidR="00E83A96" w:rsidRPr="00E83A96">
        <w:rPr>
          <w:rFonts w:asciiTheme="majorHAnsi" w:hAnsiTheme="majorHAnsi" w:cstheme="majorHAnsi"/>
          <w:bCs/>
          <w:sz w:val="20"/>
          <w:szCs w:val="18"/>
        </w:rPr>
        <w:t>(NDE-ED, n.d.).</w:t>
      </w:r>
    </w:p>
    <w:p w14:paraId="50C3C5CB" w14:textId="7F630F70"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The incident demonstrates that multiple barriers failed</w:t>
      </w:r>
      <w:r w:rsidR="006224A6">
        <w:rPr>
          <w:rFonts w:asciiTheme="majorHAnsi" w:hAnsiTheme="majorHAnsi" w:cstheme="majorHAnsi"/>
          <w:bCs/>
          <w:sz w:val="20"/>
          <w:szCs w:val="18"/>
        </w:rPr>
        <w:t xml:space="preserve"> at the same time</w:t>
      </w:r>
      <w:r w:rsidRPr="00FD69D8">
        <w:rPr>
          <w:rFonts w:asciiTheme="majorHAnsi" w:hAnsiTheme="majorHAnsi" w:cstheme="majorHAnsi"/>
          <w:bCs/>
          <w:sz w:val="20"/>
          <w:szCs w:val="18"/>
        </w:rPr>
        <w:t>. The shutter was not fully closed, the control system failed to detect the fault, and the drawer was</w:t>
      </w:r>
      <w:r w:rsidR="006224A6">
        <w:rPr>
          <w:rFonts w:asciiTheme="majorHAnsi" w:hAnsiTheme="majorHAnsi" w:cstheme="majorHAnsi"/>
          <w:bCs/>
          <w:sz w:val="20"/>
          <w:szCs w:val="18"/>
        </w:rPr>
        <w:t xml:space="preserve"> allowed</w:t>
      </w:r>
      <w:r w:rsidRPr="00FD69D8">
        <w:rPr>
          <w:rFonts w:asciiTheme="majorHAnsi" w:hAnsiTheme="majorHAnsi" w:cstheme="majorHAnsi"/>
          <w:bCs/>
          <w:sz w:val="20"/>
          <w:szCs w:val="18"/>
        </w:rPr>
        <w:t xml:space="preserve"> to open. Therefore, Defence in Depth was weakened because the failure of one engineered protection was not </w:t>
      </w:r>
      <w:r w:rsidR="00BC307F">
        <w:rPr>
          <w:rFonts w:asciiTheme="majorHAnsi" w:hAnsiTheme="majorHAnsi" w:cstheme="majorHAnsi"/>
          <w:bCs/>
          <w:sz w:val="20"/>
          <w:szCs w:val="18"/>
        </w:rPr>
        <w:t>supported</w:t>
      </w:r>
      <w:r w:rsidRPr="00FD69D8">
        <w:rPr>
          <w:rFonts w:asciiTheme="majorHAnsi" w:hAnsiTheme="majorHAnsi" w:cstheme="majorHAnsi"/>
          <w:bCs/>
          <w:sz w:val="20"/>
          <w:szCs w:val="18"/>
        </w:rPr>
        <w:t xml:space="preserve"> by barriers.</w:t>
      </w:r>
    </w:p>
    <w:p w14:paraId="0187DE62" w14:textId="77777777" w:rsidR="00FD69D8" w:rsidRPr="00FD69D8" w:rsidRDefault="00FD69D8" w:rsidP="00FD69D8">
      <w:pPr>
        <w:tabs>
          <w:tab w:val="left" w:pos="2256"/>
        </w:tabs>
        <w:rPr>
          <w:rFonts w:asciiTheme="majorHAnsi" w:hAnsiTheme="majorHAnsi" w:cstheme="majorHAnsi"/>
          <w:b/>
          <w:bCs/>
          <w:sz w:val="20"/>
          <w:szCs w:val="18"/>
        </w:rPr>
      </w:pPr>
      <w:r w:rsidRPr="00FD69D8">
        <w:rPr>
          <w:rFonts w:asciiTheme="majorHAnsi" w:hAnsiTheme="majorHAnsi" w:cstheme="majorHAnsi"/>
          <w:b/>
          <w:bCs/>
          <w:sz w:val="20"/>
          <w:szCs w:val="18"/>
        </w:rPr>
        <w:t>EDR.1 Failure to Safety</w:t>
      </w:r>
    </w:p>
    <w:p w14:paraId="546AFCB7" w14:textId="77777777"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Safety systems should fail to a safe state.</w:t>
      </w:r>
    </w:p>
    <w:p w14:paraId="276DCB47" w14:textId="30F75CE3"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 xml:space="preserve">The indication system confirmed a safe condition despite incomplete shielding. </w:t>
      </w:r>
      <w:r w:rsidR="003F4C7C">
        <w:rPr>
          <w:rFonts w:asciiTheme="majorHAnsi" w:hAnsiTheme="majorHAnsi" w:cstheme="majorHAnsi"/>
          <w:bCs/>
          <w:sz w:val="20"/>
          <w:szCs w:val="18"/>
        </w:rPr>
        <w:t>In result of this t</w:t>
      </w:r>
      <w:r w:rsidRPr="00FD69D8">
        <w:rPr>
          <w:rFonts w:asciiTheme="majorHAnsi" w:hAnsiTheme="majorHAnsi" w:cstheme="majorHAnsi"/>
          <w:bCs/>
          <w:sz w:val="20"/>
          <w:szCs w:val="18"/>
        </w:rPr>
        <w:t>he equipment did not fail safely following shutter malfunction.</w:t>
      </w:r>
    </w:p>
    <w:p w14:paraId="3A1C3D15" w14:textId="77777777" w:rsidR="00FD69D8" w:rsidRPr="00FD69D8" w:rsidRDefault="00FD69D8" w:rsidP="00FD69D8">
      <w:pPr>
        <w:tabs>
          <w:tab w:val="left" w:pos="2256"/>
        </w:tabs>
        <w:rPr>
          <w:rFonts w:asciiTheme="majorHAnsi" w:hAnsiTheme="majorHAnsi" w:cstheme="majorHAnsi"/>
          <w:b/>
          <w:bCs/>
          <w:sz w:val="20"/>
          <w:szCs w:val="18"/>
        </w:rPr>
      </w:pPr>
      <w:r w:rsidRPr="00FD69D8">
        <w:rPr>
          <w:rFonts w:asciiTheme="majorHAnsi" w:hAnsiTheme="majorHAnsi" w:cstheme="majorHAnsi"/>
          <w:b/>
          <w:bCs/>
          <w:sz w:val="20"/>
          <w:szCs w:val="18"/>
        </w:rPr>
        <w:t>EMT.1 Maintenance, Inspection and Testing</w:t>
      </w:r>
    </w:p>
    <w:p w14:paraId="686023BF" w14:textId="77777777"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Safety-significant equipment requires effective maintenance and verification testing.</w:t>
      </w:r>
    </w:p>
    <w:p w14:paraId="4B483D6A" w14:textId="74A6824F" w:rsidR="00FD69D8" w:rsidRPr="00FD69D8" w:rsidRDefault="00FD69D8" w:rsidP="00FD69D8">
      <w:pPr>
        <w:tabs>
          <w:tab w:val="left" w:pos="2256"/>
        </w:tabs>
        <w:rPr>
          <w:rFonts w:asciiTheme="majorHAnsi" w:hAnsiTheme="majorHAnsi" w:cstheme="majorHAnsi"/>
          <w:bCs/>
          <w:sz w:val="20"/>
          <w:szCs w:val="18"/>
        </w:rPr>
      </w:pPr>
      <w:r w:rsidRPr="00FD69D8">
        <w:rPr>
          <w:rFonts w:asciiTheme="majorHAnsi" w:hAnsiTheme="majorHAnsi" w:cstheme="majorHAnsi"/>
          <w:bCs/>
          <w:sz w:val="20"/>
          <w:szCs w:val="18"/>
        </w:rPr>
        <w:t>No formal operational test of shutter closure was recorded after maintenance activity.</w:t>
      </w:r>
      <w:r w:rsidR="00637B6F">
        <w:rPr>
          <w:rFonts w:asciiTheme="majorHAnsi" w:hAnsiTheme="majorHAnsi" w:cstheme="majorHAnsi"/>
          <w:bCs/>
          <w:sz w:val="20"/>
          <w:szCs w:val="18"/>
        </w:rPr>
        <w:t xml:space="preserve"> In result of this</w:t>
      </w:r>
      <w:r w:rsidRPr="00FD69D8">
        <w:rPr>
          <w:rFonts w:asciiTheme="majorHAnsi" w:hAnsiTheme="majorHAnsi" w:cstheme="majorHAnsi"/>
          <w:bCs/>
          <w:sz w:val="20"/>
          <w:szCs w:val="18"/>
        </w:rPr>
        <w:t>, degradation remained undetected until the incident occurred.</w:t>
      </w:r>
    </w:p>
    <w:p w14:paraId="24EB8BCE" w14:textId="2D68DBFB" w:rsidR="00342347" w:rsidRDefault="00342347" w:rsidP="00FD69D8">
      <w:pPr>
        <w:tabs>
          <w:tab w:val="left" w:pos="2256"/>
        </w:tabs>
        <w:rPr>
          <w:rFonts w:asciiTheme="majorHAnsi" w:hAnsiTheme="majorHAnsi" w:cstheme="majorHAnsi"/>
          <w:bCs/>
          <w:sz w:val="28"/>
          <w:szCs w:val="24"/>
        </w:rPr>
      </w:pPr>
    </w:p>
    <w:p w14:paraId="70CA96C9" w14:textId="77777777" w:rsidR="00327224" w:rsidRDefault="00327224" w:rsidP="00FD69D8">
      <w:pPr>
        <w:tabs>
          <w:tab w:val="left" w:pos="2256"/>
        </w:tabs>
        <w:rPr>
          <w:rFonts w:asciiTheme="majorHAnsi" w:hAnsiTheme="majorHAnsi" w:cstheme="majorHAnsi"/>
          <w:bCs/>
          <w:sz w:val="28"/>
          <w:szCs w:val="24"/>
        </w:rPr>
      </w:pPr>
    </w:p>
    <w:p w14:paraId="621A1AB1" w14:textId="77777777" w:rsidR="00E07AF0" w:rsidRDefault="00E07AF0" w:rsidP="00FD69D8">
      <w:pPr>
        <w:tabs>
          <w:tab w:val="left" w:pos="2256"/>
        </w:tabs>
        <w:rPr>
          <w:rFonts w:asciiTheme="majorHAnsi" w:hAnsiTheme="majorHAnsi" w:cstheme="majorHAnsi"/>
          <w:bCs/>
          <w:sz w:val="28"/>
          <w:szCs w:val="24"/>
        </w:rPr>
      </w:pPr>
    </w:p>
    <w:p w14:paraId="06EB0BBB" w14:textId="77777777" w:rsidR="00E07AF0" w:rsidRDefault="00E07AF0" w:rsidP="00FD69D8">
      <w:pPr>
        <w:tabs>
          <w:tab w:val="left" w:pos="2256"/>
        </w:tabs>
        <w:rPr>
          <w:rFonts w:asciiTheme="majorHAnsi" w:hAnsiTheme="majorHAnsi" w:cstheme="majorHAnsi"/>
          <w:bCs/>
          <w:sz w:val="28"/>
          <w:szCs w:val="24"/>
        </w:rPr>
      </w:pPr>
    </w:p>
    <w:p w14:paraId="2EB7E970" w14:textId="77777777" w:rsidR="00E07AF0" w:rsidRPr="00FD69D8" w:rsidRDefault="00E07AF0" w:rsidP="00FD69D8">
      <w:pPr>
        <w:tabs>
          <w:tab w:val="left" w:pos="2256"/>
        </w:tabs>
        <w:rPr>
          <w:rFonts w:asciiTheme="majorHAnsi" w:hAnsiTheme="majorHAnsi" w:cstheme="majorHAnsi"/>
          <w:bCs/>
          <w:sz w:val="28"/>
          <w:szCs w:val="24"/>
        </w:rPr>
      </w:pPr>
    </w:p>
    <w:p w14:paraId="52F2163C" w14:textId="75651763" w:rsidR="00614BEE" w:rsidRDefault="00B51E79"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ALARP Recommendations</w:t>
      </w:r>
    </w:p>
    <w:p w14:paraId="44AB7BBF" w14:textId="77777777" w:rsidR="00E07AF0" w:rsidRPr="00E07AF0" w:rsidRDefault="00E07AF0" w:rsidP="00E07AF0">
      <w:pPr>
        <w:rPr>
          <w:rFonts w:asciiTheme="majorHAnsi" w:hAnsiTheme="majorHAnsi" w:cstheme="majorHAnsi"/>
          <w:bCs/>
          <w:sz w:val="20"/>
          <w:szCs w:val="18"/>
        </w:rPr>
      </w:pPr>
      <w:r w:rsidRPr="00E07AF0">
        <w:rPr>
          <w:rFonts w:asciiTheme="majorHAnsi" w:hAnsiTheme="majorHAnsi" w:cstheme="majorHAnsi"/>
          <w:bCs/>
          <w:sz w:val="20"/>
          <w:szCs w:val="18"/>
        </w:rPr>
        <w:t>The following improvements are justified according to ALARP principles.</w:t>
      </w:r>
    </w:p>
    <w:p w14:paraId="01B71F8A" w14:textId="77777777" w:rsidR="00E07AF0" w:rsidRPr="00E07AF0" w:rsidRDefault="00E07AF0" w:rsidP="00E07AF0">
      <w:pPr>
        <w:rPr>
          <w:rFonts w:asciiTheme="majorHAnsi" w:hAnsiTheme="majorHAnsi" w:cstheme="majorHAnsi"/>
          <w:b/>
          <w:bCs/>
          <w:sz w:val="20"/>
          <w:szCs w:val="18"/>
        </w:rPr>
      </w:pPr>
      <w:r w:rsidRPr="00E07AF0">
        <w:rPr>
          <w:rFonts w:asciiTheme="majorHAnsi" w:hAnsiTheme="majorHAnsi" w:cstheme="majorHAnsi"/>
          <w:b/>
          <w:bCs/>
          <w:sz w:val="20"/>
          <w:szCs w:val="18"/>
        </w:rPr>
        <w:t>Engineering Controls</w:t>
      </w:r>
    </w:p>
    <w:p w14:paraId="694199BE" w14:textId="77777777" w:rsidR="00E07AF0" w:rsidRPr="00E07AF0" w:rsidRDefault="00E07AF0">
      <w:pPr>
        <w:numPr>
          <w:ilvl w:val="0"/>
          <w:numId w:val="8"/>
        </w:numPr>
        <w:rPr>
          <w:rFonts w:asciiTheme="majorHAnsi" w:hAnsiTheme="majorHAnsi" w:cstheme="majorHAnsi"/>
          <w:bCs/>
          <w:sz w:val="20"/>
          <w:szCs w:val="18"/>
        </w:rPr>
      </w:pPr>
      <w:r w:rsidRPr="00E07AF0">
        <w:rPr>
          <w:rFonts w:asciiTheme="majorHAnsi" w:hAnsiTheme="majorHAnsi" w:cstheme="majorHAnsi"/>
          <w:bCs/>
          <w:sz w:val="20"/>
          <w:szCs w:val="18"/>
        </w:rPr>
        <w:t>Install independent shutter position sensors.</w:t>
      </w:r>
    </w:p>
    <w:p w14:paraId="14B3F91A" w14:textId="77777777" w:rsidR="00E07AF0" w:rsidRPr="00E07AF0" w:rsidRDefault="00E07AF0">
      <w:pPr>
        <w:numPr>
          <w:ilvl w:val="0"/>
          <w:numId w:val="8"/>
        </w:numPr>
        <w:rPr>
          <w:rFonts w:asciiTheme="majorHAnsi" w:hAnsiTheme="majorHAnsi" w:cstheme="majorHAnsi"/>
          <w:bCs/>
          <w:sz w:val="20"/>
          <w:szCs w:val="18"/>
        </w:rPr>
      </w:pPr>
      <w:r w:rsidRPr="00E07AF0">
        <w:rPr>
          <w:rFonts w:asciiTheme="majorHAnsi" w:hAnsiTheme="majorHAnsi" w:cstheme="majorHAnsi"/>
          <w:bCs/>
          <w:sz w:val="20"/>
          <w:szCs w:val="18"/>
        </w:rPr>
        <w:t>Require both source position and shutter position confirmation before drawer release.</w:t>
      </w:r>
    </w:p>
    <w:p w14:paraId="57681437" w14:textId="472C12F2" w:rsidR="00E07AF0" w:rsidRPr="00E07AF0" w:rsidRDefault="00E07AF0">
      <w:pPr>
        <w:numPr>
          <w:ilvl w:val="0"/>
          <w:numId w:val="8"/>
        </w:numPr>
        <w:rPr>
          <w:rFonts w:asciiTheme="majorHAnsi" w:hAnsiTheme="majorHAnsi" w:cstheme="majorHAnsi"/>
          <w:bCs/>
          <w:sz w:val="20"/>
          <w:szCs w:val="18"/>
        </w:rPr>
      </w:pPr>
      <w:r w:rsidRPr="00E07AF0">
        <w:rPr>
          <w:rFonts w:asciiTheme="majorHAnsi" w:hAnsiTheme="majorHAnsi" w:cstheme="majorHAnsi"/>
          <w:bCs/>
          <w:sz w:val="20"/>
          <w:szCs w:val="18"/>
        </w:rPr>
        <w:t>Introduce automatic lockout when disagreement between safety systems.</w:t>
      </w:r>
    </w:p>
    <w:p w14:paraId="4EDC5D8B" w14:textId="77777777" w:rsidR="00E07AF0" w:rsidRPr="00E07AF0" w:rsidRDefault="00E07AF0" w:rsidP="00E07AF0">
      <w:pPr>
        <w:rPr>
          <w:rFonts w:asciiTheme="majorHAnsi" w:hAnsiTheme="majorHAnsi" w:cstheme="majorHAnsi"/>
          <w:b/>
          <w:bCs/>
          <w:sz w:val="20"/>
          <w:szCs w:val="18"/>
        </w:rPr>
      </w:pPr>
      <w:r w:rsidRPr="00E07AF0">
        <w:rPr>
          <w:rFonts w:asciiTheme="majorHAnsi" w:hAnsiTheme="majorHAnsi" w:cstheme="majorHAnsi"/>
          <w:b/>
          <w:bCs/>
          <w:sz w:val="20"/>
          <w:szCs w:val="18"/>
        </w:rPr>
        <w:t>Maintenance Improvements</w:t>
      </w:r>
    </w:p>
    <w:p w14:paraId="76FD75FC" w14:textId="77777777" w:rsidR="00E07AF0" w:rsidRPr="00E07AF0" w:rsidRDefault="00E07AF0">
      <w:pPr>
        <w:numPr>
          <w:ilvl w:val="0"/>
          <w:numId w:val="9"/>
        </w:numPr>
        <w:rPr>
          <w:rFonts w:asciiTheme="majorHAnsi" w:hAnsiTheme="majorHAnsi" w:cstheme="majorHAnsi"/>
          <w:bCs/>
          <w:sz w:val="20"/>
          <w:szCs w:val="18"/>
        </w:rPr>
      </w:pPr>
      <w:r w:rsidRPr="00E07AF0">
        <w:rPr>
          <w:rFonts w:asciiTheme="majorHAnsi" w:hAnsiTheme="majorHAnsi" w:cstheme="majorHAnsi"/>
          <w:bCs/>
          <w:sz w:val="20"/>
          <w:szCs w:val="18"/>
        </w:rPr>
        <w:t>Mandatory post-maintenance functional testing.</w:t>
      </w:r>
    </w:p>
    <w:p w14:paraId="74A4323D" w14:textId="77777777" w:rsidR="00E07AF0" w:rsidRPr="00E07AF0" w:rsidRDefault="00E07AF0">
      <w:pPr>
        <w:numPr>
          <w:ilvl w:val="0"/>
          <w:numId w:val="9"/>
        </w:numPr>
        <w:rPr>
          <w:rFonts w:asciiTheme="majorHAnsi" w:hAnsiTheme="majorHAnsi" w:cstheme="majorHAnsi"/>
          <w:bCs/>
          <w:sz w:val="20"/>
          <w:szCs w:val="18"/>
        </w:rPr>
      </w:pPr>
      <w:r w:rsidRPr="00E07AF0">
        <w:rPr>
          <w:rFonts w:asciiTheme="majorHAnsi" w:hAnsiTheme="majorHAnsi" w:cstheme="majorHAnsi"/>
          <w:bCs/>
          <w:sz w:val="20"/>
          <w:szCs w:val="18"/>
        </w:rPr>
        <w:t>Formal verification and sign-off of safety-critical components.</w:t>
      </w:r>
    </w:p>
    <w:p w14:paraId="5A284B5D" w14:textId="25D5CBFB" w:rsidR="00E07AF0" w:rsidRPr="00E07AF0" w:rsidRDefault="00EB458C">
      <w:pPr>
        <w:numPr>
          <w:ilvl w:val="0"/>
          <w:numId w:val="9"/>
        </w:numPr>
        <w:rPr>
          <w:rFonts w:asciiTheme="majorHAnsi" w:hAnsiTheme="majorHAnsi" w:cstheme="majorHAnsi"/>
          <w:bCs/>
          <w:sz w:val="20"/>
          <w:szCs w:val="18"/>
        </w:rPr>
      </w:pPr>
      <w:r>
        <w:rPr>
          <w:rFonts w:asciiTheme="majorHAnsi" w:hAnsiTheme="majorHAnsi" w:cstheme="majorHAnsi"/>
          <w:bCs/>
          <w:sz w:val="20"/>
          <w:szCs w:val="18"/>
        </w:rPr>
        <w:t xml:space="preserve">Constant </w:t>
      </w:r>
      <w:r w:rsidR="00E07AF0" w:rsidRPr="00E07AF0">
        <w:rPr>
          <w:rFonts w:asciiTheme="majorHAnsi" w:hAnsiTheme="majorHAnsi" w:cstheme="majorHAnsi"/>
          <w:bCs/>
          <w:sz w:val="20"/>
          <w:szCs w:val="18"/>
        </w:rPr>
        <w:t>inspection of shutter linkage wear and alignment.</w:t>
      </w:r>
    </w:p>
    <w:p w14:paraId="56E01CB4" w14:textId="77777777" w:rsidR="00E07AF0" w:rsidRPr="00E07AF0" w:rsidRDefault="00E07AF0" w:rsidP="00E07AF0">
      <w:pPr>
        <w:rPr>
          <w:rFonts w:asciiTheme="majorHAnsi" w:hAnsiTheme="majorHAnsi" w:cstheme="majorHAnsi"/>
          <w:b/>
          <w:bCs/>
          <w:sz w:val="20"/>
          <w:szCs w:val="18"/>
        </w:rPr>
      </w:pPr>
      <w:r w:rsidRPr="00E07AF0">
        <w:rPr>
          <w:rFonts w:asciiTheme="majorHAnsi" w:hAnsiTheme="majorHAnsi" w:cstheme="majorHAnsi"/>
          <w:b/>
          <w:bCs/>
          <w:sz w:val="20"/>
          <w:szCs w:val="18"/>
        </w:rPr>
        <w:t>Radiation Monitoring</w:t>
      </w:r>
    </w:p>
    <w:p w14:paraId="6EBA1123" w14:textId="77777777" w:rsidR="00E07AF0" w:rsidRPr="00E07AF0" w:rsidRDefault="00E07AF0">
      <w:pPr>
        <w:numPr>
          <w:ilvl w:val="0"/>
          <w:numId w:val="10"/>
        </w:numPr>
        <w:rPr>
          <w:rFonts w:asciiTheme="majorHAnsi" w:hAnsiTheme="majorHAnsi" w:cstheme="majorHAnsi"/>
          <w:bCs/>
          <w:sz w:val="20"/>
          <w:szCs w:val="18"/>
        </w:rPr>
      </w:pPr>
      <w:r w:rsidRPr="00E07AF0">
        <w:rPr>
          <w:rFonts w:asciiTheme="majorHAnsi" w:hAnsiTheme="majorHAnsi" w:cstheme="majorHAnsi"/>
          <w:bCs/>
          <w:sz w:val="20"/>
          <w:szCs w:val="18"/>
        </w:rPr>
        <w:t>Install fixed area gamma monitors with audible alarms.</w:t>
      </w:r>
    </w:p>
    <w:p w14:paraId="73304D32" w14:textId="3912C4EC" w:rsidR="00E07AF0" w:rsidRPr="00E07AF0" w:rsidRDefault="00E07AF0">
      <w:pPr>
        <w:numPr>
          <w:ilvl w:val="0"/>
          <w:numId w:val="10"/>
        </w:numPr>
        <w:rPr>
          <w:rFonts w:asciiTheme="majorHAnsi" w:hAnsiTheme="majorHAnsi" w:cstheme="majorHAnsi"/>
          <w:bCs/>
          <w:sz w:val="20"/>
          <w:szCs w:val="18"/>
        </w:rPr>
      </w:pPr>
      <w:r w:rsidRPr="00E07AF0">
        <w:rPr>
          <w:rFonts w:asciiTheme="majorHAnsi" w:hAnsiTheme="majorHAnsi" w:cstheme="majorHAnsi"/>
          <w:bCs/>
          <w:sz w:val="20"/>
          <w:szCs w:val="18"/>
        </w:rPr>
        <w:t>Introduce monitoring near drawer access points.</w:t>
      </w:r>
    </w:p>
    <w:p w14:paraId="1F0E5D25" w14:textId="77777777" w:rsidR="00E07AF0" w:rsidRPr="00E07AF0" w:rsidRDefault="00E07AF0" w:rsidP="00E07AF0">
      <w:pPr>
        <w:rPr>
          <w:rFonts w:asciiTheme="majorHAnsi" w:hAnsiTheme="majorHAnsi" w:cstheme="majorHAnsi"/>
          <w:b/>
          <w:bCs/>
          <w:sz w:val="20"/>
          <w:szCs w:val="18"/>
        </w:rPr>
      </w:pPr>
      <w:r w:rsidRPr="00E07AF0">
        <w:rPr>
          <w:rFonts w:asciiTheme="majorHAnsi" w:hAnsiTheme="majorHAnsi" w:cstheme="majorHAnsi"/>
          <w:b/>
          <w:bCs/>
          <w:sz w:val="20"/>
          <w:szCs w:val="18"/>
        </w:rPr>
        <w:t>Procedural Improvements</w:t>
      </w:r>
    </w:p>
    <w:p w14:paraId="0518102A" w14:textId="77777777" w:rsidR="00E07AF0" w:rsidRPr="00E07AF0" w:rsidRDefault="00E07AF0">
      <w:pPr>
        <w:numPr>
          <w:ilvl w:val="0"/>
          <w:numId w:val="11"/>
        </w:numPr>
        <w:rPr>
          <w:rFonts w:asciiTheme="majorHAnsi" w:hAnsiTheme="majorHAnsi" w:cstheme="majorHAnsi"/>
          <w:bCs/>
          <w:sz w:val="20"/>
          <w:szCs w:val="18"/>
        </w:rPr>
      </w:pPr>
      <w:r w:rsidRPr="00E07AF0">
        <w:rPr>
          <w:rFonts w:asciiTheme="majorHAnsi" w:hAnsiTheme="majorHAnsi" w:cstheme="majorHAnsi"/>
          <w:bCs/>
          <w:sz w:val="20"/>
          <w:szCs w:val="18"/>
        </w:rPr>
        <w:t>Establish reporting procedures for recurring mechanical defects.</w:t>
      </w:r>
    </w:p>
    <w:p w14:paraId="0730C5D2" w14:textId="77777777" w:rsidR="00E07AF0" w:rsidRPr="00E07AF0" w:rsidRDefault="00E07AF0">
      <w:pPr>
        <w:numPr>
          <w:ilvl w:val="0"/>
          <w:numId w:val="11"/>
        </w:numPr>
        <w:rPr>
          <w:rFonts w:asciiTheme="majorHAnsi" w:hAnsiTheme="majorHAnsi" w:cstheme="majorHAnsi"/>
          <w:bCs/>
          <w:sz w:val="20"/>
          <w:szCs w:val="18"/>
        </w:rPr>
      </w:pPr>
      <w:r w:rsidRPr="00E07AF0">
        <w:rPr>
          <w:rFonts w:asciiTheme="majorHAnsi" w:hAnsiTheme="majorHAnsi" w:cstheme="majorHAnsi"/>
          <w:bCs/>
          <w:sz w:val="20"/>
          <w:szCs w:val="18"/>
        </w:rPr>
        <w:t>Require RPA review following maintenance affecting safety systems.</w:t>
      </w:r>
    </w:p>
    <w:p w14:paraId="7521C35B" w14:textId="63792372" w:rsidR="00E07AF0" w:rsidRPr="00E07AF0" w:rsidRDefault="00E07AF0">
      <w:pPr>
        <w:numPr>
          <w:ilvl w:val="0"/>
          <w:numId w:val="11"/>
        </w:numPr>
        <w:rPr>
          <w:rFonts w:asciiTheme="majorHAnsi" w:hAnsiTheme="majorHAnsi" w:cstheme="majorHAnsi"/>
          <w:bCs/>
          <w:sz w:val="20"/>
          <w:szCs w:val="18"/>
        </w:rPr>
      </w:pPr>
      <w:r w:rsidRPr="00E07AF0">
        <w:rPr>
          <w:rFonts w:asciiTheme="majorHAnsi" w:hAnsiTheme="majorHAnsi" w:cstheme="majorHAnsi"/>
          <w:bCs/>
          <w:sz w:val="20"/>
          <w:szCs w:val="18"/>
        </w:rPr>
        <w:t>Improve operator training on equipment.</w:t>
      </w:r>
    </w:p>
    <w:p w14:paraId="2B50717F" w14:textId="77777777" w:rsidR="00E07AF0" w:rsidRPr="00E07AF0" w:rsidRDefault="00E07AF0" w:rsidP="00E07AF0">
      <w:pPr>
        <w:rPr>
          <w:rFonts w:asciiTheme="majorHAnsi" w:hAnsiTheme="majorHAnsi" w:cstheme="majorHAnsi"/>
          <w:b/>
          <w:bCs/>
          <w:sz w:val="20"/>
          <w:szCs w:val="18"/>
        </w:rPr>
      </w:pPr>
      <w:r w:rsidRPr="00E07AF0">
        <w:rPr>
          <w:rFonts w:asciiTheme="majorHAnsi" w:hAnsiTheme="majorHAnsi" w:cstheme="majorHAnsi"/>
          <w:b/>
          <w:bCs/>
          <w:sz w:val="20"/>
          <w:szCs w:val="18"/>
        </w:rPr>
        <w:t>Organisational Improvements</w:t>
      </w:r>
    </w:p>
    <w:p w14:paraId="481EDD4B" w14:textId="106BCEDC" w:rsidR="00E07AF0" w:rsidRPr="00E07AF0" w:rsidRDefault="00E07AF0">
      <w:pPr>
        <w:numPr>
          <w:ilvl w:val="0"/>
          <w:numId w:val="12"/>
        </w:numPr>
        <w:rPr>
          <w:rFonts w:asciiTheme="majorHAnsi" w:hAnsiTheme="majorHAnsi" w:cstheme="majorHAnsi"/>
          <w:bCs/>
          <w:sz w:val="20"/>
          <w:szCs w:val="18"/>
        </w:rPr>
      </w:pPr>
      <w:r w:rsidRPr="00E07AF0">
        <w:rPr>
          <w:rFonts w:asciiTheme="majorHAnsi" w:hAnsiTheme="majorHAnsi" w:cstheme="majorHAnsi"/>
          <w:bCs/>
          <w:sz w:val="20"/>
          <w:szCs w:val="18"/>
        </w:rPr>
        <w:t>Strengthen safety culture reporting.</w:t>
      </w:r>
    </w:p>
    <w:p w14:paraId="631C5D03" w14:textId="77777777" w:rsidR="00E07AF0" w:rsidRPr="00E07AF0" w:rsidRDefault="00E07AF0">
      <w:pPr>
        <w:numPr>
          <w:ilvl w:val="0"/>
          <w:numId w:val="12"/>
        </w:numPr>
        <w:rPr>
          <w:rFonts w:asciiTheme="majorHAnsi" w:hAnsiTheme="majorHAnsi" w:cstheme="majorHAnsi"/>
          <w:bCs/>
          <w:sz w:val="20"/>
          <w:szCs w:val="18"/>
        </w:rPr>
      </w:pPr>
      <w:r w:rsidRPr="00E07AF0">
        <w:rPr>
          <w:rFonts w:asciiTheme="majorHAnsi" w:hAnsiTheme="majorHAnsi" w:cstheme="majorHAnsi"/>
          <w:bCs/>
          <w:sz w:val="20"/>
          <w:szCs w:val="18"/>
        </w:rPr>
        <w:t>Enhance configuration control and maintenance documentation.</w:t>
      </w:r>
    </w:p>
    <w:p w14:paraId="0F2F46A2" w14:textId="0CD3FB02" w:rsidR="00E07AF0" w:rsidRPr="00F16E4E" w:rsidRDefault="00E07AF0">
      <w:pPr>
        <w:numPr>
          <w:ilvl w:val="0"/>
          <w:numId w:val="12"/>
        </w:numPr>
        <w:rPr>
          <w:rFonts w:asciiTheme="majorHAnsi" w:hAnsiTheme="majorHAnsi" w:cstheme="majorHAnsi"/>
          <w:bCs/>
          <w:sz w:val="20"/>
          <w:szCs w:val="18"/>
        </w:rPr>
      </w:pPr>
      <w:r w:rsidRPr="00E07AF0">
        <w:rPr>
          <w:rFonts w:asciiTheme="majorHAnsi" w:hAnsiTheme="majorHAnsi" w:cstheme="majorHAnsi"/>
          <w:bCs/>
          <w:sz w:val="20"/>
          <w:szCs w:val="18"/>
        </w:rPr>
        <w:t>Audit compliance with testing procedures periodically.</w:t>
      </w:r>
    </w:p>
    <w:p w14:paraId="42372F5D" w14:textId="77777777" w:rsidR="00E07AF0" w:rsidRPr="00E07AF0" w:rsidRDefault="00E07AF0" w:rsidP="002B2483">
      <w:pPr>
        <w:rPr>
          <w:rFonts w:asciiTheme="majorHAnsi" w:hAnsiTheme="majorHAnsi" w:cstheme="majorHAnsi"/>
          <w:bCs/>
          <w:sz w:val="20"/>
          <w:szCs w:val="18"/>
        </w:rPr>
      </w:pPr>
    </w:p>
    <w:p w14:paraId="0AAD6EA2" w14:textId="764948D7" w:rsidR="00B51E79" w:rsidRDefault="00B51E79"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Conclusions</w:t>
      </w:r>
    </w:p>
    <w:p w14:paraId="60B0BE56" w14:textId="151FC9AD" w:rsidR="00B62604" w:rsidRPr="00B62604" w:rsidRDefault="00B62604" w:rsidP="00B62604">
      <w:pPr>
        <w:rPr>
          <w:rFonts w:asciiTheme="majorHAnsi" w:hAnsiTheme="majorHAnsi" w:cstheme="majorHAnsi"/>
          <w:bCs/>
          <w:sz w:val="20"/>
          <w:szCs w:val="18"/>
        </w:rPr>
      </w:pPr>
      <w:r w:rsidRPr="00B62604">
        <w:rPr>
          <w:rFonts w:asciiTheme="majorHAnsi" w:hAnsiTheme="majorHAnsi" w:cstheme="majorHAnsi"/>
          <w:bCs/>
          <w:sz w:val="20"/>
          <w:szCs w:val="18"/>
        </w:rPr>
        <w:t>The incident demonstrates that significant radiation exposure occurred because the secondary shutter failed to close fully and the safety system incorrectly indicated a safe condition. The dose reconstruction and measured dosimetry confirm that the operator received a</w:t>
      </w:r>
      <w:r w:rsidR="00DE234C">
        <w:rPr>
          <w:rFonts w:asciiTheme="majorHAnsi" w:hAnsiTheme="majorHAnsi" w:cstheme="majorHAnsi"/>
          <w:bCs/>
          <w:sz w:val="20"/>
          <w:szCs w:val="18"/>
        </w:rPr>
        <w:t xml:space="preserve"> lot of</w:t>
      </w:r>
      <w:r w:rsidRPr="00B62604">
        <w:rPr>
          <w:rFonts w:asciiTheme="majorHAnsi" w:hAnsiTheme="majorHAnsi" w:cstheme="majorHAnsi"/>
          <w:bCs/>
          <w:sz w:val="20"/>
          <w:szCs w:val="18"/>
        </w:rPr>
        <w:t xml:space="preserve"> exposure, with localised skin effects also reported.</w:t>
      </w:r>
    </w:p>
    <w:p w14:paraId="7782DB0E" w14:textId="5AEF5D92" w:rsidR="00B62604" w:rsidRPr="00B62604" w:rsidRDefault="00B62604" w:rsidP="00B62604">
      <w:pPr>
        <w:rPr>
          <w:rFonts w:asciiTheme="majorHAnsi" w:hAnsiTheme="majorHAnsi" w:cstheme="majorHAnsi"/>
          <w:bCs/>
          <w:sz w:val="20"/>
          <w:szCs w:val="18"/>
        </w:rPr>
      </w:pPr>
      <w:r w:rsidRPr="00B62604">
        <w:rPr>
          <w:rFonts w:asciiTheme="majorHAnsi" w:hAnsiTheme="majorHAnsi" w:cstheme="majorHAnsi"/>
          <w:bCs/>
          <w:sz w:val="20"/>
          <w:szCs w:val="18"/>
        </w:rPr>
        <w:t xml:space="preserve">The assessment identified </w:t>
      </w:r>
      <w:r w:rsidR="00DE234C">
        <w:rPr>
          <w:rFonts w:asciiTheme="majorHAnsi" w:hAnsiTheme="majorHAnsi" w:cstheme="majorHAnsi"/>
          <w:bCs/>
          <w:sz w:val="20"/>
          <w:szCs w:val="18"/>
        </w:rPr>
        <w:t xml:space="preserve">some </w:t>
      </w:r>
      <w:r w:rsidRPr="00B62604">
        <w:rPr>
          <w:rFonts w:asciiTheme="majorHAnsi" w:hAnsiTheme="majorHAnsi" w:cstheme="majorHAnsi"/>
          <w:bCs/>
          <w:sz w:val="20"/>
          <w:szCs w:val="18"/>
        </w:rPr>
        <w:t>potential weaknesses in compliance with IRR17,</w:t>
      </w:r>
      <w:r w:rsidR="00904109">
        <w:rPr>
          <w:rFonts w:asciiTheme="majorHAnsi" w:hAnsiTheme="majorHAnsi" w:cstheme="majorHAnsi"/>
          <w:bCs/>
          <w:sz w:val="20"/>
          <w:szCs w:val="18"/>
        </w:rPr>
        <w:t xml:space="preserve"> especially</w:t>
      </w:r>
      <w:r w:rsidRPr="00B62604">
        <w:rPr>
          <w:rFonts w:asciiTheme="majorHAnsi" w:hAnsiTheme="majorHAnsi" w:cstheme="majorHAnsi"/>
          <w:bCs/>
          <w:sz w:val="20"/>
          <w:szCs w:val="18"/>
        </w:rPr>
        <w:t xml:space="preserve"> regarding </w:t>
      </w:r>
      <w:r w:rsidR="00904109">
        <w:rPr>
          <w:rFonts w:asciiTheme="majorHAnsi" w:hAnsiTheme="majorHAnsi" w:cstheme="majorHAnsi"/>
          <w:bCs/>
          <w:sz w:val="20"/>
          <w:szCs w:val="18"/>
        </w:rPr>
        <w:t xml:space="preserve">the </w:t>
      </w:r>
      <w:r w:rsidRPr="00B62604">
        <w:rPr>
          <w:rFonts w:asciiTheme="majorHAnsi" w:hAnsiTheme="majorHAnsi" w:cstheme="majorHAnsi"/>
          <w:bCs/>
          <w:sz w:val="20"/>
          <w:szCs w:val="18"/>
        </w:rPr>
        <w:t xml:space="preserve">exposure restriction, risk assessment, contingency planning and maintenance of engineering controls. </w:t>
      </w:r>
      <w:r w:rsidRPr="00B62604">
        <w:rPr>
          <w:rFonts w:asciiTheme="majorHAnsi" w:hAnsiTheme="majorHAnsi" w:cstheme="majorHAnsi"/>
          <w:bCs/>
          <w:sz w:val="20"/>
          <w:szCs w:val="18"/>
        </w:rPr>
        <w:lastRenderedPageBreak/>
        <w:t>Regulation 11 represents the strongest concern because no formal post</w:t>
      </w:r>
      <w:r w:rsidR="00904109">
        <w:rPr>
          <w:rFonts w:asciiTheme="majorHAnsi" w:hAnsiTheme="majorHAnsi" w:cstheme="majorHAnsi"/>
          <w:bCs/>
          <w:sz w:val="20"/>
          <w:szCs w:val="18"/>
        </w:rPr>
        <w:t xml:space="preserve"> </w:t>
      </w:r>
      <w:r w:rsidRPr="00B62604">
        <w:rPr>
          <w:rFonts w:asciiTheme="majorHAnsi" w:hAnsiTheme="majorHAnsi" w:cstheme="majorHAnsi"/>
          <w:bCs/>
          <w:sz w:val="20"/>
          <w:szCs w:val="18"/>
        </w:rPr>
        <w:t>maintenance test of the shutter was recorded, allowing the fault to remain undetected.</w:t>
      </w:r>
    </w:p>
    <w:p w14:paraId="223D9341" w14:textId="328EEAC3" w:rsidR="00B62604" w:rsidRPr="00B62604" w:rsidRDefault="00B62604" w:rsidP="00B62604">
      <w:pPr>
        <w:rPr>
          <w:rFonts w:asciiTheme="majorHAnsi" w:hAnsiTheme="majorHAnsi" w:cstheme="majorHAnsi"/>
          <w:bCs/>
          <w:sz w:val="20"/>
          <w:szCs w:val="18"/>
        </w:rPr>
      </w:pPr>
      <w:r w:rsidRPr="00B62604">
        <w:rPr>
          <w:rFonts w:asciiTheme="majorHAnsi" w:hAnsiTheme="majorHAnsi" w:cstheme="majorHAnsi"/>
          <w:bCs/>
          <w:sz w:val="20"/>
          <w:szCs w:val="18"/>
        </w:rPr>
        <w:t xml:space="preserve">The ONR Defence in Depth assessment also identified </w:t>
      </w:r>
      <w:r w:rsidR="005D5C1B">
        <w:rPr>
          <w:rFonts w:asciiTheme="majorHAnsi" w:hAnsiTheme="majorHAnsi" w:cstheme="majorHAnsi"/>
          <w:bCs/>
          <w:sz w:val="20"/>
          <w:szCs w:val="18"/>
        </w:rPr>
        <w:t xml:space="preserve">some </w:t>
      </w:r>
      <w:r w:rsidRPr="00B62604">
        <w:rPr>
          <w:rFonts w:asciiTheme="majorHAnsi" w:hAnsiTheme="majorHAnsi" w:cstheme="majorHAnsi"/>
          <w:bCs/>
          <w:sz w:val="20"/>
          <w:szCs w:val="18"/>
        </w:rPr>
        <w:t>weaknesses because multiple safety barriers failed without preventing access to the radiation field. Improvements such as independent shutter monitoring, stronger interlocks, mandatory post-maintenance testing and improved operator procedures would reduce the likelihood of</w:t>
      </w:r>
      <w:r w:rsidR="005D5C1B">
        <w:rPr>
          <w:rFonts w:asciiTheme="majorHAnsi" w:hAnsiTheme="majorHAnsi" w:cstheme="majorHAnsi"/>
          <w:bCs/>
          <w:sz w:val="20"/>
          <w:szCs w:val="18"/>
        </w:rPr>
        <w:t xml:space="preserve"> it happening again</w:t>
      </w:r>
      <w:r w:rsidRPr="00B62604">
        <w:rPr>
          <w:rFonts w:asciiTheme="majorHAnsi" w:hAnsiTheme="majorHAnsi" w:cstheme="majorHAnsi"/>
          <w:bCs/>
          <w:sz w:val="20"/>
          <w:szCs w:val="18"/>
        </w:rPr>
        <w:t xml:space="preserve"> and help </w:t>
      </w:r>
      <w:r w:rsidR="00751CF0">
        <w:rPr>
          <w:rFonts w:asciiTheme="majorHAnsi" w:hAnsiTheme="majorHAnsi" w:cstheme="majorHAnsi"/>
          <w:bCs/>
          <w:sz w:val="20"/>
          <w:szCs w:val="18"/>
        </w:rPr>
        <w:t xml:space="preserve">keep and </w:t>
      </w:r>
      <w:r w:rsidRPr="00B62604">
        <w:rPr>
          <w:rFonts w:asciiTheme="majorHAnsi" w:hAnsiTheme="majorHAnsi" w:cstheme="majorHAnsi"/>
          <w:bCs/>
          <w:sz w:val="20"/>
          <w:szCs w:val="18"/>
        </w:rPr>
        <w:t>maintain radiation exposures ALARP</w:t>
      </w:r>
      <w:r>
        <w:rPr>
          <w:rFonts w:asciiTheme="majorHAnsi" w:hAnsiTheme="majorHAnsi" w:cstheme="majorHAnsi"/>
          <w:bCs/>
          <w:sz w:val="20"/>
          <w:szCs w:val="18"/>
        </w:rPr>
        <w:t>.</w:t>
      </w:r>
    </w:p>
    <w:p w14:paraId="5F236F80" w14:textId="09FDE954" w:rsidR="00B51E79" w:rsidRPr="00FD69D8" w:rsidRDefault="00B51E79" w:rsidP="002B2483">
      <w:pPr>
        <w:rPr>
          <w:rFonts w:asciiTheme="majorHAnsi" w:hAnsiTheme="majorHAnsi" w:cstheme="majorHAnsi"/>
          <w:b/>
          <w:i/>
          <w:iCs/>
          <w:sz w:val="28"/>
          <w:szCs w:val="24"/>
          <w:u w:val="single"/>
        </w:rPr>
      </w:pPr>
      <w:r w:rsidRPr="00FD69D8">
        <w:rPr>
          <w:rFonts w:asciiTheme="majorHAnsi" w:hAnsiTheme="majorHAnsi" w:cstheme="majorHAnsi"/>
          <w:b/>
          <w:i/>
          <w:iCs/>
          <w:sz w:val="28"/>
          <w:szCs w:val="24"/>
          <w:u w:val="single"/>
        </w:rPr>
        <w:t>References</w:t>
      </w:r>
    </w:p>
    <w:p w14:paraId="2DD0CC80" w14:textId="1BED9834" w:rsidR="00393DFF" w:rsidRPr="00FD69D8" w:rsidRDefault="00C24D71" w:rsidP="00393DFF">
      <w:pPr>
        <w:rPr>
          <w:rFonts w:asciiTheme="majorHAnsi" w:hAnsiTheme="majorHAnsi" w:cstheme="majorHAnsi"/>
          <w:bCs/>
          <w:sz w:val="20"/>
          <w:szCs w:val="18"/>
        </w:rPr>
      </w:pPr>
      <w:r w:rsidRPr="00C24D71">
        <w:rPr>
          <w:rFonts w:asciiTheme="majorHAnsi" w:hAnsiTheme="majorHAnsi" w:cstheme="majorHAnsi"/>
          <w:bCs/>
          <w:sz w:val="20"/>
          <w:szCs w:val="18"/>
        </w:rPr>
        <w:t>(Federal Register, 2026)</w:t>
      </w:r>
      <w:r w:rsidR="00393DFF" w:rsidRPr="00FD69D8">
        <w:rPr>
          <w:rFonts w:asciiTheme="majorHAnsi" w:hAnsiTheme="majorHAnsi" w:cstheme="majorHAnsi"/>
          <w:bCs/>
          <w:sz w:val="20"/>
          <w:szCs w:val="18"/>
        </w:rPr>
        <w:t xml:space="preserve"> “Medical Devices; Radiology Devices; Classification of Blood Irradiators,” </w:t>
      </w:r>
      <w:r w:rsidR="00393DFF" w:rsidRPr="00FD69D8">
        <w:rPr>
          <w:rFonts w:asciiTheme="majorHAnsi" w:hAnsiTheme="majorHAnsi" w:cstheme="majorHAnsi"/>
          <w:bCs/>
          <w:i/>
          <w:iCs/>
          <w:sz w:val="20"/>
          <w:szCs w:val="18"/>
        </w:rPr>
        <w:t>Federal Register</w:t>
      </w:r>
      <w:r w:rsidR="00393DFF" w:rsidRPr="00FD69D8">
        <w:rPr>
          <w:rFonts w:asciiTheme="majorHAnsi" w:hAnsiTheme="majorHAnsi" w:cstheme="majorHAnsi"/>
          <w:bCs/>
          <w:sz w:val="20"/>
          <w:szCs w:val="18"/>
        </w:rPr>
        <w:t xml:space="preserve">, Mar. 18, 2026. </w:t>
      </w:r>
      <w:hyperlink r:id="rId9" w:history="1">
        <w:r w:rsidR="00393DFF" w:rsidRPr="00FD69D8">
          <w:rPr>
            <w:rStyle w:val="Hyperlink"/>
            <w:rFonts w:asciiTheme="majorHAnsi" w:hAnsiTheme="majorHAnsi" w:cstheme="majorHAnsi"/>
            <w:bCs/>
            <w:sz w:val="20"/>
            <w:szCs w:val="18"/>
          </w:rPr>
          <w:t>https://www.federalregister.gov/documents/2026/03/18/2026-05320/medical-devices-radiology-devices-classification-of-blood-irradiators</w:t>
        </w:r>
      </w:hyperlink>
      <w:r w:rsidR="00393DFF" w:rsidRPr="00FD69D8">
        <w:rPr>
          <w:rFonts w:asciiTheme="majorHAnsi" w:hAnsiTheme="majorHAnsi" w:cstheme="majorHAnsi"/>
          <w:bCs/>
          <w:sz w:val="20"/>
          <w:szCs w:val="18"/>
        </w:rPr>
        <w:t xml:space="preserve"> </w:t>
      </w:r>
    </w:p>
    <w:p w14:paraId="1B467499" w14:textId="0EF122AB" w:rsidR="00897BF2" w:rsidRPr="00FD69D8" w:rsidRDefault="005D2F08" w:rsidP="00897BF2">
      <w:pPr>
        <w:rPr>
          <w:rFonts w:asciiTheme="majorHAnsi" w:hAnsiTheme="majorHAnsi" w:cstheme="majorHAnsi"/>
          <w:bCs/>
          <w:sz w:val="20"/>
          <w:szCs w:val="18"/>
        </w:rPr>
      </w:pPr>
      <w:r w:rsidRPr="005D2F08">
        <w:rPr>
          <w:rFonts w:asciiTheme="majorHAnsi" w:hAnsiTheme="majorHAnsi" w:cstheme="majorHAnsi"/>
          <w:bCs/>
          <w:sz w:val="20"/>
          <w:szCs w:val="18"/>
        </w:rPr>
        <w:t>(ScienceDirect, n.d.)</w:t>
      </w:r>
      <w:r w:rsidR="00897BF2" w:rsidRPr="00FD69D8">
        <w:rPr>
          <w:rFonts w:asciiTheme="majorHAnsi" w:hAnsiTheme="majorHAnsi" w:cstheme="majorHAnsi"/>
          <w:bCs/>
          <w:sz w:val="20"/>
          <w:szCs w:val="18"/>
        </w:rPr>
        <w:t xml:space="preserve"> “Blood Radiation - an overview | ScienceDirect Topics,” </w:t>
      </w:r>
      <w:r w:rsidR="00897BF2" w:rsidRPr="00FD69D8">
        <w:rPr>
          <w:rFonts w:asciiTheme="majorHAnsi" w:hAnsiTheme="majorHAnsi" w:cstheme="majorHAnsi"/>
          <w:bCs/>
          <w:i/>
          <w:iCs/>
          <w:sz w:val="20"/>
          <w:szCs w:val="18"/>
        </w:rPr>
        <w:t>www.sciencedirect.com</w:t>
      </w:r>
      <w:r w:rsidR="00897BF2" w:rsidRPr="00FD69D8">
        <w:rPr>
          <w:rFonts w:asciiTheme="majorHAnsi" w:hAnsiTheme="majorHAnsi" w:cstheme="majorHAnsi"/>
          <w:bCs/>
          <w:sz w:val="20"/>
          <w:szCs w:val="18"/>
        </w:rPr>
        <w:t xml:space="preserve">. </w:t>
      </w:r>
      <w:hyperlink r:id="rId10" w:history="1">
        <w:r w:rsidR="00897BF2" w:rsidRPr="00FD69D8">
          <w:rPr>
            <w:rStyle w:val="Hyperlink"/>
            <w:rFonts w:asciiTheme="majorHAnsi" w:hAnsiTheme="majorHAnsi" w:cstheme="majorHAnsi"/>
            <w:bCs/>
            <w:sz w:val="20"/>
            <w:szCs w:val="18"/>
          </w:rPr>
          <w:t>https://www.sciencedirect.com/topics/medicine-and-dentistry/blood-radiation</w:t>
        </w:r>
      </w:hyperlink>
      <w:r w:rsidR="00897BF2" w:rsidRPr="00FD69D8">
        <w:rPr>
          <w:rFonts w:asciiTheme="majorHAnsi" w:hAnsiTheme="majorHAnsi" w:cstheme="majorHAnsi"/>
          <w:bCs/>
          <w:sz w:val="20"/>
          <w:szCs w:val="18"/>
        </w:rPr>
        <w:t xml:space="preserve"> </w:t>
      </w:r>
    </w:p>
    <w:p w14:paraId="2E3612F3" w14:textId="66B0D55C" w:rsidR="00DC461E" w:rsidRPr="00FD69D8" w:rsidRDefault="005D2F08" w:rsidP="00DC461E">
      <w:pPr>
        <w:rPr>
          <w:rFonts w:asciiTheme="majorHAnsi" w:hAnsiTheme="majorHAnsi" w:cstheme="majorHAnsi"/>
          <w:bCs/>
          <w:sz w:val="20"/>
          <w:szCs w:val="18"/>
        </w:rPr>
      </w:pPr>
      <w:r w:rsidRPr="005D2F08">
        <w:rPr>
          <w:rFonts w:asciiTheme="majorHAnsi" w:hAnsiTheme="majorHAnsi" w:cstheme="majorHAnsi"/>
          <w:bCs/>
          <w:sz w:val="20"/>
          <w:szCs w:val="18"/>
        </w:rPr>
        <w:t>(National Academies Press, 2021)</w:t>
      </w:r>
      <w:r w:rsidR="00DC461E" w:rsidRPr="00FD69D8">
        <w:rPr>
          <w:rFonts w:asciiTheme="majorHAnsi" w:hAnsiTheme="majorHAnsi" w:cstheme="majorHAnsi"/>
          <w:bCs/>
          <w:sz w:val="20"/>
          <w:szCs w:val="18"/>
        </w:rPr>
        <w:t xml:space="preserve"> “Read,” </w:t>
      </w:r>
      <w:r w:rsidR="00DC461E" w:rsidRPr="00FD69D8">
        <w:rPr>
          <w:rFonts w:asciiTheme="majorHAnsi" w:hAnsiTheme="majorHAnsi" w:cstheme="majorHAnsi"/>
          <w:bCs/>
          <w:i/>
          <w:iCs/>
          <w:sz w:val="20"/>
          <w:szCs w:val="18"/>
        </w:rPr>
        <w:t>The National Academies Press</w:t>
      </w:r>
      <w:r w:rsidR="00DC461E" w:rsidRPr="00FD69D8">
        <w:rPr>
          <w:rFonts w:asciiTheme="majorHAnsi" w:hAnsiTheme="majorHAnsi" w:cstheme="majorHAnsi"/>
          <w:bCs/>
          <w:sz w:val="20"/>
          <w:szCs w:val="18"/>
        </w:rPr>
        <w:t xml:space="preserve">, 2021. </w:t>
      </w:r>
      <w:hyperlink r:id="rId11" w:history="1">
        <w:r w:rsidR="00DC461E" w:rsidRPr="00FD69D8">
          <w:rPr>
            <w:rStyle w:val="Hyperlink"/>
            <w:rFonts w:asciiTheme="majorHAnsi" w:hAnsiTheme="majorHAnsi" w:cstheme="majorHAnsi"/>
            <w:bCs/>
            <w:sz w:val="20"/>
            <w:szCs w:val="18"/>
          </w:rPr>
          <w:t>https://www.nationalacademies.org/read/26121/chapter/6</w:t>
        </w:r>
      </w:hyperlink>
    </w:p>
    <w:p w14:paraId="5791E879" w14:textId="46F74F31" w:rsidR="00B15B2C" w:rsidRPr="00FD69D8" w:rsidRDefault="005D2F08" w:rsidP="00B15B2C">
      <w:pPr>
        <w:rPr>
          <w:rFonts w:asciiTheme="majorHAnsi" w:hAnsiTheme="majorHAnsi" w:cstheme="majorHAnsi"/>
          <w:bCs/>
          <w:sz w:val="20"/>
          <w:szCs w:val="18"/>
        </w:rPr>
      </w:pPr>
      <w:r w:rsidRPr="005D2F08">
        <w:rPr>
          <w:rFonts w:asciiTheme="majorHAnsi" w:hAnsiTheme="majorHAnsi" w:cstheme="majorHAnsi"/>
          <w:bCs/>
          <w:sz w:val="20"/>
          <w:szCs w:val="18"/>
        </w:rPr>
        <w:t>(</w:t>
      </w:r>
      <w:proofErr w:type="spellStart"/>
      <w:r w:rsidRPr="005D2F08">
        <w:rPr>
          <w:rFonts w:asciiTheme="majorHAnsi" w:hAnsiTheme="majorHAnsi" w:cstheme="majorHAnsi"/>
          <w:bCs/>
          <w:sz w:val="20"/>
          <w:szCs w:val="18"/>
        </w:rPr>
        <w:t>Ionactive</w:t>
      </w:r>
      <w:proofErr w:type="spellEnd"/>
      <w:r w:rsidRPr="005D2F08">
        <w:rPr>
          <w:rFonts w:asciiTheme="majorHAnsi" w:hAnsiTheme="majorHAnsi" w:cstheme="majorHAnsi"/>
          <w:bCs/>
          <w:sz w:val="20"/>
          <w:szCs w:val="18"/>
        </w:rPr>
        <w:t>, 2023)</w:t>
      </w:r>
      <w:r w:rsidR="00B15B2C" w:rsidRPr="00FD69D8">
        <w:rPr>
          <w:rFonts w:asciiTheme="majorHAnsi" w:hAnsiTheme="majorHAnsi" w:cstheme="majorHAnsi"/>
          <w:bCs/>
          <w:sz w:val="20"/>
          <w:szCs w:val="18"/>
        </w:rPr>
        <w:t xml:space="preserve"> “Cs-137 (Caesium-137) Radiation Safety Data,” </w:t>
      </w:r>
      <w:proofErr w:type="spellStart"/>
      <w:r w:rsidR="00B15B2C" w:rsidRPr="00FD69D8">
        <w:rPr>
          <w:rFonts w:asciiTheme="majorHAnsi" w:hAnsiTheme="majorHAnsi" w:cstheme="majorHAnsi"/>
          <w:bCs/>
          <w:i/>
          <w:iCs/>
          <w:sz w:val="20"/>
          <w:szCs w:val="18"/>
        </w:rPr>
        <w:t>Ionactive</w:t>
      </w:r>
      <w:proofErr w:type="spellEnd"/>
      <w:r w:rsidR="00B15B2C" w:rsidRPr="00FD69D8">
        <w:rPr>
          <w:rFonts w:asciiTheme="majorHAnsi" w:hAnsiTheme="majorHAnsi" w:cstheme="majorHAnsi"/>
          <w:bCs/>
          <w:sz w:val="20"/>
          <w:szCs w:val="18"/>
        </w:rPr>
        <w:t xml:space="preserve">, 2023. </w:t>
      </w:r>
      <w:hyperlink r:id="rId12" w:history="1">
        <w:r w:rsidR="00B15B2C" w:rsidRPr="00FD69D8">
          <w:rPr>
            <w:rStyle w:val="Hyperlink"/>
            <w:rFonts w:asciiTheme="majorHAnsi" w:hAnsiTheme="majorHAnsi" w:cstheme="majorHAnsi"/>
            <w:bCs/>
            <w:sz w:val="20"/>
            <w:szCs w:val="18"/>
          </w:rPr>
          <w:t>https://ionactive.co.uk/resource-hub/guidance/cs-137-caesium-137-radiation-safety-data</w:t>
        </w:r>
      </w:hyperlink>
    </w:p>
    <w:p w14:paraId="47F58544" w14:textId="53B9C889" w:rsidR="009E1431" w:rsidRPr="00FD69D8" w:rsidRDefault="001D5553" w:rsidP="009E1431">
      <w:pPr>
        <w:rPr>
          <w:rFonts w:asciiTheme="majorHAnsi" w:hAnsiTheme="majorHAnsi" w:cstheme="majorHAnsi"/>
          <w:bCs/>
          <w:sz w:val="20"/>
          <w:szCs w:val="18"/>
        </w:rPr>
      </w:pPr>
      <w:r w:rsidRPr="001D5553">
        <w:rPr>
          <w:rFonts w:asciiTheme="majorHAnsi" w:hAnsiTheme="majorHAnsi" w:cstheme="majorHAnsi"/>
          <w:bCs/>
          <w:sz w:val="20"/>
          <w:szCs w:val="18"/>
        </w:rPr>
        <w:t>(US EPA, 2025</w:t>
      </w:r>
      <w:r>
        <w:rPr>
          <w:rFonts w:asciiTheme="majorHAnsi" w:hAnsiTheme="majorHAnsi" w:cstheme="majorHAnsi"/>
          <w:bCs/>
          <w:sz w:val="20"/>
          <w:szCs w:val="18"/>
        </w:rPr>
        <w:t xml:space="preserve">) </w:t>
      </w:r>
      <w:r w:rsidR="009E1431" w:rsidRPr="00FD69D8">
        <w:rPr>
          <w:rFonts w:asciiTheme="majorHAnsi" w:hAnsiTheme="majorHAnsi" w:cstheme="majorHAnsi"/>
          <w:bCs/>
          <w:sz w:val="20"/>
          <w:szCs w:val="18"/>
        </w:rPr>
        <w:t xml:space="preserve">United States Environmental Protection Agency, “Protecting yourself from radiation | US EPA,” </w:t>
      </w:r>
      <w:r w:rsidR="009E1431" w:rsidRPr="00FD69D8">
        <w:rPr>
          <w:rFonts w:asciiTheme="majorHAnsi" w:hAnsiTheme="majorHAnsi" w:cstheme="majorHAnsi"/>
          <w:bCs/>
          <w:i/>
          <w:iCs/>
          <w:sz w:val="20"/>
          <w:szCs w:val="18"/>
        </w:rPr>
        <w:t>US EPA</w:t>
      </w:r>
      <w:r w:rsidR="009E1431" w:rsidRPr="00FD69D8">
        <w:rPr>
          <w:rFonts w:asciiTheme="majorHAnsi" w:hAnsiTheme="majorHAnsi" w:cstheme="majorHAnsi"/>
          <w:bCs/>
          <w:sz w:val="20"/>
          <w:szCs w:val="18"/>
        </w:rPr>
        <w:t xml:space="preserve">, Feb. 25, 2025. </w:t>
      </w:r>
      <w:hyperlink r:id="rId13" w:history="1">
        <w:r w:rsidR="009E1431" w:rsidRPr="00FD69D8">
          <w:rPr>
            <w:rStyle w:val="Hyperlink"/>
            <w:rFonts w:asciiTheme="majorHAnsi" w:hAnsiTheme="majorHAnsi" w:cstheme="majorHAnsi"/>
            <w:bCs/>
            <w:sz w:val="20"/>
            <w:szCs w:val="18"/>
          </w:rPr>
          <w:t>https://www.epa.gov/radiation/protecting-yourself-radiation</w:t>
        </w:r>
      </w:hyperlink>
    </w:p>
    <w:p w14:paraId="4143B55A" w14:textId="48146C36" w:rsidR="00025C49" w:rsidRPr="00FD69D8" w:rsidRDefault="001D5553" w:rsidP="00025C49">
      <w:pPr>
        <w:rPr>
          <w:rFonts w:asciiTheme="majorHAnsi" w:hAnsiTheme="majorHAnsi" w:cstheme="majorHAnsi"/>
          <w:bCs/>
          <w:sz w:val="20"/>
          <w:szCs w:val="18"/>
        </w:rPr>
      </w:pPr>
      <w:r w:rsidRPr="001D5553">
        <w:rPr>
          <w:rFonts w:asciiTheme="majorHAnsi" w:hAnsiTheme="majorHAnsi" w:cstheme="majorHAnsi"/>
          <w:bCs/>
          <w:sz w:val="20"/>
          <w:szCs w:val="18"/>
        </w:rPr>
        <w:t>(IAEA, 2021)</w:t>
      </w:r>
      <w:r w:rsidR="00025C49" w:rsidRPr="00FD69D8">
        <w:rPr>
          <w:rFonts w:asciiTheme="majorHAnsi" w:hAnsiTheme="majorHAnsi" w:cstheme="majorHAnsi"/>
          <w:bCs/>
          <w:sz w:val="20"/>
          <w:szCs w:val="18"/>
        </w:rPr>
        <w:t xml:space="preserve"> “Dosimetry – Human Health Campus: Medical Physics – Radiotherapy, Human Health Campus: Medical Physics – Nuclear Medicine | IAEA,” </w:t>
      </w:r>
      <w:r w:rsidR="00025C49" w:rsidRPr="00FD69D8">
        <w:rPr>
          <w:rFonts w:asciiTheme="majorHAnsi" w:hAnsiTheme="majorHAnsi" w:cstheme="majorHAnsi"/>
          <w:bCs/>
          <w:i/>
          <w:iCs/>
          <w:sz w:val="20"/>
          <w:szCs w:val="18"/>
        </w:rPr>
        <w:t>Iaea.org</w:t>
      </w:r>
      <w:r w:rsidR="00025C49" w:rsidRPr="00FD69D8">
        <w:rPr>
          <w:rFonts w:asciiTheme="majorHAnsi" w:hAnsiTheme="majorHAnsi" w:cstheme="majorHAnsi"/>
          <w:bCs/>
          <w:sz w:val="20"/>
          <w:szCs w:val="18"/>
        </w:rPr>
        <w:t xml:space="preserve">, Jan. 24, 2021. </w:t>
      </w:r>
      <w:hyperlink r:id="rId14" w:history="1">
        <w:r w:rsidR="00025C49" w:rsidRPr="00FD69D8">
          <w:rPr>
            <w:rStyle w:val="Hyperlink"/>
            <w:rFonts w:asciiTheme="majorHAnsi" w:hAnsiTheme="majorHAnsi" w:cstheme="majorHAnsi"/>
            <w:bCs/>
            <w:sz w:val="20"/>
            <w:szCs w:val="18"/>
          </w:rPr>
          <w:t>https://www.iaea.org/resources/hhc/medical-physics/nuclear-medicine/dosimetry</w:t>
        </w:r>
      </w:hyperlink>
    </w:p>
    <w:p w14:paraId="31D33A8B" w14:textId="63D21008" w:rsidR="00122860" w:rsidRPr="00FD69D8" w:rsidRDefault="00D5340F" w:rsidP="00122860">
      <w:pPr>
        <w:rPr>
          <w:rFonts w:asciiTheme="majorHAnsi" w:hAnsiTheme="majorHAnsi" w:cstheme="majorHAnsi"/>
          <w:bCs/>
          <w:sz w:val="20"/>
          <w:szCs w:val="18"/>
        </w:rPr>
      </w:pPr>
      <w:r w:rsidRPr="00D5340F">
        <w:rPr>
          <w:rFonts w:asciiTheme="majorHAnsi" w:hAnsiTheme="majorHAnsi" w:cstheme="majorHAnsi"/>
          <w:bCs/>
          <w:sz w:val="20"/>
          <w:szCs w:val="18"/>
        </w:rPr>
        <w:t>(World Health Organization, 2023)</w:t>
      </w:r>
      <w:r>
        <w:rPr>
          <w:rFonts w:asciiTheme="majorHAnsi" w:hAnsiTheme="majorHAnsi" w:cstheme="majorHAnsi"/>
          <w:bCs/>
          <w:sz w:val="20"/>
          <w:szCs w:val="18"/>
        </w:rPr>
        <w:t xml:space="preserve"> </w:t>
      </w:r>
      <w:r w:rsidR="00122860" w:rsidRPr="00FD69D8">
        <w:rPr>
          <w:rFonts w:asciiTheme="majorHAnsi" w:hAnsiTheme="majorHAnsi" w:cstheme="majorHAnsi"/>
          <w:bCs/>
          <w:sz w:val="20"/>
          <w:szCs w:val="18"/>
        </w:rPr>
        <w:t xml:space="preserve">World Health Organization, “Ionizing Radiation and Health Effects,” </w:t>
      </w:r>
      <w:r w:rsidR="00122860" w:rsidRPr="00FD69D8">
        <w:rPr>
          <w:rFonts w:asciiTheme="majorHAnsi" w:hAnsiTheme="majorHAnsi" w:cstheme="majorHAnsi"/>
          <w:bCs/>
          <w:i/>
          <w:iCs/>
          <w:sz w:val="20"/>
          <w:szCs w:val="18"/>
        </w:rPr>
        <w:t>World Health Organisation</w:t>
      </w:r>
      <w:r w:rsidR="00122860" w:rsidRPr="00FD69D8">
        <w:rPr>
          <w:rFonts w:asciiTheme="majorHAnsi" w:hAnsiTheme="majorHAnsi" w:cstheme="majorHAnsi"/>
          <w:bCs/>
          <w:sz w:val="20"/>
          <w:szCs w:val="18"/>
        </w:rPr>
        <w:t xml:space="preserve">, July 27, 2023. </w:t>
      </w:r>
      <w:hyperlink r:id="rId15" w:history="1">
        <w:r w:rsidR="00122860" w:rsidRPr="00FD69D8">
          <w:rPr>
            <w:rStyle w:val="Hyperlink"/>
            <w:rFonts w:asciiTheme="majorHAnsi" w:hAnsiTheme="majorHAnsi" w:cstheme="majorHAnsi"/>
            <w:bCs/>
            <w:sz w:val="20"/>
            <w:szCs w:val="18"/>
          </w:rPr>
          <w:t>https://www.who.int/news-room/fact-sheets/detail/ionizing-radiation-and-health-effects</w:t>
        </w:r>
      </w:hyperlink>
    </w:p>
    <w:p w14:paraId="12AA75CD" w14:textId="2559ABA5" w:rsidR="00122860" w:rsidRPr="00FD69D8" w:rsidRDefault="00D5340F" w:rsidP="00C36F4E">
      <w:pPr>
        <w:rPr>
          <w:rFonts w:asciiTheme="majorHAnsi" w:hAnsiTheme="majorHAnsi" w:cstheme="majorHAnsi"/>
          <w:bCs/>
          <w:sz w:val="20"/>
          <w:szCs w:val="18"/>
        </w:rPr>
      </w:pPr>
      <w:r w:rsidRPr="00D5340F">
        <w:rPr>
          <w:rFonts w:asciiTheme="majorHAnsi" w:hAnsiTheme="majorHAnsi" w:cstheme="majorHAnsi"/>
          <w:bCs/>
          <w:sz w:val="20"/>
          <w:szCs w:val="18"/>
        </w:rPr>
        <w:t>(US EPA, 2024)</w:t>
      </w:r>
      <w:r>
        <w:rPr>
          <w:rFonts w:asciiTheme="majorHAnsi" w:hAnsiTheme="majorHAnsi" w:cstheme="majorHAnsi"/>
          <w:bCs/>
          <w:sz w:val="20"/>
          <w:szCs w:val="18"/>
        </w:rPr>
        <w:t xml:space="preserve"> </w:t>
      </w:r>
      <w:r w:rsidR="0079130A" w:rsidRPr="00FD69D8">
        <w:rPr>
          <w:rFonts w:asciiTheme="majorHAnsi" w:hAnsiTheme="majorHAnsi" w:cstheme="majorHAnsi"/>
          <w:bCs/>
          <w:sz w:val="20"/>
          <w:szCs w:val="18"/>
        </w:rPr>
        <w:t xml:space="preserve">USEPA, “Radiation Health Effects,” </w:t>
      </w:r>
      <w:r w:rsidR="0079130A" w:rsidRPr="00FD69D8">
        <w:rPr>
          <w:rFonts w:asciiTheme="majorHAnsi" w:hAnsiTheme="majorHAnsi" w:cstheme="majorHAnsi"/>
          <w:bCs/>
          <w:i/>
          <w:iCs/>
          <w:sz w:val="20"/>
          <w:szCs w:val="18"/>
        </w:rPr>
        <w:t>US EPA</w:t>
      </w:r>
      <w:r w:rsidR="0079130A" w:rsidRPr="00FD69D8">
        <w:rPr>
          <w:rFonts w:asciiTheme="majorHAnsi" w:hAnsiTheme="majorHAnsi" w:cstheme="majorHAnsi"/>
          <w:bCs/>
          <w:sz w:val="20"/>
          <w:szCs w:val="18"/>
        </w:rPr>
        <w:t xml:space="preserve">, Oct. 02, 2024. </w:t>
      </w:r>
      <w:hyperlink r:id="rId16" w:history="1">
        <w:r w:rsidR="00C36F4E" w:rsidRPr="00FD69D8">
          <w:rPr>
            <w:rStyle w:val="Hyperlink"/>
            <w:rFonts w:asciiTheme="majorHAnsi" w:hAnsiTheme="majorHAnsi" w:cstheme="majorHAnsi"/>
            <w:bCs/>
            <w:sz w:val="20"/>
            <w:szCs w:val="18"/>
          </w:rPr>
          <w:t>https://www.epa.gov/radiation/radiation-health-effects</w:t>
        </w:r>
      </w:hyperlink>
    </w:p>
    <w:p w14:paraId="56FBAA18" w14:textId="26F5BDE3" w:rsidR="00AE6E55" w:rsidRPr="00FD69D8" w:rsidRDefault="00150B33" w:rsidP="00AE6E55">
      <w:pPr>
        <w:rPr>
          <w:rFonts w:asciiTheme="majorHAnsi" w:hAnsiTheme="majorHAnsi" w:cstheme="majorHAnsi"/>
          <w:bCs/>
          <w:sz w:val="20"/>
          <w:szCs w:val="18"/>
        </w:rPr>
      </w:pPr>
      <w:r w:rsidRPr="00150B33">
        <w:rPr>
          <w:rFonts w:asciiTheme="majorHAnsi" w:hAnsiTheme="majorHAnsi" w:cstheme="majorHAnsi"/>
          <w:bCs/>
          <w:sz w:val="20"/>
          <w:szCs w:val="18"/>
        </w:rPr>
        <w:t>(Health and Safety Executive, 2017)</w:t>
      </w:r>
      <w:r>
        <w:rPr>
          <w:rFonts w:asciiTheme="majorHAnsi" w:hAnsiTheme="majorHAnsi" w:cstheme="majorHAnsi"/>
          <w:bCs/>
          <w:sz w:val="20"/>
          <w:szCs w:val="18"/>
        </w:rPr>
        <w:t xml:space="preserve"> </w:t>
      </w:r>
      <w:r w:rsidR="00AE6E55" w:rsidRPr="00FD69D8">
        <w:rPr>
          <w:rFonts w:asciiTheme="majorHAnsi" w:hAnsiTheme="majorHAnsi" w:cstheme="majorHAnsi"/>
          <w:bCs/>
          <w:sz w:val="20"/>
          <w:szCs w:val="18"/>
        </w:rPr>
        <w:t xml:space="preserve">Health and Safety Executive, “Ionising Radiation - Radiation legal base,” </w:t>
      </w:r>
      <w:r w:rsidR="00AE6E55" w:rsidRPr="00FD69D8">
        <w:rPr>
          <w:rFonts w:asciiTheme="majorHAnsi" w:hAnsiTheme="majorHAnsi" w:cstheme="majorHAnsi"/>
          <w:bCs/>
          <w:i/>
          <w:iCs/>
          <w:sz w:val="20"/>
          <w:szCs w:val="18"/>
        </w:rPr>
        <w:t>Hse.gov.uk</w:t>
      </w:r>
      <w:r w:rsidR="00AE6E55" w:rsidRPr="00FD69D8">
        <w:rPr>
          <w:rFonts w:asciiTheme="majorHAnsi" w:hAnsiTheme="majorHAnsi" w:cstheme="majorHAnsi"/>
          <w:bCs/>
          <w:sz w:val="20"/>
          <w:szCs w:val="18"/>
        </w:rPr>
        <w:t xml:space="preserve">, 2017. </w:t>
      </w:r>
      <w:hyperlink r:id="rId17" w:history="1">
        <w:r w:rsidR="00AE6E55" w:rsidRPr="00FD69D8">
          <w:rPr>
            <w:rStyle w:val="Hyperlink"/>
            <w:rFonts w:asciiTheme="majorHAnsi" w:hAnsiTheme="majorHAnsi" w:cstheme="majorHAnsi"/>
            <w:bCs/>
            <w:sz w:val="20"/>
            <w:szCs w:val="18"/>
          </w:rPr>
          <w:t>https://www.hse.gov.uk/radiation/ionising/legalbase.htm</w:t>
        </w:r>
      </w:hyperlink>
    </w:p>
    <w:p w14:paraId="5EC99470" w14:textId="1DB0A72A" w:rsidR="00AE6E55" w:rsidRDefault="00D5340F" w:rsidP="00D94807">
      <w:pPr>
        <w:rPr>
          <w:rFonts w:asciiTheme="majorHAnsi" w:hAnsiTheme="majorHAnsi" w:cstheme="majorHAnsi"/>
          <w:bCs/>
          <w:sz w:val="20"/>
          <w:szCs w:val="18"/>
        </w:rPr>
      </w:pPr>
      <w:r w:rsidRPr="00D5340F">
        <w:rPr>
          <w:rFonts w:asciiTheme="majorHAnsi" w:hAnsiTheme="majorHAnsi" w:cstheme="majorHAnsi"/>
          <w:bCs/>
          <w:sz w:val="20"/>
          <w:szCs w:val="18"/>
        </w:rPr>
        <w:t>(NDE-ED, n.d.)</w:t>
      </w:r>
      <w:r>
        <w:rPr>
          <w:rFonts w:asciiTheme="majorHAnsi" w:hAnsiTheme="majorHAnsi" w:cstheme="majorHAnsi"/>
          <w:bCs/>
          <w:sz w:val="20"/>
          <w:szCs w:val="18"/>
        </w:rPr>
        <w:t xml:space="preserve"> </w:t>
      </w:r>
      <w:r w:rsidR="00D94807">
        <w:rPr>
          <w:rFonts w:asciiTheme="majorHAnsi" w:hAnsiTheme="majorHAnsi" w:cstheme="majorHAnsi"/>
          <w:bCs/>
          <w:sz w:val="20"/>
          <w:szCs w:val="18"/>
        </w:rPr>
        <w:t xml:space="preserve"> </w:t>
      </w:r>
      <w:r w:rsidR="00D94807" w:rsidRPr="00D94807">
        <w:rPr>
          <w:rFonts w:asciiTheme="majorHAnsi" w:hAnsiTheme="majorHAnsi" w:cstheme="majorHAnsi"/>
          <w:bCs/>
          <w:sz w:val="20"/>
          <w:szCs w:val="18"/>
        </w:rPr>
        <w:t>“</w:t>
      </w:r>
      <w:proofErr w:type="spellStart"/>
      <w:r w:rsidR="00D94807" w:rsidRPr="00D94807">
        <w:rPr>
          <w:rFonts w:asciiTheme="majorHAnsi" w:hAnsiTheme="majorHAnsi" w:cstheme="majorHAnsi"/>
          <w:bCs/>
          <w:sz w:val="20"/>
          <w:szCs w:val="18"/>
        </w:rPr>
        <w:t>Nondestructive</w:t>
      </w:r>
      <w:proofErr w:type="spellEnd"/>
      <w:r w:rsidR="00D94807" w:rsidRPr="00D94807">
        <w:rPr>
          <w:rFonts w:asciiTheme="majorHAnsi" w:hAnsiTheme="majorHAnsi" w:cstheme="majorHAnsi"/>
          <w:bCs/>
          <w:sz w:val="20"/>
          <w:szCs w:val="18"/>
        </w:rPr>
        <w:t xml:space="preserve"> Evaluation NDE </w:t>
      </w:r>
      <w:proofErr w:type="gramStart"/>
      <w:r w:rsidR="00D94807" w:rsidRPr="00D94807">
        <w:rPr>
          <w:rFonts w:asciiTheme="majorHAnsi" w:hAnsiTheme="majorHAnsi" w:cstheme="majorHAnsi"/>
          <w:bCs/>
          <w:sz w:val="20"/>
          <w:szCs w:val="18"/>
        </w:rPr>
        <w:t>Engineering :</w:t>
      </w:r>
      <w:proofErr w:type="gramEnd"/>
      <w:r w:rsidR="00D94807" w:rsidRPr="00D94807">
        <w:rPr>
          <w:rFonts w:asciiTheme="majorHAnsi" w:hAnsiTheme="majorHAnsi" w:cstheme="majorHAnsi"/>
          <w:bCs/>
          <w:sz w:val="20"/>
          <w:szCs w:val="18"/>
        </w:rPr>
        <w:t xml:space="preserve"> Radiation Safety,” </w:t>
      </w:r>
      <w:r w:rsidR="00D94807" w:rsidRPr="00D94807">
        <w:rPr>
          <w:rFonts w:asciiTheme="majorHAnsi" w:hAnsiTheme="majorHAnsi" w:cstheme="majorHAnsi"/>
          <w:bCs/>
          <w:i/>
          <w:iCs/>
          <w:sz w:val="20"/>
          <w:szCs w:val="18"/>
        </w:rPr>
        <w:t>www.nde-ed.org</w:t>
      </w:r>
      <w:r w:rsidR="00D94807" w:rsidRPr="00D94807">
        <w:rPr>
          <w:rFonts w:asciiTheme="majorHAnsi" w:hAnsiTheme="majorHAnsi" w:cstheme="majorHAnsi"/>
          <w:bCs/>
          <w:sz w:val="20"/>
          <w:szCs w:val="18"/>
        </w:rPr>
        <w:t xml:space="preserve">. </w:t>
      </w:r>
      <w:hyperlink r:id="rId18" w:history="1">
        <w:r w:rsidR="00D94807" w:rsidRPr="00F84AB7">
          <w:rPr>
            <w:rStyle w:val="Hyperlink"/>
            <w:rFonts w:asciiTheme="majorHAnsi" w:hAnsiTheme="majorHAnsi" w:cstheme="majorHAnsi"/>
            <w:bCs/>
            <w:sz w:val="20"/>
            <w:szCs w:val="18"/>
          </w:rPr>
          <w:t>https://www.nde-ed.org/NDEEngineering/RadiationSafety/safe_use/safety_controls.xhtml</w:t>
        </w:r>
      </w:hyperlink>
    </w:p>
    <w:p w14:paraId="3DD31834" w14:textId="77777777" w:rsidR="00D94807" w:rsidRPr="00FD69D8" w:rsidRDefault="00D94807" w:rsidP="00D94807">
      <w:pPr>
        <w:rPr>
          <w:rFonts w:asciiTheme="majorHAnsi" w:hAnsiTheme="majorHAnsi" w:cstheme="majorHAnsi"/>
          <w:bCs/>
          <w:sz w:val="20"/>
          <w:szCs w:val="18"/>
        </w:rPr>
      </w:pPr>
    </w:p>
    <w:p w14:paraId="618AA30B" w14:textId="77777777" w:rsidR="00C36F4E" w:rsidRPr="00FD69D8" w:rsidRDefault="00C36F4E" w:rsidP="0079130A">
      <w:pPr>
        <w:rPr>
          <w:rFonts w:asciiTheme="majorHAnsi" w:hAnsiTheme="majorHAnsi" w:cstheme="majorHAnsi"/>
          <w:bCs/>
          <w:sz w:val="20"/>
          <w:szCs w:val="18"/>
        </w:rPr>
      </w:pPr>
    </w:p>
    <w:p w14:paraId="20A2FBE3" w14:textId="77777777" w:rsidR="00122860" w:rsidRPr="00FD69D8" w:rsidRDefault="00122860" w:rsidP="00122860">
      <w:pPr>
        <w:rPr>
          <w:rFonts w:asciiTheme="majorHAnsi" w:hAnsiTheme="majorHAnsi" w:cstheme="majorHAnsi"/>
          <w:bCs/>
          <w:sz w:val="20"/>
          <w:szCs w:val="18"/>
        </w:rPr>
      </w:pPr>
    </w:p>
    <w:p w14:paraId="3C19C969" w14:textId="77777777" w:rsidR="00025C49" w:rsidRPr="00FD69D8" w:rsidRDefault="00025C49" w:rsidP="00025C49">
      <w:pPr>
        <w:rPr>
          <w:rFonts w:asciiTheme="majorHAnsi" w:hAnsiTheme="majorHAnsi" w:cstheme="majorHAnsi"/>
          <w:bCs/>
          <w:sz w:val="20"/>
          <w:szCs w:val="18"/>
        </w:rPr>
      </w:pPr>
    </w:p>
    <w:p w14:paraId="4763D92F" w14:textId="77777777" w:rsidR="009E1431" w:rsidRPr="00FD69D8" w:rsidRDefault="009E1431" w:rsidP="009E1431">
      <w:pPr>
        <w:rPr>
          <w:rFonts w:asciiTheme="majorHAnsi" w:hAnsiTheme="majorHAnsi" w:cstheme="majorHAnsi"/>
          <w:bCs/>
          <w:sz w:val="20"/>
          <w:szCs w:val="18"/>
        </w:rPr>
      </w:pPr>
    </w:p>
    <w:p w14:paraId="485B1DFF" w14:textId="77777777" w:rsidR="00B15B2C" w:rsidRPr="00FD69D8" w:rsidRDefault="00B15B2C" w:rsidP="00B15B2C">
      <w:pPr>
        <w:rPr>
          <w:rFonts w:asciiTheme="majorHAnsi" w:hAnsiTheme="majorHAnsi" w:cstheme="majorHAnsi"/>
          <w:bCs/>
          <w:sz w:val="20"/>
          <w:szCs w:val="18"/>
        </w:rPr>
      </w:pPr>
    </w:p>
    <w:p w14:paraId="26331771" w14:textId="7AFC0A13" w:rsidR="00DC461E" w:rsidRPr="00DC461E" w:rsidRDefault="00DC461E" w:rsidP="00DC461E">
      <w:pPr>
        <w:rPr>
          <w:rFonts w:asciiTheme="majorHAnsi" w:hAnsiTheme="majorHAnsi" w:cstheme="majorHAnsi"/>
          <w:bCs/>
          <w:sz w:val="20"/>
          <w:szCs w:val="18"/>
        </w:rPr>
      </w:pPr>
    </w:p>
    <w:p w14:paraId="03DB136B" w14:textId="77777777" w:rsidR="009943C2" w:rsidRPr="00F93824" w:rsidRDefault="009943C2" w:rsidP="00F93824">
      <w:pPr>
        <w:rPr>
          <w:rFonts w:asciiTheme="majorHAnsi" w:hAnsiTheme="majorHAnsi" w:cstheme="majorHAnsi"/>
          <w:bCs/>
          <w:sz w:val="20"/>
          <w:szCs w:val="18"/>
        </w:rPr>
      </w:pPr>
    </w:p>
    <w:sectPr w:rsidR="009943C2" w:rsidRPr="00F938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87702" w14:textId="77777777" w:rsidR="00F74ED2" w:rsidRDefault="00F74ED2">
      <w:pPr>
        <w:spacing w:after="0" w:line="240" w:lineRule="auto"/>
      </w:pPr>
      <w:r>
        <w:separator/>
      </w:r>
    </w:p>
  </w:endnote>
  <w:endnote w:type="continuationSeparator" w:id="0">
    <w:p w14:paraId="48817237" w14:textId="77777777" w:rsidR="00F74ED2" w:rsidRDefault="00F74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628403"/>
      <w:docPartObj>
        <w:docPartGallery w:val="Page Numbers (Bottom of Page)"/>
        <w:docPartUnique/>
      </w:docPartObj>
    </w:sdtPr>
    <w:sdtEndPr>
      <w:rPr>
        <w:noProof/>
      </w:rPr>
    </w:sdtEndPr>
    <w:sdtContent>
      <w:p w14:paraId="49EBDADB" w14:textId="77777777" w:rsidR="0003226B" w:rsidRDefault="00132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7E809" w14:textId="77777777" w:rsidR="0003226B" w:rsidRDefault="00032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6DB31" w14:textId="77777777" w:rsidR="00F74ED2" w:rsidRDefault="00F74ED2">
      <w:pPr>
        <w:spacing w:after="0" w:line="240" w:lineRule="auto"/>
      </w:pPr>
      <w:r>
        <w:separator/>
      </w:r>
    </w:p>
  </w:footnote>
  <w:footnote w:type="continuationSeparator" w:id="0">
    <w:p w14:paraId="4ED57D3F" w14:textId="77777777" w:rsidR="00F74ED2" w:rsidRDefault="00F74E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37E83"/>
    <w:multiLevelType w:val="multilevel"/>
    <w:tmpl w:val="983C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72A3F"/>
    <w:multiLevelType w:val="hybridMultilevel"/>
    <w:tmpl w:val="1A9292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105F6"/>
    <w:multiLevelType w:val="multilevel"/>
    <w:tmpl w:val="A6F6D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B5D15"/>
    <w:multiLevelType w:val="multilevel"/>
    <w:tmpl w:val="73BEA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26232"/>
    <w:multiLevelType w:val="multilevel"/>
    <w:tmpl w:val="D9B0F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6F2C60"/>
    <w:multiLevelType w:val="multilevel"/>
    <w:tmpl w:val="25A6B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D060A5"/>
    <w:multiLevelType w:val="multilevel"/>
    <w:tmpl w:val="C282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3E0990"/>
    <w:multiLevelType w:val="hybridMultilevel"/>
    <w:tmpl w:val="041E3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4C631C"/>
    <w:multiLevelType w:val="multilevel"/>
    <w:tmpl w:val="DDA8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0B7931"/>
    <w:multiLevelType w:val="multilevel"/>
    <w:tmpl w:val="5A70D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FF0CDD"/>
    <w:multiLevelType w:val="multilevel"/>
    <w:tmpl w:val="7A2C6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862E9C"/>
    <w:multiLevelType w:val="multilevel"/>
    <w:tmpl w:val="C94C2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63653">
    <w:abstractNumId w:val="3"/>
  </w:num>
  <w:num w:numId="2" w16cid:durableId="166750202">
    <w:abstractNumId w:val="7"/>
  </w:num>
  <w:num w:numId="3" w16cid:durableId="701251251">
    <w:abstractNumId w:val="1"/>
  </w:num>
  <w:num w:numId="4" w16cid:durableId="1950697943">
    <w:abstractNumId w:val="9"/>
  </w:num>
  <w:num w:numId="5" w16cid:durableId="1525171195">
    <w:abstractNumId w:val="11"/>
  </w:num>
  <w:num w:numId="6" w16cid:durableId="1346589572">
    <w:abstractNumId w:val="5"/>
  </w:num>
  <w:num w:numId="7" w16cid:durableId="2147314279">
    <w:abstractNumId w:val="10"/>
  </w:num>
  <w:num w:numId="8" w16cid:durableId="1859075152">
    <w:abstractNumId w:val="4"/>
  </w:num>
  <w:num w:numId="9" w16cid:durableId="375089182">
    <w:abstractNumId w:val="0"/>
  </w:num>
  <w:num w:numId="10" w16cid:durableId="1188062566">
    <w:abstractNumId w:val="2"/>
  </w:num>
  <w:num w:numId="11" w16cid:durableId="916718075">
    <w:abstractNumId w:val="8"/>
  </w:num>
  <w:num w:numId="12" w16cid:durableId="411925580">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03"/>
    <w:rsid w:val="00011CCB"/>
    <w:rsid w:val="00025B7A"/>
    <w:rsid w:val="00025C49"/>
    <w:rsid w:val="00031C61"/>
    <w:rsid w:val="0003226B"/>
    <w:rsid w:val="00036442"/>
    <w:rsid w:val="00037F62"/>
    <w:rsid w:val="000661C0"/>
    <w:rsid w:val="0007456D"/>
    <w:rsid w:val="00080675"/>
    <w:rsid w:val="000906B1"/>
    <w:rsid w:val="000971FC"/>
    <w:rsid w:val="000C6B16"/>
    <w:rsid w:val="000D0128"/>
    <w:rsid w:val="000E4CDC"/>
    <w:rsid w:val="000E5457"/>
    <w:rsid w:val="00102EA3"/>
    <w:rsid w:val="00105D59"/>
    <w:rsid w:val="00110072"/>
    <w:rsid w:val="00115217"/>
    <w:rsid w:val="00122860"/>
    <w:rsid w:val="00125ACC"/>
    <w:rsid w:val="001328A2"/>
    <w:rsid w:val="001434E1"/>
    <w:rsid w:val="0014356E"/>
    <w:rsid w:val="00150B33"/>
    <w:rsid w:val="00151E26"/>
    <w:rsid w:val="0015332D"/>
    <w:rsid w:val="0017289F"/>
    <w:rsid w:val="00175A91"/>
    <w:rsid w:val="0017792A"/>
    <w:rsid w:val="001817AE"/>
    <w:rsid w:val="00184FCB"/>
    <w:rsid w:val="00187ABD"/>
    <w:rsid w:val="00194026"/>
    <w:rsid w:val="001A3A34"/>
    <w:rsid w:val="001A5EA6"/>
    <w:rsid w:val="001B03DC"/>
    <w:rsid w:val="001D5553"/>
    <w:rsid w:val="001F1341"/>
    <w:rsid w:val="0020343F"/>
    <w:rsid w:val="00206002"/>
    <w:rsid w:val="0020757A"/>
    <w:rsid w:val="00211656"/>
    <w:rsid w:val="0022100A"/>
    <w:rsid w:val="00227541"/>
    <w:rsid w:val="00241E58"/>
    <w:rsid w:val="0024333B"/>
    <w:rsid w:val="00255B28"/>
    <w:rsid w:val="0025691C"/>
    <w:rsid w:val="002618AB"/>
    <w:rsid w:val="0027614E"/>
    <w:rsid w:val="0028282F"/>
    <w:rsid w:val="002A05D1"/>
    <w:rsid w:val="002A1519"/>
    <w:rsid w:val="002B2483"/>
    <w:rsid w:val="002D17E2"/>
    <w:rsid w:val="002F0076"/>
    <w:rsid w:val="002F0615"/>
    <w:rsid w:val="002F4BDB"/>
    <w:rsid w:val="00300F6C"/>
    <w:rsid w:val="00310175"/>
    <w:rsid w:val="00327224"/>
    <w:rsid w:val="00342347"/>
    <w:rsid w:val="003566C3"/>
    <w:rsid w:val="00367D2A"/>
    <w:rsid w:val="003720A2"/>
    <w:rsid w:val="0037494D"/>
    <w:rsid w:val="00384DB7"/>
    <w:rsid w:val="00386D27"/>
    <w:rsid w:val="00393DFF"/>
    <w:rsid w:val="00395BB1"/>
    <w:rsid w:val="003A0F98"/>
    <w:rsid w:val="003B1FF0"/>
    <w:rsid w:val="003B7CD4"/>
    <w:rsid w:val="003C78EF"/>
    <w:rsid w:val="003E57E6"/>
    <w:rsid w:val="003E72EC"/>
    <w:rsid w:val="003F0B3A"/>
    <w:rsid w:val="003F1833"/>
    <w:rsid w:val="003F3A0E"/>
    <w:rsid w:val="003F43E0"/>
    <w:rsid w:val="003F4C7C"/>
    <w:rsid w:val="004103F8"/>
    <w:rsid w:val="00416095"/>
    <w:rsid w:val="00425D6C"/>
    <w:rsid w:val="00432F2B"/>
    <w:rsid w:val="004514E8"/>
    <w:rsid w:val="0046624C"/>
    <w:rsid w:val="00466FFE"/>
    <w:rsid w:val="00472D9D"/>
    <w:rsid w:val="004772DB"/>
    <w:rsid w:val="004904C4"/>
    <w:rsid w:val="0049546C"/>
    <w:rsid w:val="004A574C"/>
    <w:rsid w:val="004A6C3D"/>
    <w:rsid w:val="004B28A6"/>
    <w:rsid w:val="004C068E"/>
    <w:rsid w:val="004C7821"/>
    <w:rsid w:val="004D21B5"/>
    <w:rsid w:val="004F0819"/>
    <w:rsid w:val="00501A24"/>
    <w:rsid w:val="00505317"/>
    <w:rsid w:val="00511411"/>
    <w:rsid w:val="005125E1"/>
    <w:rsid w:val="00514676"/>
    <w:rsid w:val="00537605"/>
    <w:rsid w:val="00537CA3"/>
    <w:rsid w:val="00542AC4"/>
    <w:rsid w:val="00557A0F"/>
    <w:rsid w:val="005665BA"/>
    <w:rsid w:val="00574AA2"/>
    <w:rsid w:val="00575871"/>
    <w:rsid w:val="00584290"/>
    <w:rsid w:val="00584E96"/>
    <w:rsid w:val="0059185E"/>
    <w:rsid w:val="005D2F08"/>
    <w:rsid w:val="005D4D09"/>
    <w:rsid w:val="005D5C1B"/>
    <w:rsid w:val="005E0159"/>
    <w:rsid w:val="005F6586"/>
    <w:rsid w:val="00614BEE"/>
    <w:rsid w:val="00620FC5"/>
    <w:rsid w:val="006224A6"/>
    <w:rsid w:val="00626153"/>
    <w:rsid w:val="006277E8"/>
    <w:rsid w:val="00630F69"/>
    <w:rsid w:val="00634B30"/>
    <w:rsid w:val="00637B6F"/>
    <w:rsid w:val="00642129"/>
    <w:rsid w:val="00645977"/>
    <w:rsid w:val="0065125A"/>
    <w:rsid w:val="006673C9"/>
    <w:rsid w:val="006678E0"/>
    <w:rsid w:val="00670BBD"/>
    <w:rsid w:val="006732D1"/>
    <w:rsid w:val="00687D69"/>
    <w:rsid w:val="006B0DF2"/>
    <w:rsid w:val="006B1470"/>
    <w:rsid w:val="006B22D0"/>
    <w:rsid w:val="006C0E15"/>
    <w:rsid w:val="006C129E"/>
    <w:rsid w:val="006C1354"/>
    <w:rsid w:val="006E1629"/>
    <w:rsid w:val="006E78D7"/>
    <w:rsid w:val="006F1077"/>
    <w:rsid w:val="00706B08"/>
    <w:rsid w:val="00715596"/>
    <w:rsid w:val="0072346C"/>
    <w:rsid w:val="00744CC0"/>
    <w:rsid w:val="00751CF0"/>
    <w:rsid w:val="00761C8B"/>
    <w:rsid w:val="0077121D"/>
    <w:rsid w:val="00774518"/>
    <w:rsid w:val="007864DF"/>
    <w:rsid w:val="0079130A"/>
    <w:rsid w:val="00794C1B"/>
    <w:rsid w:val="007960FD"/>
    <w:rsid w:val="007A5DAD"/>
    <w:rsid w:val="007A6EB2"/>
    <w:rsid w:val="007A7BBE"/>
    <w:rsid w:val="007C1DF3"/>
    <w:rsid w:val="007C4906"/>
    <w:rsid w:val="007C772E"/>
    <w:rsid w:val="007D493B"/>
    <w:rsid w:val="007E10E8"/>
    <w:rsid w:val="007E3877"/>
    <w:rsid w:val="007E6B2C"/>
    <w:rsid w:val="007F6C74"/>
    <w:rsid w:val="0081197E"/>
    <w:rsid w:val="00821F9F"/>
    <w:rsid w:val="0082767B"/>
    <w:rsid w:val="008367C2"/>
    <w:rsid w:val="00845E83"/>
    <w:rsid w:val="008476DF"/>
    <w:rsid w:val="00851000"/>
    <w:rsid w:val="00857579"/>
    <w:rsid w:val="00863159"/>
    <w:rsid w:val="00870A21"/>
    <w:rsid w:val="008713BE"/>
    <w:rsid w:val="00885001"/>
    <w:rsid w:val="00885DAC"/>
    <w:rsid w:val="0089281D"/>
    <w:rsid w:val="00892B8A"/>
    <w:rsid w:val="00893FCA"/>
    <w:rsid w:val="00896598"/>
    <w:rsid w:val="00897BF2"/>
    <w:rsid w:val="008A27F9"/>
    <w:rsid w:val="008E155E"/>
    <w:rsid w:val="008F34C9"/>
    <w:rsid w:val="008F4860"/>
    <w:rsid w:val="00900753"/>
    <w:rsid w:val="00904109"/>
    <w:rsid w:val="00915636"/>
    <w:rsid w:val="00946889"/>
    <w:rsid w:val="00946960"/>
    <w:rsid w:val="00950D11"/>
    <w:rsid w:val="00954055"/>
    <w:rsid w:val="009557E2"/>
    <w:rsid w:val="009568AE"/>
    <w:rsid w:val="00956A6C"/>
    <w:rsid w:val="00960A56"/>
    <w:rsid w:val="00960E51"/>
    <w:rsid w:val="00966CB3"/>
    <w:rsid w:val="009701A7"/>
    <w:rsid w:val="009758B3"/>
    <w:rsid w:val="00975BD1"/>
    <w:rsid w:val="009779A4"/>
    <w:rsid w:val="00982D10"/>
    <w:rsid w:val="00983639"/>
    <w:rsid w:val="009836F0"/>
    <w:rsid w:val="00986096"/>
    <w:rsid w:val="0099153C"/>
    <w:rsid w:val="009943C2"/>
    <w:rsid w:val="00996B21"/>
    <w:rsid w:val="009A3C50"/>
    <w:rsid w:val="009B2F8B"/>
    <w:rsid w:val="009B47D7"/>
    <w:rsid w:val="009C2875"/>
    <w:rsid w:val="009C4B7A"/>
    <w:rsid w:val="009D4412"/>
    <w:rsid w:val="009E1431"/>
    <w:rsid w:val="009E7FDC"/>
    <w:rsid w:val="009F0280"/>
    <w:rsid w:val="00A01077"/>
    <w:rsid w:val="00A02497"/>
    <w:rsid w:val="00A12C96"/>
    <w:rsid w:val="00A30607"/>
    <w:rsid w:val="00A34134"/>
    <w:rsid w:val="00A40E01"/>
    <w:rsid w:val="00A42272"/>
    <w:rsid w:val="00A67E83"/>
    <w:rsid w:val="00A706EC"/>
    <w:rsid w:val="00A72764"/>
    <w:rsid w:val="00A84EC5"/>
    <w:rsid w:val="00A919FA"/>
    <w:rsid w:val="00A91C32"/>
    <w:rsid w:val="00A9310F"/>
    <w:rsid w:val="00AA2B93"/>
    <w:rsid w:val="00AA5DF1"/>
    <w:rsid w:val="00AA7C36"/>
    <w:rsid w:val="00AB114F"/>
    <w:rsid w:val="00AB3AAF"/>
    <w:rsid w:val="00AC2BD0"/>
    <w:rsid w:val="00AC5790"/>
    <w:rsid w:val="00AE6E55"/>
    <w:rsid w:val="00AF747A"/>
    <w:rsid w:val="00B01200"/>
    <w:rsid w:val="00B03B69"/>
    <w:rsid w:val="00B03D0C"/>
    <w:rsid w:val="00B05959"/>
    <w:rsid w:val="00B05E3C"/>
    <w:rsid w:val="00B14367"/>
    <w:rsid w:val="00B15B2C"/>
    <w:rsid w:val="00B339A9"/>
    <w:rsid w:val="00B51E79"/>
    <w:rsid w:val="00B62604"/>
    <w:rsid w:val="00B678E2"/>
    <w:rsid w:val="00B70015"/>
    <w:rsid w:val="00B755C3"/>
    <w:rsid w:val="00B91284"/>
    <w:rsid w:val="00B96D4D"/>
    <w:rsid w:val="00BA5FBF"/>
    <w:rsid w:val="00BB1F82"/>
    <w:rsid w:val="00BC307F"/>
    <w:rsid w:val="00BD7B52"/>
    <w:rsid w:val="00BE39CA"/>
    <w:rsid w:val="00BE3CA2"/>
    <w:rsid w:val="00BF311D"/>
    <w:rsid w:val="00BF596E"/>
    <w:rsid w:val="00C02B6C"/>
    <w:rsid w:val="00C03B2F"/>
    <w:rsid w:val="00C069A2"/>
    <w:rsid w:val="00C13678"/>
    <w:rsid w:val="00C24D71"/>
    <w:rsid w:val="00C2666D"/>
    <w:rsid w:val="00C36F4E"/>
    <w:rsid w:val="00C44DD5"/>
    <w:rsid w:val="00C539F9"/>
    <w:rsid w:val="00C53D5F"/>
    <w:rsid w:val="00C56D24"/>
    <w:rsid w:val="00C77B92"/>
    <w:rsid w:val="00C9332F"/>
    <w:rsid w:val="00C95B3E"/>
    <w:rsid w:val="00CA20AD"/>
    <w:rsid w:val="00CD37F2"/>
    <w:rsid w:val="00CF4CE2"/>
    <w:rsid w:val="00D06415"/>
    <w:rsid w:val="00D14489"/>
    <w:rsid w:val="00D15F84"/>
    <w:rsid w:val="00D43359"/>
    <w:rsid w:val="00D453F3"/>
    <w:rsid w:val="00D5340F"/>
    <w:rsid w:val="00D54C2E"/>
    <w:rsid w:val="00D560C9"/>
    <w:rsid w:val="00D64FBD"/>
    <w:rsid w:val="00D70936"/>
    <w:rsid w:val="00D7486B"/>
    <w:rsid w:val="00D82BE4"/>
    <w:rsid w:val="00D94807"/>
    <w:rsid w:val="00D95588"/>
    <w:rsid w:val="00D96B6E"/>
    <w:rsid w:val="00DA2592"/>
    <w:rsid w:val="00DA2EB4"/>
    <w:rsid w:val="00DA56F3"/>
    <w:rsid w:val="00DB573D"/>
    <w:rsid w:val="00DB7041"/>
    <w:rsid w:val="00DC461E"/>
    <w:rsid w:val="00DC5B6D"/>
    <w:rsid w:val="00DD4B37"/>
    <w:rsid w:val="00DE234C"/>
    <w:rsid w:val="00DE684C"/>
    <w:rsid w:val="00DE7C21"/>
    <w:rsid w:val="00DF274C"/>
    <w:rsid w:val="00E02399"/>
    <w:rsid w:val="00E07AF0"/>
    <w:rsid w:val="00E1354D"/>
    <w:rsid w:val="00E22799"/>
    <w:rsid w:val="00E31D6E"/>
    <w:rsid w:val="00E3224A"/>
    <w:rsid w:val="00E32706"/>
    <w:rsid w:val="00E35AC9"/>
    <w:rsid w:val="00E41D94"/>
    <w:rsid w:val="00E41E3E"/>
    <w:rsid w:val="00E44DCC"/>
    <w:rsid w:val="00E45019"/>
    <w:rsid w:val="00E62956"/>
    <w:rsid w:val="00E707C0"/>
    <w:rsid w:val="00E8365B"/>
    <w:rsid w:val="00E83A96"/>
    <w:rsid w:val="00E87DDB"/>
    <w:rsid w:val="00E96567"/>
    <w:rsid w:val="00E97303"/>
    <w:rsid w:val="00EA7EC3"/>
    <w:rsid w:val="00EB08BA"/>
    <w:rsid w:val="00EB14F7"/>
    <w:rsid w:val="00EB458C"/>
    <w:rsid w:val="00EC06E7"/>
    <w:rsid w:val="00EC43E2"/>
    <w:rsid w:val="00EC63DB"/>
    <w:rsid w:val="00ED4110"/>
    <w:rsid w:val="00ED70FC"/>
    <w:rsid w:val="00EE34A0"/>
    <w:rsid w:val="00EE3BD3"/>
    <w:rsid w:val="00F004B6"/>
    <w:rsid w:val="00F00D36"/>
    <w:rsid w:val="00F015DE"/>
    <w:rsid w:val="00F16E4E"/>
    <w:rsid w:val="00F241F6"/>
    <w:rsid w:val="00F25E55"/>
    <w:rsid w:val="00F27547"/>
    <w:rsid w:val="00F65EEF"/>
    <w:rsid w:val="00F73027"/>
    <w:rsid w:val="00F74ED2"/>
    <w:rsid w:val="00F81D9E"/>
    <w:rsid w:val="00F8371B"/>
    <w:rsid w:val="00F92862"/>
    <w:rsid w:val="00F93824"/>
    <w:rsid w:val="00FA293E"/>
    <w:rsid w:val="00FB3740"/>
    <w:rsid w:val="00FB4989"/>
    <w:rsid w:val="00FB4FED"/>
    <w:rsid w:val="00FB7F0E"/>
    <w:rsid w:val="00FC5C7A"/>
    <w:rsid w:val="00FC613E"/>
    <w:rsid w:val="00FD4B12"/>
    <w:rsid w:val="00FD4E76"/>
    <w:rsid w:val="00FD69D8"/>
    <w:rsid w:val="00FD6A89"/>
    <w:rsid w:val="00FE799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E15B"/>
  <w15:chartTrackingRefBased/>
  <w15:docId w15:val="{B3D22562-47C1-4D84-A3C4-E41EB341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03"/>
    <w:pPr>
      <w:spacing w:line="254" w:lineRule="auto"/>
    </w:pPr>
    <w:rPr>
      <w:rFonts w:ascii="Calibri" w:eastAsia="Calibri" w:hAnsi="Calibri" w:cs="Calibri"/>
      <w:kern w:val="0"/>
    </w:rPr>
  </w:style>
  <w:style w:type="paragraph" w:styleId="Heading1">
    <w:name w:val="heading 1"/>
    <w:basedOn w:val="Normal"/>
    <w:next w:val="Normal"/>
    <w:link w:val="Heading1Char"/>
    <w:uiPriority w:val="9"/>
    <w:qFormat/>
    <w:rsid w:val="00E97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03"/>
    <w:rPr>
      <w:rFonts w:eastAsiaTheme="majorEastAsia" w:cstheme="majorBidi"/>
      <w:color w:val="272727" w:themeColor="text1" w:themeTint="D8"/>
    </w:rPr>
  </w:style>
  <w:style w:type="paragraph" w:styleId="Title">
    <w:name w:val="Title"/>
    <w:basedOn w:val="Normal"/>
    <w:next w:val="Normal"/>
    <w:link w:val="TitleChar"/>
    <w:uiPriority w:val="10"/>
    <w:qFormat/>
    <w:rsid w:val="00E97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03"/>
    <w:pPr>
      <w:spacing w:before="160"/>
      <w:jc w:val="center"/>
    </w:pPr>
    <w:rPr>
      <w:i/>
      <w:iCs/>
      <w:color w:val="404040" w:themeColor="text1" w:themeTint="BF"/>
    </w:rPr>
  </w:style>
  <w:style w:type="character" w:customStyle="1" w:styleId="QuoteChar">
    <w:name w:val="Quote Char"/>
    <w:basedOn w:val="DefaultParagraphFont"/>
    <w:link w:val="Quote"/>
    <w:uiPriority w:val="29"/>
    <w:rsid w:val="00E97303"/>
    <w:rPr>
      <w:i/>
      <w:iCs/>
      <w:color w:val="404040" w:themeColor="text1" w:themeTint="BF"/>
    </w:rPr>
  </w:style>
  <w:style w:type="paragraph" w:styleId="ListParagraph">
    <w:name w:val="List Paragraph"/>
    <w:basedOn w:val="Normal"/>
    <w:uiPriority w:val="34"/>
    <w:qFormat/>
    <w:rsid w:val="00E97303"/>
    <w:pPr>
      <w:ind w:left="720"/>
      <w:contextualSpacing/>
    </w:pPr>
  </w:style>
  <w:style w:type="character" w:styleId="IntenseEmphasis">
    <w:name w:val="Intense Emphasis"/>
    <w:basedOn w:val="DefaultParagraphFont"/>
    <w:uiPriority w:val="21"/>
    <w:qFormat/>
    <w:rsid w:val="00E97303"/>
    <w:rPr>
      <w:i/>
      <w:iCs/>
      <w:color w:val="2F5496" w:themeColor="accent1" w:themeShade="BF"/>
    </w:rPr>
  </w:style>
  <w:style w:type="paragraph" w:styleId="IntenseQuote">
    <w:name w:val="Intense Quote"/>
    <w:basedOn w:val="Normal"/>
    <w:next w:val="Normal"/>
    <w:link w:val="IntenseQuoteChar"/>
    <w:uiPriority w:val="30"/>
    <w:qFormat/>
    <w:rsid w:val="00E97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303"/>
    <w:rPr>
      <w:i/>
      <w:iCs/>
      <w:color w:val="2F5496" w:themeColor="accent1" w:themeShade="BF"/>
    </w:rPr>
  </w:style>
  <w:style w:type="character" w:styleId="IntenseReference">
    <w:name w:val="Intense Reference"/>
    <w:basedOn w:val="DefaultParagraphFont"/>
    <w:uiPriority w:val="32"/>
    <w:qFormat/>
    <w:rsid w:val="00E97303"/>
    <w:rPr>
      <w:b/>
      <w:bCs/>
      <w:smallCaps/>
      <w:color w:val="2F5496" w:themeColor="accent1" w:themeShade="BF"/>
      <w:spacing w:val="5"/>
    </w:rPr>
  </w:style>
  <w:style w:type="paragraph" w:styleId="Footer">
    <w:name w:val="footer"/>
    <w:basedOn w:val="Normal"/>
    <w:link w:val="FooterChar"/>
    <w:uiPriority w:val="99"/>
    <w:unhideWhenUsed/>
    <w:rsid w:val="00E97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03"/>
    <w:rPr>
      <w:rFonts w:ascii="Calibri" w:eastAsia="Calibri" w:hAnsi="Calibri" w:cs="Calibri"/>
      <w:kern w:val="0"/>
    </w:rPr>
  </w:style>
  <w:style w:type="character" w:styleId="Hyperlink">
    <w:name w:val="Hyperlink"/>
    <w:basedOn w:val="DefaultParagraphFont"/>
    <w:uiPriority w:val="99"/>
    <w:unhideWhenUsed/>
    <w:rsid w:val="00A84EC5"/>
    <w:rPr>
      <w:color w:val="0563C1" w:themeColor="hyperlink"/>
      <w:u w:val="single"/>
    </w:rPr>
  </w:style>
  <w:style w:type="character" w:styleId="UnresolvedMention">
    <w:name w:val="Unresolved Mention"/>
    <w:basedOn w:val="DefaultParagraphFont"/>
    <w:uiPriority w:val="99"/>
    <w:semiHidden/>
    <w:unhideWhenUsed/>
    <w:rsid w:val="00A84EC5"/>
    <w:rPr>
      <w:color w:val="605E5C"/>
      <w:shd w:val="clear" w:color="auto" w:fill="E1DFDD"/>
    </w:rPr>
  </w:style>
  <w:style w:type="paragraph" w:styleId="NormalWeb">
    <w:name w:val="Normal (Web)"/>
    <w:basedOn w:val="Normal"/>
    <w:uiPriority w:val="99"/>
    <w:semiHidden/>
    <w:unhideWhenUsed/>
    <w:rsid w:val="004F0819"/>
    <w:rPr>
      <w:rFonts w:ascii="Times New Roman" w:hAnsi="Times New Roman" w:cs="Times New Roman"/>
      <w:sz w:val="24"/>
      <w:szCs w:val="24"/>
    </w:rPr>
  </w:style>
  <w:style w:type="table" w:styleId="TableGrid">
    <w:name w:val="Table Grid"/>
    <w:basedOn w:val="TableNormal"/>
    <w:uiPriority w:val="39"/>
    <w:rsid w:val="00DF2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9A2"/>
    <w:rPr>
      <w:rFonts w:ascii="Calibri" w:eastAsia="Calibri" w:hAnsi="Calibri" w:cs="Calibri"/>
      <w:kern w:val="0"/>
    </w:rPr>
  </w:style>
  <w:style w:type="character" w:styleId="FollowedHyperlink">
    <w:name w:val="FollowedHyperlink"/>
    <w:basedOn w:val="DefaultParagraphFont"/>
    <w:uiPriority w:val="99"/>
    <w:semiHidden/>
    <w:unhideWhenUsed/>
    <w:rsid w:val="00451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8051">
      <w:bodyDiv w:val="1"/>
      <w:marLeft w:val="0"/>
      <w:marRight w:val="0"/>
      <w:marTop w:val="0"/>
      <w:marBottom w:val="0"/>
      <w:divBdr>
        <w:top w:val="none" w:sz="0" w:space="0" w:color="auto"/>
        <w:left w:val="none" w:sz="0" w:space="0" w:color="auto"/>
        <w:bottom w:val="none" w:sz="0" w:space="0" w:color="auto"/>
        <w:right w:val="none" w:sz="0" w:space="0" w:color="auto"/>
      </w:divBdr>
    </w:div>
    <w:div w:id="34232769">
      <w:bodyDiv w:val="1"/>
      <w:marLeft w:val="0"/>
      <w:marRight w:val="0"/>
      <w:marTop w:val="0"/>
      <w:marBottom w:val="0"/>
      <w:divBdr>
        <w:top w:val="none" w:sz="0" w:space="0" w:color="auto"/>
        <w:left w:val="none" w:sz="0" w:space="0" w:color="auto"/>
        <w:bottom w:val="none" w:sz="0" w:space="0" w:color="auto"/>
        <w:right w:val="none" w:sz="0" w:space="0" w:color="auto"/>
      </w:divBdr>
    </w:div>
    <w:div w:id="40597620">
      <w:bodyDiv w:val="1"/>
      <w:marLeft w:val="0"/>
      <w:marRight w:val="0"/>
      <w:marTop w:val="0"/>
      <w:marBottom w:val="0"/>
      <w:divBdr>
        <w:top w:val="none" w:sz="0" w:space="0" w:color="auto"/>
        <w:left w:val="none" w:sz="0" w:space="0" w:color="auto"/>
        <w:bottom w:val="none" w:sz="0" w:space="0" w:color="auto"/>
        <w:right w:val="none" w:sz="0" w:space="0" w:color="auto"/>
      </w:divBdr>
      <w:divsChild>
        <w:div w:id="448163220">
          <w:marLeft w:val="0"/>
          <w:marRight w:val="0"/>
          <w:marTop w:val="0"/>
          <w:marBottom w:val="0"/>
          <w:divBdr>
            <w:top w:val="none" w:sz="0" w:space="0" w:color="auto"/>
            <w:left w:val="none" w:sz="0" w:space="0" w:color="auto"/>
            <w:bottom w:val="none" w:sz="0" w:space="0" w:color="auto"/>
            <w:right w:val="none" w:sz="0" w:space="0" w:color="auto"/>
          </w:divBdr>
        </w:div>
        <w:div w:id="2034728462">
          <w:marLeft w:val="0"/>
          <w:marRight w:val="720"/>
          <w:marTop w:val="0"/>
          <w:marBottom w:val="0"/>
          <w:divBdr>
            <w:top w:val="none" w:sz="0" w:space="0" w:color="auto"/>
            <w:left w:val="none" w:sz="0" w:space="0" w:color="auto"/>
            <w:bottom w:val="none" w:sz="0" w:space="0" w:color="auto"/>
            <w:right w:val="none" w:sz="0" w:space="0" w:color="auto"/>
          </w:divBdr>
        </w:div>
      </w:divsChild>
    </w:div>
    <w:div w:id="61293674">
      <w:bodyDiv w:val="1"/>
      <w:marLeft w:val="0"/>
      <w:marRight w:val="0"/>
      <w:marTop w:val="0"/>
      <w:marBottom w:val="0"/>
      <w:divBdr>
        <w:top w:val="none" w:sz="0" w:space="0" w:color="auto"/>
        <w:left w:val="none" w:sz="0" w:space="0" w:color="auto"/>
        <w:bottom w:val="none" w:sz="0" w:space="0" w:color="auto"/>
        <w:right w:val="none" w:sz="0" w:space="0" w:color="auto"/>
      </w:divBdr>
      <w:divsChild>
        <w:div w:id="320739794">
          <w:marLeft w:val="0"/>
          <w:marRight w:val="720"/>
          <w:marTop w:val="0"/>
          <w:marBottom w:val="0"/>
          <w:divBdr>
            <w:top w:val="none" w:sz="0" w:space="0" w:color="auto"/>
            <w:left w:val="none" w:sz="0" w:space="0" w:color="auto"/>
            <w:bottom w:val="none" w:sz="0" w:space="0" w:color="auto"/>
            <w:right w:val="none" w:sz="0" w:space="0" w:color="auto"/>
          </w:divBdr>
        </w:div>
        <w:div w:id="605966365">
          <w:marLeft w:val="0"/>
          <w:marRight w:val="0"/>
          <w:marTop w:val="0"/>
          <w:marBottom w:val="0"/>
          <w:divBdr>
            <w:top w:val="none" w:sz="0" w:space="0" w:color="auto"/>
            <w:left w:val="none" w:sz="0" w:space="0" w:color="auto"/>
            <w:bottom w:val="none" w:sz="0" w:space="0" w:color="auto"/>
            <w:right w:val="none" w:sz="0" w:space="0" w:color="auto"/>
          </w:divBdr>
        </w:div>
      </w:divsChild>
    </w:div>
    <w:div w:id="63069634">
      <w:bodyDiv w:val="1"/>
      <w:marLeft w:val="0"/>
      <w:marRight w:val="0"/>
      <w:marTop w:val="0"/>
      <w:marBottom w:val="0"/>
      <w:divBdr>
        <w:top w:val="none" w:sz="0" w:space="0" w:color="auto"/>
        <w:left w:val="none" w:sz="0" w:space="0" w:color="auto"/>
        <w:bottom w:val="none" w:sz="0" w:space="0" w:color="auto"/>
        <w:right w:val="none" w:sz="0" w:space="0" w:color="auto"/>
      </w:divBdr>
    </w:div>
    <w:div w:id="68622545">
      <w:bodyDiv w:val="1"/>
      <w:marLeft w:val="0"/>
      <w:marRight w:val="0"/>
      <w:marTop w:val="0"/>
      <w:marBottom w:val="0"/>
      <w:divBdr>
        <w:top w:val="none" w:sz="0" w:space="0" w:color="auto"/>
        <w:left w:val="none" w:sz="0" w:space="0" w:color="auto"/>
        <w:bottom w:val="none" w:sz="0" w:space="0" w:color="auto"/>
        <w:right w:val="none" w:sz="0" w:space="0" w:color="auto"/>
      </w:divBdr>
    </w:div>
    <w:div w:id="76557444">
      <w:bodyDiv w:val="1"/>
      <w:marLeft w:val="0"/>
      <w:marRight w:val="0"/>
      <w:marTop w:val="0"/>
      <w:marBottom w:val="0"/>
      <w:divBdr>
        <w:top w:val="none" w:sz="0" w:space="0" w:color="auto"/>
        <w:left w:val="none" w:sz="0" w:space="0" w:color="auto"/>
        <w:bottom w:val="none" w:sz="0" w:space="0" w:color="auto"/>
        <w:right w:val="none" w:sz="0" w:space="0" w:color="auto"/>
      </w:divBdr>
      <w:divsChild>
        <w:div w:id="72749040">
          <w:marLeft w:val="0"/>
          <w:marRight w:val="720"/>
          <w:marTop w:val="0"/>
          <w:marBottom w:val="0"/>
          <w:divBdr>
            <w:top w:val="none" w:sz="0" w:space="0" w:color="auto"/>
            <w:left w:val="none" w:sz="0" w:space="0" w:color="auto"/>
            <w:bottom w:val="none" w:sz="0" w:space="0" w:color="auto"/>
            <w:right w:val="none" w:sz="0" w:space="0" w:color="auto"/>
          </w:divBdr>
        </w:div>
        <w:div w:id="98722389">
          <w:marLeft w:val="0"/>
          <w:marRight w:val="0"/>
          <w:marTop w:val="0"/>
          <w:marBottom w:val="0"/>
          <w:divBdr>
            <w:top w:val="none" w:sz="0" w:space="0" w:color="auto"/>
            <w:left w:val="none" w:sz="0" w:space="0" w:color="auto"/>
            <w:bottom w:val="none" w:sz="0" w:space="0" w:color="auto"/>
            <w:right w:val="none" w:sz="0" w:space="0" w:color="auto"/>
          </w:divBdr>
        </w:div>
      </w:divsChild>
    </w:div>
    <w:div w:id="87700246">
      <w:bodyDiv w:val="1"/>
      <w:marLeft w:val="0"/>
      <w:marRight w:val="0"/>
      <w:marTop w:val="0"/>
      <w:marBottom w:val="0"/>
      <w:divBdr>
        <w:top w:val="none" w:sz="0" w:space="0" w:color="auto"/>
        <w:left w:val="none" w:sz="0" w:space="0" w:color="auto"/>
        <w:bottom w:val="none" w:sz="0" w:space="0" w:color="auto"/>
        <w:right w:val="none" w:sz="0" w:space="0" w:color="auto"/>
      </w:divBdr>
    </w:div>
    <w:div w:id="95175150">
      <w:bodyDiv w:val="1"/>
      <w:marLeft w:val="0"/>
      <w:marRight w:val="0"/>
      <w:marTop w:val="0"/>
      <w:marBottom w:val="0"/>
      <w:divBdr>
        <w:top w:val="none" w:sz="0" w:space="0" w:color="auto"/>
        <w:left w:val="none" w:sz="0" w:space="0" w:color="auto"/>
        <w:bottom w:val="none" w:sz="0" w:space="0" w:color="auto"/>
        <w:right w:val="none" w:sz="0" w:space="0" w:color="auto"/>
      </w:divBdr>
    </w:div>
    <w:div w:id="124740996">
      <w:bodyDiv w:val="1"/>
      <w:marLeft w:val="0"/>
      <w:marRight w:val="0"/>
      <w:marTop w:val="0"/>
      <w:marBottom w:val="0"/>
      <w:divBdr>
        <w:top w:val="none" w:sz="0" w:space="0" w:color="auto"/>
        <w:left w:val="none" w:sz="0" w:space="0" w:color="auto"/>
        <w:bottom w:val="none" w:sz="0" w:space="0" w:color="auto"/>
        <w:right w:val="none" w:sz="0" w:space="0" w:color="auto"/>
      </w:divBdr>
    </w:div>
    <w:div w:id="153493175">
      <w:bodyDiv w:val="1"/>
      <w:marLeft w:val="0"/>
      <w:marRight w:val="0"/>
      <w:marTop w:val="0"/>
      <w:marBottom w:val="0"/>
      <w:divBdr>
        <w:top w:val="none" w:sz="0" w:space="0" w:color="auto"/>
        <w:left w:val="none" w:sz="0" w:space="0" w:color="auto"/>
        <w:bottom w:val="none" w:sz="0" w:space="0" w:color="auto"/>
        <w:right w:val="none" w:sz="0" w:space="0" w:color="auto"/>
      </w:divBdr>
    </w:div>
    <w:div w:id="177543029">
      <w:bodyDiv w:val="1"/>
      <w:marLeft w:val="0"/>
      <w:marRight w:val="0"/>
      <w:marTop w:val="0"/>
      <w:marBottom w:val="0"/>
      <w:divBdr>
        <w:top w:val="none" w:sz="0" w:space="0" w:color="auto"/>
        <w:left w:val="none" w:sz="0" w:space="0" w:color="auto"/>
        <w:bottom w:val="none" w:sz="0" w:space="0" w:color="auto"/>
        <w:right w:val="none" w:sz="0" w:space="0" w:color="auto"/>
      </w:divBdr>
    </w:div>
    <w:div w:id="191699302">
      <w:bodyDiv w:val="1"/>
      <w:marLeft w:val="0"/>
      <w:marRight w:val="0"/>
      <w:marTop w:val="0"/>
      <w:marBottom w:val="0"/>
      <w:divBdr>
        <w:top w:val="none" w:sz="0" w:space="0" w:color="auto"/>
        <w:left w:val="none" w:sz="0" w:space="0" w:color="auto"/>
        <w:bottom w:val="none" w:sz="0" w:space="0" w:color="auto"/>
        <w:right w:val="none" w:sz="0" w:space="0" w:color="auto"/>
      </w:divBdr>
    </w:div>
    <w:div w:id="200486360">
      <w:bodyDiv w:val="1"/>
      <w:marLeft w:val="0"/>
      <w:marRight w:val="0"/>
      <w:marTop w:val="0"/>
      <w:marBottom w:val="0"/>
      <w:divBdr>
        <w:top w:val="none" w:sz="0" w:space="0" w:color="auto"/>
        <w:left w:val="none" w:sz="0" w:space="0" w:color="auto"/>
        <w:bottom w:val="none" w:sz="0" w:space="0" w:color="auto"/>
        <w:right w:val="none" w:sz="0" w:space="0" w:color="auto"/>
      </w:divBdr>
    </w:div>
    <w:div w:id="254870710">
      <w:bodyDiv w:val="1"/>
      <w:marLeft w:val="0"/>
      <w:marRight w:val="0"/>
      <w:marTop w:val="0"/>
      <w:marBottom w:val="0"/>
      <w:divBdr>
        <w:top w:val="none" w:sz="0" w:space="0" w:color="auto"/>
        <w:left w:val="none" w:sz="0" w:space="0" w:color="auto"/>
        <w:bottom w:val="none" w:sz="0" w:space="0" w:color="auto"/>
        <w:right w:val="none" w:sz="0" w:space="0" w:color="auto"/>
      </w:divBdr>
      <w:divsChild>
        <w:div w:id="573786120">
          <w:marLeft w:val="0"/>
          <w:marRight w:val="720"/>
          <w:marTop w:val="0"/>
          <w:marBottom w:val="0"/>
          <w:divBdr>
            <w:top w:val="none" w:sz="0" w:space="0" w:color="auto"/>
            <w:left w:val="none" w:sz="0" w:space="0" w:color="auto"/>
            <w:bottom w:val="none" w:sz="0" w:space="0" w:color="auto"/>
            <w:right w:val="none" w:sz="0" w:space="0" w:color="auto"/>
          </w:divBdr>
        </w:div>
        <w:div w:id="1764447742">
          <w:marLeft w:val="0"/>
          <w:marRight w:val="0"/>
          <w:marTop w:val="0"/>
          <w:marBottom w:val="0"/>
          <w:divBdr>
            <w:top w:val="none" w:sz="0" w:space="0" w:color="auto"/>
            <w:left w:val="none" w:sz="0" w:space="0" w:color="auto"/>
            <w:bottom w:val="none" w:sz="0" w:space="0" w:color="auto"/>
            <w:right w:val="none" w:sz="0" w:space="0" w:color="auto"/>
          </w:divBdr>
        </w:div>
      </w:divsChild>
    </w:div>
    <w:div w:id="260644875">
      <w:bodyDiv w:val="1"/>
      <w:marLeft w:val="0"/>
      <w:marRight w:val="0"/>
      <w:marTop w:val="0"/>
      <w:marBottom w:val="0"/>
      <w:divBdr>
        <w:top w:val="none" w:sz="0" w:space="0" w:color="auto"/>
        <w:left w:val="none" w:sz="0" w:space="0" w:color="auto"/>
        <w:bottom w:val="none" w:sz="0" w:space="0" w:color="auto"/>
        <w:right w:val="none" w:sz="0" w:space="0" w:color="auto"/>
      </w:divBdr>
      <w:divsChild>
        <w:div w:id="1138646370">
          <w:marLeft w:val="0"/>
          <w:marRight w:val="0"/>
          <w:marTop w:val="0"/>
          <w:marBottom w:val="0"/>
          <w:divBdr>
            <w:top w:val="none" w:sz="0" w:space="0" w:color="auto"/>
            <w:left w:val="none" w:sz="0" w:space="0" w:color="auto"/>
            <w:bottom w:val="none" w:sz="0" w:space="0" w:color="auto"/>
            <w:right w:val="none" w:sz="0" w:space="0" w:color="auto"/>
          </w:divBdr>
        </w:div>
        <w:div w:id="1181973731">
          <w:marLeft w:val="0"/>
          <w:marRight w:val="720"/>
          <w:marTop w:val="0"/>
          <w:marBottom w:val="0"/>
          <w:divBdr>
            <w:top w:val="none" w:sz="0" w:space="0" w:color="auto"/>
            <w:left w:val="none" w:sz="0" w:space="0" w:color="auto"/>
            <w:bottom w:val="none" w:sz="0" w:space="0" w:color="auto"/>
            <w:right w:val="none" w:sz="0" w:space="0" w:color="auto"/>
          </w:divBdr>
        </w:div>
      </w:divsChild>
    </w:div>
    <w:div w:id="280035969">
      <w:bodyDiv w:val="1"/>
      <w:marLeft w:val="0"/>
      <w:marRight w:val="0"/>
      <w:marTop w:val="0"/>
      <w:marBottom w:val="0"/>
      <w:divBdr>
        <w:top w:val="none" w:sz="0" w:space="0" w:color="auto"/>
        <w:left w:val="none" w:sz="0" w:space="0" w:color="auto"/>
        <w:bottom w:val="none" w:sz="0" w:space="0" w:color="auto"/>
        <w:right w:val="none" w:sz="0" w:space="0" w:color="auto"/>
      </w:divBdr>
    </w:div>
    <w:div w:id="304047243">
      <w:bodyDiv w:val="1"/>
      <w:marLeft w:val="0"/>
      <w:marRight w:val="0"/>
      <w:marTop w:val="0"/>
      <w:marBottom w:val="0"/>
      <w:divBdr>
        <w:top w:val="none" w:sz="0" w:space="0" w:color="auto"/>
        <w:left w:val="none" w:sz="0" w:space="0" w:color="auto"/>
        <w:bottom w:val="none" w:sz="0" w:space="0" w:color="auto"/>
        <w:right w:val="none" w:sz="0" w:space="0" w:color="auto"/>
      </w:divBdr>
    </w:div>
    <w:div w:id="327175971">
      <w:bodyDiv w:val="1"/>
      <w:marLeft w:val="0"/>
      <w:marRight w:val="0"/>
      <w:marTop w:val="0"/>
      <w:marBottom w:val="0"/>
      <w:divBdr>
        <w:top w:val="none" w:sz="0" w:space="0" w:color="auto"/>
        <w:left w:val="none" w:sz="0" w:space="0" w:color="auto"/>
        <w:bottom w:val="none" w:sz="0" w:space="0" w:color="auto"/>
        <w:right w:val="none" w:sz="0" w:space="0" w:color="auto"/>
      </w:divBdr>
    </w:div>
    <w:div w:id="380833685">
      <w:bodyDiv w:val="1"/>
      <w:marLeft w:val="0"/>
      <w:marRight w:val="0"/>
      <w:marTop w:val="0"/>
      <w:marBottom w:val="0"/>
      <w:divBdr>
        <w:top w:val="none" w:sz="0" w:space="0" w:color="auto"/>
        <w:left w:val="none" w:sz="0" w:space="0" w:color="auto"/>
        <w:bottom w:val="none" w:sz="0" w:space="0" w:color="auto"/>
        <w:right w:val="none" w:sz="0" w:space="0" w:color="auto"/>
      </w:divBdr>
      <w:divsChild>
        <w:div w:id="605962577">
          <w:marLeft w:val="0"/>
          <w:marRight w:val="720"/>
          <w:marTop w:val="0"/>
          <w:marBottom w:val="0"/>
          <w:divBdr>
            <w:top w:val="none" w:sz="0" w:space="0" w:color="auto"/>
            <w:left w:val="none" w:sz="0" w:space="0" w:color="auto"/>
            <w:bottom w:val="none" w:sz="0" w:space="0" w:color="auto"/>
            <w:right w:val="none" w:sz="0" w:space="0" w:color="auto"/>
          </w:divBdr>
        </w:div>
        <w:div w:id="1584989265">
          <w:marLeft w:val="0"/>
          <w:marRight w:val="0"/>
          <w:marTop w:val="0"/>
          <w:marBottom w:val="0"/>
          <w:divBdr>
            <w:top w:val="none" w:sz="0" w:space="0" w:color="auto"/>
            <w:left w:val="none" w:sz="0" w:space="0" w:color="auto"/>
            <w:bottom w:val="none" w:sz="0" w:space="0" w:color="auto"/>
            <w:right w:val="none" w:sz="0" w:space="0" w:color="auto"/>
          </w:divBdr>
        </w:div>
      </w:divsChild>
    </w:div>
    <w:div w:id="391393872">
      <w:bodyDiv w:val="1"/>
      <w:marLeft w:val="0"/>
      <w:marRight w:val="0"/>
      <w:marTop w:val="0"/>
      <w:marBottom w:val="0"/>
      <w:divBdr>
        <w:top w:val="none" w:sz="0" w:space="0" w:color="auto"/>
        <w:left w:val="none" w:sz="0" w:space="0" w:color="auto"/>
        <w:bottom w:val="none" w:sz="0" w:space="0" w:color="auto"/>
        <w:right w:val="none" w:sz="0" w:space="0" w:color="auto"/>
      </w:divBdr>
    </w:div>
    <w:div w:id="411856887">
      <w:bodyDiv w:val="1"/>
      <w:marLeft w:val="0"/>
      <w:marRight w:val="0"/>
      <w:marTop w:val="0"/>
      <w:marBottom w:val="0"/>
      <w:divBdr>
        <w:top w:val="none" w:sz="0" w:space="0" w:color="auto"/>
        <w:left w:val="none" w:sz="0" w:space="0" w:color="auto"/>
        <w:bottom w:val="none" w:sz="0" w:space="0" w:color="auto"/>
        <w:right w:val="none" w:sz="0" w:space="0" w:color="auto"/>
      </w:divBdr>
    </w:div>
    <w:div w:id="424040639">
      <w:bodyDiv w:val="1"/>
      <w:marLeft w:val="0"/>
      <w:marRight w:val="0"/>
      <w:marTop w:val="0"/>
      <w:marBottom w:val="0"/>
      <w:divBdr>
        <w:top w:val="none" w:sz="0" w:space="0" w:color="auto"/>
        <w:left w:val="none" w:sz="0" w:space="0" w:color="auto"/>
        <w:bottom w:val="none" w:sz="0" w:space="0" w:color="auto"/>
        <w:right w:val="none" w:sz="0" w:space="0" w:color="auto"/>
      </w:divBdr>
    </w:div>
    <w:div w:id="454835332">
      <w:bodyDiv w:val="1"/>
      <w:marLeft w:val="0"/>
      <w:marRight w:val="0"/>
      <w:marTop w:val="0"/>
      <w:marBottom w:val="0"/>
      <w:divBdr>
        <w:top w:val="none" w:sz="0" w:space="0" w:color="auto"/>
        <w:left w:val="none" w:sz="0" w:space="0" w:color="auto"/>
        <w:bottom w:val="none" w:sz="0" w:space="0" w:color="auto"/>
        <w:right w:val="none" w:sz="0" w:space="0" w:color="auto"/>
      </w:divBdr>
    </w:div>
    <w:div w:id="466895278">
      <w:bodyDiv w:val="1"/>
      <w:marLeft w:val="0"/>
      <w:marRight w:val="0"/>
      <w:marTop w:val="0"/>
      <w:marBottom w:val="0"/>
      <w:divBdr>
        <w:top w:val="none" w:sz="0" w:space="0" w:color="auto"/>
        <w:left w:val="none" w:sz="0" w:space="0" w:color="auto"/>
        <w:bottom w:val="none" w:sz="0" w:space="0" w:color="auto"/>
        <w:right w:val="none" w:sz="0" w:space="0" w:color="auto"/>
      </w:divBdr>
    </w:div>
    <w:div w:id="519781184">
      <w:bodyDiv w:val="1"/>
      <w:marLeft w:val="0"/>
      <w:marRight w:val="0"/>
      <w:marTop w:val="0"/>
      <w:marBottom w:val="0"/>
      <w:divBdr>
        <w:top w:val="none" w:sz="0" w:space="0" w:color="auto"/>
        <w:left w:val="none" w:sz="0" w:space="0" w:color="auto"/>
        <w:bottom w:val="none" w:sz="0" w:space="0" w:color="auto"/>
        <w:right w:val="none" w:sz="0" w:space="0" w:color="auto"/>
      </w:divBdr>
      <w:divsChild>
        <w:div w:id="135224597">
          <w:marLeft w:val="0"/>
          <w:marRight w:val="0"/>
          <w:marTop w:val="0"/>
          <w:marBottom w:val="0"/>
          <w:divBdr>
            <w:top w:val="none" w:sz="0" w:space="0" w:color="auto"/>
            <w:left w:val="none" w:sz="0" w:space="0" w:color="auto"/>
            <w:bottom w:val="none" w:sz="0" w:space="0" w:color="auto"/>
            <w:right w:val="none" w:sz="0" w:space="0" w:color="auto"/>
          </w:divBdr>
        </w:div>
        <w:div w:id="1278831967">
          <w:marLeft w:val="0"/>
          <w:marRight w:val="720"/>
          <w:marTop w:val="0"/>
          <w:marBottom w:val="0"/>
          <w:divBdr>
            <w:top w:val="none" w:sz="0" w:space="0" w:color="auto"/>
            <w:left w:val="none" w:sz="0" w:space="0" w:color="auto"/>
            <w:bottom w:val="none" w:sz="0" w:space="0" w:color="auto"/>
            <w:right w:val="none" w:sz="0" w:space="0" w:color="auto"/>
          </w:divBdr>
        </w:div>
      </w:divsChild>
    </w:div>
    <w:div w:id="527913723">
      <w:bodyDiv w:val="1"/>
      <w:marLeft w:val="0"/>
      <w:marRight w:val="0"/>
      <w:marTop w:val="0"/>
      <w:marBottom w:val="0"/>
      <w:divBdr>
        <w:top w:val="none" w:sz="0" w:space="0" w:color="auto"/>
        <w:left w:val="none" w:sz="0" w:space="0" w:color="auto"/>
        <w:bottom w:val="none" w:sz="0" w:space="0" w:color="auto"/>
        <w:right w:val="none" w:sz="0" w:space="0" w:color="auto"/>
      </w:divBdr>
    </w:div>
    <w:div w:id="551694938">
      <w:bodyDiv w:val="1"/>
      <w:marLeft w:val="0"/>
      <w:marRight w:val="0"/>
      <w:marTop w:val="0"/>
      <w:marBottom w:val="0"/>
      <w:divBdr>
        <w:top w:val="none" w:sz="0" w:space="0" w:color="auto"/>
        <w:left w:val="none" w:sz="0" w:space="0" w:color="auto"/>
        <w:bottom w:val="none" w:sz="0" w:space="0" w:color="auto"/>
        <w:right w:val="none" w:sz="0" w:space="0" w:color="auto"/>
      </w:divBdr>
      <w:divsChild>
        <w:div w:id="661390083">
          <w:marLeft w:val="0"/>
          <w:marRight w:val="0"/>
          <w:marTop w:val="0"/>
          <w:marBottom w:val="0"/>
          <w:divBdr>
            <w:top w:val="none" w:sz="0" w:space="0" w:color="auto"/>
            <w:left w:val="none" w:sz="0" w:space="0" w:color="auto"/>
            <w:bottom w:val="none" w:sz="0" w:space="0" w:color="auto"/>
            <w:right w:val="none" w:sz="0" w:space="0" w:color="auto"/>
          </w:divBdr>
        </w:div>
        <w:div w:id="1507090847">
          <w:marLeft w:val="0"/>
          <w:marRight w:val="720"/>
          <w:marTop w:val="0"/>
          <w:marBottom w:val="0"/>
          <w:divBdr>
            <w:top w:val="none" w:sz="0" w:space="0" w:color="auto"/>
            <w:left w:val="none" w:sz="0" w:space="0" w:color="auto"/>
            <w:bottom w:val="none" w:sz="0" w:space="0" w:color="auto"/>
            <w:right w:val="none" w:sz="0" w:space="0" w:color="auto"/>
          </w:divBdr>
        </w:div>
      </w:divsChild>
    </w:div>
    <w:div w:id="578247112">
      <w:bodyDiv w:val="1"/>
      <w:marLeft w:val="0"/>
      <w:marRight w:val="0"/>
      <w:marTop w:val="0"/>
      <w:marBottom w:val="0"/>
      <w:divBdr>
        <w:top w:val="none" w:sz="0" w:space="0" w:color="auto"/>
        <w:left w:val="none" w:sz="0" w:space="0" w:color="auto"/>
        <w:bottom w:val="none" w:sz="0" w:space="0" w:color="auto"/>
        <w:right w:val="none" w:sz="0" w:space="0" w:color="auto"/>
      </w:divBdr>
    </w:div>
    <w:div w:id="581960403">
      <w:bodyDiv w:val="1"/>
      <w:marLeft w:val="0"/>
      <w:marRight w:val="0"/>
      <w:marTop w:val="0"/>
      <w:marBottom w:val="0"/>
      <w:divBdr>
        <w:top w:val="none" w:sz="0" w:space="0" w:color="auto"/>
        <w:left w:val="none" w:sz="0" w:space="0" w:color="auto"/>
        <w:bottom w:val="none" w:sz="0" w:space="0" w:color="auto"/>
        <w:right w:val="none" w:sz="0" w:space="0" w:color="auto"/>
      </w:divBdr>
    </w:div>
    <w:div w:id="593787595">
      <w:bodyDiv w:val="1"/>
      <w:marLeft w:val="0"/>
      <w:marRight w:val="0"/>
      <w:marTop w:val="0"/>
      <w:marBottom w:val="0"/>
      <w:divBdr>
        <w:top w:val="none" w:sz="0" w:space="0" w:color="auto"/>
        <w:left w:val="none" w:sz="0" w:space="0" w:color="auto"/>
        <w:bottom w:val="none" w:sz="0" w:space="0" w:color="auto"/>
        <w:right w:val="none" w:sz="0" w:space="0" w:color="auto"/>
      </w:divBdr>
      <w:divsChild>
        <w:div w:id="77479721">
          <w:marLeft w:val="0"/>
          <w:marRight w:val="720"/>
          <w:marTop w:val="0"/>
          <w:marBottom w:val="0"/>
          <w:divBdr>
            <w:top w:val="none" w:sz="0" w:space="0" w:color="auto"/>
            <w:left w:val="none" w:sz="0" w:space="0" w:color="auto"/>
            <w:bottom w:val="none" w:sz="0" w:space="0" w:color="auto"/>
            <w:right w:val="none" w:sz="0" w:space="0" w:color="auto"/>
          </w:divBdr>
        </w:div>
        <w:div w:id="850723838">
          <w:marLeft w:val="0"/>
          <w:marRight w:val="0"/>
          <w:marTop w:val="0"/>
          <w:marBottom w:val="0"/>
          <w:divBdr>
            <w:top w:val="none" w:sz="0" w:space="0" w:color="auto"/>
            <w:left w:val="none" w:sz="0" w:space="0" w:color="auto"/>
            <w:bottom w:val="none" w:sz="0" w:space="0" w:color="auto"/>
            <w:right w:val="none" w:sz="0" w:space="0" w:color="auto"/>
          </w:divBdr>
        </w:div>
      </w:divsChild>
    </w:div>
    <w:div w:id="599803900">
      <w:bodyDiv w:val="1"/>
      <w:marLeft w:val="0"/>
      <w:marRight w:val="0"/>
      <w:marTop w:val="0"/>
      <w:marBottom w:val="0"/>
      <w:divBdr>
        <w:top w:val="none" w:sz="0" w:space="0" w:color="auto"/>
        <w:left w:val="none" w:sz="0" w:space="0" w:color="auto"/>
        <w:bottom w:val="none" w:sz="0" w:space="0" w:color="auto"/>
        <w:right w:val="none" w:sz="0" w:space="0" w:color="auto"/>
      </w:divBdr>
    </w:div>
    <w:div w:id="608971978">
      <w:bodyDiv w:val="1"/>
      <w:marLeft w:val="0"/>
      <w:marRight w:val="0"/>
      <w:marTop w:val="0"/>
      <w:marBottom w:val="0"/>
      <w:divBdr>
        <w:top w:val="none" w:sz="0" w:space="0" w:color="auto"/>
        <w:left w:val="none" w:sz="0" w:space="0" w:color="auto"/>
        <w:bottom w:val="none" w:sz="0" w:space="0" w:color="auto"/>
        <w:right w:val="none" w:sz="0" w:space="0" w:color="auto"/>
      </w:divBdr>
      <w:divsChild>
        <w:div w:id="1337536386">
          <w:marLeft w:val="0"/>
          <w:marRight w:val="0"/>
          <w:marTop w:val="0"/>
          <w:marBottom w:val="0"/>
          <w:divBdr>
            <w:top w:val="none" w:sz="0" w:space="0" w:color="auto"/>
            <w:left w:val="none" w:sz="0" w:space="0" w:color="auto"/>
            <w:bottom w:val="none" w:sz="0" w:space="0" w:color="auto"/>
            <w:right w:val="none" w:sz="0" w:space="0" w:color="auto"/>
          </w:divBdr>
        </w:div>
        <w:div w:id="1588491444">
          <w:marLeft w:val="0"/>
          <w:marRight w:val="720"/>
          <w:marTop w:val="0"/>
          <w:marBottom w:val="0"/>
          <w:divBdr>
            <w:top w:val="none" w:sz="0" w:space="0" w:color="auto"/>
            <w:left w:val="none" w:sz="0" w:space="0" w:color="auto"/>
            <w:bottom w:val="none" w:sz="0" w:space="0" w:color="auto"/>
            <w:right w:val="none" w:sz="0" w:space="0" w:color="auto"/>
          </w:divBdr>
        </w:div>
      </w:divsChild>
    </w:div>
    <w:div w:id="615717900">
      <w:bodyDiv w:val="1"/>
      <w:marLeft w:val="0"/>
      <w:marRight w:val="0"/>
      <w:marTop w:val="0"/>
      <w:marBottom w:val="0"/>
      <w:divBdr>
        <w:top w:val="none" w:sz="0" w:space="0" w:color="auto"/>
        <w:left w:val="none" w:sz="0" w:space="0" w:color="auto"/>
        <w:bottom w:val="none" w:sz="0" w:space="0" w:color="auto"/>
        <w:right w:val="none" w:sz="0" w:space="0" w:color="auto"/>
      </w:divBdr>
    </w:div>
    <w:div w:id="628710668">
      <w:bodyDiv w:val="1"/>
      <w:marLeft w:val="0"/>
      <w:marRight w:val="0"/>
      <w:marTop w:val="0"/>
      <w:marBottom w:val="0"/>
      <w:divBdr>
        <w:top w:val="none" w:sz="0" w:space="0" w:color="auto"/>
        <w:left w:val="none" w:sz="0" w:space="0" w:color="auto"/>
        <w:bottom w:val="none" w:sz="0" w:space="0" w:color="auto"/>
        <w:right w:val="none" w:sz="0" w:space="0" w:color="auto"/>
      </w:divBdr>
    </w:div>
    <w:div w:id="648826307">
      <w:bodyDiv w:val="1"/>
      <w:marLeft w:val="0"/>
      <w:marRight w:val="0"/>
      <w:marTop w:val="0"/>
      <w:marBottom w:val="0"/>
      <w:divBdr>
        <w:top w:val="none" w:sz="0" w:space="0" w:color="auto"/>
        <w:left w:val="none" w:sz="0" w:space="0" w:color="auto"/>
        <w:bottom w:val="none" w:sz="0" w:space="0" w:color="auto"/>
        <w:right w:val="none" w:sz="0" w:space="0" w:color="auto"/>
      </w:divBdr>
    </w:div>
    <w:div w:id="660158742">
      <w:bodyDiv w:val="1"/>
      <w:marLeft w:val="0"/>
      <w:marRight w:val="0"/>
      <w:marTop w:val="0"/>
      <w:marBottom w:val="0"/>
      <w:divBdr>
        <w:top w:val="none" w:sz="0" w:space="0" w:color="auto"/>
        <w:left w:val="none" w:sz="0" w:space="0" w:color="auto"/>
        <w:bottom w:val="none" w:sz="0" w:space="0" w:color="auto"/>
        <w:right w:val="none" w:sz="0" w:space="0" w:color="auto"/>
      </w:divBdr>
    </w:div>
    <w:div w:id="663515822">
      <w:bodyDiv w:val="1"/>
      <w:marLeft w:val="0"/>
      <w:marRight w:val="0"/>
      <w:marTop w:val="0"/>
      <w:marBottom w:val="0"/>
      <w:divBdr>
        <w:top w:val="none" w:sz="0" w:space="0" w:color="auto"/>
        <w:left w:val="none" w:sz="0" w:space="0" w:color="auto"/>
        <w:bottom w:val="none" w:sz="0" w:space="0" w:color="auto"/>
        <w:right w:val="none" w:sz="0" w:space="0" w:color="auto"/>
      </w:divBdr>
    </w:div>
    <w:div w:id="675965753">
      <w:bodyDiv w:val="1"/>
      <w:marLeft w:val="0"/>
      <w:marRight w:val="0"/>
      <w:marTop w:val="0"/>
      <w:marBottom w:val="0"/>
      <w:divBdr>
        <w:top w:val="none" w:sz="0" w:space="0" w:color="auto"/>
        <w:left w:val="none" w:sz="0" w:space="0" w:color="auto"/>
        <w:bottom w:val="none" w:sz="0" w:space="0" w:color="auto"/>
        <w:right w:val="none" w:sz="0" w:space="0" w:color="auto"/>
      </w:divBdr>
      <w:divsChild>
        <w:div w:id="1195575434">
          <w:marLeft w:val="0"/>
          <w:marRight w:val="0"/>
          <w:marTop w:val="0"/>
          <w:marBottom w:val="0"/>
          <w:divBdr>
            <w:top w:val="none" w:sz="0" w:space="0" w:color="auto"/>
            <w:left w:val="none" w:sz="0" w:space="0" w:color="auto"/>
            <w:bottom w:val="none" w:sz="0" w:space="0" w:color="auto"/>
            <w:right w:val="none" w:sz="0" w:space="0" w:color="auto"/>
          </w:divBdr>
        </w:div>
        <w:div w:id="1490831150">
          <w:marLeft w:val="0"/>
          <w:marRight w:val="720"/>
          <w:marTop w:val="0"/>
          <w:marBottom w:val="0"/>
          <w:divBdr>
            <w:top w:val="none" w:sz="0" w:space="0" w:color="auto"/>
            <w:left w:val="none" w:sz="0" w:space="0" w:color="auto"/>
            <w:bottom w:val="none" w:sz="0" w:space="0" w:color="auto"/>
            <w:right w:val="none" w:sz="0" w:space="0" w:color="auto"/>
          </w:divBdr>
        </w:div>
      </w:divsChild>
    </w:div>
    <w:div w:id="694497199">
      <w:bodyDiv w:val="1"/>
      <w:marLeft w:val="0"/>
      <w:marRight w:val="0"/>
      <w:marTop w:val="0"/>
      <w:marBottom w:val="0"/>
      <w:divBdr>
        <w:top w:val="none" w:sz="0" w:space="0" w:color="auto"/>
        <w:left w:val="none" w:sz="0" w:space="0" w:color="auto"/>
        <w:bottom w:val="none" w:sz="0" w:space="0" w:color="auto"/>
        <w:right w:val="none" w:sz="0" w:space="0" w:color="auto"/>
      </w:divBdr>
      <w:divsChild>
        <w:div w:id="139230624">
          <w:marLeft w:val="0"/>
          <w:marRight w:val="720"/>
          <w:marTop w:val="0"/>
          <w:marBottom w:val="0"/>
          <w:divBdr>
            <w:top w:val="none" w:sz="0" w:space="0" w:color="auto"/>
            <w:left w:val="none" w:sz="0" w:space="0" w:color="auto"/>
            <w:bottom w:val="none" w:sz="0" w:space="0" w:color="auto"/>
            <w:right w:val="none" w:sz="0" w:space="0" w:color="auto"/>
          </w:divBdr>
        </w:div>
        <w:div w:id="405147917">
          <w:marLeft w:val="0"/>
          <w:marRight w:val="0"/>
          <w:marTop w:val="0"/>
          <w:marBottom w:val="0"/>
          <w:divBdr>
            <w:top w:val="none" w:sz="0" w:space="0" w:color="auto"/>
            <w:left w:val="none" w:sz="0" w:space="0" w:color="auto"/>
            <w:bottom w:val="none" w:sz="0" w:space="0" w:color="auto"/>
            <w:right w:val="none" w:sz="0" w:space="0" w:color="auto"/>
          </w:divBdr>
        </w:div>
      </w:divsChild>
    </w:div>
    <w:div w:id="700858825">
      <w:bodyDiv w:val="1"/>
      <w:marLeft w:val="0"/>
      <w:marRight w:val="0"/>
      <w:marTop w:val="0"/>
      <w:marBottom w:val="0"/>
      <w:divBdr>
        <w:top w:val="none" w:sz="0" w:space="0" w:color="auto"/>
        <w:left w:val="none" w:sz="0" w:space="0" w:color="auto"/>
        <w:bottom w:val="none" w:sz="0" w:space="0" w:color="auto"/>
        <w:right w:val="none" w:sz="0" w:space="0" w:color="auto"/>
      </w:divBdr>
    </w:div>
    <w:div w:id="728919169">
      <w:bodyDiv w:val="1"/>
      <w:marLeft w:val="0"/>
      <w:marRight w:val="0"/>
      <w:marTop w:val="0"/>
      <w:marBottom w:val="0"/>
      <w:divBdr>
        <w:top w:val="none" w:sz="0" w:space="0" w:color="auto"/>
        <w:left w:val="none" w:sz="0" w:space="0" w:color="auto"/>
        <w:bottom w:val="none" w:sz="0" w:space="0" w:color="auto"/>
        <w:right w:val="none" w:sz="0" w:space="0" w:color="auto"/>
      </w:divBdr>
      <w:divsChild>
        <w:div w:id="205878284">
          <w:marLeft w:val="0"/>
          <w:marRight w:val="0"/>
          <w:marTop w:val="0"/>
          <w:marBottom w:val="0"/>
          <w:divBdr>
            <w:top w:val="none" w:sz="0" w:space="0" w:color="auto"/>
            <w:left w:val="none" w:sz="0" w:space="0" w:color="auto"/>
            <w:bottom w:val="none" w:sz="0" w:space="0" w:color="auto"/>
            <w:right w:val="none" w:sz="0" w:space="0" w:color="auto"/>
          </w:divBdr>
        </w:div>
        <w:div w:id="1404139255">
          <w:marLeft w:val="0"/>
          <w:marRight w:val="720"/>
          <w:marTop w:val="0"/>
          <w:marBottom w:val="0"/>
          <w:divBdr>
            <w:top w:val="none" w:sz="0" w:space="0" w:color="auto"/>
            <w:left w:val="none" w:sz="0" w:space="0" w:color="auto"/>
            <w:bottom w:val="none" w:sz="0" w:space="0" w:color="auto"/>
            <w:right w:val="none" w:sz="0" w:space="0" w:color="auto"/>
          </w:divBdr>
        </w:div>
      </w:divsChild>
    </w:div>
    <w:div w:id="826089905">
      <w:bodyDiv w:val="1"/>
      <w:marLeft w:val="0"/>
      <w:marRight w:val="0"/>
      <w:marTop w:val="0"/>
      <w:marBottom w:val="0"/>
      <w:divBdr>
        <w:top w:val="none" w:sz="0" w:space="0" w:color="auto"/>
        <w:left w:val="none" w:sz="0" w:space="0" w:color="auto"/>
        <w:bottom w:val="none" w:sz="0" w:space="0" w:color="auto"/>
        <w:right w:val="none" w:sz="0" w:space="0" w:color="auto"/>
      </w:divBdr>
    </w:div>
    <w:div w:id="829061219">
      <w:bodyDiv w:val="1"/>
      <w:marLeft w:val="0"/>
      <w:marRight w:val="0"/>
      <w:marTop w:val="0"/>
      <w:marBottom w:val="0"/>
      <w:divBdr>
        <w:top w:val="none" w:sz="0" w:space="0" w:color="auto"/>
        <w:left w:val="none" w:sz="0" w:space="0" w:color="auto"/>
        <w:bottom w:val="none" w:sz="0" w:space="0" w:color="auto"/>
        <w:right w:val="none" w:sz="0" w:space="0" w:color="auto"/>
      </w:divBdr>
    </w:div>
    <w:div w:id="835606069">
      <w:bodyDiv w:val="1"/>
      <w:marLeft w:val="0"/>
      <w:marRight w:val="0"/>
      <w:marTop w:val="0"/>
      <w:marBottom w:val="0"/>
      <w:divBdr>
        <w:top w:val="none" w:sz="0" w:space="0" w:color="auto"/>
        <w:left w:val="none" w:sz="0" w:space="0" w:color="auto"/>
        <w:bottom w:val="none" w:sz="0" w:space="0" w:color="auto"/>
        <w:right w:val="none" w:sz="0" w:space="0" w:color="auto"/>
      </w:divBdr>
    </w:div>
    <w:div w:id="841773923">
      <w:bodyDiv w:val="1"/>
      <w:marLeft w:val="0"/>
      <w:marRight w:val="0"/>
      <w:marTop w:val="0"/>
      <w:marBottom w:val="0"/>
      <w:divBdr>
        <w:top w:val="none" w:sz="0" w:space="0" w:color="auto"/>
        <w:left w:val="none" w:sz="0" w:space="0" w:color="auto"/>
        <w:bottom w:val="none" w:sz="0" w:space="0" w:color="auto"/>
        <w:right w:val="none" w:sz="0" w:space="0" w:color="auto"/>
      </w:divBdr>
      <w:divsChild>
        <w:div w:id="1335380455">
          <w:marLeft w:val="0"/>
          <w:marRight w:val="0"/>
          <w:marTop w:val="0"/>
          <w:marBottom w:val="0"/>
          <w:divBdr>
            <w:top w:val="none" w:sz="0" w:space="0" w:color="auto"/>
            <w:left w:val="none" w:sz="0" w:space="0" w:color="auto"/>
            <w:bottom w:val="none" w:sz="0" w:space="0" w:color="auto"/>
            <w:right w:val="none" w:sz="0" w:space="0" w:color="auto"/>
          </w:divBdr>
        </w:div>
        <w:div w:id="2013101527">
          <w:marLeft w:val="0"/>
          <w:marRight w:val="720"/>
          <w:marTop w:val="0"/>
          <w:marBottom w:val="0"/>
          <w:divBdr>
            <w:top w:val="none" w:sz="0" w:space="0" w:color="auto"/>
            <w:left w:val="none" w:sz="0" w:space="0" w:color="auto"/>
            <w:bottom w:val="none" w:sz="0" w:space="0" w:color="auto"/>
            <w:right w:val="none" w:sz="0" w:space="0" w:color="auto"/>
          </w:divBdr>
        </w:div>
      </w:divsChild>
    </w:div>
    <w:div w:id="854346036">
      <w:bodyDiv w:val="1"/>
      <w:marLeft w:val="0"/>
      <w:marRight w:val="0"/>
      <w:marTop w:val="0"/>
      <w:marBottom w:val="0"/>
      <w:divBdr>
        <w:top w:val="none" w:sz="0" w:space="0" w:color="auto"/>
        <w:left w:val="none" w:sz="0" w:space="0" w:color="auto"/>
        <w:bottom w:val="none" w:sz="0" w:space="0" w:color="auto"/>
        <w:right w:val="none" w:sz="0" w:space="0" w:color="auto"/>
      </w:divBdr>
      <w:divsChild>
        <w:div w:id="744498898">
          <w:marLeft w:val="0"/>
          <w:marRight w:val="720"/>
          <w:marTop w:val="0"/>
          <w:marBottom w:val="0"/>
          <w:divBdr>
            <w:top w:val="none" w:sz="0" w:space="0" w:color="auto"/>
            <w:left w:val="none" w:sz="0" w:space="0" w:color="auto"/>
            <w:bottom w:val="none" w:sz="0" w:space="0" w:color="auto"/>
            <w:right w:val="none" w:sz="0" w:space="0" w:color="auto"/>
          </w:divBdr>
        </w:div>
        <w:div w:id="1404330319">
          <w:marLeft w:val="0"/>
          <w:marRight w:val="0"/>
          <w:marTop w:val="0"/>
          <w:marBottom w:val="0"/>
          <w:divBdr>
            <w:top w:val="none" w:sz="0" w:space="0" w:color="auto"/>
            <w:left w:val="none" w:sz="0" w:space="0" w:color="auto"/>
            <w:bottom w:val="none" w:sz="0" w:space="0" w:color="auto"/>
            <w:right w:val="none" w:sz="0" w:space="0" w:color="auto"/>
          </w:divBdr>
        </w:div>
      </w:divsChild>
    </w:div>
    <w:div w:id="855390454">
      <w:bodyDiv w:val="1"/>
      <w:marLeft w:val="0"/>
      <w:marRight w:val="0"/>
      <w:marTop w:val="0"/>
      <w:marBottom w:val="0"/>
      <w:divBdr>
        <w:top w:val="none" w:sz="0" w:space="0" w:color="auto"/>
        <w:left w:val="none" w:sz="0" w:space="0" w:color="auto"/>
        <w:bottom w:val="none" w:sz="0" w:space="0" w:color="auto"/>
        <w:right w:val="none" w:sz="0" w:space="0" w:color="auto"/>
      </w:divBdr>
      <w:divsChild>
        <w:div w:id="1638760104">
          <w:marLeft w:val="0"/>
          <w:marRight w:val="0"/>
          <w:marTop w:val="0"/>
          <w:marBottom w:val="0"/>
          <w:divBdr>
            <w:top w:val="none" w:sz="0" w:space="0" w:color="auto"/>
            <w:left w:val="none" w:sz="0" w:space="0" w:color="auto"/>
            <w:bottom w:val="none" w:sz="0" w:space="0" w:color="auto"/>
            <w:right w:val="none" w:sz="0" w:space="0" w:color="auto"/>
          </w:divBdr>
        </w:div>
        <w:div w:id="1871986278">
          <w:marLeft w:val="0"/>
          <w:marRight w:val="720"/>
          <w:marTop w:val="0"/>
          <w:marBottom w:val="0"/>
          <w:divBdr>
            <w:top w:val="none" w:sz="0" w:space="0" w:color="auto"/>
            <w:left w:val="none" w:sz="0" w:space="0" w:color="auto"/>
            <w:bottom w:val="none" w:sz="0" w:space="0" w:color="auto"/>
            <w:right w:val="none" w:sz="0" w:space="0" w:color="auto"/>
          </w:divBdr>
        </w:div>
      </w:divsChild>
    </w:div>
    <w:div w:id="862132020">
      <w:bodyDiv w:val="1"/>
      <w:marLeft w:val="0"/>
      <w:marRight w:val="0"/>
      <w:marTop w:val="0"/>
      <w:marBottom w:val="0"/>
      <w:divBdr>
        <w:top w:val="none" w:sz="0" w:space="0" w:color="auto"/>
        <w:left w:val="none" w:sz="0" w:space="0" w:color="auto"/>
        <w:bottom w:val="none" w:sz="0" w:space="0" w:color="auto"/>
        <w:right w:val="none" w:sz="0" w:space="0" w:color="auto"/>
      </w:divBdr>
      <w:divsChild>
        <w:div w:id="373694140">
          <w:marLeft w:val="0"/>
          <w:marRight w:val="0"/>
          <w:marTop w:val="0"/>
          <w:marBottom w:val="0"/>
          <w:divBdr>
            <w:top w:val="none" w:sz="0" w:space="0" w:color="auto"/>
            <w:left w:val="none" w:sz="0" w:space="0" w:color="auto"/>
            <w:bottom w:val="none" w:sz="0" w:space="0" w:color="auto"/>
            <w:right w:val="none" w:sz="0" w:space="0" w:color="auto"/>
          </w:divBdr>
        </w:div>
        <w:div w:id="1296566787">
          <w:marLeft w:val="0"/>
          <w:marRight w:val="720"/>
          <w:marTop w:val="0"/>
          <w:marBottom w:val="0"/>
          <w:divBdr>
            <w:top w:val="none" w:sz="0" w:space="0" w:color="auto"/>
            <w:left w:val="none" w:sz="0" w:space="0" w:color="auto"/>
            <w:bottom w:val="none" w:sz="0" w:space="0" w:color="auto"/>
            <w:right w:val="none" w:sz="0" w:space="0" w:color="auto"/>
          </w:divBdr>
        </w:div>
      </w:divsChild>
    </w:div>
    <w:div w:id="905726343">
      <w:bodyDiv w:val="1"/>
      <w:marLeft w:val="0"/>
      <w:marRight w:val="0"/>
      <w:marTop w:val="0"/>
      <w:marBottom w:val="0"/>
      <w:divBdr>
        <w:top w:val="none" w:sz="0" w:space="0" w:color="auto"/>
        <w:left w:val="none" w:sz="0" w:space="0" w:color="auto"/>
        <w:bottom w:val="none" w:sz="0" w:space="0" w:color="auto"/>
        <w:right w:val="none" w:sz="0" w:space="0" w:color="auto"/>
      </w:divBdr>
    </w:div>
    <w:div w:id="907686818">
      <w:bodyDiv w:val="1"/>
      <w:marLeft w:val="0"/>
      <w:marRight w:val="0"/>
      <w:marTop w:val="0"/>
      <w:marBottom w:val="0"/>
      <w:divBdr>
        <w:top w:val="none" w:sz="0" w:space="0" w:color="auto"/>
        <w:left w:val="none" w:sz="0" w:space="0" w:color="auto"/>
        <w:bottom w:val="none" w:sz="0" w:space="0" w:color="auto"/>
        <w:right w:val="none" w:sz="0" w:space="0" w:color="auto"/>
      </w:divBdr>
      <w:divsChild>
        <w:div w:id="967973681">
          <w:marLeft w:val="0"/>
          <w:marRight w:val="0"/>
          <w:marTop w:val="0"/>
          <w:marBottom w:val="0"/>
          <w:divBdr>
            <w:top w:val="none" w:sz="0" w:space="0" w:color="auto"/>
            <w:left w:val="none" w:sz="0" w:space="0" w:color="auto"/>
            <w:bottom w:val="none" w:sz="0" w:space="0" w:color="auto"/>
            <w:right w:val="none" w:sz="0" w:space="0" w:color="auto"/>
          </w:divBdr>
        </w:div>
        <w:div w:id="2052418192">
          <w:marLeft w:val="0"/>
          <w:marRight w:val="720"/>
          <w:marTop w:val="0"/>
          <w:marBottom w:val="0"/>
          <w:divBdr>
            <w:top w:val="none" w:sz="0" w:space="0" w:color="auto"/>
            <w:left w:val="none" w:sz="0" w:space="0" w:color="auto"/>
            <w:bottom w:val="none" w:sz="0" w:space="0" w:color="auto"/>
            <w:right w:val="none" w:sz="0" w:space="0" w:color="auto"/>
          </w:divBdr>
        </w:div>
      </w:divsChild>
    </w:div>
    <w:div w:id="926962885">
      <w:bodyDiv w:val="1"/>
      <w:marLeft w:val="0"/>
      <w:marRight w:val="0"/>
      <w:marTop w:val="0"/>
      <w:marBottom w:val="0"/>
      <w:divBdr>
        <w:top w:val="none" w:sz="0" w:space="0" w:color="auto"/>
        <w:left w:val="none" w:sz="0" w:space="0" w:color="auto"/>
        <w:bottom w:val="none" w:sz="0" w:space="0" w:color="auto"/>
        <w:right w:val="none" w:sz="0" w:space="0" w:color="auto"/>
      </w:divBdr>
    </w:div>
    <w:div w:id="942691650">
      <w:bodyDiv w:val="1"/>
      <w:marLeft w:val="0"/>
      <w:marRight w:val="0"/>
      <w:marTop w:val="0"/>
      <w:marBottom w:val="0"/>
      <w:divBdr>
        <w:top w:val="none" w:sz="0" w:space="0" w:color="auto"/>
        <w:left w:val="none" w:sz="0" w:space="0" w:color="auto"/>
        <w:bottom w:val="none" w:sz="0" w:space="0" w:color="auto"/>
        <w:right w:val="none" w:sz="0" w:space="0" w:color="auto"/>
      </w:divBdr>
    </w:div>
    <w:div w:id="996035810">
      <w:bodyDiv w:val="1"/>
      <w:marLeft w:val="0"/>
      <w:marRight w:val="0"/>
      <w:marTop w:val="0"/>
      <w:marBottom w:val="0"/>
      <w:divBdr>
        <w:top w:val="none" w:sz="0" w:space="0" w:color="auto"/>
        <w:left w:val="none" w:sz="0" w:space="0" w:color="auto"/>
        <w:bottom w:val="none" w:sz="0" w:space="0" w:color="auto"/>
        <w:right w:val="none" w:sz="0" w:space="0" w:color="auto"/>
      </w:divBdr>
      <w:divsChild>
        <w:div w:id="203837540">
          <w:marLeft w:val="0"/>
          <w:marRight w:val="0"/>
          <w:marTop w:val="0"/>
          <w:marBottom w:val="0"/>
          <w:divBdr>
            <w:top w:val="none" w:sz="0" w:space="0" w:color="auto"/>
            <w:left w:val="none" w:sz="0" w:space="0" w:color="auto"/>
            <w:bottom w:val="none" w:sz="0" w:space="0" w:color="auto"/>
            <w:right w:val="none" w:sz="0" w:space="0" w:color="auto"/>
          </w:divBdr>
        </w:div>
        <w:div w:id="244849966">
          <w:marLeft w:val="0"/>
          <w:marRight w:val="720"/>
          <w:marTop w:val="0"/>
          <w:marBottom w:val="0"/>
          <w:divBdr>
            <w:top w:val="none" w:sz="0" w:space="0" w:color="auto"/>
            <w:left w:val="none" w:sz="0" w:space="0" w:color="auto"/>
            <w:bottom w:val="none" w:sz="0" w:space="0" w:color="auto"/>
            <w:right w:val="none" w:sz="0" w:space="0" w:color="auto"/>
          </w:divBdr>
        </w:div>
      </w:divsChild>
    </w:div>
    <w:div w:id="1003313673">
      <w:bodyDiv w:val="1"/>
      <w:marLeft w:val="0"/>
      <w:marRight w:val="0"/>
      <w:marTop w:val="0"/>
      <w:marBottom w:val="0"/>
      <w:divBdr>
        <w:top w:val="none" w:sz="0" w:space="0" w:color="auto"/>
        <w:left w:val="none" w:sz="0" w:space="0" w:color="auto"/>
        <w:bottom w:val="none" w:sz="0" w:space="0" w:color="auto"/>
        <w:right w:val="none" w:sz="0" w:space="0" w:color="auto"/>
      </w:divBdr>
    </w:div>
    <w:div w:id="1004746764">
      <w:bodyDiv w:val="1"/>
      <w:marLeft w:val="0"/>
      <w:marRight w:val="0"/>
      <w:marTop w:val="0"/>
      <w:marBottom w:val="0"/>
      <w:divBdr>
        <w:top w:val="none" w:sz="0" w:space="0" w:color="auto"/>
        <w:left w:val="none" w:sz="0" w:space="0" w:color="auto"/>
        <w:bottom w:val="none" w:sz="0" w:space="0" w:color="auto"/>
        <w:right w:val="none" w:sz="0" w:space="0" w:color="auto"/>
      </w:divBdr>
    </w:div>
    <w:div w:id="1142574367">
      <w:bodyDiv w:val="1"/>
      <w:marLeft w:val="0"/>
      <w:marRight w:val="0"/>
      <w:marTop w:val="0"/>
      <w:marBottom w:val="0"/>
      <w:divBdr>
        <w:top w:val="none" w:sz="0" w:space="0" w:color="auto"/>
        <w:left w:val="none" w:sz="0" w:space="0" w:color="auto"/>
        <w:bottom w:val="none" w:sz="0" w:space="0" w:color="auto"/>
        <w:right w:val="none" w:sz="0" w:space="0" w:color="auto"/>
      </w:divBdr>
    </w:div>
    <w:div w:id="1189099261">
      <w:bodyDiv w:val="1"/>
      <w:marLeft w:val="0"/>
      <w:marRight w:val="0"/>
      <w:marTop w:val="0"/>
      <w:marBottom w:val="0"/>
      <w:divBdr>
        <w:top w:val="none" w:sz="0" w:space="0" w:color="auto"/>
        <w:left w:val="none" w:sz="0" w:space="0" w:color="auto"/>
        <w:bottom w:val="none" w:sz="0" w:space="0" w:color="auto"/>
        <w:right w:val="none" w:sz="0" w:space="0" w:color="auto"/>
      </w:divBdr>
      <w:divsChild>
        <w:div w:id="300580855">
          <w:marLeft w:val="0"/>
          <w:marRight w:val="720"/>
          <w:marTop w:val="0"/>
          <w:marBottom w:val="0"/>
          <w:divBdr>
            <w:top w:val="none" w:sz="0" w:space="0" w:color="auto"/>
            <w:left w:val="none" w:sz="0" w:space="0" w:color="auto"/>
            <w:bottom w:val="none" w:sz="0" w:space="0" w:color="auto"/>
            <w:right w:val="none" w:sz="0" w:space="0" w:color="auto"/>
          </w:divBdr>
        </w:div>
        <w:div w:id="1515608649">
          <w:marLeft w:val="0"/>
          <w:marRight w:val="0"/>
          <w:marTop w:val="0"/>
          <w:marBottom w:val="0"/>
          <w:divBdr>
            <w:top w:val="none" w:sz="0" w:space="0" w:color="auto"/>
            <w:left w:val="none" w:sz="0" w:space="0" w:color="auto"/>
            <w:bottom w:val="none" w:sz="0" w:space="0" w:color="auto"/>
            <w:right w:val="none" w:sz="0" w:space="0" w:color="auto"/>
          </w:divBdr>
        </w:div>
      </w:divsChild>
    </w:div>
    <w:div w:id="1225138965">
      <w:bodyDiv w:val="1"/>
      <w:marLeft w:val="0"/>
      <w:marRight w:val="0"/>
      <w:marTop w:val="0"/>
      <w:marBottom w:val="0"/>
      <w:divBdr>
        <w:top w:val="none" w:sz="0" w:space="0" w:color="auto"/>
        <w:left w:val="none" w:sz="0" w:space="0" w:color="auto"/>
        <w:bottom w:val="none" w:sz="0" w:space="0" w:color="auto"/>
        <w:right w:val="none" w:sz="0" w:space="0" w:color="auto"/>
      </w:divBdr>
      <w:divsChild>
        <w:div w:id="1761489383">
          <w:marLeft w:val="0"/>
          <w:marRight w:val="720"/>
          <w:marTop w:val="0"/>
          <w:marBottom w:val="0"/>
          <w:divBdr>
            <w:top w:val="none" w:sz="0" w:space="0" w:color="auto"/>
            <w:left w:val="none" w:sz="0" w:space="0" w:color="auto"/>
            <w:bottom w:val="none" w:sz="0" w:space="0" w:color="auto"/>
            <w:right w:val="none" w:sz="0" w:space="0" w:color="auto"/>
          </w:divBdr>
        </w:div>
        <w:div w:id="1898123560">
          <w:marLeft w:val="0"/>
          <w:marRight w:val="0"/>
          <w:marTop w:val="0"/>
          <w:marBottom w:val="0"/>
          <w:divBdr>
            <w:top w:val="none" w:sz="0" w:space="0" w:color="auto"/>
            <w:left w:val="none" w:sz="0" w:space="0" w:color="auto"/>
            <w:bottom w:val="none" w:sz="0" w:space="0" w:color="auto"/>
            <w:right w:val="none" w:sz="0" w:space="0" w:color="auto"/>
          </w:divBdr>
        </w:div>
      </w:divsChild>
    </w:div>
    <w:div w:id="1245457576">
      <w:bodyDiv w:val="1"/>
      <w:marLeft w:val="0"/>
      <w:marRight w:val="0"/>
      <w:marTop w:val="0"/>
      <w:marBottom w:val="0"/>
      <w:divBdr>
        <w:top w:val="none" w:sz="0" w:space="0" w:color="auto"/>
        <w:left w:val="none" w:sz="0" w:space="0" w:color="auto"/>
        <w:bottom w:val="none" w:sz="0" w:space="0" w:color="auto"/>
        <w:right w:val="none" w:sz="0" w:space="0" w:color="auto"/>
      </w:divBdr>
    </w:div>
    <w:div w:id="1289239360">
      <w:bodyDiv w:val="1"/>
      <w:marLeft w:val="0"/>
      <w:marRight w:val="0"/>
      <w:marTop w:val="0"/>
      <w:marBottom w:val="0"/>
      <w:divBdr>
        <w:top w:val="none" w:sz="0" w:space="0" w:color="auto"/>
        <w:left w:val="none" w:sz="0" w:space="0" w:color="auto"/>
        <w:bottom w:val="none" w:sz="0" w:space="0" w:color="auto"/>
        <w:right w:val="none" w:sz="0" w:space="0" w:color="auto"/>
      </w:divBdr>
      <w:divsChild>
        <w:div w:id="1201239411">
          <w:marLeft w:val="0"/>
          <w:marRight w:val="720"/>
          <w:marTop w:val="0"/>
          <w:marBottom w:val="0"/>
          <w:divBdr>
            <w:top w:val="none" w:sz="0" w:space="0" w:color="auto"/>
            <w:left w:val="none" w:sz="0" w:space="0" w:color="auto"/>
            <w:bottom w:val="none" w:sz="0" w:space="0" w:color="auto"/>
            <w:right w:val="none" w:sz="0" w:space="0" w:color="auto"/>
          </w:divBdr>
        </w:div>
        <w:div w:id="2055040994">
          <w:marLeft w:val="0"/>
          <w:marRight w:val="0"/>
          <w:marTop w:val="0"/>
          <w:marBottom w:val="0"/>
          <w:divBdr>
            <w:top w:val="none" w:sz="0" w:space="0" w:color="auto"/>
            <w:left w:val="none" w:sz="0" w:space="0" w:color="auto"/>
            <w:bottom w:val="none" w:sz="0" w:space="0" w:color="auto"/>
            <w:right w:val="none" w:sz="0" w:space="0" w:color="auto"/>
          </w:divBdr>
        </w:div>
      </w:divsChild>
    </w:div>
    <w:div w:id="1297224701">
      <w:bodyDiv w:val="1"/>
      <w:marLeft w:val="0"/>
      <w:marRight w:val="0"/>
      <w:marTop w:val="0"/>
      <w:marBottom w:val="0"/>
      <w:divBdr>
        <w:top w:val="none" w:sz="0" w:space="0" w:color="auto"/>
        <w:left w:val="none" w:sz="0" w:space="0" w:color="auto"/>
        <w:bottom w:val="none" w:sz="0" w:space="0" w:color="auto"/>
        <w:right w:val="none" w:sz="0" w:space="0" w:color="auto"/>
      </w:divBdr>
    </w:div>
    <w:div w:id="1328091633">
      <w:bodyDiv w:val="1"/>
      <w:marLeft w:val="0"/>
      <w:marRight w:val="0"/>
      <w:marTop w:val="0"/>
      <w:marBottom w:val="0"/>
      <w:divBdr>
        <w:top w:val="none" w:sz="0" w:space="0" w:color="auto"/>
        <w:left w:val="none" w:sz="0" w:space="0" w:color="auto"/>
        <w:bottom w:val="none" w:sz="0" w:space="0" w:color="auto"/>
        <w:right w:val="none" w:sz="0" w:space="0" w:color="auto"/>
      </w:divBdr>
    </w:div>
    <w:div w:id="1382090564">
      <w:bodyDiv w:val="1"/>
      <w:marLeft w:val="0"/>
      <w:marRight w:val="0"/>
      <w:marTop w:val="0"/>
      <w:marBottom w:val="0"/>
      <w:divBdr>
        <w:top w:val="none" w:sz="0" w:space="0" w:color="auto"/>
        <w:left w:val="none" w:sz="0" w:space="0" w:color="auto"/>
        <w:bottom w:val="none" w:sz="0" w:space="0" w:color="auto"/>
        <w:right w:val="none" w:sz="0" w:space="0" w:color="auto"/>
      </w:divBdr>
      <w:divsChild>
        <w:div w:id="1595698930">
          <w:marLeft w:val="0"/>
          <w:marRight w:val="0"/>
          <w:marTop w:val="0"/>
          <w:marBottom w:val="0"/>
          <w:divBdr>
            <w:top w:val="none" w:sz="0" w:space="0" w:color="auto"/>
            <w:left w:val="none" w:sz="0" w:space="0" w:color="auto"/>
            <w:bottom w:val="none" w:sz="0" w:space="0" w:color="auto"/>
            <w:right w:val="none" w:sz="0" w:space="0" w:color="auto"/>
          </w:divBdr>
        </w:div>
        <w:div w:id="1728723714">
          <w:marLeft w:val="0"/>
          <w:marRight w:val="720"/>
          <w:marTop w:val="0"/>
          <w:marBottom w:val="0"/>
          <w:divBdr>
            <w:top w:val="none" w:sz="0" w:space="0" w:color="auto"/>
            <w:left w:val="none" w:sz="0" w:space="0" w:color="auto"/>
            <w:bottom w:val="none" w:sz="0" w:space="0" w:color="auto"/>
            <w:right w:val="none" w:sz="0" w:space="0" w:color="auto"/>
          </w:divBdr>
        </w:div>
      </w:divsChild>
    </w:div>
    <w:div w:id="1383169706">
      <w:bodyDiv w:val="1"/>
      <w:marLeft w:val="0"/>
      <w:marRight w:val="0"/>
      <w:marTop w:val="0"/>
      <w:marBottom w:val="0"/>
      <w:divBdr>
        <w:top w:val="none" w:sz="0" w:space="0" w:color="auto"/>
        <w:left w:val="none" w:sz="0" w:space="0" w:color="auto"/>
        <w:bottom w:val="none" w:sz="0" w:space="0" w:color="auto"/>
        <w:right w:val="none" w:sz="0" w:space="0" w:color="auto"/>
      </w:divBdr>
    </w:div>
    <w:div w:id="1393505565">
      <w:bodyDiv w:val="1"/>
      <w:marLeft w:val="0"/>
      <w:marRight w:val="0"/>
      <w:marTop w:val="0"/>
      <w:marBottom w:val="0"/>
      <w:divBdr>
        <w:top w:val="none" w:sz="0" w:space="0" w:color="auto"/>
        <w:left w:val="none" w:sz="0" w:space="0" w:color="auto"/>
        <w:bottom w:val="none" w:sz="0" w:space="0" w:color="auto"/>
        <w:right w:val="none" w:sz="0" w:space="0" w:color="auto"/>
      </w:divBdr>
    </w:div>
    <w:div w:id="1401446695">
      <w:bodyDiv w:val="1"/>
      <w:marLeft w:val="0"/>
      <w:marRight w:val="0"/>
      <w:marTop w:val="0"/>
      <w:marBottom w:val="0"/>
      <w:divBdr>
        <w:top w:val="none" w:sz="0" w:space="0" w:color="auto"/>
        <w:left w:val="none" w:sz="0" w:space="0" w:color="auto"/>
        <w:bottom w:val="none" w:sz="0" w:space="0" w:color="auto"/>
        <w:right w:val="none" w:sz="0" w:space="0" w:color="auto"/>
      </w:divBdr>
    </w:div>
    <w:div w:id="1429229246">
      <w:bodyDiv w:val="1"/>
      <w:marLeft w:val="0"/>
      <w:marRight w:val="0"/>
      <w:marTop w:val="0"/>
      <w:marBottom w:val="0"/>
      <w:divBdr>
        <w:top w:val="none" w:sz="0" w:space="0" w:color="auto"/>
        <w:left w:val="none" w:sz="0" w:space="0" w:color="auto"/>
        <w:bottom w:val="none" w:sz="0" w:space="0" w:color="auto"/>
        <w:right w:val="none" w:sz="0" w:space="0" w:color="auto"/>
      </w:divBdr>
      <w:divsChild>
        <w:div w:id="919367984">
          <w:marLeft w:val="0"/>
          <w:marRight w:val="0"/>
          <w:marTop w:val="0"/>
          <w:marBottom w:val="0"/>
          <w:divBdr>
            <w:top w:val="none" w:sz="0" w:space="0" w:color="auto"/>
            <w:left w:val="none" w:sz="0" w:space="0" w:color="auto"/>
            <w:bottom w:val="none" w:sz="0" w:space="0" w:color="auto"/>
            <w:right w:val="none" w:sz="0" w:space="0" w:color="auto"/>
          </w:divBdr>
        </w:div>
        <w:div w:id="1950701806">
          <w:marLeft w:val="0"/>
          <w:marRight w:val="720"/>
          <w:marTop w:val="0"/>
          <w:marBottom w:val="0"/>
          <w:divBdr>
            <w:top w:val="none" w:sz="0" w:space="0" w:color="auto"/>
            <w:left w:val="none" w:sz="0" w:space="0" w:color="auto"/>
            <w:bottom w:val="none" w:sz="0" w:space="0" w:color="auto"/>
            <w:right w:val="none" w:sz="0" w:space="0" w:color="auto"/>
          </w:divBdr>
        </w:div>
      </w:divsChild>
    </w:div>
    <w:div w:id="1476138636">
      <w:bodyDiv w:val="1"/>
      <w:marLeft w:val="0"/>
      <w:marRight w:val="0"/>
      <w:marTop w:val="0"/>
      <w:marBottom w:val="0"/>
      <w:divBdr>
        <w:top w:val="none" w:sz="0" w:space="0" w:color="auto"/>
        <w:left w:val="none" w:sz="0" w:space="0" w:color="auto"/>
        <w:bottom w:val="none" w:sz="0" w:space="0" w:color="auto"/>
        <w:right w:val="none" w:sz="0" w:space="0" w:color="auto"/>
      </w:divBdr>
    </w:div>
    <w:div w:id="1478108006">
      <w:bodyDiv w:val="1"/>
      <w:marLeft w:val="0"/>
      <w:marRight w:val="0"/>
      <w:marTop w:val="0"/>
      <w:marBottom w:val="0"/>
      <w:divBdr>
        <w:top w:val="none" w:sz="0" w:space="0" w:color="auto"/>
        <w:left w:val="none" w:sz="0" w:space="0" w:color="auto"/>
        <w:bottom w:val="none" w:sz="0" w:space="0" w:color="auto"/>
        <w:right w:val="none" w:sz="0" w:space="0" w:color="auto"/>
      </w:divBdr>
      <w:divsChild>
        <w:div w:id="1361082292">
          <w:marLeft w:val="0"/>
          <w:marRight w:val="0"/>
          <w:marTop w:val="0"/>
          <w:marBottom w:val="0"/>
          <w:divBdr>
            <w:top w:val="none" w:sz="0" w:space="0" w:color="auto"/>
            <w:left w:val="none" w:sz="0" w:space="0" w:color="auto"/>
            <w:bottom w:val="none" w:sz="0" w:space="0" w:color="auto"/>
            <w:right w:val="none" w:sz="0" w:space="0" w:color="auto"/>
          </w:divBdr>
        </w:div>
        <w:div w:id="1530992941">
          <w:marLeft w:val="0"/>
          <w:marRight w:val="720"/>
          <w:marTop w:val="0"/>
          <w:marBottom w:val="0"/>
          <w:divBdr>
            <w:top w:val="none" w:sz="0" w:space="0" w:color="auto"/>
            <w:left w:val="none" w:sz="0" w:space="0" w:color="auto"/>
            <w:bottom w:val="none" w:sz="0" w:space="0" w:color="auto"/>
            <w:right w:val="none" w:sz="0" w:space="0" w:color="auto"/>
          </w:divBdr>
        </w:div>
      </w:divsChild>
    </w:div>
    <w:div w:id="1498961538">
      <w:bodyDiv w:val="1"/>
      <w:marLeft w:val="0"/>
      <w:marRight w:val="0"/>
      <w:marTop w:val="0"/>
      <w:marBottom w:val="0"/>
      <w:divBdr>
        <w:top w:val="none" w:sz="0" w:space="0" w:color="auto"/>
        <w:left w:val="none" w:sz="0" w:space="0" w:color="auto"/>
        <w:bottom w:val="none" w:sz="0" w:space="0" w:color="auto"/>
        <w:right w:val="none" w:sz="0" w:space="0" w:color="auto"/>
      </w:divBdr>
    </w:div>
    <w:div w:id="1528592966">
      <w:bodyDiv w:val="1"/>
      <w:marLeft w:val="0"/>
      <w:marRight w:val="0"/>
      <w:marTop w:val="0"/>
      <w:marBottom w:val="0"/>
      <w:divBdr>
        <w:top w:val="none" w:sz="0" w:space="0" w:color="auto"/>
        <w:left w:val="none" w:sz="0" w:space="0" w:color="auto"/>
        <w:bottom w:val="none" w:sz="0" w:space="0" w:color="auto"/>
        <w:right w:val="none" w:sz="0" w:space="0" w:color="auto"/>
      </w:divBdr>
    </w:div>
    <w:div w:id="1532650131">
      <w:bodyDiv w:val="1"/>
      <w:marLeft w:val="0"/>
      <w:marRight w:val="0"/>
      <w:marTop w:val="0"/>
      <w:marBottom w:val="0"/>
      <w:divBdr>
        <w:top w:val="none" w:sz="0" w:space="0" w:color="auto"/>
        <w:left w:val="none" w:sz="0" w:space="0" w:color="auto"/>
        <w:bottom w:val="none" w:sz="0" w:space="0" w:color="auto"/>
        <w:right w:val="none" w:sz="0" w:space="0" w:color="auto"/>
      </w:divBdr>
    </w:div>
    <w:div w:id="1535727283">
      <w:bodyDiv w:val="1"/>
      <w:marLeft w:val="0"/>
      <w:marRight w:val="0"/>
      <w:marTop w:val="0"/>
      <w:marBottom w:val="0"/>
      <w:divBdr>
        <w:top w:val="none" w:sz="0" w:space="0" w:color="auto"/>
        <w:left w:val="none" w:sz="0" w:space="0" w:color="auto"/>
        <w:bottom w:val="none" w:sz="0" w:space="0" w:color="auto"/>
        <w:right w:val="none" w:sz="0" w:space="0" w:color="auto"/>
      </w:divBdr>
    </w:div>
    <w:div w:id="1565263731">
      <w:bodyDiv w:val="1"/>
      <w:marLeft w:val="0"/>
      <w:marRight w:val="0"/>
      <w:marTop w:val="0"/>
      <w:marBottom w:val="0"/>
      <w:divBdr>
        <w:top w:val="none" w:sz="0" w:space="0" w:color="auto"/>
        <w:left w:val="none" w:sz="0" w:space="0" w:color="auto"/>
        <w:bottom w:val="none" w:sz="0" w:space="0" w:color="auto"/>
        <w:right w:val="none" w:sz="0" w:space="0" w:color="auto"/>
      </w:divBdr>
      <w:divsChild>
        <w:div w:id="142166320">
          <w:marLeft w:val="0"/>
          <w:marRight w:val="0"/>
          <w:marTop w:val="0"/>
          <w:marBottom w:val="0"/>
          <w:divBdr>
            <w:top w:val="none" w:sz="0" w:space="0" w:color="auto"/>
            <w:left w:val="none" w:sz="0" w:space="0" w:color="auto"/>
            <w:bottom w:val="none" w:sz="0" w:space="0" w:color="auto"/>
            <w:right w:val="none" w:sz="0" w:space="0" w:color="auto"/>
          </w:divBdr>
        </w:div>
        <w:div w:id="643048087">
          <w:marLeft w:val="0"/>
          <w:marRight w:val="720"/>
          <w:marTop w:val="0"/>
          <w:marBottom w:val="0"/>
          <w:divBdr>
            <w:top w:val="none" w:sz="0" w:space="0" w:color="auto"/>
            <w:left w:val="none" w:sz="0" w:space="0" w:color="auto"/>
            <w:bottom w:val="none" w:sz="0" w:space="0" w:color="auto"/>
            <w:right w:val="none" w:sz="0" w:space="0" w:color="auto"/>
          </w:divBdr>
        </w:div>
      </w:divsChild>
    </w:div>
    <w:div w:id="1590693111">
      <w:bodyDiv w:val="1"/>
      <w:marLeft w:val="0"/>
      <w:marRight w:val="0"/>
      <w:marTop w:val="0"/>
      <w:marBottom w:val="0"/>
      <w:divBdr>
        <w:top w:val="none" w:sz="0" w:space="0" w:color="auto"/>
        <w:left w:val="none" w:sz="0" w:space="0" w:color="auto"/>
        <w:bottom w:val="none" w:sz="0" w:space="0" w:color="auto"/>
        <w:right w:val="none" w:sz="0" w:space="0" w:color="auto"/>
      </w:divBdr>
      <w:divsChild>
        <w:div w:id="610556923">
          <w:marLeft w:val="0"/>
          <w:marRight w:val="0"/>
          <w:marTop w:val="0"/>
          <w:marBottom w:val="0"/>
          <w:divBdr>
            <w:top w:val="none" w:sz="0" w:space="0" w:color="auto"/>
            <w:left w:val="none" w:sz="0" w:space="0" w:color="auto"/>
            <w:bottom w:val="none" w:sz="0" w:space="0" w:color="auto"/>
            <w:right w:val="none" w:sz="0" w:space="0" w:color="auto"/>
          </w:divBdr>
        </w:div>
        <w:div w:id="2040279771">
          <w:marLeft w:val="0"/>
          <w:marRight w:val="720"/>
          <w:marTop w:val="0"/>
          <w:marBottom w:val="0"/>
          <w:divBdr>
            <w:top w:val="none" w:sz="0" w:space="0" w:color="auto"/>
            <w:left w:val="none" w:sz="0" w:space="0" w:color="auto"/>
            <w:bottom w:val="none" w:sz="0" w:space="0" w:color="auto"/>
            <w:right w:val="none" w:sz="0" w:space="0" w:color="auto"/>
          </w:divBdr>
        </w:div>
      </w:divsChild>
    </w:div>
    <w:div w:id="1592927506">
      <w:bodyDiv w:val="1"/>
      <w:marLeft w:val="0"/>
      <w:marRight w:val="0"/>
      <w:marTop w:val="0"/>
      <w:marBottom w:val="0"/>
      <w:divBdr>
        <w:top w:val="none" w:sz="0" w:space="0" w:color="auto"/>
        <w:left w:val="none" w:sz="0" w:space="0" w:color="auto"/>
        <w:bottom w:val="none" w:sz="0" w:space="0" w:color="auto"/>
        <w:right w:val="none" w:sz="0" w:space="0" w:color="auto"/>
      </w:divBdr>
    </w:div>
    <w:div w:id="1596398171">
      <w:bodyDiv w:val="1"/>
      <w:marLeft w:val="0"/>
      <w:marRight w:val="0"/>
      <w:marTop w:val="0"/>
      <w:marBottom w:val="0"/>
      <w:divBdr>
        <w:top w:val="none" w:sz="0" w:space="0" w:color="auto"/>
        <w:left w:val="none" w:sz="0" w:space="0" w:color="auto"/>
        <w:bottom w:val="none" w:sz="0" w:space="0" w:color="auto"/>
        <w:right w:val="none" w:sz="0" w:space="0" w:color="auto"/>
      </w:divBdr>
    </w:div>
    <w:div w:id="1598443377">
      <w:bodyDiv w:val="1"/>
      <w:marLeft w:val="0"/>
      <w:marRight w:val="0"/>
      <w:marTop w:val="0"/>
      <w:marBottom w:val="0"/>
      <w:divBdr>
        <w:top w:val="none" w:sz="0" w:space="0" w:color="auto"/>
        <w:left w:val="none" w:sz="0" w:space="0" w:color="auto"/>
        <w:bottom w:val="none" w:sz="0" w:space="0" w:color="auto"/>
        <w:right w:val="none" w:sz="0" w:space="0" w:color="auto"/>
      </w:divBdr>
    </w:div>
    <w:div w:id="1640647393">
      <w:bodyDiv w:val="1"/>
      <w:marLeft w:val="0"/>
      <w:marRight w:val="0"/>
      <w:marTop w:val="0"/>
      <w:marBottom w:val="0"/>
      <w:divBdr>
        <w:top w:val="none" w:sz="0" w:space="0" w:color="auto"/>
        <w:left w:val="none" w:sz="0" w:space="0" w:color="auto"/>
        <w:bottom w:val="none" w:sz="0" w:space="0" w:color="auto"/>
        <w:right w:val="none" w:sz="0" w:space="0" w:color="auto"/>
      </w:divBdr>
    </w:div>
    <w:div w:id="1655717693">
      <w:bodyDiv w:val="1"/>
      <w:marLeft w:val="0"/>
      <w:marRight w:val="0"/>
      <w:marTop w:val="0"/>
      <w:marBottom w:val="0"/>
      <w:divBdr>
        <w:top w:val="none" w:sz="0" w:space="0" w:color="auto"/>
        <w:left w:val="none" w:sz="0" w:space="0" w:color="auto"/>
        <w:bottom w:val="none" w:sz="0" w:space="0" w:color="auto"/>
        <w:right w:val="none" w:sz="0" w:space="0" w:color="auto"/>
      </w:divBdr>
    </w:div>
    <w:div w:id="1655911018">
      <w:bodyDiv w:val="1"/>
      <w:marLeft w:val="0"/>
      <w:marRight w:val="0"/>
      <w:marTop w:val="0"/>
      <w:marBottom w:val="0"/>
      <w:divBdr>
        <w:top w:val="none" w:sz="0" w:space="0" w:color="auto"/>
        <w:left w:val="none" w:sz="0" w:space="0" w:color="auto"/>
        <w:bottom w:val="none" w:sz="0" w:space="0" w:color="auto"/>
        <w:right w:val="none" w:sz="0" w:space="0" w:color="auto"/>
      </w:divBdr>
    </w:div>
    <w:div w:id="1678380720">
      <w:bodyDiv w:val="1"/>
      <w:marLeft w:val="0"/>
      <w:marRight w:val="0"/>
      <w:marTop w:val="0"/>
      <w:marBottom w:val="0"/>
      <w:divBdr>
        <w:top w:val="none" w:sz="0" w:space="0" w:color="auto"/>
        <w:left w:val="none" w:sz="0" w:space="0" w:color="auto"/>
        <w:bottom w:val="none" w:sz="0" w:space="0" w:color="auto"/>
        <w:right w:val="none" w:sz="0" w:space="0" w:color="auto"/>
      </w:divBdr>
      <w:divsChild>
        <w:div w:id="831413190">
          <w:marLeft w:val="0"/>
          <w:marRight w:val="0"/>
          <w:marTop w:val="0"/>
          <w:marBottom w:val="0"/>
          <w:divBdr>
            <w:top w:val="none" w:sz="0" w:space="0" w:color="auto"/>
            <w:left w:val="none" w:sz="0" w:space="0" w:color="auto"/>
            <w:bottom w:val="none" w:sz="0" w:space="0" w:color="auto"/>
            <w:right w:val="none" w:sz="0" w:space="0" w:color="auto"/>
          </w:divBdr>
        </w:div>
        <w:div w:id="1731878476">
          <w:marLeft w:val="0"/>
          <w:marRight w:val="720"/>
          <w:marTop w:val="0"/>
          <w:marBottom w:val="0"/>
          <w:divBdr>
            <w:top w:val="none" w:sz="0" w:space="0" w:color="auto"/>
            <w:left w:val="none" w:sz="0" w:space="0" w:color="auto"/>
            <w:bottom w:val="none" w:sz="0" w:space="0" w:color="auto"/>
            <w:right w:val="none" w:sz="0" w:space="0" w:color="auto"/>
          </w:divBdr>
        </w:div>
      </w:divsChild>
    </w:div>
    <w:div w:id="1689065898">
      <w:bodyDiv w:val="1"/>
      <w:marLeft w:val="0"/>
      <w:marRight w:val="0"/>
      <w:marTop w:val="0"/>
      <w:marBottom w:val="0"/>
      <w:divBdr>
        <w:top w:val="none" w:sz="0" w:space="0" w:color="auto"/>
        <w:left w:val="none" w:sz="0" w:space="0" w:color="auto"/>
        <w:bottom w:val="none" w:sz="0" w:space="0" w:color="auto"/>
        <w:right w:val="none" w:sz="0" w:space="0" w:color="auto"/>
      </w:divBdr>
    </w:div>
    <w:div w:id="1702318269">
      <w:bodyDiv w:val="1"/>
      <w:marLeft w:val="0"/>
      <w:marRight w:val="0"/>
      <w:marTop w:val="0"/>
      <w:marBottom w:val="0"/>
      <w:divBdr>
        <w:top w:val="none" w:sz="0" w:space="0" w:color="auto"/>
        <w:left w:val="none" w:sz="0" w:space="0" w:color="auto"/>
        <w:bottom w:val="none" w:sz="0" w:space="0" w:color="auto"/>
        <w:right w:val="none" w:sz="0" w:space="0" w:color="auto"/>
      </w:divBdr>
    </w:div>
    <w:div w:id="1746490283">
      <w:bodyDiv w:val="1"/>
      <w:marLeft w:val="0"/>
      <w:marRight w:val="0"/>
      <w:marTop w:val="0"/>
      <w:marBottom w:val="0"/>
      <w:divBdr>
        <w:top w:val="none" w:sz="0" w:space="0" w:color="auto"/>
        <w:left w:val="none" w:sz="0" w:space="0" w:color="auto"/>
        <w:bottom w:val="none" w:sz="0" w:space="0" w:color="auto"/>
        <w:right w:val="none" w:sz="0" w:space="0" w:color="auto"/>
      </w:divBdr>
    </w:div>
    <w:div w:id="1795252339">
      <w:bodyDiv w:val="1"/>
      <w:marLeft w:val="0"/>
      <w:marRight w:val="0"/>
      <w:marTop w:val="0"/>
      <w:marBottom w:val="0"/>
      <w:divBdr>
        <w:top w:val="none" w:sz="0" w:space="0" w:color="auto"/>
        <w:left w:val="none" w:sz="0" w:space="0" w:color="auto"/>
        <w:bottom w:val="none" w:sz="0" w:space="0" w:color="auto"/>
        <w:right w:val="none" w:sz="0" w:space="0" w:color="auto"/>
      </w:divBdr>
      <w:divsChild>
        <w:div w:id="524488838">
          <w:marLeft w:val="0"/>
          <w:marRight w:val="0"/>
          <w:marTop w:val="0"/>
          <w:marBottom w:val="0"/>
          <w:divBdr>
            <w:top w:val="none" w:sz="0" w:space="0" w:color="auto"/>
            <w:left w:val="none" w:sz="0" w:space="0" w:color="auto"/>
            <w:bottom w:val="none" w:sz="0" w:space="0" w:color="auto"/>
            <w:right w:val="none" w:sz="0" w:space="0" w:color="auto"/>
          </w:divBdr>
        </w:div>
        <w:div w:id="1391609531">
          <w:marLeft w:val="0"/>
          <w:marRight w:val="720"/>
          <w:marTop w:val="0"/>
          <w:marBottom w:val="0"/>
          <w:divBdr>
            <w:top w:val="none" w:sz="0" w:space="0" w:color="auto"/>
            <w:left w:val="none" w:sz="0" w:space="0" w:color="auto"/>
            <w:bottom w:val="none" w:sz="0" w:space="0" w:color="auto"/>
            <w:right w:val="none" w:sz="0" w:space="0" w:color="auto"/>
          </w:divBdr>
        </w:div>
      </w:divsChild>
    </w:div>
    <w:div w:id="1822114677">
      <w:bodyDiv w:val="1"/>
      <w:marLeft w:val="0"/>
      <w:marRight w:val="0"/>
      <w:marTop w:val="0"/>
      <w:marBottom w:val="0"/>
      <w:divBdr>
        <w:top w:val="none" w:sz="0" w:space="0" w:color="auto"/>
        <w:left w:val="none" w:sz="0" w:space="0" w:color="auto"/>
        <w:bottom w:val="none" w:sz="0" w:space="0" w:color="auto"/>
        <w:right w:val="none" w:sz="0" w:space="0" w:color="auto"/>
      </w:divBdr>
    </w:div>
    <w:div w:id="1866283692">
      <w:bodyDiv w:val="1"/>
      <w:marLeft w:val="0"/>
      <w:marRight w:val="0"/>
      <w:marTop w:val="0"/>
      <w:marBottom w:val="0"/>
      <w:divBdr>
        <w:top w:val="none" w:sz="0" w:space="0" w:color="auto"/>
        <w:left w:val="none" w:sz="0" w:space="0" w:color="auto"/>
        <w:bottom w:val="none" w:sz="0" w:space="0" w:color="auto"/>
        <w:right w:val="none" w:sz="0" w:space="0" w:color="auto"/>
      </w:divBdr>
    </w:div>
    <w:div w:id="1892304184">
      <w:bodyDiv w:val="1"/>
      <w:marLeft w:val="0"/>
      <w:marRight w:val="0"/>
      <w:marTop w:val="0"/>
      <w:marBottom w:val="0"/>
      <w:divBdr>
        <w:top w:val="none" w:sz="0" w:space="0" w:color="auto"/>
        <w:left w:val="none" w:sz="0" w:space="0" w:color="auto"/>
        <w:bottom w:val="none" w:sz="0" w:space="0" w:color="auto"/>
        <w:right w:val="none" w:sz="0" w:space="0" w:color="auto"/>
      </w:divBdr>
      <w:divsChild>
        <w:div w:id="1074938797">
          <w:marLeft w:val="0"/>
          <w:marRight w:val="720"/>
          <w:marTop w:val="0"/>
          <w:marBottom w:val="0"/>
          <w:divBdr>
            <w:top w:val="none" w:sz="0" w:space="0" w:color="auto"/>
            <w:left w:val="none" w:sz="0" w:space="0" w:color="auto"/>
            <w:bottom w:val="none" w:sz="0" w:space="0" w:color="auto"/>
            <w:right w:val="none" w:sz="0" w:space="0" w:color="auto"/>
          </w:divBdr>
        </w:div>
        <w:div w:id="1738475620">
          <w:marLeft w:val="0"/>
          <w:marRight w:val="0"/>
          <w:marTop w:val="0"/>
          <w:marBottom w:val="0"/>
          <w:divBdr>
            <w:top w:val="none" w:sz="0" w:space="0" w:color="auto"/>
            <w:left w:val="none" w:sz="0" w:space="0" w:color="auto"/>
            <w:bottom w:val="none" w:sz="0" w:space="0" w:color="auto"/>
            <w:right w:val="none" w:sz="0" w:space="0" w:color="auto"/>
          </w:divBdr>
        </w:div>
      </w:divsChild>
    </w:div>
    <w:div w:id="1936860287">
      <w:bodyDiv w:val="1"/>
      <w:marLeft w:val="0"/>
      <w:marRight w:val="0"/>
      <w:marTop w:val="0"/>
      <w:marBottom w:val="0"/>
      <w:divBdr>
        <w:top w:val="none" w:sz="0" w:space="0" w:color="auto"/>
        <w:left w:val="none" w:sz="0" w:space="0" w:color="auto"/>
        <w:bottom w:val="none" w:sz="0" w:space="0" w:color="auto"/>
        <w:right w:val="none" w:sz="0" w:space="0" w:color="auto"/>
      </w:divBdr>
      <w:divsChild>
        <w:div w:id="89474109">
          <w:marLeft w:val="0"/>
          <w:marRight w:val="720"/>
          <w:marTop w:val="0"/>
          <w:marBottom w:val="0"/>
          <w:divBdr>
            <w:top w:val="none" w:sz="0" w:space="0" w:color="auto"/>
            <w:left w:val="none" w:sz="0" w:space="0" w:color="auto"/>
            <w:bottom w:val="none" w:sz="0" w:space="0" w:color="auto"/>
            <w:right w:val="none" w:sz="0" w:space="0" w:color="auto"/>
          </w:divBdr>
        </w:div>
        <w:div w:id="1695644754">
          <w:marLeft w:val="0"/>
          <w:marRight w:val="0"/>
          <w:marTop w:val="0"/>
          <w:marBottom w:val="0"/>
          <w:divBdr>
            <w:top w:val="none" w:sz="0" w:space="0" w:color="auto"/>
            <w:left w:val="none" w:sz="0" w:space="0" w:color="auto"/>
            <w:bottom w:val="none" w:sz="0" w:space="0" w:color="auto"/>
            <w:right w:val="none" w:sz="0" w:space="0" w:color="auto"/>
          </w:divBdr>
        </w:div>
      </w:divsChild>
    </w:div>
    <w:div w:id="1960070171">
      <w:bodyDiv w:val="1"/>
      <w:marLeft w:val="0"/>
      <w:marRight w:val="0"/>
      <w:marTop w:val="0"/>
      <w:marBottom w:val="0"/>
      <w:divBdr>
        <w:top w:val="none" w:sz="0" w:space="0" w:color="auto"/>
        <w:left w:val="none" w:sz="0" w:space="0" w:color="auto"/>
        <w:bottom w:val="none" w:sz="0" w:space="0" w:color="auto"/>
        <w:right w:val="none" w:sz="0" w:space="0" w:color="auto"/>
      </w:divBdr>
      <w:divsChild>
        <w:div w:id="1505507785">
          <w:marLeft w:val="0"/>
          <w:marRight w:val="0"/>
          <w:marTop w:val="0"/>
          <w:marBottom w:val="0"/>
          <w:divBdr>
            <w:top w:val="none" w:sz="0" w:space="0" w:color="auto"/>
            <w:left w:val="none" w:sz="0" w:space="0" w:color="auto"/>
            <w:bottom w:val="none" w:sz="0" w:space="0" w:color="auto"/>
            <w:right w:val="none" w:sz="0" w:space="0" w:color="auto"/>
          </w:divBdr>
        </w:div>
        <w:div w:id="1808740358">
          <w:marLeft w:val="0"/>
          <w:marRight w:val="720"/>
          <w:marTop w:val="0"/>
          <w:marBottom w:val="0"/>
          <w:divBdr>
            <w:top w:val="none" w:sz="0" w:space="0" w:color="auto"/>
            <w:left w:val="none" w:sz="0" w:space="0" w:color="auto"/>
            <w:bottom w:val="none" w:sz="0" w:space="0" w:color="auto"/>
            <w:right w:val="none" w:sz="0" w:space="0" w:color="auto"/>
          </w:divBdr>
        </w:div>
      </w:divsChild>
    </w:div>
    <w:div w:id="1960136753">
      <w:bodyDiv w:val="1"/>
      <w:marLeft w:val="0"/>
      <w:marRight w:val="0"/>
      <w:marTop w:val="0"/>
      <w:marBottom w:val="0"/>
      <w:divBdr>
        <w:top w:val="none" w:sz="0" w:space="0" w:color="auto"/>
        <w:left w:val="none" w:sz="0" w:space="0" w:color="auto"/>
        <w:bottom w:val="none" w:sz="0" w:space="0" w:color="auto"/>
        <w:right w:val="none" w:sz="0" w:space="0" w:color="auto"/>
      </w:divBdr>
    </w:div>
    <w:div w:id="1969387750">
      <w:bodyDiv w:val="1"/>
      <w:marLeft w:val="0"/>
      <w:marRight w:val="0"/>
      <w:marTop w:val="0"/>
      <w:marBottom w:val="0"/>
      <w:divBdr>
        <w:top w:val="none" w:sz="0" w:space="0" w:color="auto"/>
        <w:left w:val="none" w:sz="0" w:space="0" w:color="auto"/>
        <w:bottom w:val="none" w:sz="0" w:space="0" w:color="auto"/>
        <w:right w:val="none" w:sz="0" w:space="0" w:color="auto"/>
      </w:divBdr>
      <w:divsChild>
        <w:div w:id="1448239587">
          <w:marLeft w:val="0"/>
          <w:marRight w:val="0"/>
          <w:marTop w:val="0"/>
          <w:marBottom w:val="0"/>
          <w:divBdr>
            <w:top w:val="none" w:sz="0" w:space="0" w:color="auto"/>
            <w:left w:val="none" w:sz="0" w:space="0" w:color="auto"/>
            <w:bottom w:val="none" w:sz="0" w:space="0" w:color="auto"/>
            <w:right w:val="none" w:sz="0" w:space="0" w:color="auto"/>
          </w:divBdr>
        </w:div>
        <w:div w:id="1821537217">
          <w:marLeft w:val="0"/>
          <w:marRight w:val="720"/>
          <w:marTop w:val="0"/>
          <w:marBottom w:val="0"/>
          <w:divBdr>
            <w:top w:val="none" w:sz="0" w:space="0" w:color="auto"/>
            <w:left w:val="none" w:sz="0" w:space="0" w:color="auto"/>
            <w:bottom w:val="none" w:sz="0" w:space="0" w:color="auto"/>
            <w:right w:val="none" w:sz="0" w:space="0" w:color="auto"/>
          </w:divBdr>
        </w:div>
      </w:divsChild>
    </w:div>
    <w:div w:id="1982154854">
      <w:bodyDiv w:val="1"/>
      <w:marLeft w:val="0"/>
      <w:marRight w:val="0"/>
      <w:marTop w:val="0"/>
      <w:marBottom w:val="0"/>
      <w:divBdr>
        <w:top w:val="none" w:sz="0" w:space="0" w:color="auto"/>
        <w:left w:val="none" w:sz="0" w:space="0" w:color="auto"/>
        <w:bottom w:val="none" w:sz="0" w:space="0" w:color="auto"/>
        <w:right w:val="none" w:sz="0" w:space="0" w:color="auto"/>
      </w:divBdr>
    </w:div>
    <w:div w:id="1985616903">
      <w:bodyDiv w:val="1"/>
      <w:marLeft w:val="0"/>
      <w:marRight w:val="0"/>
      <w:marTop w:val="0"/>
      <w:marBottom w:val="0"/>
      <w:divBdr>
        <w:top w:val="none" w:sz="0" w:space="0" w:color="auto"/>
        <w:left w:val="none" w:sz="0" w:space="0" w:color="auto"/>
        <w:bottom w:val="none" w:sz="0" w:space="0" w:color="auto"/>
        <w:right w:val="none" w:sz="0" w:space="0" w:color="auto"/>
      </w:divBdr>
    </w:div>
    <w:div w:id="2083719472">
      <w:bodyDiv w:val="1"/>
      <w:marLeft w:val="0"/>
      <w:marRight w:val="0"/>
      <w:marTop w:val="0"/>
      <w:marBottom w:val="0"/>
      <w:divBdr>
        <w:top w:val="none" w:sz="0" w:space="0" w:color="auto"/>
        <w:left w:val="none" w:sz="0" w:space="0" w:color="auto"/>
        <w:bottom w:val="none" w:sz="0" w:space="0" w:color="auto"/>
        <w:right w:val="none" w:sz="0" w:space="0" w:color="auto"/>
      </w:divBdr>
      <w:divsChild>
        <w:div w:id="705257630">
          <w:marLeft w:val="0"/>
          <w:marRight w:val="720"/>
          <w:marTop w:val="0"/>
          <w:marBottom w:val="0"/>
          <w:divBdr>
            <w:top w:val="none" w:sz="0" w:space="0" w:color="auto"/>
            <w:left w:val="none" w:sz="0" w:space="0" w:color="auto"/>
            <w:bottom w:val="none" w:sz="0" w:space="0" w:color="auto"/>
            <w:right w:val="none" w:sz="0" w:space="0" w:color="auto"/>
          </w:divBdr>
        </w:div>
        <w:div w:id="747189735">
          <w:marLeft w:val="0"/>
          <w:marRight w:val="0"/>
          <w:marTop w:val="0"/>
          <w:marBottom w:val="0"/>
          <w:divBdr>
            <w:top w:val="none" w:sz="0" w:space="0" w:color="auto"/>
            <w:left w:val="none" w:sz="0" w:space="0" w:color="auto"/>
            <w:bottom w:val="none" w:sz="0" w:space="0" w:color="auto"/>
            <w:right w:val="none" w:sz="0" w:space="0" w:color="auto"/>
          </w:divBdr>
        </w:div>
      </w:divsChild>
    </w:div>
    <w:div w:id="2089616163">
      <w:bodyDiv w:val="1"/>
      <w:marLeft w:val="0"/>
      <w:marRight w:val="0"/>
      <w:marTop w:val="0"/>
      <w:marBottom w:val="0"/>
      <w:divBdr>
        <w:top w:val="none" w:sz="0" w:space="0" w:color="auto"/>
        <w:left w:val="none" w:sz="0" w:space="0" w:color="auto"/>
        <w:bottom w:val="none" w:sz="0" w:space="0" w:color="auto"/>
        <w:right w:val="none" w:sz="0" w:space="0" w:color="auto"/>
      </w:divBdr>
      <w:divsChild>
        <w:div w:id="765148231">
          <w:marLeft w:val="0"/>
          <w:marRight w:val="0"/>
          <w:marTop w:val="0"/>
          <w:marBottom w:val="0"/>
          <w:divBdr>
            <w:top w:val="none" w:sz="0" w:space="0" w:color="auto"/>
            <w:left w:val="none" w:sz="0" w:space="0" w:color="auto"/>
            <w:bottom w:val="none" w:sz="0" w:space="0" w:color="auto"/>
            <w:right w:val="none" w:sz="0" w:space="0" w:color="auto"/>
          </w:divBdr>
        </w:div>
        <w:div w:id="1306810625">
          <w:marLeft w:val="0"/>
          <w:marRight w:val="720"/>
          <w:marTop w:val="0"/>
          <w:marBottom w:val="0"/>
          <w:divBdr>
            <w:top w:val="none" w:sz="0" w:space="0" w:color="auto"/>
            <w:left w:val="none" w:sz="0" w:space="0" w:color="auto"/>
            <w:bottom w:val="none" w:sz="0" w:space="0" w:color="auto"/>
            <w:right w:val="none" w:sz="0" w:space="0" w:color="auto"/>
          </w:divBdr>
        </w:div>
      </w:divsChild>
    </w:div>
    <w:div w:id="2109111224">
      <w:bodyDiv w:val="1"/>
      <w:marLeft w:val="0"/>
      <w:marRight w:val="0"/>
      <w:marTop w:val="0"/>
      <w:marBottom w:val="0"/>
      <w:divBdr>
        <w:top w:val="none" w:sz="0" w:space="0" w:color="auto"/>
        <w:left w:val="none" w:sz="0" w:space="0" w:color="auto"/>
        <w:bottom w:val="none" w:sz="0" w:space="0" w:color="auto"/>
        <w:right w:val="none" w:sz="0" w:space="0" w:color="auto"/>
      </w:divBdr>
      <w:divsChild>
        <w:div w:id="1479763234">
          <w:marLeft w:val="0"/>
          <w:marRight w:val="0"/>
          <w:marTop w:val="0"/>
          <w:marBottom w:val="0"/>
          <w:divBdr>
            <w:top w:val="none" w:sz="0" w:space="0" w:color="auto"/>
            <w:left w:val="none" w:sz="0" w:space="0" w:color="auto"/>
            <w:bottom w:val="none" w:sz="0" w:space="0" w:color="auto"/>
            <w:right w:val="none" w:sz="0" w:space="0" w:color="auto"/>
          </w:divBdr>
        </w:div>
        <w:div w:id="1687636179">
          <w:marLeft w:val="0"/>
          <w:marRight w:val="720"/>
          <w:marTop w:val="0"/>
          <w:marBottom w:val="0"/>
          <w:divBdr>
            <w:top w:val="none" w:sz="0" w:space="0" w:color="auto"/>
            <w:left w:val="none" w:sz="0" w:space="0" w:color="auto"/>
            <w:bottom w:val="none" w:sz="0" w:space="0" w:color="auto"/>
            <w:right w:val="none" w:sz="0" w:space="0" w:color="auto"/>
          </w:divBdr>
        </w:div>
      </w:divsChild>
    </w:div>
    <w:div w:id="2116703216">
      <w:bodyDiv w:val="1"/>
      <w:marLeft w:val="0"/>
      <w:marRight w:val="0"/>
      <w:marTop w:val="0"/>
      <w:marBottom w:val="0"/>
      <w:divBdr>
        <w:top w:val="none" w:sz="0" w:space="0" w:color="auto"/>
        <w:left w:val="none" w:sz="0" w:space="0" w:color="auto"/>
        <w:bottom w:val="none" w:sz="0" w:space="0" w:color="auto"/>
        <w:right w:val="none" w:sz="0" w:space="0" w:color="auto"/>
      </w:divBdr>
    </w:div>
    <w:div w:id="214538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pa.gov/radiation/protecting-yourself-radiation" TargetMode="External"/><Relationship Id="rId18" Type="http://schemas.openxmlformats.org/officeDocument/2006/relationships/hyperlink" Target="https://www.nde-ed.org/NDEEngineering/RadiationSafety/safe_use/safety_controls.x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onactive.co.uk/resource-hub/guidance/cs-137-caesium-137-radiation-safety-data" TargetMode="External"/><Relationship Id="rId17" Type="http://schemas.openxmlformats.org/officeDocument/2006/relationships/hyperlink" Target="https://www.hse.gov.uk/radiation/ionising/legalbase.htm" TargetMode="External"/><Relationship Id="rId2" Type="http://schemas.openxmlformats.org/officeDocument/2006/relationships/styles" Target="styles.xml"/><Relationship Id="rId16" Type="http://schemas.openxmlformats.org/officeDocument/2006/relationships/hyperlink" Target="https://www.epa.gov/radiation/radiation-health-effec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academies.org/read/26121/chapter/6" TargetMode="External"/><Relationship Id="rId5" Type="http://schemas.openxmlformats.org/officeDocument/2006/relationships/footnotes" Target="footnotes.xml"/><Relationship Id="rId15" Type="http://schemas.openxmlformats.org/officeDocument/2006/relationships/hyperlink" Target="https://www.who.int/news-room/fact-sheets/detail/ionizing-radiation-and-health-effects" TargetMode="External"/><Relationship Id="rId10" Type="http://schemas.openxmlformats.org/officeDocument/2006/relationships/hyperlink" Target="https://www.sciencedirect.com/topics/medicine-and-dentistry/blood-radi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ederalregister.gov/documents/2026/03/18/2026-05320/medical-devices-radiology-devices-classification-of-blood-irradiators" TargetMode="External"/><Relationship Id="rId14" Type="http://schemas.openxmlformats.org/officeDocument/2006/relationships/hyperlink" Target="https://www.iaea.org/resources/hhc/medical-physics/nuclear-medicine/dosime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2859</Words>
  <Characters>16299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Patel, Uwais (DNO-OME ABW Apprentice 13)</cp:lastModifiedBy>
  <cp:revision>2</cp:revision>
  <dcterms:created xsi:type="dcterms:W3CDTF">2026-09-04T12:51:00Z</dcterms:created>
  <dcterms:modified xsi:type="dcterms:W3CDTF">2026-09-04T12:51:00Z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2026-09-04T12:43:25Z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e40d191e-7ce4-4d7e-9efb-ff6002f3f8d9</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