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2831" w:rsidRDefault="00AD2831">
      <w:pPr>
        <w:rPr>
          <w:rFonts w:ascii="Arial" w:hAnsi="Arial" w:cs="Arial"/>
          <w:b/>
          <w:i/>
        </w:rPr>
      </w:pPr>
      <w:r>
        <w:rPr>
          <w:rFonts w:ascii="Arial" w:hAnsi="Arial" w:cs="Arial"/>
          <w:b/>
          <w:i/>
        </w:rPr>
        <w:t>Exam 2 – 17/08/2020 (DHEP)</w:t>
      </w:r>
    </w:p>
    <w:p w:rsidR="00BB29C5" w:rsidRDefault="00AD2831">
      <w:pPr>
        <w:rPr>
          <w:rFonts w:ascii="Arial" w:hAnsi="Arial" w:cs="Arial"/>
          <w:b/>
          <w:i/>
        </w:rPr>
      </w:pPr>
      <w:r>
        <w:rPr>
          <w:rFonts w:ascii="Arial" w:hAnsi="Arial" w:cs="Arial"/>
          <w:b/>
          <w:i/>
        </w:rPr>
        <w:t xml:space="preserve">Student Number: 1920912 </w:t>
      </w:r>
    </w:p>
    <w:p w:rsidR="00AD2831" w:rsidRDefault="00AD2831">
      <w:pPr>
        <w:rPr>
          <w:rFonts w:ascii="Arial" w:hAnsi="Arial" w:cs="Arial"/>
          <w:b/>
          <w:i/>
        </w:rPr>
      </w:pPr>
      <w:r>
        <w:rPr>
          <w:rFonts w:ascii="Arial" w:hAnsi="Arial" w:cs="Arial"/>
          <w:b/>
          <w:i/>
        </w:rPr>
        <w:t xml:space="preserve">Force: </w:t>
      </w:r>
      <w:r w:rsidRPr="00AD2831">
        <w:rPr>
          <w:rFonts w:ascii="Arial" w:hAnsi="Arial" w:cs="Arial"/>
          <w:b/>
          <w:i/>
        </w:rPr>
        <w:t>Gwent Police</w:t>
      </w:r>
    </w:p>
    <w:p w:rsidR="00AD2831" w:rsidRDefault="00AD2831">
      <w:pPr>
        <w:rPr>
          <w:rFonts w:ascii="Arial" w:hAnsi="Arial" w:cs="Arial"/>
          <w:b/>
          <w:i/>
        </w:rPr>
      </w:pPr>
      <w:r>
        <w:rPr>
          <w:rFonts w:ascii="Arial" w:hAnsi="Arial" w:cs="Arial"/>
          <w:b/>
          <w:i/>
        </w:rPr>
        <w:t>Kate Rebecca Jenkins</w:t>
      </w:r>
    </w:p>
    <w:p w:rsidR="00AD2831" w:rsidRDefault="00AD2831">
      <w:pPr>
        <w:rPr>
          <w:rFonts w:ascii="Arial" w:hAnsi="Arial" w:cs="Arial"/>
          <w:b/>
          <w:i/>
        </w:rPr>
      </w:pPr>
      <w:r>
        <w:rPr>
          <w:rFonts w:ascii="Arial" w:hAnsi="Arial" w:cs="Arial"/>
          <w:b/>
          <w:i/>
        </w:rPr>
        <w:t>PC2176 / 407200</w:t>
      </w:r>
    </w:p>
    <w:p w:rsidR="00BF5896" w:rsidRDefault="00BF5896">
      <w:pPr>
        <w:rPr>
          <w:rFonts w:ascii="Arial" w:hAnsi="Arial" w:cs="Arial"/>
          <w:b/>
          <w:i/>
        </w:rPr>
      </w:pPr>
    </w:p>
    <w:p w:rsidR="00BF5896" w:rsidRDefault="00BF5896">
      <w:pPr>
        <w:rPr>
          <w:rFonts w:ascii="Arial" w:hAnsi="Arial" w:cs="Arial"/>
        </w:rPr>
      </w:pPr>
      <w:r>
        <w:rPr>
          <w:rFonts w:ascii="Arial" w:hAnsi="Arial" w:cs="Arial"/>
          <w:b/>
          <w:i/>
        </w:rPr>
        <w:t xml:space="preserve">Q1 </w:t>
      </w:r>
      <w:r w:rsidR="00C87292">
        <w:rPr>
          <w:rFonts w:ascii="Arial" w:hAnsi="Arial" w:cs="Arial"/>
        </w:rPr>
        <w:t xml:space="preserve">Section </w:t>
      </w:r>
      <w:r>
        <w:rPr>
          <w:rFonts w:ascii="Arial" w:hAnsi="Arial" w:cs="Arial"/>
        </w:rPr>
        <w:t xml:space="preserve">163 Road Traffic Act 1988 - A person driving a mechanically propelled vehicle on a road must stop when required to do so by a constable in uniform or a traffic officer. A person riding a pedal cycle on a road must stop when required to do so by a constable in uniform or a traffic officer. It is an offence if you fail to stop. </w:t>
      </w:r>
    </w:p>
    <w:p w:rsidR="00BF5896" w:rsidRPr="00BF5896" w:rsidRDefault="00BF5896">
      <w:pPr>
        <w:rPr>
          <w:rFonts w:ascii="Arial" w:hAnsi="Arial" w:cs="Arial"/>
        </w:rPr>
      </w:pPr>
    </w:p>
    <w:p w:rsidR="00BF5896" w:rsidRPr="00F23B2D" w:rsidRDefault="00BF5896">
      <w:pPr>
        <w:rPr>
          <w:rFonts w:ascii="Arial" w:hAnsi="Arial" w:cs="Arial"/>
          <w:b/>
        </w:rPr>
      </w:pPr>
      <w:r>
        <w:rPr>
          <w:rFonts w:ascii="Arial" w:hAnsi="Arial" w:cs="Arial"/>
          <w:b/>
          <w:i/>
        </w:rPr>
        <w:t>Q2</w:t>
      </w:r>
      <w:r w:rsidR="00C87292">
        <w:rPr>
          <w:rFonts w:ascii="Arial" w:hAnsi="Arial" w:cs="Arial"/>
        </w:rPr>
        <w:t xml:space="preserve"> Section 6 of the Road Traffic Act 1988 sets out that a constable can require a person to carry out a preliminary breath test or preliminary drugs test if the constable reasonably suspects that the person is under the influence of drink or drugs. Section 6(4) sets out that if a constable has reasonable grounds to suspect that a person </w:t>
      </w:r>
      <w:r w:rsidR="00F23B2D">
        <w:rPr>
          <w:rFonts w:ascii="Arial" w:hAnsi="Arial" w:cs="Arial"/>
        </w:rPr>
        <w:t xml:space="preserve">has committed a moving traffic </w:t>
      </w:r>
      <w:proofErr w:type="gramStart"/>
      <w:r w:rsidR="00F23B2D">
        <w:rPr>
          <w:rFonts w:ascii="Arial" w:hAnsi="Arial" w:cs="Arial"/>
        </w:rPr>
        <w:t>offence(</w:t>
      </w:r>
      <w:proofErr w:type="gramEnd"/>
      <w:r w:rsidR="00F23B2D">
        <w:rPr>
          <w:rFonts w:ascii="Arial" w:hAnsi="Arial" w:cs="Arial"/>
        </w:rPr>
        <w:t xml:space="preserve">other than a vehicle excise offence), they can be required to carry out a preliminary test. </w:t>
      </w:r>
    </w:p>
    <w:p w:rsidR="00BF5896" w:rsidRDefault="00BF5896">
      <w:pPr>
        <w:rPr>
          <w:rFonts w:ascii="Arial" w:hAnsi="Arial" w:cs="Arial"/>
          <w:b/>
          <w:i/>
        </w:rPr>
      </w:pPr>
    </w:p>
    <w:p w:rsidR="00BF5896" w:rsidRPr="00BC7619" w:rsidRDefault="00BF5896">
      <w:pPr>
        <w:rPr>
          <w:rFonts w:ascii="Arial" w:hAnsi="Arial" w:cs="Arial"/>
        </w:rPr>
      </w:pPr>
      <w:r>
        <w:rPr>
          <w:rFonts w:ascii="Arial" w:hAnsi="Arial" w:cs="Arial"/>
          <w:b/>
          <w:i/>
        </w:rPr>
        <w:t>Q3</w:t>
      </w:r>
      <w:r w:rsidR="00BC7619">
        <w:rPr>
          <w:rFonts w:ascii="Arial" w:hAnsi="Arial" w:cs="Arial"/>
        </w:rPr>
        <w:t xml:space="preserve"> Section 3 of the Road Traffic Act 1988 sets out that - A person who drives a mechanically propelled vehicle on a road or other public place without due care and attention or without reasonable consideration for other persons using the road or place is guilty of an offence. </w:t>
      </w:r>
    </w:p>
    <w:p w:rsidR="00BF5896" w:rsidRDefault="00BF5896">
      <w:pPr>
        <w:rPr>
          <w:rFonts w:ascii="Arial" w:hAnsi="Arial" w:cs="Arial"/>
          <w:b/>
          <w:i/>
        </w:rPr>
      </w:pPr>
    </w:p>
    <w:p w:rsidR="00BF5896" w:rsidRDefault="00BF5896">
      <w:pPr>
        <w:rPr>
          <w:rFonts w:ascii="Arial" w:hAnsi="Arial" w:cs="Arial"/>
        </w:rPr>
      </w:pPr>
      <w:r>
        <w:rPr>
          <w:rFonts w:ascii="Arial" w:hAnsi="Arial" w:cs="Arial"/>
          <w:b/>
          <w:i/>
        </w:rPr>
        <w:t>Q4</w:t>
      </w:r>
      <w:r w:rsidR="00BC7619">
        <w:rPr>
          <w:rFonts w:ascii="Arial" w:hAnsi="Arial" w:cs="Arial"/>
          <w:b/>
          <w:i/>
        </w:rPr>
        <w:t xml:space="preserve"> </w:t>
      </w:r>
      <w:r w:rsidR="00BC7619">
        <w:rPr>
          <w:rFonts w:ascii="Arial" w:hAnsi="Arial" w:cs="Arial"/>
        </w:rPr>
        <w:t>Roads</w:t>
      </w:r>
      <w:r w:rsidR="00C06F6D">
        <w:rPr>
          <w:rFonts w:ascii="Arial" w:hAnsi="Arial" w:cs="Arial"/>
        </w:rPr>
        <w:t xml:space="preserve"> policing powers can be particularly useful when reducing wider unlawful activity of criminals as many criminals now use the roads in order to conduct, facilitate or move between locations of offences, for example, those who commit minor offence such as small petty thefts from supermarkets often use vehicles to move around, to extremely serious offences such as terrorism, in which the roads network is used to target particular areas and move around particular individuals around towns, cities, countries as well as internationally. Therefore, most criminals in current times use the roads, and this will enable the police to effectively reduce criminality in the UK as a whole.</w:t>
      </w:r>
    </w:p>
    <w:p w:rsidR="00C06F6D" w:rsidRDefault="00C06F6D">
      <w:pPr>
        <w:rPr>
          <w:rFonts w:ascii="Arial" w:hAnsi="Arial" w:cs="Arial"/>
        </w:rPr>
      </w:pPr>
      <w:r>
        <w:rPr>
          <w:rFonts w:ascii="Arial" w:hAnsi="Arial" w:cs="Arial"/>
        </w:rPr>
        <w:t xml:space="preserve">The police can effectively target criminal activity on the road by carrying out enforcement through intelligence, actively patrolling the roads, discretion and professional judgement. </w:t>
      </w:r>
    </w:p>
    <w:p w:rsidR="00C06F6D" w:rsidRDefault="00C06F6D">
      <w:pPr>
        <w:rPr>
          <w:rFonts w:ascii="Arial" w:hAnsi="Arial" w:cs="Arial"/>
        </w:rPr>
      </w:pPr>
      <w:r>
        <w:rPr>
          <w:rFonts w:ascii="Arial" w:hAnsi="Arial" w:cs="Arial"/>
        </w:rPr>
        <w:t xml:space="preserve">The police can also work alongside the Driver and Vehicle Standards Agency in order to target criminal activity through routine stops and searches. </w:t>
      </w:r>
    </w:p>
    <w:p w:rsidR="00C06F6D" w:rsidRDefault="00C06F6D">
      <w:pPr>
        <w:rPr>
          <w:rFonts w:ascii="Arial" w:hAnsi="Arial" w:cs="Arial"/>
        </w:rPr>
      </w:pPr>
      <w:r>
        <w:rPr>
          <w:rFonts w:ascii="Arial" w:hAnsi="Arial" w:cs="Arial"/>
        </w:rPr>
        <w:t xml:space="preserve">Additionally, through utilising powers provided to constables, such as the powers to stop vehicles under Section 163 of the Road Traffic Act 1988, and powers to search and seize vehicles through Section 165A Road Traffic Act 1988, Section 59 of the Police Reform Act 2002 and Section 4 of the Police and Criminal Evidence Act 1984, this disrupts criminality. </w:t>
      </w:r>
    </w:p>
    <w:p w:rsidR="00C06F6D" w:rsidRPr="00C06F6D" w:rsidRDefault="00C06F6D">
      <w:pPr>
        <w:rPr>
          <w:rFonts w:ascii="Arial" w:hAnsi="Arial" w:cs="Arial"/>
        </w:rPr>
      </w:pPr>
      <w:r>
        <w:rPr>
          <w:rFonts w:ascii="Arial" w:hAnsi="Arial" w:cs="Arial"/>
        </w:rPr>
        <w:t xml:space="preserve">Finally, policing can fully utilise ANPR systems in order to monitor activity on the roads, and use PNC ACT and REACT markers to target those vehicles acting in a suspicious manner. </w:t>
      </w:r>
    </w:p>
    <w:p w:rsidR="00BF5896" w:rsidRDefault="00BF5896">
      <w:pPr>
        <w:rPr>
          <w:rFonts w:ascii="Arial" w:hAnsi="Arial" w:cs="Arial"/>
          <w:b/>
          <w:i/>
        </w:rPr>
      </w:pPr>
    </w:p>
    <w:p w:rsidR="00BF5896" w:rsidRDefault="00BF5896">
      <w:pPr>
        <w:rPr>
          <w:rFonts w:ascii="Arial" w:hAnsi="Arial" w:cs="Arial"/>
          <w:b/>
          <w:i/>
        </w:rPr>
      </w:pPr>
    </w:p>
    <w:p w:rsidR="00BF5896" w:rsidRDefault="00BF5896">
      <w:pPr>
        <w:rPr>
          <w:rFonts w:ascii="Arial" w:hAnsi="Arial" w:cs="Arial"/>
        </w:rPr>
      </w:pPr>
      <w:r>
        <w:rPr>
          <w:rFonts w:ascii="Arial" w:hAnsi="Arial" w:cs="Arial"/>
          <w:b/>
          <w:i/>
        </w:rPr>
        <w:t>Q5</w:t>
      </w:r>
      <w:r w:rsidR="00BC7619">
        <w:rPr>
          <w:rFonts w:ascii="Arial" w:hAnsi="Arial" w:cs="Arial"/>
        </w:rPr>
        <w:t xml:space="preserve"> Section 165A of the Road Traffic Act allows a constable to seize a vehicle, remove a vehicle or enter any premises, except for a private house dwelling where you believe the vehicle to be kept if any of the specified conditions apply. </w:t>
      </w:r>
    </w:p>
    <w:p w:rsidR="00BC7619" w:rsidRDefault="00BC7619">
      <w:pPr>
        <w:rPr>
          <w:rFonts w:ascii="Arial" w:hAnsi="Arial" w:cs="Arial"/>
        </w:rPr>
      </w:pPr>
      <w:r>
        <w:rPr>
          <w:rFonts w:ascii="Arial" w:hAnsi="Arial" w:cs="Arial"/>
        </w:rPr>
        <w:t xml:space="preserve">The specified conditions are as follows – </w:t>
      </w:r>
    </w:p>
    <w:p w:rsidR="00BC7619" w:rsidRDefault="00BC7619">
      <w:pPr>
        <w:rPr>
          <w:rFonts w:ascii="Arial" w:hAnsi="Arial" w:cs="Arial"/>
        </w:rPr>
      </w:pPr>
      <w:r>
        <w:rPr>
          <w:rFonts w:ascii="Arial" w:hAnsi="Arial" w:cs="Arial"/>
        </w:rPr>
        <w:t xml:space="preserve">Requirement of production of driving licence – Fails to produce a driving licence or a constable reasonably suspects that the person is driving otherwise than in accordance with a licence. </w:t>
      </w:r>
    </w:p>
    <w:p w:rsidR="00BC7619" w:rsidRDefault="00BC7619">
      <w:pPr>
        <w:rPr>
          <w:rFonts w:ascii="Arial" w:hAnsi="Arial" w:cs="Arial"/>
        </w:rPr>
      </w:pPr>
      <w:r>
        <w:rPr>
          <w:rFonts w:ascii="Arial" w:hAnsi="Arial" w:cs="Arial"/>
        </w:rPr>
        <w:t xml:space="preserve">Requirement of production of insurance and test and security certificate – Fails to produce certificate of insurance and test and security certificates or a constable reasonably suspects that a person is driving without insurance. </w:t>
      </w:r>
    </w:p>
    <w:p w:rsidR="00BC7619" w:rsidRPr="00BC7619" w:rsidRDefault="00BC7619">
      <w:pPr>
        <w:rPr>
          <w:rFonts w:ascii="Arial" w:hAnsi="Arial" w:cs="Arial"/>
        </w:rPr>
      </w:pPr>
      <w:r>
        <w:rPr>
          <w:rFonts w:ascii="Arial" w:hAnsi="Arial" w:cs="Arial"/>
        </w:rPr>
        <w:t xml:space="preserve">Requirement to stop – Fails to stop or constable reasonably suspects that the person is driving otherwise than in accordance with a licence or the person is driving without a valid certificate of insurance. </w:t>
      </w:r>
    </w:p>
    <w:p w:rsidR="00BF5896" w:rsidRDefault="00BF5896">
      <w:pPr>
        <w:rPr>
          <w:rFonts w:ascii="Arial" w:hAnsi="Arial" w:cs="Arial"/>
          <w:b/>
          <w:i/>
        </w:rPr>
      </w:pPr>
    </w:p>
    <w:p w:rsidR="0054531E" w:rsidRDefault="00BF5896">
      <w:pPr>
        <w:rPr>
          <w:rFonts w:ascii="Arial" w:hAnsi="Arial" w:cs="Arial"/>
        </w:rPr>
      </w:pPr>
      <w:r>
        <w:rPr>
          <w:rFonts w:ascii="Arial" w:hAnsi="Arial" w:cs="Arial"/>
          <w:b/>
          <w:i/>
        </w:rPr>
        <w:t>Q6</w:t>
      </w:r>
      <w:r w:rsidR="0054531E">
        <w:rPr>
          <w:rFonts w:ascii="Arial" w:hAnsi="Arial" w:cs="Arial"/>
          <w:b/>
          <w:i/>
        </w:rPr>
        <w:t xml:space="preserve"> </w:t>
      </w:r>
      <w:r w:rsidR="0054531E">
        <w:rPr>
          <w:rFonts w:ascii="Arial" w:hAnsi="Arial" w:cs="Arial"/>
        </w:rPr>
        <w:t xml:space="preserve">Section 170(1) of the Road Traffic Act 1988 provides the following definition of a reportable road traffic collision – </w:t>
      </w:r>
    </w:p>
    <w:p w:rsidR="00BF5896" w:rsidRDefault="0054531E">
      <w:pPr>
        <w:rPr>
          <w:rFonts w:ascii="Arial" w:hAnsi="Arial" w:cs="Arial"/>
        </w:rPr>
      </w:pPr>
      <w:r>
        <w:rPr>
          <w:rFonts w:ascii="Arial" w:hAnsi="Arial" w:cs="Arial"/>
        </w:rPr>
        <w:t>Owning to the presence of a mechanically propelled vehicle on a road or other public place, an accident occurs whereby:</w:t>
      </w:r>
    </w:p>
    <w:p w:rsidR="0054531E" w:rsidRDefault="0054531E">
      <w:pPr>
        <w:rPr>
          <w:rFonts w:ascii="Arial" w:hAnsi="Arial" w:cs="Arial"/>
        </w:rPr>
      </w:pPr>
      <w:r>
        <w:rPr>
          <w:rFonts w:ascii="Arial" w:hAnsi="Arial" w:cs="Arial"/>
        </w:rPr>
        <w:t>Personal injury is caused (Other than to the driver of that mechanically propelled vehicle); or</w:t>
      </w:r>
    </w:p>
    <w:p w:rsidR="0054531E" w:rsidRDefault="0054531E">
      <w:pPr>
        <w:rPr>
          <w:rFonts w:ascii="Arial" w:hAnsi="Arial" w:cs="Arial"/>
        </w:rPr>
      </w:pPr>
      <w:r>
        <w:rPr>
          <w:rFonts w:ascii="Arial" w:hAnsi="Arial" w:cs="Arial"/>
        </w:rPr>
        <w:t>Damage is caused to:</w:t>
      </w:r>
    </w:p>
    <w:p w:rsidR="0054531E" w:rsidRDefault="0054531E">
      <w:pPr>
        <w:rPr>
          <w:rFonts w:ascii="Arial" w:hAnsi="Arial" w:cs="Arial"/>
        </w:rPr>
      </w:pPr>
      <w:r>
        <w:rPr>
          <w:rFonts w:ascii="Arial" w:hAnsi="Arial" w:cs="Arial"/>
        </w:rPr>
        <w:t xml:space="preserve">A vehicle (other than that mechanically propelled vehicle or any trailer drawn by it), or </w:t>
      </w:r>
    </w:p>
    <w:p w:rsidR="0054531E" w:rsidRDefault="0054531E">
      <w:pPr>
        <w:rPr>
          <w:rFonts w:ascii="Arial" w:hAnsi="Arial" w:cs="Arial"/>
        </w:rPr>
      </w:pPr>
      <w:r>
        <w:rPr>
          <w:rFonts w:ascii="Arial" w:hAnsi="Arial" w:cs="Arial"/>
        </w:rPr>
        <w:t>An animal (other than one carried in or on the mechanically propelled vehicle or any trailer drawn by it)</w:t>
      </w:r>
    </w:p>
    <w:p w:rsidR="0054531E" w:rsidRPr="0054531E" w:rsidRDefault="0054531E">
      <w:pPr>
        <w:rPr>
          <w:rFonts w:ascii="Arial" w:hAnsi="Arial" w:cs="Arial"/>
        </w:rPr>
      </w:pPr>
      <w:r>
        <w:rPr>
          <w:rFonts w:ascii="Arial" w:hAnsi="Arial" w:cs="Arial"/>
        </w:rPr>
        <w:t xml:space="preserve">Or any other property, constructed in, fixed to, growing in, or otherwise forming part of the land in which the land in question is situated or adjacent to such land. </w:t>
      </w:r>
    </w:p>
    <w:p w:rsidR="00BF5896" w:rsidRDefault="00BF5896">
      <w:pPr>
        <w:rPr>
          <w:rFonts w:ascii="Arial" w:hAnsi="Arial" w:cs="Arial"/>
          <w:b/>
          <w:i/>
        </w:rPr>
      </w:pPr>
    </w:p>
    <w:p w:rsidR="00003F73" w:rsidRPr="00003F73" w:rsidRDefault="00BF5896">
      <w:pPr>
        <w:rPr>
          <w:rFonts w:ascii="Arial" w:hAnsi="Arial" w:cs="Arial"/>
        </w:rPr>
      </w:pPr>
      <w:r>
        <w:rPr>
          <w:rFonts w:ascii="Arial" w:hAnsi="Arial" w:cs="Arial"/>
          <w:b/>
          <w:i/>
        </w:rPr>
        <w:t>Q7</w:t>
      </w:r>
      <w:r w:rsidR="008F34EC">
        <w:rPr>
          <w:rFonts w:ascii="Arial" w:hAnsi="Arial" w:cs="Arial"/>
          <w:b/>
          <w:i/>
        </w:rPr>
        <w:t xml:space="preserve"> </w:t>
      </w:r>
      <w:proofErr w:type="gramStart"/>
      <w:r w:rsidR="00003F73">
        <w:rPr>
          <w:rFonts w:ascii="Arial" w:hAnsi="Arial" w:cs="Arial"/>
        </w:rPr>
        <w:t>A</w:t>
      </w:r>
      <w:proofErr w:type="gramEnd"/>
      <w:r w:rsidR="00003F73">
        <w:rPr>
          <w:rFonts w:ascii="Arial" w:hAnsi="Arial" w:cs="Arial"/>
        </w:rPr>
        <w:t xml:space="preserve"> Family Liaison Officer is often assigned to cases whereby someone has died. The role of the Family Liaison Officer is to become a link between the family of the victim/ deceased and the investigation; to maintain liaison with the Serious Investigating Officer for the case; to return and/or disposal of property; refer family members, witnesses and anyone else involved to support services; to obtain statements from family members and witnesses in relation to the investigation/incident; to facilitate and arrange scene visits; to aid in the identification of the victim/deceased; and to keep the family up to date with the progress of the case. </w:t>
      </w:r>
    </w:p>
    <w:p w:rsidR="00BF5896" w:rsidRDefault="00BF5896">
      <w:pPr>
        <w:rPr>
          <w:rFonts w:ascii="Arial" w:hAnsi="Arial" w:cs="Arial"/>
          <w:b/>
          <w:i/>
        </w:rPr>
      </w:pPr>
    </w:p>
    <w:p w:rsidR="00BF5896" w:rsidRDefault="00BF5896">
      <w:pPr>
        <w:rPr>
          <w:rFonts w:ascii="Arial" w:hAnsi="Arial" w:cs="Arial"/>
        </w:rPr>
      </w:pPr>
      <w:r>
        <w:rPr>
          <w:rFonts w:ascii="Arial" w:hAnsi="Arial" w:cs="Arial"/>
          <w:b/>
          <w:i/>
        </w:rPr>
        <w:t>Q8</w:t>
      </w:r>
      <w:r w:rsidR="008F34EC">
        <w:rPr>
          <w:rFonts w:ascii="Arial" w:hAnsi="Arial" w:cs="Arial"/>
          <w:b/>
          <w:i/>
        </w:rPr>
        <w:t xml:space="preserve"> </w:t>
      </w:r>
      <w:r w:rsidR="00761DCB">
        <w:rPr>
          <w:rFonts w:ascii="Arial" w:hAnsi="Arial" w:cs="Arial"/>
        </w:rPr>
        <w:t xml:space="preserve">A person who has been involved in a reportable road traffic collision is required to exchange details with any other persons, vehicles and owners of land, property and animals involved in the accident, which includes the name and address of the driver (and owner if </w:t>
      </w:r>
      <w:r w:rsidR="00761DCB">
        <w:rPr>
          <w:rFonts w:ascii="Arial" w:hAnsi="Arial" w:cs="Arial"/>
        </w:rPr>
        <w:lastRenderedPageBreak/>
        <w:t xml:space="preserve">different to the driver) and the vehicle registration number (and any other identification numbers). </w:t>
      </w:r>
    </w:p>
    <w:p w:rsidR="00761DCB" w:rsidRDefault="00761DCB">
      <w:pPr>
        <w:rPr>
          <w:rFonts w:ascii="Arial" w:hAnsi="Arial" w:cs="Arial"/>
        </w:rPr>
      </w:pPr>
      <w:r>
        <w:rPr>
          <w:rFonts w:ascii="Arial" w:hAnsi="Arial" w:cs="Arial"/>
        </w:rPr>
        <w:t xml:space="preserve">If the accident has resulted in a person other than the driver of the mechanically propelled vehicle being injured, the driver is also required to provide insurance details when exchanging details. </w:t>
      </w:r>
    </w:p>
    <w:p w:rsidR="00761DCB" w:rsidRDefault="00761DCB">
      <w:pPr>
        <w:rPr>
          <w:rFonts w:ascii="Arial" w:hAnsi="Arial" w:cs="Arial"/>
        </w:rPr>
      </w:pPr>
      <w:r>
        <w:rPr>
          <w:rFonts w:ascii="Arial" w:hAnsi="Arial" w:cs="Arial"/>
        </w:rPr>
        <w:t xml:space="preserve">Additionally, the driver is required to report the accident to the police as soon as reasonably possible, within 24hours. This does not mean that the driver has 24hours to report the accident, instead it means that the driver must report it as soon as reasonably possible to the police. If a driver fails to report a reportable road traffic collision within 24hours, they have committed a criminal offence under Section 170 Road Traffic Act 1988. </w:t>
      </w:r>
    </w:p>
    <w:p w:rsidR="00761DCB" w:rsidRDefault="00761DCB">
      <w:pPr>
        <w:rPr>
          <w:rFonts w:ascii="Arial" w:hAnsi="Arial" w:cs="Arial"/>
        </w:rPr>
      </w:pPr>
      <w:r>
        <w:rPr>
          <w:rFonts w:ascii="Arial" w:hAnsi="Arial" w:cs="Arial"/>
        </w:rPr>
        <w:t xml:space="preserve">Also, if the vehicles are causing an obstruction to the road, or a person is injured, the driver is required to report this to the emergency services (primarily the police) as soon as possible, in order for the road to be cleared and the injured person to receive medical attention. </w:t>
      </w:r>
    </w:p>
    <w:p w:rsidR="00D128AF" w:rsidRPr="00761DCB" w:rsidRDefault="00D128AF">
      <w:pPr>
        <w:rPr>
          <w:rFonts w:ascii="Arial" w:hAnsi="Arial" w:cs="Arial"/>
        </w:rPr>
      </w:pPr>
      <w:r>
        <w:rPr>
          <w:rFonts w:ascii="Arial" w:hAnsi="Arial" w:cs="Arial"/>
        </w:rPr>
        <w:t xml:space="preserve">Person is also required to notify their insurance company if damage has been caused or a person has been injured. </w:t>
      </w:r>
      <w:bookmarkStart w:id="0" w:name="_GoBack"/>
      <w:bookmarkEnd w:id="0"/>
    </w:p>
    <w:p w:rsidR="00BF5896" w:rsidRDefault="00BF5896">
      <w:pPr>
        <w:rPr>
          <w:rFonts w:ascii="Arial" w:hAnsi="Arial" w:cs="Arial"/>
          <w:b/>
          <w:i/>
        </w:rPr>
      </w:pPr>
    </w:p>
    <w:p w:rsidR="00BF5896" w:rsidRDefault="00BF5896">
      <w:pPr>
        <w:rPr>
          <w:rFonts w:ascii="Arial" w:hAnsi="Arial" w:cs="Arial"/>
        </w:rPr>
      </w:pPr>
      <w:r>
        <w:rPr>
          <w:rFonts w:ascii="Arial" w:hAnsi="Arial" w:cs="Arial"/>
          <w:b/>
          <w:i/>
        </w:rPr>
        <w:t>Q9</w:t>
      </w:r>
      <w:r w:rsidR="008F34EC">
        <w:rPr>
          <w:rFonts w:ascii="Arial" w:hAnsi="Arial" w:cs="Arial"/>
          <w:b/>
          <w:i/>
        </w:rPr>
        <w:t xml:space="preserve"> </w:t>
      </w:r>
      <w:r w:rsidR="008F34EC">
        <w:rPr>
          <w:rFonts w:ascii="Arial" w:hAnsi="Arial" w:cs="Arial"/>
        </w:rPr>
        <w:t xml:space="preserve">Section 6E of the Road Traffic Act 1988 states that a police constable has the power to enter any premises in order to locate the following – a person reasonably suspected of driving, attempting to drive or being in charge of a vehicle when an accident occurred and thereby is required to provide a preliminary breath test or preliminary drugs test in pursuance of requirements under Section 6 of the Road Traffic Act 1988, or to arrest a person who has provided a positive preliminary test, or to arrest a person who has been required to carry out one or more preliminary tests in pursuance of a requirement under Section 6 of the Road Traffic Act and that person, without reasonable excuse has failed to provide a specimen for analysing. </w:t>
      </w:r>
    </w:p>
    <w:p w:rsidR="009742EE" w:rsidRPr="008F34EC" w:rsidRDefault="009742EE">
      <w:pPr>
        <w:rPr>
          <w:rFonts w:ascii="Arial" w:hAnsi="Arial" w:cs="Arial"/>
        </w:rPr>
      </w:pPr>
    </w:p>
    <w:p w:rsidR="00BF5896" w:rsidRDefault="00BF5896">
      <w:pPr>
        <w:rPr>
          <w:rFonts w:ascii="Arial" w:hAnsi="Arial" w:cs="Arial"/>
        </w:rPr>
      </w:pPr>
      <w:r>
        <w:rPr>
          <w:rFonts w:ascii="Arial" w:hAnsi="Arial" w:cs="Arial"/>
          <w:b/>
          <w:i/>
        </w:rPr>
        <w:t>Q10</w:t>
      </w:r>
      <w:r w:rsidR="009742EE">
        <w:rPr>
          <w:rFonts w:ascii="Arial" w:hAnsi="Arial" w:cs="Arial"/>
          <w:b/>
          <w:i/>
        </w:rPr>
        <w:t xml:space="preserve"> </w:t>
      </w:r>
      <w:r w:rsidR="009742EE">
        <w:rPr>
          <w:rFonts w:ascii="Arial" w:hAnsi="Arial" w:cs="Arial"/>
        </w:rPr>
        <w:t xml:space="preserve">Section 1 of the Road Traffic Act 1988 states that – A person who causes the death of another person by driving a mechanically propelled vehicle on a road or other public place dangerously is guilty of an offence. </w:t>
      </w:r>
    </w:p>
    <w:p w:rsidR="009742EE" w:rsidRPr="009742EE" w:rsidRDefault="009742EE">
      <w:pPr>
        <w:rPr>
          <w:rFonts w:ascii="Arial" w:hAnsi="Arial" w:cs="Arial"/>
        </w:rPr>
      </w:pPr>
    </w:p>
    <w:p w:rsidR="00BF5896" w:rsidRDefault="00BF5896">
      <w:pPr>
        <w:rPr>
          <w:rFonts w:ascii="Arial" w:hAnsi="Arial" w:cs="Arial"/>
        </w:rPr>
      </w:pPr>
      <w:r>
        <w:rPr>
          <w:rFonts w:ascii="Arial" w:hAnsi="Arial" w:cs="Arial"/>
          <w:b/>
          <w:i/>
        </w:rPr>
        <w:t>Q11</w:t>
      </w:r>
      <w:r w:rsidR="00F23B2D">
        <w:rPr>
          <w:rFonts w:ascii="Arial" w:hAnsi="Arial" w:cs="Arial"/>
          <w:b/>
          <w:i/>
        </w:rPr>
        <w:t xml:space="preserve"> </w:t>
      </w:r>
      <w:r w:rsidR="00231742">
        <w:rPr>
          <w:rFonts w:ascii="Arial" w:hAnsi="Arial" w:cs="Arial"/>
        </w:rPr>
        <w:t xml:space="preserve">Section 11(2) of the Road Traffic Act 1988 sets out the prescribed limits for alcohol in relation to drink driving offences, which are as follows – </w:t>
      </w:r>
    </w:p>
    <w:p w:rsidR="00231742" w:rsidRDefault="00231742">
      <w:pPr>
        <w:rPr>
          <w:rFonts w:ascii="Arial" w:hAnsi="Arial" w:cs="Arial"/>
        </w:rPr>
      </w:pPr>
      <w:proofErr w:type="gramStart"/>
      <w:r>
        <w:rPr>
          <w:rFonts w:ascii="Arial" w:hAnsi="Arial" w:cs="Arial"/>
        </w:rPr>
        <w:t>Breath</w:t>
      </w:r>
      <w:proofErr w:type="gramEnd"/>
      <w:r>
        <w:rPr>
          <w:rFonts w:ascii="Arial" w:hAnsi="Arial" w:cs="Arial"/>
        </w:rPr>
        <w:t xml:space="preserve"> – 35 micrograms per 100 millilitres of breath;</w:t>
      </w:r>
    </w:p>
    <w:p w:rsidR="00231742" w:rsidRDefault="00231742">
      <w:pPr>
        <w:rPr>
          <w:rFonts w:ascii="Arial" w:hAnsi="Arial" w:cs="Arial"/>
        </w:rPr>
      </w:pPr>
      <w:r>
        <w:rPr>
          <w:rFonts w:ascii="Arial" w:hAnsi="Arial" w:cs="Arial"/>
        </w:rPr>
        <w:t>Blood – 80 milligrams per 100 millilitres of blood;</w:t>
      </w:r>
    </w:p>
    <w:p w:rsidR="00231742" w:rsidRDefault="00231742">
      <w:pPr>
        <w:rPr>
          <w:rFonts w:ascii="Arial" w:hAnsi="Arial" w:cs="Arial"/>
        </w:rPr>
      </w:pPr>
      <w:r>
        <w:rPr>
          <w:rFonts w:ascii="Arial" w:hAnsi="Arial" w:cs="Arial"/>
        </w:rPr>
        <w:t xml:space="preserve">Urine – 107 milligrams per 100 millilitres of urine. </w:t>
      </w:r>
    </w:p>
    <w:p w:rsidR="00231742" w:rsidRDefault="00231742">
      <w:pPr>
        <w:rPr>
          <w:rFonts w:ascii="Arial" w:hAnsi="Arial" w:cs="Arial"/>
        </w:rPr>
      </w:pPr>
    </w:p>
    <w:p w:rsidR="00231742" w:rsidRDefault="00231742">
      <w:pPr>
        <w:rPr>
          <w:rFonts w:ascii="Arial" w:hAnsi="Arial" w:cs="Arial"/>
        </w:rPr>
      </w:pPr>
      <w:r>
        <w:rPr>
          <w:rFonts w:ascii="Arial" w:hAnsi="Arial" w:cs="Arial"/>
        </w:rPr>
        <w:t xml:space="preserve">For drug driving offences the Road Traffic (Specified limits of controlled substances) (England and Wales) sets out the specified / prescribed limits for two controlled substances </w:t>
      </w:r>
      <w:r w:rsidR="00CD0C42">
        <w:rPr>
          <w:rFonts w:ascii="Arial" w:hAnsi="Arial" w:cs="Arial"/>
        </w:rPr>
        <w:t xml:space="preserve">within a </w:t>
      </w:r>
      <w:proofErr w:type="spellStart"/>
      <w:r w:rsidR="00CD0C42">
        <w:rPr>
          <w:rFonts w:ascii="Arial" w:hAnsi="Arial" w:cs="Arial"/>
        </w:rPr>
        <w:t>persons</w:t>
      </w:r>
      <w:proofErr w:type="spellEnd"/>
      <w:r w:rsidR="00CD0C42">
        <w:rPr>
          <w:rFonts w:ascii="Arial" w:hAnsi="Arial" w:cs="Arial"/>
        </w:rPr>
        <w:t xml:space="preserve"> blood</w:t>
      </w:r>
      <w:r>
        <w:rPr>
          <w:rFonts w:ascii="Arial" w:hAnsi="Arial" w:cs="Arial"/>
        </w:rPr>
        <w:t>–</w:t>
      </w:r>
      <w:r w:rsidR="00CD0C42">
        <w:rPr>
          <w:rFonts w:ascii="Arial" w:hAnsi="Arial" w:cs="Arial"/>
        </w:rPr>
        <w:t xml:space="preserve"> </w:t>
      </w:r>
    </w:p>
    <w:p w:rsidR="00231742" w:rsidRDefault="00231742">
      <w:pPr>
        <w:rPr>
          <w:rFonts w:ascii="Arial" w:hAnsi="Arial" w:cs="Arial"/>
        </w:rPr>
      </w:pPr>
      <w:r>
        <w:rPr>
          <w:rFonts w:ascii="Arial" w:hAnsi="Arial" w:cs="Arial"/>
        </w:rPr>
        <w:t xml:space="preserve">Cocaine </w:t>
      </w:r>
      <w:r w:rsidR="00CD0C42">
        <w:rPr>
          <w:rFonts w:ascii="Arial" w:hAnsi="Arial" w:cs="Arial"/>
        </w:rPr>
        <w:t>– 2micrograms per litre of blood</w:t>
      </w:r>
    </w:p>
    <w:p w:rsidR="00CD0C42" w:rsidRPr="00231742" w:rsidRDefault="00CD0C42">
      <w:pPr>
        <w:rPr>
          <w:rFonts w:ascii="Arial" w:hAnsi="Arial" w:cs="Arial"/>
          <w:b/>
        </w:rPr>
      </w:pPr>
      <w:r>
        <w:rPr>
          <w:rFonts w:ascii="Arial" w:hAnsi="Arial" w:cs="Arial"/>
        </w:rPr>
        <w:lastRenderedPageBreak/>
        <w:t xml:space="preserve">THC (which is a part of Cannabis) – 10micrograms per litre of blood. </w:t>
      </w:r>
    </w:p>
    <w:p w:rsidR="00BF5896" w:rsidRDefault="00BF5896">
      <w:pPr>
        <w:rPr>
          <w:rFonts w:ascii="Arial" w:hAnsi="Arial" w:cs="Arial"/>
        </w:rPr>
      </w:pPr>
      <w:r>
        <w:rPr>
          <w:rFonts w:ascii="Arial" w:hAnsi="Arial" w:cs="Arial"/>
          <w:b/>
          <w:i/>
        </w:rPr>
        <w:t>Q12</w:t>
      </w:r>
      <w:r w:rsidR="00EA7CE0">
        <w:rPr>
          <w:rFonts w:ascii="Arial" w:hAnsi="Arial" w:cs="Arial"/>
          <w:b/>
          <w:i/>
        </w:rPr>
        <w:t xml:space="preserve"> </w:t>
      </w:r>
      <w:r w:rsidR="00EA7CE0">
        <w:rPr>
          <w:rFonts w:ascii="Arial" w:hAnsi="Arial" w:cs="Arial"/>
        </w:rPr>
        <w:t xml:space="preserve">There are a number of people who could be present during a suspect interview in the course of an investigation, these are as follows – </w:t>
      </w:r>
    </w:p>
    <w:p w:rsidR="00EA7CE0" w:rsidRDefault="00EA7CE0">
      <w:pPr>
        <w:rPr>
          <w:rFonts w:ascii="Arial" w:hAnsi="Arial" w:cs="Arial"/>
        </w:rPr>
      </w:pPr>
      <w:r>
        <w:rPr>
          <w:rFonts w:ascii="Arial" w:hAnsi="Arial" w:cs="Arial"/>
        </w:rPr>
        <w:t xml:space="preserve">Appropriate Adult – For a person aged under 18 or a person mentally disordered, mentally unwell or mentally vulnerable, or a person with learning difficulties – These individuals may have an appropriate adult present in order to ensure that the person (suspect) being interviewed understands what is being asked of them, and to ensure that the police act appropriately towards this person. However, an appropriate adult is not allowed to answer questions on behalf of the suspect or to provide the suspect with legal advice, they are just present to ensure that the person understands what is being asked of them. </w:t>
      </w:r>
    </w:p>
    <w:p w:rsidR="00EA7CE0" w:rsidRDefault="00EA7CE0">
      <w:pPr>
        <w:rPr>
          <w:rFonts w:ascii="Arial" w:hAnsi="Arial" w:cs="Arial"/>
        </w:rPr>
      </w:pPr>
      <w:r>
        <w:rPr>
          <w:rFonts w:ascii="Arial" w:hAnsi="Arial" w:cs="Arial"/>
        </w:rPr>
        <w:t xml:space="preserve">Solicitor – Anyone is entitled to have a solicitor present, as it is a legal right – this person provides legal advice to a suspect before an interview, during an interview and after an interview also. Although this person is legally trained to provide this advice, they cannot answer questions on behalf of the suspect, instead they can only legally advise the suspect (their client) how to answer and to understand the consequences of providing particularly answers, i.e. a full admission of an offence. A solicitor may also advise a suspect on what would happen after an interview. </w:t>
      </w:r>
    </w:p>
    <w:p w:rsidR="00EA7CE0" w:rsidRDefault="00EA7CE0">
      <w:pPr>
        <w:rPr>
          <w:rFonts w:ascii="Arial" w:hAnsi="Arial" w:cs="Arial"/>
        </w:rPr>
      </w:pPr>
      <w:r>
        <w:rPr>
          <w:rFonts w:ascii="Arial" w:hAnsi="Arial" w:cs="Arial"/>
        </w:rPr>
        <w:t xml:space="preserve">Interpreter – An interpreter can be arranged for anyone who may not be able to speak the language being used in the interview, for example, English. Someone whose first language is not English, for example, but is French, would be allowed to have an interpreter present in order to ensure they understand the questions being asked of them, and to provide responses/answers to officers conducting such interviews. </w:t>
      </w:r>
    </w:p>
    <w:p w:rsidR="00EA7CE0" w:rsidRPr="00EA7CE0" w:rsidRDefault="00EA7CE0">
      <w:pPr>
        <w:rPr>
          <w:rFonts w:ascii="Arial" w:hAnsi="Arial" w:cs="Arial"/>
        </w:rPr>
      </w:pPr>
    </w:p>
    <w:p w:rsidR="00BF5896" w:rsidRDefault="00BF5896">
      <w:pPr>
        <w:rPr>
          <w:rFonts w:ascii="Arial" w:hAnsi="Arial" w:cs="Arial"/>
        </w:rPr>
      </w:pPr>
      <w:r>
        <w:rPr>
          <w:rFonts w:ascii="Arial" w:hAnsi="Arial" w:cs="Arial"/>
          <w:b/>
          <w:i/>
        </w:rPr>
        <w:t>Q13</w:t>
      </w:r>
      <w:r w:rsidR="00F8462E">
        <w:rPr>
          <w:rFonts w:ascii="Arial" w:hAnsi="Arial" w:cs="Arial"/>
        </w:rPr>
        <w:t xml:space="preserve"> – The PEACE model is the national police interviewing model. This model ensures that officers cover all legal requirements and that no points are missed during an interview. The model can be used in both suspect and witness interviews in order to guide the interview through the process.  </w:t>
      </w:r>
    </w:p>
    <w:p w:rsidR="00F8462E" w:rsidRDefault="00F8462E">
      <w:pPr>
        <w:rPr>
          <w:rFonts w:ascii="Arial" w:hAnsi="Arial" w:cs="Arial"/>
        </w:rPr>
      </w:pPr>
      <w:r>
        <w:rPr>
          <w:rFonts w:ascii="Arial" w:hAnsi="Arial" w:cs="Arial"/>
        </w:rPr>
        <w:t xml:space="preserve">The PEACE model is set out in further detail below – </w:t>
      </w:r>
    </w:p>
    <w:p w:rsidR="00F8462E" w:rsidRPr="00F8462E" w:rsidRDefault="00F8462E">
      <w:pPr>
        <w:rPr>
          <w:rFonts w:ascii="Arial" w:hAnsi="Arial" w:cs="Arial"/>
        </w:rPr>
      </w:pPr>
      <w:r>
        <w:rPr>
          <w:rFonts w:ascii="Arial" w:hAnsi="Arial" w:cs="Arial"/>
          <w:b/>
        </w:rPr>
        <w:t>P</w:t>
      </w:r>
      <w:r>
        <w:rPr>
          <w:rFonts w:ascii="Arial" w:hAnsi="Arial" w:cs="Arial"/>
        </w:rPr>
        <w:t xml:space="preserve">lanning and preparation – during this stage, an officer should consider the individual characteristics of the person being interviewed (such as religion, age, family members, </w:t>
      </w:r>
      <w:proofErr w:type="spellStart"/>
      <w:r>
        <w:rPr>
          <w:rFonts w:ascii="Arial" w:hAnsi="Arial" w:cs="Arial"/>
        </w:rPr>
        <w:t>etc</w:t>
      </w:r>
      <w:proofErr w:type="spellEnd"/>
      <w:r>
        <w:rPr>
          <w:rFonts w:ascii="Arial" w:hAnsi="Arial" w:cs="Arial"/>
        </w:rPr>
        <w:t>), any considerations for practical arrangements (disability, learning difficulties, mental health</w:t>
      </w:r>
      <w:r w:rsidR="008943BA">
        <w:rPr>
          <w:rFonts w:ascii="Arial" w:hAnsi="Arial" w:cs="Arial"/>
        </w:rPr>
        <w:t xml:space="preserve">). The officer should also conduct extensive planning at this stage, for example, to write out questions to be asked or topics to be covered. </w:t>
      </w:r>
    </w:p>
    <w:p w:rsidR="00F8462E" w:rsidRDefault="00F8462E">
      <w:pPr>
        <w:rPr>
          <w:rFonts w:ascii="Arial" w:hAnsi="Arial" w:cs="Arial"/>
        </w:rPr>
      </w:pPr>
      <w:r>
        <w:rPr>
          <w:rFonts w:ascii="Arial" w:hAnsi="Arial" w:cs="Arial"/>
          <w:b/>
        </w:rPr>
        <w:t>E</w:t>
      </w:r>
      <w:r w:rsidR="008943BA">
        <w:rPr>
          <w:rFonts w:ascii="Arial" w:hAnsi="Arial" w:cs="Arial"/>
        </w:rPr>
        <w:t xml:space="preserve">ngage and </w:t>
      </w:r>
      <w:proofErr w:type="gramStart"/>
      <w:r w:rsidR="008943BA">
        <w:rPr>
          <w:rFonts w:ascii="Arial" w:hAnsi="Arial" w:cs="Arial"/>
        </w:rPr>
        <w:t>Explain</w:t>
      </w:r>
      <w:proofErr w:type="gramEnd"/>
      <w:r w:rsidR="008943BA">
        <w:rPr>
          <w:rFonts w:ascii="Arial" w:hAnsi="Arial" w:cs="Arial"/>
        </w:rPr>
        <w:t xml:space="preserve"> – during this stage of the process, the officer should take time to explain to the suspect or witness the reason for the interview, and the processes and procedures that will take place during the interview. The </w:t>
      </w:r>
      <w:r w:rsidR="008943BA" w:rsidRPr="008943BA">
        <w:rPr>
          <w:rFonts w:ascii="Arial" w:hAnsi="Arial" w:cs="Arial"/>
          <w:b/>
          <w:i/>
        </w:rPr>
        <w:t>GRRR</w:t>
      </w:r>
      <w:r w:rsidR="008943BA">
        <w:rPr>
          <w:rFonts w:ascii="Arial" w:hAnsi="Arial" w:cs="Arial"/>
          <w:i/>
        </w:rPr>
        <w:t xml:space="preserve"> </w:t>
      </w:r>
      <w:r w:rsidR="008943BA">
        <w:rPr>
          <w:rFonts w:ascii="Arial" w:hAnsi="Arial" w:cs="Arial"/>
        </w:rPr>
        <w:t xml:space="preserve">model is often used here – </w:t>
      </w:r>
      <w:r w:rsidR="008943BA" w:rsidRPr="008943BA">
        <w:rPr>
          <w:rFonts w:ascii="Arial" w:hAnsi="Arial" w:cs="Arial"/>
          <w:b/>
          <w:i/>
        </w:rPr>
        <w:t>G</w:t>
      </w:r>
      <w:r w:rsidR="008943BA">
        <w:rPr>
          <w:rFonts w:ascii="Arial" w:hAnsi="Arial" w:cs="Arial"/>
        </w:rPr>
        <w:t xml:space="preserve">reetings; </w:t>
      </w:r>
      <w:r w:rsidR="008943BA" w:rsidRPr="008943BA">
        <w:rPr>
          <w:rFonts w:ascii="Arial" w:hAnsi="Arial" w:cs="Arial"/>
          <w:b/>
          <w:i/>
        </w:rPr>
        <w:t>R</w:t>
      </w:r>
      <w:r w:rsidR="008943BA">
        <w:rPr>
          <w:rFonts w:ascii="Arial" w:hAnsi="Arial" w:cs="Arial"/>
        </w:rPr>
        <w:t xml:space="preserve">eason; </w:t>
      </w:r>
      <w:r w:rsidR="008943BA" w:rsidRPr="008943BA">
        <w:rPr>
          <w:rFonts w:ascii="Arial" w:hAnsi="Arial" w:cs="Arial"/>
          <w:b/>
          <w:i/>
        </w:rPr>
        <w:t>R</w:t>
      </w:r>
      <w:r w:rsidR="008943BA">
        <w:rPr>
          <w:rFonts w:ascii="Arial" w:hAnsi="Arial" w:cs="Arial"/>
        </w:rPr>
        <w:t xml:space="preserve">outine; </w:t>
      </w:r>
      <w:r w:rsidR="008943BA" w:rsidRPr="008943BA">
        <w:rPr>
          <w:rFonts w:ascii="Arial" w:hAnsi="Arial" w:cs="Arial"/>
          <w:b/>
          <w:i/>
        </w:rPr>
        <w:t>R</w:t>
      </w:r>
      <w:r w:rsidR="008943BA">
        <w:rPr>
          <w:rFonts w:ascii="Arial" w:hAnsi="Arial" w:cs="Arial"/>
        </w:rPr>
        <w:t xml:space="preserve">oute Map. During the Greetings stage, the officer should try to build a relationship with the person being interviewed in order to ensure the interview runs as smoothly as possible, this could include introducing yourself and any other persons present. The Reason stage is where the officer would explain to the person being interviewed the reason for the interview. The routine stage explores how the interview will flow, and if the person needs a break, coffee and feels unwell to say. Finally, the route map stage highlights what will be discussed during the interview and where the interview will begin. </w:t>
      </w:r>
    </w:p>
    <w:p w:rsidR="008943BA" w:rsidRPr="008943BA" w:rsidRDefault="008943BA">
      <w:pPr>
        <w:rPr>
          <w:rFonts w:ascii="Arial" w:hAnsi="Arial" w:cs="Arial"/>
        </w:rPr>
      </w:pPr>
      <w:r>
        <w:rPr>
          <w:rFonts w:ascii="Arial" w:hAnsi="Arial" w:cs="Arial"/>
        </w:rPr>
        <w:t xml:space="preserve">Under the engage and explain stage of the PEACE Model, the officer is also required to read out an aid memoire in suspect interviews. This aid memoire covers the welfare of the person </w:t>
      </w:r>
      <w:r>
        <w:rPr>
          <w:rFonts w:ascii="Arial" w:hAnsi="Arial" w:cs="Arial"/>
        </w:rPr>
        <w:lastRenderedPageBreak/>
        <w:t xml:space="preserve">being interviewed, in order to ensure that they are well, the legal requirements and entitlements of the suspect in order to ensure that they understand the process and what they are entitled to, for example they are not legally obliged to answer questions, and have a right to silence or no comment if they wish, and that they are legally entitled to consult with a solicitor at any time. The aid memoire also raises awareness regarding adverse inference, and reminds the suspect that they are under caution. </w:t>
      </w:r>
    </w:p>
    <w:p w:rsidR="00F8462E" w:rsidRDefault="00F8462E">
      <w:pPr>
        <w:rPr>
          <w:rFonts w:ascii="Arial" w:hAnsi="Arial" w:cs="Arial"/>
        </w:rPr>
      </w:pPr>
      <w:r>
        <w:rPr>
          <w:rFonts w:ascii="Arial" w:hAnsi="Arial" w:cs="Arial"/>
          <w:b/>
        </w:rPr>
        <w:t>A</w:t>
      </w:r>
      <w:r w:rsidR="00B71035">
        <w:rPr>
          <w:rFonts w:ascii="Arial" w:hAnsi="Arial" w:cs="Arial"/>
        </w:rPr>
        <w:t>ccount</w:t>
      </w:r>
      <w:r w:rsidR="004A5BBC">
        <w:rPr>
          <w:rFonts w:ascii="Arial" w:hAnsi="Arial" w:cs="Arial"/>
        </w:rPr>
        <w:t xml:space="preserve"> (Clarification and Challenge)</w:t>
      </w:r>
      <w:r w:rsidR="00B71035">
        <w:rPr>
          <w:rFonts w:ascii="Arial" w:hAnsi="Arial" w:cs="Arial"/>
        </w:rPr>
        <w:t xml:space="preserve"> – At this stage, the officer is required to obtain an account from the suspect or witness, initially using TED (tell me, explain to me, describe to me) whereby a free narrative can be obtained. Through this, the officer will identify topics which will need to </w:t>
      </w:r>
      <w:r w:rsidR="004A5BBC">
        <w:rPr>
          <w:rFonts w:ascii="Arial" w:hAnsi="Arial" w:cs="Arial"/>
        </w:rPr>
        <w:t xml:space="preserve">be further discussed and explored. </w:t>
      </w:r>
    </w:p>
    <w:p w:rsidR="004A5BBC" w:rsidRDefault="004A5BBC">
      <w:pPr>
        <w:rPr>
          <w:rFonts w:ascii="Arial" w:hAnsi="Arial" w:cs="Arial"/>
        </w:rPr>
      </w:pPr>
      <w:r>
        <w:rPr>
          <w:rFonts w:ascii="Arial" w:hAnsi="Arial" w:cs="Arial"/>
        </w:rPr>
        <w:t xml:space="preserve">In order to explore further topics, the officer should utilise probing questions through the 5W H model (What, Why, When, Where, Who, How) in order to ask appropriate probing questions. </w:t>
      </w:r>
    </w:p>
    <w:p w:rsidR="004A5BBC" w:rsidRDefault="004A5BBC">
      <w:pPr>
        <w:rPr>
          <w:rFonts w:ascii="Arial" w:hAnsi="Arial" w:cs="Arial"/>
        </w:rPr>
      </w:pPr>
      <w:r>
        <w:rPr>
          <w:rFonts w:ascii="Arial" w:hAnsi="Arial" w:cs="Arial"/>
        </w:rPr>
        <w:t xml:space="preserve">The officer can then use appropriately closed questions in order to confirm the information given. </w:t>
      </w:r>
    </w:p>
    <w:p w:rsidR="004A5BBC" w:rsidRDefault="004A5BBC">
      <w:pPr>
        <w:rPr>
          <w:rFonts w:ascii="Arial" w:hAnsi="Arial" w:cs="Arial"/>
        </w:rPr>
      </w:pPr>
      <w:r>
        <w:rPr>
          <w:rFonts w:ascii="Arial" w:hAnsi="Arial" w:cs="Arial"/>
        </w:rPr>
        <w:t xml:space="preserve">The officer will follow through the topics, and within a witness interview, a witness statement would then be written up. </w:t>
      </w:r>
    </w:p>
    <w:p w:rsidR="004A5BBC" w:rsidRDefault="004A5BBC">
      <w:pPr>
        <w:rPr>
          <w:rFonts w:ascii="Arial" w:hAnsi="Arial" w:cs="Arial"/>
        </w:rPr>
      </w:pPr>
      <w:r>
        <w:rPr>
          <w:rFonts w:ascii="Arial" w:hAnsi="Arial" w:cs="Arial"/>
        </w:rPr>
        <w:t xml:space="preserve">This stage of the suspect interview is slightly different however, as the police officer would initially follow the above process, which would be deemed as the </w:t>
      </w:r>
      <w:proofErr w:type="gramStart"/>
      <w:r>
        <w:rPr>
          <w:rFonts w:ascii="Arial" w:hAnsi="Arial" w:cs="Arial"/>
        </w:rPr>
        <w:t>suspects</w:t>
      </w:r>
      <w:proofErr w:type="gramEnd"/>
      <w:r>
        <w:rPr>
          <w:rFonts w:ascii="Arial" w:hAnsi="Arial" w:cs="Arial"/>
        </w:rPr>
        <w:t xml:space="preserve"> agenda. This is where the suspect tells you everything they would like to you to know, and the officer is only to ask the suspect questions on this topic. </w:t>
      </w:r>
    </w:p>
    <w:p w:rsidR="004A5BBC" w:rsidRDefault="004A5BBC">
      <w:pPr>
        <w:rPr>
          <w:rFonts w:ascii="Arial" w:hAnsi="Arial" w:cs="Arial"/>
        </w:rPr>
      </w:pPr>
      <w:r>
        <w:rPr>
          <w:rFonts w:ascii="Arial" w:hAnsi="Arial" w:cs="Arial"/>
        </w:rPr>
        <w:t xml:space="preserve">However, before beginning with the suspect agenda, as briefly discussed above, in a suspect interview, the officer would begin by asking the suspect if they are responsible for the offence at the specific time and location. </w:t>
      </w:r>
    </w:p>
    <w:p w:rsidR="004A5BBC" w:rsidRDefault="004A5BBC">
      <w:pPr>
        <w:rPr>
          <w:rFonts w:ascii="Arial" w:hAnsi="Arial" w:cs="Arial"/>
        </w:rPr>
      </w:pPr>
      <w:r>
        <w:rPr>
          <w:rFonts w:ascii="Arial" w:hAnsi="Arial" w:cs="Arial"/>
        </w:rPr>
        <w:t xml:space="preserve">Following this, the officer would, in a suspect interview, then move onto the police agenda phase. This is where the officer would use questions prepared within the planning stage in order to ask the suspect questions about the offence, their location, and anything else that may link them to the offence. The officer would follow the above process of starting with TED questions, then moving through to probing questions with the 5 W and H style questions, and then finishing with appropriately closed questions. </w:t>
      </w:r>
    </w:p>
    <w:p w:rsidR="004A5BBC" w:rsidRDefault="004A5BBC">
      <w:pPr>
        <w:rPr>
          <w:rFonts w:ascii="Arial" w:hAnsi="Arial" w:cs="Arial"/>
        </w:rPr>
      </w:pPr>
      <w:r>
        <w:rPr>
          <w:rFonts w:ascii="Arial" w:hAnsi="Arial" w:cs="Arial"/>
        </w:rPr>
        <w:t xml:space="preserve">After the police agenda has been completed, the officer would then move on to the challenge phase. This is whereby the officer would introduce any evidence or Section 9 witness statements obtained in order to discredit what was said by the suspect, and to challenge them on these points. </w:t>
      </w:r>
    </w:p>
    <w:p w:rsidR="004A5BBC" w:rsidRPr="00B71035" w:rsidRDefault="004A5BBC">
      <w:pPr>
        <w:rPr>
          <w:rFonts w:ascii="Arial" w:hAnsi="Arial" w:cs="Arial"/>
        </w:rPr>
      </w:pPr>
      <w:r>
        <w:rPr>
          <w:rFonts w:ascii="Arial" w:hAnsi="Arial" w:cs="Arial"/>
        </w:rPr>
        <w:t xml:space="preserve">During the account phase of the model, it is vitally important to summarise throughout to ensure that you have understood what has been said clearly, and that nothing has been missed. </w:t>
      </w:r>
    </w:p>
    <w:p w:rsidR="00F8462E" w:rsidRDefault="00F8462E">
      <w:pPr>
        <w:rPr>
          <w:rFonts w:ascii="Arial" w:hAnsi="Arial" w:cs="Arial"/>
        </w:rPr>
      </w:pPr>
      <w:r>
        <w:rPr>
          <w:rFonts w:ascii="Arial" w:hAnsi="Arial" w:cs="Arial"/>
          <w:b/>
        </w:rPr>
        <w:t>C</w:t>
      </w:r>
      <w:r w:rsidR="004A5BBC">
        <w:rPr>
          <w:rFonts w:ascii="Arial" w:hAnsi="Arial" w:cs="Arial"/>
        </w:rPr>
        <w:t xml:space="preserve">losure – the officer would then close the interview. </w:t>
      </w:r>
    </w:p>
    <w:p w:rsidR="004A5BBC" w:rsidRDefault="004A5BBC">
      <w:pPr>
        <w:rPr>
          <w:rFonts w:ascii="Arial" w:hAnsi="Arial" w:cs="Arial"/>
        </w:rPr>
      </w:pPr>
      <w:r>
        <w:rPr>
          <w:rFonts w:ascii="Arial" w:hAnsi="Arial" w:cs="Arial"/>
        </w:rPr>
        <w:t xml:space="preserve">Within the witness interview, the officer would discuss any concerns that the witness may have about the statement, incident, or the possibility of going to court. The officer would also advised the witness about the stages that will be followed next, and ensure that they will provide an update to the witness. </w:t>
      </w:r>
    </w:p>
    <w:p w:rsidR="004A5BBC" w:rsidRDefault="004A5BBC">
      <w:pPr>
        <w:rPr>
          <w:rFonts w:ascii="Arial" w:hAnsi="Arial" w:cs="Arial"/>
        </w:rPr>
      </w:pPr>
      <w:r>
        <w:rPr>
          <w:rFonts w:ascii="Arial" w:hAnsi="Arial" w:cs="Arial"/>
        </w:rPr>
        <w:t xml:space="preserve">For a suspect interview, the officer is partly expected to do the same, in relation to advising the suspect of the next stages. However, here, the officer would then take the suspect to the </w:t>
      </w:r>
      <w:r>
        <w:rPr>
          <w:rFonts w:ascii="Arial" w:hAnsi="Arial" w:cs="Arial"/>
        </w:rPr>
        <w:lastRenderedPageBreak/>
        <w:t xml:space="preserve">Custody Sgt for them to be informed of what has happened in interview, and a decision to be made. </w:t>
      </w:r>
    </w:p>
    <w:p w:rsidR="004A5BBC" w:rsidRPr="004A5BBC" w:rsidRDefault="004A5BBC">
      <w:pPr>
        <w:rPr>
          <w:rFonts w:ascii="Arial" w:hAnsi="Arial" w:cs="Arial"/>
        </w:rPr>
      </w:pPr>
      <w:r>
        <w:rPr>
          <w:rFonts w:ascii="Arial" w:hAnsi="Arial" w:cs="Arial"/>
        </w:rPr>
        <w:t xml:space="preserve">A suspect will either then be returned to their cell, charged/cautions/ no further action, or released. </w:t>
      </w:r>
    </w:p>
    <w:p w:rsidR="00F8462E" w:rsidRDefault="00F8462E">
      <w:pPr>
        <w:rPr>
          <w:rFonts w:ascii="Arial" w:hAnsi="Arial" w:cs="Arial"/>
        </w:rPr>
      </w:pPr>
      <w:r>
        <w:rPr>
          <w:rFonts w:ascii="Arial" w:hAnsi="Arial" w:cs="Arial"/>
          <w:b/>
        </w:rPr>
        <w:t>E</w:t>
      </w:r>
      <w:r w:rsidR="004A5BBC">
        <w:rPr>
          <w:rFonts w:ascii="Arial" w:hAnsi="Arial" w:cs="Arial"/>
        </w:rPr>
        <w:t xml:space="preserve">valuation – during this stage, the officer is required to evaluate the information obtained in interview, any other enquiries to be completed, as well as their own performance in interview. </w:t>
      </w:r>
    </w:p>
    <w:p w:rsidR="004A5BBC" w:rsidRPr="004A5BBC" w:rsidRDefault="004A5BBC">
      <w:pPr>
        <w:rPr>
          <w:rFonts w:ascii="Arial" w:hAnsi="Arial" w:cs="Arial"/>
        </w:rPr>
      </w:pPr>
      <w:r>
        <w:rPr>
          <w:rFonts w:ascii="Arial" w:hAnsi="Arial" w:cs="Arial"/>
        </w:rPr>
        <w:t xml:space="preserve">Evaluating the officers performance in interview is particularly important, as it ensure that’s officers are continually improving practices and approaches used in interview to ensure that are following procedure appropriate. </w:t>
      </w:r>
    </w:p>
    <w:p w:rsidR="008943BA" w:rsidRPr="00F8462E" w:rsidRDefault="008943BA">
      <w:pPr>
        <w:rPr>
          <w:rFonts w:ascii="Arial" w:hAnsi="Arial" w:cs="Arial"/>
          <w:b/>
        </w:rPr>
      </w:pPr>
    </w:p>
    <w:p w:rsidR="00BF5896" w:rsidRDefault="00BF5896">
      <w:pPr>
        <w:rPr>
          <w:rFonts w:ascii="Arial" w:hAnsi="Arial" w:cs="Arial"/>
        </w:rPr>
      </w:pPr>
      <w:r>
        <w:rPr>
          <w:rFonts w:ascii="Arial" w:hAnsi="Arial" w:cs="Arial"/>
          <w:b/>
          <w:i/>
        </w:rPr>
        <w:t>Q14</w:t>
      </w:r>
      <w:r w:rsidR="008943BA">
        <w:rPr>
          <w:rFonts w:ascii="Arial" w:hAnsi="Arial" w:cs="Arial"/>
        </w:rPr>
        <w:t xml:space="preserve"> –</w:t>
      </w:r>
      <w:r w:rsidR="00826231">
        <w:rPr>
          <w:rFonts w:ascii="Arial" w:hAnsi="Arial" w:cs="Arial"/>
        </w:rPr>
        <w:t xml:space="preserve"> Section </w:t>
      </w:r>
      <w:r w:rsidR="008943BA">
        <w:rPr>
          <w:rFonts w:ascii="Arial" w:hAnsi="Arial" w:cs="Arial"/>
        </w:rPr>
        <w:t xml:space="preserve">76 of the Serious Crime Act 2015 sets out that – A person (A) is guilty of an offence if: (a) (A) repeatedly or continuously engages in behaviour towards another person (B) which is controlling or coercive, (b) at the time of the behaviour, (A) and (B) are personally connected, (c) that the behaviour has a serious effect on (B), and (d) that (A) knows or ought to know that the behaviour would have a serious effect on (B). </w:t>
      </w:r>
    </w:p>
    <w:p w:rsidR="008943BA" w:rsidRPr="008943BA" w:rsidRDefault="008943BA">
      <w:pPr>
        <w:rPr>
          <w:rFonts w:ascii="Arial" w:hAnsi="Arial" w:cs="Arial"/>
        </w:rPr>
      </w:pPr>
    </w:p>
    <w:p w:rsidR="00BF5896" w:rsidRDefault="00BF5896">
      <w:pPr>
        <w:rPr>
          <w:rFonts w:ascii="Arial" w:hAnsi="Arial" w:cs="Arial"/>
        </w:rPr>
      </w:pPr>
      <w:r>
        <w:rPr>
          <w:rFonts w:ascii="Arial" w:hAnsi="Arial" w:cs="Arial"/>
          <w:b/>
          <w:i/>
        </w:rPr>
        <w:t>Q15</w:t>
      </w:r>
      <w:r w:rsidR="00826231">
        <w:rPr>
          <w:rFonts w:ascii="Arial" w:hAnsi="Arial" w:cs="Arial"/>
        </w:rPr>
        <w:t xml:space="preserve"> The relatively new offence of coercive control, set out in Section 76 of the Serious Crime Act 2015 is so important, as often domestic abuse/violence is a hidden crime, and therefore this raises particularly awareness that domestic abuse/violence does not just involve the physical abuse of a person, it is significantly the emotional and psychological </w:t>
      </w:r>
      <w:r w:rsidR="003C2C2E">
        <w:rPr>
          <w:rFonts w:ascii="Arial" w:hAnsi="Arial" w:cs="Arial"/>
        </w:rPr>
        <w:t xml:space="preserve">abuse of a person either. </w:t>
      </w:r>
    </w:p>
    <w:p w:rsidR="003C2C2E" w:rsidRDefault="003C2C2E">
      <w:pPr>
        <w:rPr>
          <w:rFonts w:ascii="Arial" w:hAnsi="Arial" w:cs="Arial"/>
        </w:rPr>
      </w:pPr>
      <w:r>
        <w:rPr>
          <w:rFonts w:ascii="Arial" w:hAnsi="Arial" w:cs="Arial"/>
        </w:rPr>
        <w:t xml:space="preserve">In addition to this, in some cases, victims of coercive control cannot see the behaviour themselves, as the offender has gone through a grooming process with the victim in order to make such behaviour normalised, that the victim cannot see it themselves. Therefore, this gives the police the power to protect victims of this offence properly. </w:t>
      </w:r>
    </w:p>
    <w:p w:rsidR="003C2C2E" w:rsidRDefault="003C2C2E">
      <w:pPr>
        <w:rPr>
          <w:rFonts w:ascii="Arial" w:hAnsi="Arial" w:cs="Arial"/>
        </w:rPr>
      </w:pPr>
      <w:r>
        <w:rPr>
          <w:rFonts w:ascii="Arial" w:hAnsi="Arial" w:cs="Arial"/>
        </w:rPr>
        <w:t xml:space="preserve">This offence and legislation are also important as it ensures victims that we do care about their welfare, and warns offenders that we are aware of the mind games that they play on their victims, and it will not be tolerated in society any longer. </w:t>
      </w:r>
    </w:p>
    <w:p w:rsidR="003C2C2E" w:rsidRPr="00826231" w:rsidRDefault="003C2C2E">
      <w:pPr>
        <w:rPr>
          <w:rFonts w:ascii="Arial" w:hAnsi="Arial" w:cs="Arial"/>
        </w:rPr>
      </w:pPr>
    </w:p>
    <w:p w:rsidR="00BF5896" w:rsidRDefault="00BF5896">
      <w:pPr>
        <w:rPr>
          <w:rFonts w:ascii="Arial" w:hAnsi="Arial" w:cs="Arial"/>
        </w:rPr>
      </w:pPr>
      <w:r>
        <w:rPr>
          <w:rFonts w:ascii="Arial" w:hAnsi="Arial" w:cs="Arial"/>
          <w:b/>
          <w:i/>
        </w:rPr>
        <w:t>Q16</w:t>
      </w:r>
      <w:r w:rsidR="0006460F">
        <w:rPr>
          <w:rFonts w:ascii="Arial" w:hAnsi="Arial" w:cs="Arial"/>
        </w:rPr>
        <w:t xml:space="preserve"> Section 46 of the Children Act 1989 sets out that if a constable reasonably suspects that a child (under the age of 18) would suffer significant harm, the police constable is able to remove the child from those premises, and place them in suitable accommodation and keep them there. Alternatively, if the child is currently in a hospital or other place, such as a </w:t>
      </w:r>
      <w:proofErr w:type="gramStart"/>
      <w:r w:rsidR="0006460F">
        <w:rPr>
          <w:rFonts w:ascii="Arial" w:hAnsi="Arial" w:cs="Arial"/>
        </w:rPr>
        <w:t>doctors</w:t>
      </w:r>
      <w:proofErr w:type="gramEnd"/>
      <w:r w:rsidR="0006460F">
        <w:rPr>
          <w:rFonts w:ascii="Arial" w:hAnsi="Arial" w:cs="Arial"/>
        </w:rPr>
        <w:t xml:space="preserve"> surgery and so on, the police constable must reasonably do what is possible in order to keep the child there, and prevent their removal from this place. </w:t>
      </w:r>
    </w:p>
    <w:p w:rsidR="0006460F" w:rsidRDefault="0006460F">
      <w:pPr>
        <w:rPr>
          <w:rFonts w:ascii="Arial" w:hAnsi="Arial" w:cs="Arial"/>
        </w:rPr>
      </w:pPr>
      <w:r>
        <w:rPr>
          <w:rFonts w:ascii="Arial" w:hAnsi="Arial" w:cs="Arial"/>
        </w:rPr>
        <w:t xml:space="preserve">This means that a police constable is able to ensure that a child is either placed in a place of safety through suitable accommodation, or ensure that the child is looked after in a hospital and therefore cannot be removed by their abusers. </w:t>
      </w:r>
    </w:p>
    <w:p w:rsidR="0006460F" w:rsidRDefault="0006460F">
      <w:pPr>
        <w:rPr>
          <w:rFonts w:ascii="Arial" w:hAnsi="Arial" w:cs="Arial"/>
        </w:rPr>
      </w:pPr>
      <w:r>
        <w:rPr>
          <w:rFonts w:ascii="Arial" w:hAnsi="Arial" w:cs="Arial"/>
        </w:rPr>
        <w:t xml:space="preserve">Officers should work alongside local social services departments and well as supervisors and overseeing officers of rank to ensure that this power is appropriate used, as well as to ensure that the child is appropriately safeguarded and appropriately placed. </w:t>
      </w:r>
    </w:p>
    <w:p w:rsidR="0006460F" w:rsidRDefault="0006460F">
      <w:pPr>
        <w:rPr>
          <w:rFonts w:ascii="Arial" w:hAnsi="Arial" w:cs="Arial"/>
        </w:rPr>
      </w:pPr>
      <w:r>
        <w:rPr>
          <w:rFonts w:ascii="Arial" w:hAnsi="Arial" w:cs="Arial"/>
        </w:rPr>
        <w:lastRenderedPageBreak/>
        <w:t xml:space="preserve">By appropriately utilising this power, officers are safeguarding children (those aged under 18), and protecting them from significant harm being caused or done to them. </w:t>
      </w:r>
    </w:p>
    <w:p w:rsidR="0006460F" w:rsidRDefault="0006460F">
      <w:pPr>
        <w:rPr>
          <w:rFonts w:ascii="Arial" w:hAnsi="Arial" w:cs="Arial"/>
        </w:rPr>
      </w:pPr>
      <w:r>
        <w:rPr>
          <w:rFonts w:ascii="Arial" w:hAnsi="Arial" w:cs="Arial"/>
        </w:rPr>
        <w:t xml:space="preserve">Additionally, officers should ensure that Public Protection Notifications are used for any children who are at risk of significant harm, as this will notify partner agencies of risks that exist, and may re-exist if a child was removed from suitable accommodation after the Section 46 power is used. </w:t>
      </w:r>
    </w:p>
    <w:p w:rsidR="004D381F" w:rsidRPr="0006460F" w:rsidRDefault="004D381F">
      <w:pPr>
        <w:rPr>
          <w:rFonts w:ascii="Arial" w:hAnsi="Arial" w:cs="Arial"/>
        </w:rPr>
      </w:pPr>
    </w:p>
    <w:p w:rsidR="00BF5896" w:rsidRDefault="00BF5896">
      <w:pPr>
        <w:rPr>
          <w:rFonts w:ascii="Arial" w:hAnsi="Arial" w:cs="Arial"/>
        </w:rPr>
      </w:pPr>
      <w:r>
        <w:rPr>
          <w:rFonts w:ascii="Arial" w:hAnsi="Arial" w:cs="Arial"/>
          <w:b/>
          <w:i/>
        </w:rPr>
        <w:t>Q17</w:t>
      </w:r>
      <w:r w:rsidR="004D381F">
        <w:rPr>
          <w:rFonts w:ascii="Arial" w:hAnsi="Arial" w:cs="Arial"/>
        </w:rPr>
        <w:t xml:space="preserve"> A person is guilty of an offence of child cruelty if they are over 16 and have responsibility for the child, under the age of 16, at the time of the offence, and they wilfully neglect, abuse, facilitate and arrange the assault, emotional abuse, sexual abuse or violence against a child, and they fail to protect a child from harm. </w:t>
      </w:r>
    </w:p>
    <w:p w:rsidR="004D381F" w:rsidRDefault="004D381F">
      <w:pPr>
        <w:rPr>
          <w:rFonts w:ascii="Arial" w:hAnsi="Arial" w:cs="Arial"/>
        </w:rPr>
      </w:pPr>
      <w:r>
        <w:rPr>
          <w:rFonts w:ascii="Arial" w:hAnsi="Arial" w:cs="Arial"/>
        </w:rPr>
        <w:t xml:space="preserve">The offence can only be carried out by persons aged 16 years, on children who are aged under 16 years, and that person has responsibility for that child at the time of the offence. This can either be that they live with the child, have regular contact and have parental responsibility for the child, or it may be that they oversee the </w:t>
      </w:r>
      <w:proofErr w:type="spellStart"/>
      <w:proofErr w:type="gramStart"/>
      <w:r>
        <w:rPr>
          <w:rFonts w:ascii="Arial" w:hAnsi="Arial" w:cs="Arial"/>
        </w:rPr>
        <w:t>childs</w:t>
      </w:r>
      <w:proofErr w:type="spellEnd"/>
      <w:proofErr w:type="gramEnd"/>
      <w:r>
        <w:rPr>
          <w:rFonts w:ascii="Arial" w:hAnsi="Arial" w:cs="Arial"/>
        </w:rPr>
        <w:t xml:space="preserve"> care. </w:t>
      </w:r>
    </w:p>
    <w:p w:rsidR="004D381F" w:rsidRDefault="004D381F">
      <w:pPr>
        <w:rPr>
          <w:rFonts w:ascii="Arial" w:hAnsi="Arial" w:cs="Arial"/>
        </w:rPr>
      </w:pPr>
      <w:r>
        <w:rPr>
          <w:rFonts w:ascii="Arial" w:hAnsi="Arial" w:cs="Arial"/>
        </w:rPr>
        <w:t xml:space="preserve">This offence sets out that if harm is carried out on child, through the four types of child abuse, then a person who is aged over 16 and has such responsibility </w:t>
      </w:r>
      <w:r w:rsidR="00863E20">
        <w:rPr>
          <w:rFonts w:ascii="Arial" w:hAnsi="Arial" w:cs="Arial"/>
        </w:rPr>
        <w:t xml:space="preserve">for a child under the age of 16, and any of the types of abuse occur, the then person is guilty of an offence. </w:t>
      </w:r>
    </w:p>
    <w:p w:rsidR="00863E20" w:rsidRDefault="00863E20">
      <w:pPr>
        <w:rPr>
          <w:rFonts w:ascii="Arial" w:hAnsi="Arial" w:cs="Arial"/>
        </w:rPr>
      </w:pPr>
      <w:r>
        <w:rPr>
          <w:rFonts w:ascii="Arial" w:hAnsi="Arial" w:cs="Arial"/>
        </w:rPr>
        <w:t xml:space="preserve">The four types of child abuse are: neglect, emotional abuse, physical abuse and sexual abuse. </w:t>
      </w:r>
    </w:p>
    <w:p w:rsidR="00863E20" w:rsidRDefault="00863E20">
      <w:pPr>
        <w:rPr>
          <w:rFonts w:ascii="Arial" w:hAnsi="Arial" w:cs="Arial"/>
        </w:rPr>
      </w:pPr>
      <w:r>
        <w:rPr>
          <w:rFonts w:ascii="Arial" w:hAnsi="Arial" w:cs="Arial"/>
        </w:rPr>
        <w:t xml:space="preserve">Child abuse is where any harm comes to a child, whether it be physically, emotionally or through sexual offences against children or neglect of that child. </w:t>
      </w:r>
    </w:p>
    <w:p w:rsidR="00863E20" w:rsidRPr="004D381F" w:rsidRDefault="00863E20">
      <w:pPr>
        <w:rPr>
          <w:rFonts w:ascii="Arial" w:hAnsi="Arial" w:cs="Arial"/>
        </w:rPr>
      </w:pPr>
    </w:p>
    <w:p w:rsidR="00BF5896" w:rsidRDefault="00BF5896">
      <w:pPr>
        <w:rPr>
          <w:rFonts w:ascii="Arial" w:hAnsi="Arial" w:cs="Arial"/>
        </w:rPr>
      </w:pPr>
      <w:r>
        <w:rPr>
          <w:rFonts w:ascii="Arial" w:hAnsi="Arial" w:cs="Arial"/>
          <w:b/>
          <w:i/>
        </w:rPr>
        <w:t>Q18</w:t>
      </w:r>
      <w:r w:rsidR="00021FB2">
        <w:rPr>
          <w:rFonts w:ascii="Arial" w:hAnsi="Arial" w:cs="Arial"/>
        </w:rPr>
        <w:t xml:space="preserve"> There are several types of risk identification, assessment and management models that should be utilised when dealing with public protection offences. </w:t>
      </w:r>
    </w:p>
    <w:p w:rsidR="00021FB2" w:rsidRDefault="00021FB2">
      <w:pPr>
        <w:rPr>
          <w:rFonts w:ascii="Arial" w:hAnsi="Arial" w:cs="Arial"/>
        </w:rPr>
      </w:pPr>
      <w:r>
        <w:rPr>
          <w:rFonts w:ascii="Arial" w:hAnsi="Arial" w:cs="Arial"/>
        </w:rPr>
        <w:t xml:space="preserve">For example, </w:t>
      </w:r>
    </w:p>
    <w:p w:rsidR="00021FB2" w:rsidRDefault="00021FB2">
      <w:pPr>
        <w:rPr>
          <w:rFonts w:ascii="Arial" w:hAnsi="Arial" w:cs="Arial"/>
        </w:rPr>
      </w:pPr>
      <w:r>
        <w:rPr>
          <w:rFonts w:ascii="Arial" w:hAnsi="Arial" w:cs="Arial"/>
        </w:rPr>
        <w:t xml:space="preserve">Child Protection Plan – this plan is created through multi-agency partnerships and includes any arrangements that should be made in order to safeguard a child who has been a victim of child cruelty or one who is likely to be a victim of child cruelty. This plan ensures that the child is safe where it lives, and looks to support parents who do not understand how to appropriately care for a child. This is often created through a MARAC meeting. </w:t>
      </w:r>
    </w:p>
    <w:p w:rsidR="00021FB2" w:rsidRDefault="00021FB2">
      <w:pPr>
        <w:rPr>
          <w:rFonts w:ascii="Arial" w:hAnsi="Arial" w:cs="Arial"/>
        </w:rPr>
      </w:pPr>
      <w:r>
        <w:rPr>
          <w:rFonts w:ascii="Arial" w:hAnsi="Arial" w:cs="Arial"/>
        </w:rPr>
        <w:t xml:space="preserve">DASH (Domestic Abuse, Stalking and Harassment) – this is a risk identification, assessment and management tool that is used in cases of domestic abuse, stalking, harassment and recently began to include honour based abuse. This identifies the risk to victims through a number of questions carried out, and identify risk on a standard, medium or high basis. This allows the appropriate agencies to ensure safeguarding measures are in place to protect a victim of any of the above offences. </w:t>
      </w:r>
    </w:p>
    <w:p w:rsidR="00A420CD" w:rsidRPr="00021FB2" w:rsidRDefault="00A420CD">
      <w:pPr>
        <w:rPr>
          <w:rFonts w:ascii="Arial" w:hAnsi="Arial" w:cs="Arial"/>
        </w:rPr>
      </w:pPr>
    </w:p>
    <w:p w:rsidR="00A420CD" w:rsidRDefault="00BF5896">
      <w:pPr>
        <w:rPr>
          <w:rFonts w:ascii="Arial" w:hAnsi="Arial" w:cs="Arial"/>
        </w:rPr>
      </w:pPr>
      <w:r>
        <w:rPr>
          <w:rFonts w:ascii="Arial" w:hAnsi="Arial" w:cs="Arial"/>
          <w:b/>
          <w:i/>
        </w:rPr>
        <w:t>Q19</w:t>
      </w:r>
      <w:r w:rsidR="00A420CD">
        <w:rPr>
          <w:rFonts w:ascii="Arial" w:hAnsi="Arial" w:cs="Arial"/>
        </w:rPr>
        <w:t xml:space="preserve"> Public Protection Notifications (PPNs) are used in order to notify other partner agencies of a risk of harm to a person, whether that be an adult or child, who requires further support from partner agencies, such as someone with learning difficulties or mental ill health who </w:t>
      </w:r>
      <w:r w:rsidR="00A420CD">
        <w:rPr>
          <w:rFonts w:ascii="Arial" w:hAnsi="Arial" w:cs="Arial"/>
        </w:rPr>
        <w:lastRenderedPageBreak/>
        <w:t xml:space="preserve">requires further help in the community, or a child who is at risk at home of being exposed to child cruelty or any other kinds of abuse. </w:t>
      </w:r>
    </w:p>
    <w:p w:rsidR="00A420CD" w:rsidRDefault="00A420CD">
      <w:pPr>
        <w:rPr>
          <w:rFonts w:ascii="Arial" w:hAnsi="Arial" w:cs="Arial"/>
        </w:rPr>
      </w:pPr>
      <w:r>
        <w:rPr>
          <w:rFonts w:ascii="Arial" w:hAnsi="Arial" w:cs="Arial"/>
        </w:rPr>
        <w:t xml:space="preserve">A PPN should highlight the following – </w:t>
      </w:r>
    </w:p>
    <w:p w:rsidR="00A420CD" w:rsidRDefault="00A420CD">
      <w:pPr>
        <w:rPr>
          <w:rFonts w:ascii="Arial" w:hAnsi="Arial" w:cs="Arial"/>
        </w:rPr>
      </w:pPr>
      <w:r>
        <w:rPr>
          <w:rFonts w:ascii="Arial" w:hAnsi="Arial" w:cs="Arial"/>
        </w:rPr>
        <w:t xml:space="preserve">What the risk is </w:t>
      </w:r>
    </w:p>
    <w:p w:rsidR="00A420CD" w:rsidRDefault="00A420CD">
      <w:pPr>
        <w:rPr>
          <w:rFonts w:ascii="Arial" w:hAnsi="Arial" w:cs="Arial"/>
        </w:rPr>
      </w:pPr>
      <w:r>
        <w:rPr>
          <w:rFonts w:ascii="Arial" w:hAnsi="Arial" w:cs="Arial"/>
        </w:rPr>
        <w:t>Who the risk is too</w:t>
      </w:r>
    </w:p>
    <w:p w:rsidR="00A420CD" w:rsidRDefault="00A420CD">
      <w:pPr>
        <w:rPr>
          <w:rFonts w:ascii="Arial" w:hAnsi="Arial" w:cs="Arial"/>
        </w:rPr>
      </w:pPr>
      <w:r>
        <w:rPr>
          <w:rFonts w:ascii="Arial" w:hAnsi="Arial" w:cs="Arial"/>
        </w:rPr>
        <w:t>Where they live</w:t>
      </w:r>
    </w:p>
    <w:p w:rsidR="00A420CD" w:rsidRDefault="00A420CD">
      <w:pPr>
        <w:rPr>
          <w:rFonts w:ascii="Arial" w:hAnsi="Arial" w:cs="Arial"/>
        </w:rPr>
      </w:pPr>
      <w:r>
        <w:rPr>
          <w:rFonts w:ascii="Arial" w:hAnsi="Arial" w:cs="Arial"/>
        </w:rPr>
        <w:t xml:space="preserve">How likely is the </w:t>
      </w:r>
      <w:proofErr w:type="gramStart"/>
      <w:r>
        <w:rPr>
          <w:rFonts w:ascii="Arial" w:hAnsi="Arial" w:cs="Arial"/>
        </w:rPr>
        <w:t>risk</w:t>
      </w:r>
      <w:proofErr w:type="gramEnd"/>
    </w:p>
    <w:p w:rsidR="00A420CD" w:rsidRDefault="00A420CD">
      <w:pPr>
        <w:rPr>
          <w:rFonts w:ascii="Arial" w:hAnsi="Arial" w:cs="Arial"/>
        </w:rPr>
      </w:pPr>
      <w:r>
        <w:rPr>
          <w:rFonts w:ascii="Arial" w:hAnsi="Arial" w:cs="Arial"/>
        </w:rPr>
        <w:t>What school they go to (if a child)</w:t>
      </w:r>
    </w:p>
    <w:p w:rsidR="00A420CD" w:rsidRDefault="00A420CD">
      <w:pPr>
        <w:rPr>
          <w:rFonts w:ascii="Arial" w:hAnsi="Arial" w:cs="Arial"/>
        </w:rPr>
      </w:pPr>
      <w:r>
        <w:rPr>
          <w:rFonts w:ascii="Arial" w:hAnsi="Arial" w:cs="Arial"/>
        </w:rPr>
        <w:t>Living arrangements</w:t>
      </w:r>
    </w:p>
    <w:p w:rsidR="00A420CD" w:rsidRDefault="00A420CD">
      <w:pPr>
        <w:rPr>
          <w:rFonts w:ascii="Arial" w:hAnsi="Arial" w:cs="Arial"/>
        </w:rPr>
      </w:pPr>
      <w:proofErr w:type="gramStart"/>
      <w:r>
        <w:rPr>
          <w:rFonts w:ascii="Arial" w:hAnsi="Arial" w:cs="Arial"/>
        </w:rPr>
        <w:t>Doctors</w:t>
      </w:r>
      <w:proofErr w:type="gramEnd"/>
      <w:r>
        <w:rPr>
          <w:rFonts w:ascii="Arial" w:hAnsi="Arial" w:cs="Arial"/>
        </w:rPr>
        <w:t xml:space="preserve"> surgery</w:t>
      </w:r>
    </w:p>
    <w:p w:rsidR="00A420CD" w:rsidRDefault="00A420CD">
      <w:pPr>
        <w:rPr>
          <w:rFonts w:ascii="Arial" w:hAnsi="Arial" w:cs="Arial"/>
        </w:rPr>
      </w:pPr>
      <w:r>
        <w:rPr>
          <w:rFonts w:ascii="Arial" w:hAnsi="Arial" w:cs="Arial"/>
        </w:rPr>
        <w:t xml:space="preserve">It also includes an opportunity for the officer filling out the PPN to write in a free text box about any observations they have made and anything they would like to make the partner agencies aware of. </w:t>
      </w:r>
    </w:p>
    <w:p w:rsidR="00A420CD" w:rsidRDefault="00A420CD">
      <w:pPr>
        <w:rPr>
          <w:rFonts w:ascii="Arial" w:hAnsi="Arial" w:cs="Arial"/>
        </w:rPr>
      </w:pPr>
      <w:r>
        <w:rPr>
          <w:rFonts w:ascii="Arial" w:hAnsi="Arial" w:cs="Arial"/>
        </w:rPr>
        <w:t xml:space="preserve">The partner agencies a PPN is often sent to is the local social services department, but they can also be utilised in cases of domestic abuse, stalking, harassment or honour based abuse, as PPNs now include the DASH risk assessment tool within them. </w:t>
      </w:r>
    </w:p>
    <w:p w:rsidR="00A420CD" w:rsidRDefault="00A420CD">
      <w:pPr>
        <w:rPr>
          <w:rFonts w:ascii="Arial" w:hAnsi="Arial" w:cs="Arial"/>
        </w:rPr>
      </w:pPr>
      <w:r>
        <w:rPr>
          <w:rFonts w:ascii="Arial" w:hAnsi="Arial" w:cs="Arial"/>
        </w:rPr>
        <w:t xml:space="preserve">The information provided within a PPN is then used within MAPPA and MARAC meetings with partner agencies, such as social services, probation service, prison service, child services, </w:t>
      </w:r>
      <w:proofErr w:type="gramStart"/>
      <w:r>
        <w:rPr>
          <w:rFonts w:ascii="Arial" w:hAnsi="Arial" w:cs="Arial"/>
        </w:rPr>
        <w:t>local</w:t>
      </w:r>
      <w:proofErr w:type="gramEnd"/>
      <w:r>
        <w:rPr>
          <w:rFonts w:ascii="Arial" w:hAnsi="Arial" w:cs="Arial"/>
        </w:rPr>
        <w:t xml:space="preserve"> schools and so on. This is done in order to safeguard those the PPN is regarding, as well as to provide support to the wider community who may be at risk also. </w:t>
      </w:r>
    </w:p>
    <w:p w:rsidR="00A420CD" w:rsidRPr="00A420CD" w:rsidRDefault="00A420CD">
      <w:pPr>
        <w:rPr>
          <w:rFonts w:ascii="Arial" w:hAnsi="Arial" w:cs="Arial"/>
        </w:rPr>
      </w:pPr>
    </w:p>
    <w:p w:rsidR="00BF5896" w:rsidRDefault="00BF5896">
      <w:pPr>
        <w:rPr>
          <w:rFonts w:ascii="Arial" w:hAnsi="Arial" w:cs="Arial"/>
        </w:rPr>
      </w:pPr>
      <w:r>
        <w:rPr>
          <w:rFonts w:ascii="Arial" w:hAnsi="Arial" w:cs="Arial"/>
          <w:b/>
          <w:i/>
        </w:rPr>
        <w:t>Q20</w:t>
      </w:r>
      <w:r w:rsidR="001C7500">
        <w:rPr>
          <w:rFonts w:ascii="Arial" w:hAnsi="Arial" w:cs="Arial"/>
        </w:rPr>
        <w:t xml:space="preserve"> </w:t>
      </w:r>
      <w:r w:rsidR="008A1257">
        <w:rPr>
          <w:rFonts w:ascii="Arial" w:hAnsi="Arial" w:cs="Arial"/>
        </w:rPr>
        <w:t xml:space="preserve">Domestic </w:t>
      </w:r>
      <w:r w:rsidR="001C7500">
        <w:rPr>
          <w:rFonts w:ascii="Arial" w:hAnsi="Arial" w:cs="Arial"/>
        </w:rPr>
        <w:t xml:space="preserve">Violence Protection Notice/Notifications were created through the Crime and Security Act 2010, and these allow officers to apply for safeguarding measures to be put in place for victims of domestic incidents within the initial 48hours after an incident has occurred. </w:t>
      </w:r>
    </w:p>
    <w:p w:rsidR="00DC6068" w:rsidRDefault="001C7500">
      <w:pPr>
        <w:rPr>
          <w:rFonts w:ascii="Arial" w:hAnsi="Arial" w:cs="Arial"/>
        </w:rPr>
      </w:pPr>
      <w:r>
        <w:rPr>
          <w:rFonts w:ascii="Arial" w:hAnsi="Arial" w:cs="Arial"/>
        </w:rPr>
        <w:t>A DVPN should include prohibitions for the defendant, and can include things such as not to visit a particular address where the victim is staying</w:t>
      </w:r>
      <w:r w:rsidR="00DC6068">
        <w:rPr>
          <w:rFonts w:ascii="Arial" w:hAnsi="Arial" w:cs="Arial"/>
        </w:rPr>
        <w:t xml:space="preserve">, and not to have contact with the victim. </w:t>
      </w:r>
    </w:p>
    <w:p w:rsidR="00DC6068" w:rsidRDefault="00DC6068">
      <w:pPr>
        <w:rPr>
          <w:rFonts w:ascii="Arial" w:hAnsi="Arial" w:cs="Arial"/>
        </w:rPr>
      </w:pPr>
      <w:r>
        <w:rPr>
          <w:rFonts w:ascii="Arial" w:hAnsi="Arial" w:cs="Arial"/>
        </w:rPr>
        <w:t xml:space="preserve">An officer who wishes to apply for a DVPN should make this aware to the Custody Sgt and any overseeing officer as soon as possible. </w:t>
      </w:r>
    </w:p>
    <w:p w:rsidR="009E30EA" w:rsidRDefault="00DC6068">
      <w:pPr>
        <w:rPr>
          <w:rFonts w:ascii="Arial" w:hAnsi="Arial" w:cs="Arial"/>
        </w:rPr>
      </w:pPr>
      <w:r>
        <w:rPr>
          <w:rFonts w:ascii="Arial" w:hAnsi="Arial" w:cs="Arial"/>
        </w:rPr>
        <w:t xml:space="preserve">A supervising officer, usually a Superintendent or above, will then consider whether there are any </w:t>
      </w:r>
      <w:r w:rsidR="009E30EA">
        <w:rPr>
          <w:rFonts w:ascii="Arial" w:hAnsi="Arial" w:cs="Arial"/>
        </w:rPr>
        <w:t xml:space="preserve">reasonable grounds to suspect that violence or threats of violence has been used on this occasion against the victim, and whether the DVPN is necessary in order to protect the victim from future harm. </w:t>
      </w:r>
    </w:p>
    <w:p w:rsidR="009E30EA" w:rsidRDefault="009E30EA">
      <w:pPr>
        <w:rPr>
          <w:rFonts w:ascii="Arial" w:hAnsi="Arial" w:cs="Arial"/>
        </w:rPr>
      </w:pPr>
      <w:r>
        <w:rPr>
          <w:rFonts w:ascii="Arial" w:hAnsi="Arial" w:cs="Arial"/>
        </w:rPr>
        <w:t xml:space="preserve">If the supervising officer believes that this is the case, a DVPN will be given to the suspect/offender. </w:t>
      </w:r>
    </w:p>
    <w:p w:rsidR="009E30EA" w:rsidRDefault="009E30EA">
      <w:pPr>
        <w:rPr>
          <w:rFonts w:ascii="Arial" w:hAnsi="Arial" w:cs="Arial"/>
        </w:rPr>
      </w:pPr>
      <w:r>
        <w:rPr>
          <w:rFonts w:ascii="Arial" w:hAnsi="Arial" w:cs="Arial"/>
        </w:rPr>
        <w:t xml:space="preserve">Following this, within 48hours, the initiating officer can then apply to the Magistrates Court within this time for a Domestic Violence Protection Order, which would provide further protection for the victim for a period between 14 and 28days. </w:t>
      </w:r>
    </w:p>
    <w:p w:rsidR="009E30EA" w:rsidRDefault="009E30EA">
      <w:pPr>
        <w:rPr>
          <w:rFonts w:ascii="Arial" w:hAnsi="Arial" w:cs="Arial"/>
        </w:rPr>
      </w:pPr>
      <w:r>
        <w:rPr>
          <w:rFonts w:ascii="Arial" w:hAnsi="Arial" w:cs="Arial"/>
        </w:rPr>
        <w:lastRenderedPageBreak/>
        <w:t xml:space="preserve">Once a DVPN has been issued to the offender, that is when the 48hours begins, and if this is breached, it is an </w:t>
      </w:r>
      <w:proofErr w:type="spellStart"/>
      <w:r>
        <w:rPr>
          <w:rFonts w:ascii="Arial" w:hAnsi="Arial" w:cs="Arial"/>
        </w:rPr>
        <w:t>arrestable</w:t>
      </w:r>
      <w:proofErr w:type="spellEnd"/>
      <w:r>
        <w:rPr>
          <w:rFonts w:ascii="Arial" w:hAnsi="Arial" w:cs="Arial"/>
        </w:rPr>
        <w:t xml:space="preserve"> offence, whereby the offender would be put before the Magistrates’ Court. </w:t>
      </w:r>
    </w:p>
    <w:p w:rsidR="009E30EA" w:rsidRDefault="009E30EA">
      <w:pPr>
        <w:rPr>
          <w:rFonts w:ascii="Arial" w:hAnsi="Arial" w:cs="Arial"/>
        </w:rPr>
      </w:pPr>
      <w:r>
        <w:rPr>
          <w:rFonts w:ascii="Arial" w:hAnsi="Arial" w:cs="Arial"/>
        </w:rPr>
        <w:t xml:space="preserve">It is key to note here that DVPNs will only be given in particular circumstances, and officers should apply for them as soon as possible. Additionally, DVPNs are not the solution and the only resolution available to officers, and therefore should be considered alongside charging or cautioning the offender for offences. </w:t>
      </w:r>
    </w:p>
    <w:p w:rsidR="001C7500" w:rsidRPr="008A1257" w:rsidRDefault="001C7500">
      <w:pPr>
        <w:rPr>
          <w:rFonts w:ascii="Arial" w:hAnsi="Arial" w:cs="Arial"/>
        </w:rPr>
      </w:pPr>
      <w:r>
        <w:rPr>
          <w:rFonts w:ascii="Arial" w:hAnsi="Arial" w:cs="Arial"/>
        </w:rPr>
        <w:t xml:space="preserve"> </w:t>
      </w:r>
    </w:p>
    <w:p w:rsidR="00BF5896" w:rsidRDefault="00BF5896">
      <w:pPr>
        <w:rPr>
          <w:rFonts w:ascii="Arial" w:hAnsi="Arial" w:cs="Arial"/>
        </w:rPr>
      </w:pPr>
      <w:r>
        <w:rPr>
          <w:rFonts w:ascii="Arial" w:hAnsi="Arial" w:cs="Arial"/>
          <w:b/>
          <w:i/>
        </w:rPr>
        <w:t>Q21</w:t>
      </w:r>
      <w:r w:rsidR="008944EF">
        <w:rPr>
          <w:rFonts w:ascii="Arial" w:hAnsi="Arial" w:cs="Arial"/>
          <w:b/>
          <w:i/>
        </w:rPr>
        <w:t xml:space="preserve"> </w:t>
      </w:r>
      <w:r w:rsidR="008944EF">
        <w:rPr>
          <w:rFonts w:ascii="Arial" w:hAnsi="Arial" w:cs="Arial"/>
        </w:rPr>
        <w:t xml:space="preserve">Child Sexual Exploitation is a form of child sexual abuse. It is where an individual or group over the age of 18 seeks to take advantage of an imbalance of power to coerce, manipulate and/or deceive a person under the age of 18 to take part in sexual activity in order to obtain the following – (a) something the victim wants or needs; or (b) the financial status or increased status of the facilitator or offender. </w:t>
      </w:r>
    </w:p>
    <w:p w:rsidR="008944EF" w:rsidRDefault="008944EF">
      <w:pPr>
        <w:rPr>
          <w:rFonts w:ascii="Arial" w:hAnsi="Arial" w:cs="Arial"/>
        </w:rPr>
      </w:pPr>
      <w:r>
        <w:rPr>
          <w:rFonts w:ascii="Arial" w:hAnsi="Arial" w:cs="Arial"/>
        </w:rPr>
        <w:t xml:space="preserve">It is important to note that even if it appears that a person under 18 has consented to sexual activity, it is not always the case, and coercive behaviour should be considered. </w:t>
      </w:r>
    </w:p>
    <w:p w:rsidR="008944EF" w:rsidRDefault="008944EF">
      <w:pPr>
        <w:rPr>
          <w:rFonts w:ascii="Arial" w:hAnsi="Arial" w:cs="Arial"/>
        </w:rPr>
      </w:pPr>
      <w:r>
        <w:rPr>
          <w:rFonts w:ascii="Arial" w:hAnsi="Arial" w:cs="Arial"/>
        </w:rPr>
        <w:t xml:space="preserve">Child Sexual Exploitation is carried out in a number of ways, which can be described through a number of models – the inappropriate relationship model, whereby a person much older than the victim takes advantage of this imbalance of power; the fake relationship model, which is whereby the offender or facilitator pretends to be in a relationship with the victim in order to take advantage and manipulate the victim into participating in sexual activity; or through organised crime and trafficking, whereby organised groups target particularly members of society, such as children in looked after care, in order to sexually exploit them. </w:t>
      </w:r>
    </w:p>
    <w:p w:rsidR="008944EF" w:rsidRDefault="008944EF">
      <w:pPr>
        <w:rPr>
          <w:rFonts w:ascii="Arial" w:hAnsi="Arial" w:cs="Arial"/>
        </w:rPr>
      </w:pPr>
      <w:r>
        <w:rPr>
          <w:rFonts w:ascii="Arial" w:hAnsi="Arial" w:cs="Arial"/>
        </w:rPr>
        <w:t xml:space="preserve">It is also key to note that this does not have to involve the physical sexual abuse of a child through penetrative or non-penetrative acts, but it can also be carried out through the use of technology. </w:t>
      </w:r>
    </w:p>
    <w:p w:rsidR="002B0143" w:rsidRPr="008944EF" w:rsidRDefault="002B0143">
      <w:pPr>
        <w:rPr>
          <w:rFonts w:ascii="Arial" w:hAnsi="Arial" w:cs="Arial"/>
        </w:rPr>
      </w:pPr>
    </w:p>
    <w:p w:rsidR="00BF5896" w:rsidRDefault="00BF5896">
      <w:pPr>
        <w:rPr>
          <w:rFonts w:ascii="Arial" w:hAnsi="Arial" w:cs="Arial"/>
        </w:rPr>
      </w:pPr>
      <w:r>
        <w:rPr>
          <w:rFonts w:ascii="Arial" w:hAnsi="Arial" w:cs="Arial"/>
          <w:b/>
          <w:i/>
        </w:rPr>
        <w:t>Q22</w:t>
      </w:r>
      <w:r w:rsidR="002B0143">
        <w:rPr>
          <w:rFonts w:ascii="Arial" w:hAnsi="Arial" w:cs="Arial"/>
        </w:rPr>
        <w:t xml:space="preserve"> </w:t>
      </w:r>
      <w:proofErr w:type="gramStart"/>
      <w:r w:rsidR="002B0143">
        <w:rPr>
          <w:rFonts w:ascii="Arial" w:hAnsi="Arial" w:cs="Arial"/>
        </w:rPr>
        <w:t>The</w:t>
      </w:r>
      <w:proofErr w:type="gramEnd"/>
      <w:r w:rsidR="002B0143">
        <w:rPr>
          <w:rFonts w:ascii="Arial" w:hAnsi="Arial" w:cs="Arial"/>
        </w:rPr>
        <w:t xml:space="preserve"> Child Sexual Offender Disclosure Scheme was introduced through a number of trials in 2008 across England and Wales, and was subsequently introduced throughout the whole of England and Wales in 2010. </w:t>
      </w:r>
    </w:p>
    <w:p w:rsidR="002B0143" w:rsidRDefault="002B0143">
      <w:pPr>
        <w:rPr>
          <w:rFonts w:ascii="Arial" w:hAnsi="Arial" w:cs="Arial"/>
        </w:rPr>
      </w:pPr>
      <w:r>
        <w:rPr>
          <w:rFonts w:ascii="Arial" w:hAnsi="Arial" w:cs="Arial"/>
        </w:rPr>
        <w:t xml:space="preserve">The scheme allows members of the community who are in contact with children, for example parents, grandparents, carers or guardians, as well as third parties to </w:t>
      </w:r>
      <w:r w:rsidR="00A63B75">
        <w:rPr>
          <w:rFonts w:ascii="Arial" w:hAnsi="Arial" w:cs="Arial"/>
        </w:rPr>
        <w:t xml:space="preserve">be allowed controlled access to the Sex Offenders Register, if it is deemed necessary for this information to be provided about a person who may have been convicted of child sexual offences in the local area. </w:t>
      </w:r>
    </w:p>
    <w:p w:rsidR="00A63B75" w:rsidRDefault="00A63B75">
      <w:pPr>
        <w:rPr>
          <w:rFonts w:ascii="Arial" w:hAnsi="Arial" w:cs="Arial"/>
        </w:rPr>
      </w:pPr>
      <w:r>
        <w:rPr>
          <w:rFonts w:ascii="Arial" w:hAnsi="Arial" w:cs="Arial"/>
        </w:rPr>
        <w:t xml:space="preserve">However, disclosure is only to be provided to those who can appropriate safeguard child from harm after receiving this information. </w:t>
      </w:r>
    </w:p>
    <w:p w:rsidR="00A63B75" w:rsidRDefault="00A63B75">
      <w:pPr>
        <w:rPr>
          <w:rFonts w:ascii="Arial" w:hAnsi="Arial" w:cs="Arial"/>
        </w:rPr>
      </w:pPr>
      <w:r>
        <w:rPr>
          <w:rFonts w:ascii="Arial" w:hAnsi="Arial" w:cs="Arial"/>
        </w:rPr>
        <w:t xml:space="preserve">The process follows 6 stages, whereby initial contact is made by the person seeking the information to the police; the a face-to-face application must be completed; risk assessment and background checks must then be carried out, surrounding the person making the application and the offender; then a disclosure decision is to be made by a panel; and finally, if disclosure is to be made, this is provided to the person who can adequately protect the child from harm in a confidential nature. If disclosure is to be made, and deemed necessary, then it is. But it is not, no information is provided and the application is closed. </w:t>
      </w:r>
    </w:p>
    <w:p w:rsidR="00A63B75" w:rsidRPr="002B0143" w:rsidRDefault="00A63B75">
      <w:pPr>
        <w:rPr>
          <w:rFonts w:ascii="Arial" w:hAnsi="Arial" w:cs="Arial"/>
        </w:rPr>
      </w:pPr>
    </w:p>
    <w:p w:rsidR="00BF5896" w:rsidRDefault="00BF5896">
      <w:pPr>
        <w:rPr>
          <w:rFonts w:ascii="Arial" w:hAnsi="Arial" w:cs="Arial"/>
        </w:rPr>
      </w:pPr>
      <w:r>
        <w:rPr>
          <w:rFonts w:ascii="Arial" w:hAnsi="Arial" w:cs="Arial"/>
          <w:b/>
          <w:i/>
        </w:rPr>
        <w:lastRenderedPageBreak/>
        <w:t>Q23</w:t>
      </w:r>
      <w:r w:rsidR="00E11807">
        <w:rPr>
          <w:rFonts w:ascii="Arial" w:hAnsi="Arial" w:cs="Arial"/>
        </w:rPr>
        <w:t xml:space="preserve"> – Section 75 of the Sexual Offences Act 2003 sets out the evidential presumptions that a court can make in relation to consent in a sexual offence. </w:t>
      </w:r>
    </w:p>
    <w:p w:rsidR="00E11807" w:rsidRDefault="00E11807">
      <w:pPr>
        <w:rPr>
          <w:rFonts w:ascii="Arial" w:hAnsi="Arial" w:cs="Arial"/>
        </w:rPr>
      </w:pPr>
      <w:r>
        <w:rPr>
          <w:rFonts w:ascii="Arial" w:hAnsi="Arial" w:cs="Arial"/>
        </w:rPr>
        <w:t>Section 75(a) sets out that an evidential presumption can be made if-</w:t>
      </w:r>
    </w:p>
    <w:p w:rsidR="00E11807" w:rsidRDefault="00E11807">
      <w:pPr>
        <w:rPr>
          <w:rFonts w:ascii="Arial" w:hAnsi="Arial" w:cs="Arial"/>
        </w:rPr>
      </w:pPr>
      <w:r>
        <w:rPr>
          <w:rFonts w:ascii="Arial" w:hAnsi="Arial" w:cs="Arial"/>
        </w:rPr>
        <w:t>The defendant carried out the sexual assault;</w:t>
      </w:r>
    </w:p>
    <w:p w:rsidR="00E11807" w:rsidRDefault="00E11807">
      <w:pPr>
        <w:rPr>
          <w:rFonts w:ascii="Arial" w:hAnsi="Arial" w:cs="Arial"/>
        </w:rPr>
      </w:pPr>
      <w:r>
        <w:rPr>
          <w:rFonts w:ascii="Arial" w:hAnsi="Arial" w:cs="Arial"/>
        </w:rPr>
        <w:t xml:space="preserve">Any of the specified circumstances existed; </w:t>
      </w:r>
    </w:p>
    <w:p w:rsidR="00E11807" w:rsidRDefault="00E11807">
      <w:pPr>
        <w:rPr>
          <w:rFonts w:ascii="Arial" w:hAnsi="Arial" w:cs="Arial"/>
        </w:rPr>
      </w:pPr>
      <w:r>
        <w:rPr>
          <w:rFonts w:ascii="Arial" w:hAnsi="Arial" w:cs="Arial"/>
        </w:rPr>
        <w:t xml:space="preserve">And the defendant was aware that the specified circumstances existed. </w:t>
      </w:r>
    </w:p>
    <w:p w:rsidR="00E11807" w:rsidRDefault="00E11807">
      <w:pPr>
        <w:rPr>
          <w:rFonts w:ascii="Arial" w:hAnsi="Arial" w:cs="Arial"/>
        </w:rPr>
      </w:pPr>
    </w:p>
    <w:p w:rsidR="00E11807" w:rsidRDefault="00E11807">
      <w:pPr>
        <w:rPr>
          <w:rFonts w:ascii="Arial" w:hAnsi="Arial" w:cs="Arial"/>
        </w:rPr>
      </w:pPr>
      <w:r>
        <w:rPr>
          <w:rFonts w:ascii="Arial" w:hAnsi="Arial" w:cs="Arial"/>
        </w:rPr>
        <w:t>Section 75(b) sets out what the specified circumstances are –</w:t>
      </w:r>
    </w:p>
    <w:p w:rsidR="00E11807" w:rsidRDefault="00E11807">
      <w:pPr>
        <w:rPr>
          <w:rFonts w:ascii="Arial" w:hAnsi="Arial" w:cs="Arial"/>
        </w:rPr>
      </w:pPr>
      <w:r>
        <w:rPr>
          <w:rFonts w:ascii="Arial" w:hAnsi="Arial" w:cs="Arial"/>
        </w:rPr>
        <w:t>Fear or use of violence</w:t>
      </w:r>
    </w:p>
    <w:p w:rsidR="00E11807" w:rsidRDefault="00E11807">
      <w:pPr>
        <w:rPr>
          <w:rFonts w:ascii="Arial" w:hAnsi="Arial" w:cs="Arial"/>
        </w:rPr>
      </w:pPr>
      <w:r>
        <w:rPr>
          <w:rFonts w:ascii="Arial" w:hAnsi="Arial" w:cs="Arial"/>
        </w:rPr>
        <w:t>Unconsciousness</w:t>
      </w:r>
    </w:p>
    <w:p w:rsidR="00E11807" w:rsidRDefault="00E11807">
      <w:pPr>
        <w:rPr>
          <w:rFonts w:ascii="Arial" w:hAnsi="Arial" w:cs="Arial"/>
        </w:rPr>
      </w:pPr>
      <w:r>
        <w:rPr>
          <w:rFonts w:ascii="Arial" w:hAnsi="Arial" w:cs="Arial"/>
        </w:rPr>
        <w:t>Unlawful detention</w:t>
      </w:r>
    </w:p>
    <w:p w:rsidR="00E11807" w:rsidRDefault="00E11807">
      <w:pPr>
        <w:rPr>
          <w:rFonts w:ascii="Arial" w:hAnsi="Arial" w:cs="Arial"/>
        </w:rPr>
      </w:pPr>
      <w:r>
        <w:rPr>
          <w:rFonts w:ascii="Arial" w:hAnsi="Arial" w:cs="Arial"/>
        </w:rPr>
        <w:t>Inability to communicate through physical disability</w:t>
      </w:r>
    </w:p>
    <w:p w:rsidR="00E11807" w:rsidRDefault="00E11807">
      <w:pPr>
        <w:rPr>
          <w:rFonts w:ascii="Arial" w:hAnsi="Arial" w:cs="Arial"/>
        </w:rPr>
      </w:pPr>
      <w:r>
        <w:rPr>
          <w:rFonts w:ascii="Arial" w:hAnsi="Arial" w:cs="Arial"/>
        </w:rPr>
        <w:t xml:space="preserve">Substances </w:t>
      </w:r>
      <w:proofErr w:type="gramStart"/>
      <w:r>
        <w:rPr>
          <w:rFonts w:ascii="Arial" w:hAnsi="Arial" w:cs="Arial"/>
        </w:rPr>
        <w:t>non</w:t>
      </w:r>
      <w:proofErr w:type="gramEnd"/>
      <w:r>
        <w:rPr>
          <w:rFonts w:ascii="Arial" w:hAnsi="Arial" w:cs="Arial"/>
        </w:rPr>
        <w:t xml:space="preserve"> consensually given to the victim with the intent of stupefying the victim. </w:t>
      </w:r>
    </w:p>
    <w:p w:rsidR="00E11807" w:rsidRPr="00E11807" w:rsidRDefault="00E11807">
      <w:pPr>
        <w:rPr>
          <w:rFonts w:ascii="Arial" w:hAnsi="Arial" w:cs="Arial"/>
        </w:rPr>
      </w:pPr>
    </w:p>
    <w:p w:rsidR="001F3910" w:rsidRDefault="00BF5896">
      <w:pPr>
        <w:rPr>
          <w:rFonts w:ascii="Arial" w:hAnsi="Arial" w:cs="Arial"/>
        </w:rPr>
      </w:pPr>
      <w:r>
        <w:rPr>
          <w:rFonts w:ascii="Arial" w:hAnsi="Arial" w:cs="Arial"/>
          <w:b/>
          <w:i/>
        </w:rPr>
        <w:t>Q24</w:t>
      </w:r>
      <w:r w:rsidR="001F3910">
        <w:rPr>
          <w:rFonts w:ascii="Arial" w:hAnsi="Arial" w:cs="Arial"/>
        </w:rPr>
        <w:t xml:space="preserve"> </w:t>
      </w:r>
      <w:proofErr w:type="gramStart"/>
      <w:r w:rsidR="001F3910">
        <w:rPr>
          <w:rFonts w:ascii="Arial" w:hAnsi="Arial" w:cs="Arial"/>
        </w:rPr>
        <w:t>The</w:t>
      </w:r>
      <w:proofErr w:type="gramEnd"/>
      <w:r w:rsidR="001F3910">
        <w:rPr>
          <w:rFonts w:ascii="Arial" w:hAnsi="Arial" w:cs="Arial"/>
        </w:rPr>
        <w:t xml:space="preserve"> Criminal Procedure Rules 2015 set out the overriding objectives which are that role of the criminal courts are as follows -  </w:t>
      </w:r>
    </w:p>
    <w:p w:rsidR="001F3910" w:rsidRDefault="001F3910" w:rsidP="001F3910">
      <w:pPr>
        <w:pStyle w:val="ListParagraph"/>
        <w:numPr>
          <w:ilvl w:val="0"/>
          <w:numId w:val="1"/>
        </w:numPr>
        <w:rPr>
          <w:rFonts w:ascii="Arial" w:hAnsi="Arial" w:cs="Arial"/>
        </w:rPr>
      </w:pPr>
      <w:r>
        <w:rPr>
          <w:rFonts w:ascii="Arial" w:hAnsi="Arial" w:cs="Arial"/>
        </w:rPr>
        <w:t>Acquitting the innocent and convicting the guilty</w:t>
      </w:r>
    </w:p>
    <w:p w:rsidR="001F3910" w:rsidRDefault="001F3910" w:rsidP="001F3910">
      <w:pPr>
        <w:pStyle w:val="ListParagraph"/>
        <w:numPr>
          <w:ilvl w:val="0"/>
          <w:numId w:val="1"/>
        </w:numPr>
        <w:rPr>
          <w:rFonts w:ascii="Arial" w:hAnsi="Arial" w:cs="Arial"/>
        </w:rPr>
      </w:pPr>
      <w:r>
        <w:rPr>
          <w:rFonts w:ascii="Arial" w:hAnsi="Arial" w:cs="Arial"/>
        </w:rPr>
        <w:t>The rights of the defendant should be considered – especially Art 6 of the ECHR</w:t>
      </w:r>
    </w:p>
    <w:p w:rsidR="001F3910" w:rsidRDefault="001F3910" w:rsidP="001F3910">
      <w:pPr>
        <w:pStyle w:val="ListParagraph"/>
        <w:numPr>
          <w:ilvl w:val="0"/>
          <w:numId w:val="1"/>
        </w:numPr>
        <w:rPr>
          <w:rFonts w:ascii="Arial" w:hAnsi="Arial" w:cs="Arial"/>
        </w:rPr>
      </w:pPr>
      <w:r>
        <w:rPr>
          <w:rFonts w:ascii="Arial" w:hAnsi="Arial" w:cs="Arial"/>
        </w:rPr>
        <w:t>All information should be provided to the court for the court to make an appropriate decision</w:t>
      </w:r>
    </w:p>
    <w:p w:rsidR="001F3910" w:rsidRDefault="001F3910" w:rsidP="001F3910">
      <w:pPr>
        <w:pStyle w:val="ListParagraph"/>
        <w:numPr>
          <w:ilvl w:val="0"/>
          <w:numId w:val="1"/>
        </w:numPr>
        <w:rPr>
          <w:rFonts w:ascii="Arial" w:hAnsi="Arial" w:cs="Arial"/>
        </w:rPr>
      </w:pPr>
      <w:r>
        <w:rPr>
          <w:rFonts w:ascii="Arial" w:hAnsi="Arial" w:cs="Arial"/>
        </w:rPr>
        <w:t>The needs of witnesses, victims and the jury should be considered and they should be kept up to date with the progress of the trial</w:t>
      </w:r>
    </w:p>
    <w:p w:rsidR="001F3910" w:rsidRDefault="001F3910" w:rsidP="001F3910">
      <w:pPr>
        <w:pStyle w:val="ListParagraph"/>
        <w:numPr>
          <w:ilvl w:val="0"/>
          <w:numId w:val="1"/>
        </w:numPr>
        <w:rPr>
          <w:rFonts w:ascii="Arial" w:hAnsi="Arial" w:cs="Arial"/>
        </w:rPr>
      </w:pPr>
      <w:r>
        <w:rPr>
          <w:rFonts w:ascii="Arial" w:hAnsi="Arial" w:cs="Arial"/>
        </w:rPr>
        <w:t xml:space="preserve">The court case should take into account the following – the severity of the case; the complexity of the case; the needs of other cases. </w:t>
      </w:r>
    </w:p>
    <w:p w:rsidR="001F3910" w:rsidRPr="001F3910" w:rsidRDefault="001F3910" w:rsidP="001F3910">
      <w:pPr>
        <w:pStyle w:val="ListParagraph"/>
        <w:numPr>
          <w:ilvl w:val="0"/>
          <w:numId w:val="1"/>
        </w:numPr>
        <w:rPr>
          <w:rFonts w:ascii="Arial" w:hAnsi="Arial" w:cs="Arial"/>
        </w:rPr>
      </w:pPr>
    </w:p>
    <w:p w:rsidR="00CE55A3" w:rsidRDefault="00BF5896">
      <w:pPr>
        <w:rPr>
          <w:rFonts w:ascii="Arial" w:hAnsi="Arial" w:cs="Arial"/>
        </w:rPr>
      </w:pPr>
      <w:r>
        <w:rPr>
          <w:rFonts w:ascii="Arial" w:hAnsi="Arial" w:cs="Arial"/>
          <w:b/>
          <w:i/>
        </w:rPr>
        <w:t>Q25</w:t>
      </w:r>
      <w:r w:rsidR="00CE55A3">
        <w:rPr>
          <w:rFonts w:ascii="Arial" w:hAnsi="Arial" w:cs="Arial"/>
          <w:b/>
          <w:i/>
        </w:rPr>
        <w:t xml:space="preserve"> </w:t>
      </w:r>
      <w:proofErr w:type="gramStart"/>
      <w:r w:rsidR="00CE55A3">
        <w:rPr>
          <w:rFonts w:ascii="Arial" w:hAnsi="Arial" w:cs="Arial"/>
        </w:rPr>
        <w:t>The</w:t>
      </w:r>
      <w:proofErr w:type="gramEnd"/>
      <w:r w:rsidR="00CE55A3">
        <w:rPr>
          <w:rFonts w:ascii="Arial" w:hAnsi="Arial" w:cs="Arial"/>
        </w:rPr>
        <w:t xml:space="preserve"> Full Code Test sets out that the Crown Prosecution Service should ensure that the two stages are met before a case can be started and continued. </w:t>
      </w:r>
    </w:p>
    <w:p w:rsidR="00CE55A3" w:rsidRDefault="00CE55A3">
      <w:pPr>
        <w:rPr>
          <w:rFonts w:ascii="Arial" w:hAnsi="Arial" w:cs="Arial"/>
        </w:rPr>
      </w:pPr>
      <w:r>
        <w:rPr>
          <w:rFonts w:ascii="Arial" w:hAnsi="Arial" w:cs="Arial"/>
        </w:rPr>
        <w:t xml:space="preserve">The two stages of the full code test are as follows – </w:t>
      </w:r>
    </w:p>
    <w:p w:rsidR="00CE55A3" w:rsidRDefault="00CE55A3">
      <w:pPr>
        <w:rPr>
          <w:rFonts w:ascii="Arial" w:hAnsi="Arial" w:cs="Arial"/>
        </w:rPr>
      </w:pPr>
      <w:r>
        <w:rPr>
          <w:rFonts w:ascii="Arial" w:hAnsi="Arial" w:cs="Arial"/>
        </w:rPr>
        <w:t>The evidential test – At this stage, pro</w:t>
      </w:r>
      <w:r w:rsidR="00DF5434">
        <w:rPr>
          <w:rFonts w:ascii="Arial" w:hAnsi="Arial" w:cs="Arial"/>
        </w:rPr>
        <w:t xml:space="preserve">secutors should ensure the following - that there is sufficient evidence for the case; that the evidence will stand up in court; that nothing can affect the evidence; the amount of evidence for the case. </w:t>
      </w:r>
    </w:p>
    <w:p w:rsidR="00CE55A3" w:rsidRDefault="00CE55A3">
      <w:pPr>
        <w:rPr>
          <w:rFonts w:ascii="Arial" w:hAnsi="Arial" w:cs="Arial"/>
        </w:rPr>
      </w:pPr>
      <w:r>
        <w:rPr>
          <w:rFonts w:ascii="Arial" w:hAnsi="Arial" w:cs="Arial"/>
        </w:rPr>
        <w:t>The public interest test</w:t>
      </w:r>
      <w:r w:rsidR="00DF5434">
        <w:rPr>
          <w:rFonts w:ascii="Arial" w:hAnsi="Arial" w:cs="Arial"/>
        </w:rPr>
        <w:t xml:space="preserve"> – At this stage, prosecutors are required to consider the following – the age and maturity of the offender at the time of the offence; whether harm was done to the victim; whether harm was done or caused to the community; the level and severity of harm; the requirement to protect the public. </w:t>
      </w:r>
    </w:p>
    <w:p w:rsidR="00DF5434" w:rsidRPr="00CE55A3" w:rsidRDefault="00DF5434">
      <w:pPr>
        <w:rPr>
          <w:rFonts w:ascii="Arial" w:hAnsi="Arial" w:cs="Arial"/>
        </w:rPr>
      </w:pPr>
      <w:r>
        <w:rPr>
          <w:rFonts w:ascii="Arial" w:hAnsi="Arial" w:cs="Arial"/>
        </w:rPr>
        <w:t xml:space="preserve">If both of these stages are not met, then the Crown Prosecution Service are not able to continue with the case, and therefore it must be dropped. </w:t>
      </w:r>
    </w:p>
    <w:p w:rsidR="00AD2831" w:rsidRDefault="00AD2831">
      <w:pPr>
        <w:rPr>
          <w:rFonts w:ascii="Arial" w:hAnsi="Arial" w:cs="Arial"/>
          <w:b/>
          <w:i/>
        </w:rPr>
      </w:pPr>
    </w:p>
    <w:p w:rsidR="00AD2831" w:rsidRPr="00AD2831" w:rsidRDefault="00AD2831">
      <w:pPr>
        <w:rPr>
          <w:rFonts w:ascii="Arial" w:hAnsi="Arial" w:cs="Arial"/>
        </w:rPr>
      </w:pPr>
    </w:p>
    <w:sectPr w:rsidR="00AD2831" w:rsidRPr="00AD2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D06524"/>
    <w:multiLevelType w:val="hybridMultilevel"/>
    <w:tmpl w:val="8E643D6C"/>
    <w:lvl w:ilvl="0" w:tplc="5C56D9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2831"/>
    <w:rsid w:val="00003F73"/>
    <w:rsid w:val="00021FB2"/>
    <w:rsid w:val="0006460F"/>
    <w:rsid w:val="001C7500"/>
    <w:rsid w:val="001F3910"/>
    <w:rsid w:val="00231742"/>
    <w:rsid w:val="002B0143"/>
    <w:rsid w:val="003C2C2E"/>
    <w:rsid w:val="004A5BBC"/>
    <w:rsid w:val="004D381F"/>
    <w:rsid w:val="0054531E"/>
    <w:rsid w:val="00761DCB"/>
    <w:rsid w:val="008102AF"/>
    <w:rsid w:val="00826231"/>
    <w:rsid w:val="00834241"/>
    <w:rsid w:val="00863E20"/>
    <w:rsid w:val="008943BA"/>
    <w:rsid w:val="008944EF"/>
    <w:rsid w:val="008A1257"/>
    <w:rsid w:val="008F34EC"/>
    <w:rsid w:val="009742EE"/>
    <w:rsid w:val="009E30EA"/>
    <w:rsid w:val="00A156B3"/>
    <w:rsid w:val="00A420CD"/>
    <w:rsid w:val="00A63B75"/>
    <w:rsid w:val="00AD2831"/>
    <w:rsid w:val="00B71035"/>
    <w:rsid w:val="00BB29C5"/>
    <w:rsid w:val="00BC7619"/>
    <w:rsid w:val="00BF5896"/>
    <w:rsid w:val="00C06F6D"/>
    <w:rsid w:val="00C87292"/>
    <w:rsid w:val="00CD0C42"/>
    <w:rsid w:val="00CE55A3"/>
    <w:rsid w:val="00D128AF"/>
    <w:rsid w:val="00DC6068"/>
    <w:rsid w:val="00DF5434"/>
    <w:rsid w:val="00E11807"/>
    <w:rsid w:val="00EA7CE0"/>
    <w:rsid w:val="00F23B2D"/>
    <w:rsid w:val="00F84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104CA"/>
  <w15:chartTrackingRefBased/>
  <w15:docId w15:val="{DC31D234-85EC-4457-B9C4-CC4D5A7C0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9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4340</Words>
  <Characters>24739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Kate R</dc:creator>
  <cp:keywords/>
  <dc:description/>
  <cp:lastModifiedBy>Jenkins, Kate R</cp:lastModifiedBy>
  <cp:revision>2</cp:revision>
  <dcterms:created xsi:type="dcterms:W3CDTF">2020-08-17T14:04:00Z</dcterms:created>
  <dcterms:modified xsi:type="dcterms:W3CDTF">2020-08-17T14:04:00Z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