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8619C4" w14:textId="77777777" w:rsidR="005F5BB3" w:rsidRDefault="005F5BB3" w:rsidP="005F5BB3">
      <w:pPr>
        <w:pStyle w:val="BodyText"/>
        <w:spacing w:before="40"/>
        <w:ind w:right="397" w:firstLine="720"/>
        <w:rPr>
          <w:rFonts w:asciiTheme="minorHAnsi" w:hAnsiTheme="minorHAnsi" w:cstheme="minorHAnsi"/>
          <w:b/>
          <w:bCs/>
          <w:u w:val="single"/>
        </w:rPr>
      </w:pPr>
    </w:p>
    <w:p w14:paraId="149898CC" w14:textId="7E597C36" w:rsidR="00CA449E" w:rsidRDefault="00CA449E" w:rsidP="00CA449E">
      <w:pPr>
        <w:pStyle w:val="NormalWeb"/>
        <w:spacing w:before="0" w:beforeAutospacing="0" w:after="0" w:afterAutospacing="0"/>
        <w:ind w:left="-180" w:right="-334"/>
      </w:pPr>
      <w:r>
        <w:rPr>
          <w:noProof/>
        </w:rPr>
        <w:drawing>
          <wp:inline distT="0" distB="0" distL="0" distR="0" wp14:anchorId="7EB8DA38" wp14:editId="1AB073DC">
            <wp:extent cx="1905000" cy="638175"/>
            <wp:effectExtent l="19050" t="19050" r="19050" b="28575"/>
            <wp:docPr id="229369986"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9369986" name="Picture 1" descr="Text&#10;&#10;Description automatically generated"/>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905000" cy="638175"/>
                    </a:xfrm>
                    <a:prstGeom prst="rect">
                      <a:avLst/>
                    </a:prstGeom>
                    <a:noFill/>
                    <a:ln w="19050" cmpd="sng">
                      <a:solidFill>
                        <a:srgbClr val="000000"/>
                      </a:solidFill>
                      <a:miter lim="800000"/>
                      <a:headEnd/>
                      <a:tailEnd/>
                    </a:ln>
                    <a:effectLst/>
                  </pic:spPr>
                </pic:pic>
              </a:graphicData>
            </a:graphic>
          </wp:inline>
        </w:drawing>
      </w:r>
    </w:p>
    <w:p w14:paraId="3D2A86BA" w14:textId="77777777" w:rsidR="00CA449E" w:rsidRDefault="00CA449E" w:rsidP="00CA449E">
      <w:pPr>
        <w:pStyle w:val="NormalWeb"/>
        <w:spacing w:before="0" w:beforeAutospacing="0" w:after="0" w:afterAutospacing="0"/>
        <w:ind w:left="-180" w:right="-334"/>
      </w:pPr>
    </w:p>
    <w:p w14:paraId="237F6563" w14:textId="77777777" w:rsidR="00CA449E" w:rsidRDefault="00CA449E" w:rsidP="00CA449E">
      <w:pPr>
        <w:pStyle w:val="NormalWeb"/>
        <w:spacing w:before="0" w:beforeAutospacing="0" w:after="0" w:afterAutospacing="0"/>
        <w:ind w:left="-180" w:right="-334"/>
      </w:pPr>
    </w:p>
    <w:p w14:paraId="69615C4E" w14:textId="77777777" w:rsidR="00CA449E" w:rsidRDefault="00CA449E" w:rsidP="00CA449E">
      <w:pPr>
        <w:pStyle w:val="NormalWeb"/>
        <w:spacing w:before="0" w:beforeAutospacing="0" w:after="0" w:afterAutospacing="0"/>
        <w:ind w:left="-180" w:right="-334"/>
        <w:jc w:val="center"/>
        <w:rPr>
          <w:rFonts w:ascii="Arial" w:hAnsi="Arial" w:cs="Arial"/>
          <w:b/>
          <w:sz w:val="28"/>
          <w:szCs w:val="28"/>
          <w:lang w:val="cy-GB"/>
        </w:rPr>
      </w:pPr>
      <w:r>
        <w:rPr>
          <w:rFonts w:ascii="Arial" w:hAnsi="Arial" w:cs="Arial"/>
          <w:b/>
          <w:sz w:val="28"/>
          <w:szCs w:val="28"/>
          <w:lang w:val="cy-GB"/>
        </w:rPr>
        <w:t xml:space="preserve">Postgraduate/Distance Learning </w:t>
      </w:r>
    </w:p>
    <w:p w14:paraId="571F1844" w14:textId="77777777" w:rsidR="00CA449E" w:rsidRDefault="00CA449E" w:rsidP="00CA449E">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Assignment coversheet &amp; feedback form</w:t>
      </w:r>
    </w:p>
    <w:p w14:paraId="5EF2D32D" w14:textId="77777777" w:rsidR="00CA449E" w:rsidRDefault="00CA449E" w:rsidP="00CA449E">
      <w:pPr>
        <w:rPr>
          <w:rFonts w:ascii="Arial" w:hAnsi="Arial" w:cs="Arial"/>
          <w:sz w:val="28"/>
          <w:szCs w:val="28"/>
          <w:lang w:val="cy-GB"/>
        </w:rPr>
      </w:pPr>
    </w:p>
    <w:p w14:paraId="249C4376" w14:textId="77777777" w:rsidR="00CA449E" w:rsidRDefault="00CA449E" w:rsidP="00CA449E">
      <w:pPr>
        <w:pStyle w:val="Heading3"/>
        <w:jc w:val="center"/>
        <w:rPr>
          <w:rFonts w:ascii="Tahoma" w:eastAsia="SimSun" w:hAnsi="Tahoma" w:cs="Tahoma"/>
          <w:sz w:val="20"/>
          <w:szCs w:val="20"/>
          <w:lang w:val="cy-GB"/>
        </w:rPr>
      </w:pPr>
      <w:r>
        <w:rPr>
          <w:rFonts w:eastAsia="SimSun"/>
          <w:lang w:val="cy-GB"/>
        </w:rPr>
        <w:t>THIS SHEET MUST BE THE FIRST PAGE OF THE ASSIGNMENT YOU ARE SUBMITTING  (DO NOT SEND AS A SEPARATE FILE)</w:t>
      </w:r>
    </w:p>
    <w:p w14:paraId="19D4BEBE" w14:textId="77777777" w:rsidR="00CA449E" w:rsidRDefault="00CA449E" w:rsidP="00CA449E">
      <w:pPr>
        <w:pStyle w:val="Heading3"/>
        <w:jc w:val="center"/>
        <w:rPr>
          <w:rFonts w:ascii="Trebuchet MS" w:eastAsia="SimSun"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CA449E" w14:paraId="2F25D319" w14:textId="77777777" w:rsidTr="00CA449E">
        <w:trPr>
          <w:trHeight w:val="614"/>
        </w:trPr>
        <w:tc>
          <w:tcPr>
            <w:tcW w:w="8856" w:type="dxa"/>
            <w:gridSpan w:val="5"/>
            <w:tcBorders>
              <w:top w:val="single" w:sz="4" w:space="0" w:color="000000"/>
              <w:left w:val="single" w:sz="4" w:space="0" w:color="000000"/>
              <w:bottom w:val="single" w:sz="4" w:space="0" w:color="000000"/>
              <w:right w:val="single" w:sz="4" w:space="0" w:color="000000"/>
            </w:tcBorders>
            <w:hideMark/>
          </w:tcPr>
          <w:p w14:paraId="11A62D55" w14:textId="77777777" w:rsidR="00CA449E" w:rsidRDefault="00CA449E">
            <w:pPr>
              <w:pStyle w:val="NormalWeb"/>
              <w:spacing w:before="0" w:beforeAutospacing="0" w:after="0" w:afterAutospacing="0"/>
              <w:ind w:right="34"/>
              <w:rPr>
                <w:rFonts w:ascii="Arial" w:eastAsia="SimSun" w:hAnsi="Arial" w:cs="Arial"/>
                <w:sz w:val="22"/>
                <w:szCs w:val="22"/>
              </w:rPr>
            </w:pPr>
            <w:r>
              <w:rPr>
                <w:rFonts w:ascii="Arial" w:hAnsi="Arial" w:cs="Arial"/>
                <w:b/>
                <w:sz w:val="22"/>
                <w:szCs w:val="22"/>
              </w:rPr>
              <w:t>For completion by the student</w:t>
            </w:r>
            <w:r>
              <w:rPr>
                <w:rFonts w:ascii="Arial" w:hAnsi="Arial" w:cs="Arial"/>
                <w:sz w:val="22"/>
                <w:szCs w:val="22"/>
              </w:rPr>
              <w:t>:</w:t>
            </w:r>
          </w:p>
        </w:tc>
      </w:tr>
      <w:tr w:rsidR="00CA449E" w14:paraId="10BEACF7" w14:textId="77777777" w:rsidTr="00CA449E">
        <w:trPr>
          <w:trHeight w:val="718"/>
        </w:trPr>
        <w:tc>
          <w:tcPr>
            <w:tcW w:w="8856" w:type="dxa"/>
            <w:gridSpan w:val="5"/>
            <w:tcBorders>
              <w:top w:val="single" w:sz="4" w:space="0" w:color="000000"/>
              <w:left w:val="single" w:sz="4" w:space="0" w:color="000000"/>
              <w:bottom w:val="single" w:sz="4" w:space="0" w:color="000000"/>
              <w:right w:val="single" w:sz="4" w:space="0" w:color="000000"/>
            </w:tcBorders>
          </w:tcPr>
          <w:p w14:paraId="592028EB" w14:textId="3D225275" w:rsidR="00CA449E" w:rsidRDefault="00CA449E">
            <w:pPr>
              <w:pStyle w:val="NormalWeb"/>
              <w:spacing w:before="0" w:beforeAutospacing="0" w:after="0" w:afterAutospacing="0"/>
              <w:ind w:right="34"/>
              <w:rPr>
                <w:rFonts w:ascii="Arial" w:hAnsi="Arial" w:cs="Arial"/>
                <w:sz w:val="22"/>
                <w:szCs w:val="22"/>
              </w:rPr>
            </w:pPr>
            <w:r>
              <w:rPr>
                <w:rFonts w:ascii="Arial" w:hAnsi="Arial" w:cs="Arial"/>
                <w:sz w:val="22"/>
                <w:szCs w:val="22"/>
              </w:rPr>
              <w:t>Student Name:</w:t>
            </w:r>
            <w:r>
              <w:rPr>
                <w:rFonts w:ascii="Arial" w:hAnsi="Arial" w:cs="Arial"/>
                <w:sz w:val="22"/>
                <w:szCs w:val="22"/>
              </w:rPr>
              <w:t xml:space="preserve"> </w:t>
            </w:r>
            <w:r w:rsidRPr="007D0B7D">
              <w:rPr>
                <w:rFonts w:ascii="Arial" w:hAnsi="Arial" w:cs="Arial"/>
                <w:b/>
                <w:bCs/>
                <w:sz w:val="20"/>
                <w:szCs w:val="20"/>
              </w:rPr>
              <w:t>Barbara Jedlinska</w:t>
            </w:r>
          </w:p>
          <w:p w14:paraId="41CE9A1C" w14:textId="77777777" w:rsidR="00CA449E" w:rsidRDefault="00CA449E">
            <w:pPr>
              <w:pStyle w:val="NormalWeb"/>
              <w:spacing w:before="0" w:beforeAutospacing="0" w:after="0" w:afterAutospacing="0"/>
              <w:ind w:right="34"/>
              <w:rPr>
                <w:rFonts w:ascii="Arial" w:hAnsi="Arial" w:cs="Arial"/>
                <w:sz w:val="22"/>
                <w:szCs w:val="22"/>
              </w:rPr>
            </w:pPr>
          </w:p>
          <w:p w14:paraId="21659024" w14:textId="7B533FB7" w:rsidR="00CA449E" w:rsidRDefault="00CA449E">
            <w:pPr>
              <w:pStyle w:val="NormalWeb"/>
              <w:spacing w:before="0" w:beforeAutospacing="0" w:after="0" w:afterAutospacing="0"/>
              <w:ind w:right="34"/>
              <w:rPr>
                <w:rFonts w:ascii="Arial" w:hAnsi="Arial" w:cs="Arial"/>
                <w:sz w:val="22"/>
                <w:szCs w:val="22"/>
              </w:rPr>
            </w:pPr>
            <w:r>
              <w:rPr>
                <w:rFonts w:ascii="Arial" w:hAnsi="Arial" w:cs="Arial"/>
                <w:sz w:val="22"/>
                <w:szCs w:val="22"/>
              </w:rPr>
              <w:t xml:space="preserve">Student </w:t>
            </w:r>
            <w:r>
              <w:rPr>
                <w:rFonts w:ascii="Arial" w:hAnsi="Arial" w:cs="Arial"/>
                <w:b/>
                <w:bCs/>
                <w:sz w:val="22"/>
                <w:szCs w:val="22"/>
                <w:u w:val="single"/>
              </w:rPr>
              <w:t>University</w:t>
            </w:r>
            <w:r>
              <w:rPr>
                <w:rFonts w:ascii="Arial" w:hAnsi="Arial" w:cs="Arial"/>
                <w:sz w:val="22"/>
                <w:szCs w:val="22"/>
                <w:u w:val="single"/>
              </w:rPr>
              <w:t xml:space="preserve"> </w:t>
            </w:r>
            <w:r>
              <w:rPr>
                <w:rFonts w:ascii="Arial" w:hAnsi="Arial" w:cs="Arial"/>
                <w:sz w:val="22"/>
                <w:szCs w:val="22"/>
              </w:rPr>
              <w:t xml:space="preserve">Email: </w:t>
            </w:r>
            <w:hyperlink r:id="rId7" w:history="1">
              <w:r w:rsidRPr="00224CA6">
                <w:rPr>
                  <w:rStyle w:val="Hyperlink"/>
                  <w:rFonts w:ascii="Arial" w:hAnsi="Arial" w:cs="Arial"/>
                  <w:sz w:val="22"/>
                  <w:szCs w:val="22"/>
                </w:rPr>
                <w:t>2116626@student.uwtsd.ac.uk</w:t>
              </w:r>
            </w:hyperlink>
          </w:p>
          <w:p w14:paraId="2DFAFCBD" w14:textId="14411F97" w:rsidR="00CA449E" w:rsidRDefault="00CA449E">
            <w:pPr>
              <w:pStyle w:val="NormalWeb"/>
              <w:spacing w:before="0" w:beforeAutospacing="0" w:after="0" w:afterAutospacing="0"/>
              <w:ind w:right="34"/>
              <w:rPr>
                <w:rFonts w:ascii="Arial" w:hAnsi="Arial" w:cs="Arial"/>
                <w:sz w:val="22"/>
                <w:szCs w:val="22"/>
              </w:rPr>
            </w:pPr>
          </w:p>
        </w:tc>
      </w:tr>
      <w:tr w:rsidR="00CA449E" w14:paraId="4F262A1E" w14:textId="77777777" w:rsidTr="00CA449E">
        <w:trPr>
          <w:trHeight w:val="849"/>
        </w:trPr>
        <w:tc>
          <w:tcPr>
            <w:tcW w:w="4788" w:type="dxa"/>
            <w:tcBorders>
              <w:top w:val="single" w:sz="4" w:space="0" w:color="000000"/>
              <w:left w:val="single" w:sz="4" w:space="0" w:color="000000"/>
              <w:bottom w:val="single" w:sz="4" w:space="0" w:color="000000"/>
              <w:right w:val="single" w:sz="4" w:space="0" w:color="000000"/>
            </w:tcBorders>
          </w:tcPr>
          <w:p w14:paraId="7DFE2C16" w14:textId="681BFE41" w:rsidR="00CA449E" w:rsidRPr="00CA449E" w:rsidRDefault="00CA449E">
            <w:pPr>
              <w:pStyle w:val="NormalWeb"/>
              <w:spacing w:before="0" w:beforeAutospacing="0" w:after="0" w:afterAutospacing="0"/>
              <w:ind w:right="34"/>
              <w:rPr>
                <w:rFonts w:ascii="Arial" w:hAnsi="Arial" w:cs="Arial"/>
                <w:b/>
                <w:bCs/>
                <w:sz w:val="20"/>
                <w:szCs w:val="20"/>
              </w:rPr>
            </w:pPr>
            <w:r>
              <w:rPr>
                <w:rFonts w:ascii="Arial" w:hAnsi="Arial" w:cs="Arial"/>
                <w:sz w:val="22"/>
                <w:szCs w:val="22"/>
              </w:rPr>
              <w:t>Module code:</w:t>
            </w:r>
            <w:r>
              <w:rPr>
                <w:rFonts w:ascii="Arial" w:hAnsi="Arial" w:cs="Arial"/>
                <w:sz w:val="22"/>
                <w:szCs w:val="22"/>
              </w:rPr>
              <w:t xml:space="preserve"> </w:t>
            </w:r>
            <w:r w:rsidRPr="00EA3D65">
              <w:rPr>
                <w:rFonts w:ascii="Arial" w:hAnsi="Arial" w:cs="Arial"/>
                <w:b/>
                <w:bCs/>
                <w:sz w:val="20"/>
                <w:szCs w:val="20"/>
              </w:rPr>
              <w:t>HPCA7</w:t>
            </w:r>
            <w:r>
              <w:rPr>
                <w:rFonts w:ascii="Arial" w:hAnsi="Arial" w:cs="Arial"/>
                <w:b/>
                <w:bCs/>
                <w:sz w:val="20"/>
                <w:szCs w:val="20"/>
              </w:rPr>
              <w:t>016</w:t>
            </w:r>
          </w:p>
          <w:p w14:paraId="1AEE3637" w14:textId="77777777" w:rsidR="00CA449E" w:rsidRDefault="00CA449E">
            <w:pPr>
              <w:pStyle w:val="NormalWeb"/>
              <w:spacing w:before="0" w:beforeAutospacing="0" w:after="0" w:afterAutospacing="0"/>
              <w:ind w:right="34"/>
              <w:rPr>
                <w:rFonts w:ascii="Arial" w:hAnsi="Arial" w:cs="Arial"/>
                <w:sz w:val="22"/>
                <w:szCs w:val="22"/>
              </w:rPr>
            </w:pPr>
          </w:p>
          <w:p w14:paraId="5B85C03E" w14:textId="65D1F9F6" w:rsidR="00CA449E" w:rsidRDefault="00CA449E">
            <w:pPr>
              <w:pStyle w:val="NormalWeb"/>
              <w:spacing w:before="0" w:beforeAutospacing="0" w:after="0" w:afterAutospacing="0"/>
              <w:ind w:right="34"/>
              <w:rPr>
                <w:rFonts w:ascii="Arial" w:hAnsi="Arial" w:cs="Arial"/>
                <w:sz w:val="22"/>
                <w:szCs w:val="22"/>
              </w:rPr>
            </w:pPr>
            <w:r>
              <w:rPr>
                <w:rFonts w:ascii="Arial" w:hAnsi="Arial" w:cs="Arial"/>
                <w:sz w:val="22"/>
                <w:szCs w:val="22"/>
              </w:rPr>
              <w:t>Module title:</w:t>
            </w:r>
            <w:r>
              <w:rPr>
                <w:rFonts w:ascii="Arial" w:hAnsi="Arial" w:cs="Arial"/>
                <w:sz w:val="22"/>
                <w:szCs w:val="22"/>
              </w:rPr>
              <w:t xml:space="preserve"> </w:t>
            </w:r>
            <w:r>
              <w:rPr>
                <w:rFonts w:asciiTheme="minorHAnsi" w:hAnsiTheme="minorHAnsi" w:cstheme="minorHAnsi"/>
                <w:b/>
                <w:bCs/>
              </w:rPr>
              <w:t>Researching Contemporary Cosmologies</w:t>
            </w:r>
          </w:p>
          <w:p w14:paraId="352CEDCE" w14:textId="77777777" w:rsidR="00CA449E" w:rsidRDefault="00CA449E">
            <w:pPr>
              <w:pStyle w:val="NormalWeb"/>
              <w:spacing w:before="0" w:beforeAutospacing="0" w:after="0" w:afterAutospacing="0"/>
              <w:ind w:right="34"/>
              <w:rPr>
                <w:rFonts w:ascii="Arial" w:hAnsi="Arial" w:cs="Arial"/>
                <w:sz w:val="22"/>
                <w:szCs w:val="22"/>
              </w:rPr>
            </w:pPr>
          </w:p>
        </w:tc>
        <w:tc>
          <w:tcPr>
            <w:tcW w:w="2266" w:type="dxa"/>
            <w:gridSpan w:val="3"/>
            <w:tcBorders>
              <w:top w:val="single" w:sz="4" w:space="0" w:color="000000"/>
              <w:left w:val="single" w:sz="4" w:space="0" w:color="000000"/>
              <w:bottom w:val="single" w:sz="4" w:space="0" w:color="000000"/>
              <w:right w:val="single" w:sz="4" w:space="0" w:color="000000"/>
            </w:tcBorders>
            <w:hideMark/>
          </w:tcPr>
          <w:p w14:paraId="17ABC52A" w14:textId="178020D3" w:rsidR="00CA449E" w:rsidRDefault="00CA449E">
            <w:pPr>
              <w:pStyle w:val="NormalWeb"/>
              <w:spacing w:before="0" w:beforeAutospacing="0" w:after="0" w:afterAutospacing="0"/>
              <w:ind w:right="34"/>
              <w:rPr>
                <w:rFonts w:ascii="Arial" w:hAnsi="Arial" w:cs="Arial"/>
                <w:sz w:val="22"/>
                <w:szCs w:val="22"/>
              </w:rPr>
            </w:pPr>
            <w:r>
              <w:rPr>
                <w:rFonts w:ascii="Arial" w:hAnsi="Arial" w:cs="Arial"/>
                <w:sz w:val="22"/>
                <w:szCs w:val="22"/>
              </w:rPr>
              <w:t>Student ID number:</w:t>
            </w:r>
            <w:r>
              <w:rPr>
                <w:rFonts w:ascii="Arial" w:hAnsi="Arial" w:cs="Arial"/>
                <w:sz w:val="22"/>
                <w:szCs w:val="22"/>
              </w:rPr>
              <w:br/>
            </w:r>
            <w:r w:rsidRPr="00B57FB6">
              <w:rPr>
                <w:rFonts w:ascii="Helvetica" w:hAnsi="Helvetica"/>
                <w:b/>
                <w:bCs/>
                <w:spacing w:val="-5"/>
                <w:sz w:val="20"/>
                <w:szCs w:val="20"/>
                <w:shd w:val="clear" w:color="auto" w:fill="FFFFFF"/>
              </w:rPr>
              <w:t>2116626</w:t>
            </w:r>
          </w:p>
        </w:tc>
        <w:tc>
          <w:tcPr>
            <w:tcW w:w="1802" w:type="dxa"/>
            <w:tcBorders>
              <w:top w:val="single" w:sz="4" w:space="0" w:color="000000"/>
              <w:left w:val="single" w:sz="4" w:space="0" w:color="000000"/>
              <w:bottom w:val="single" w:sz="4" w:space="0" w:color="000000"/>
              <w:right w:val="single" w:sz="4" w:space="0" w:color="000000"/>
            </w:tcBorders>
            <w:hideMark/>
          </w:tcPr>
          <w:p w14:paraId="33B7A11E" w14:textId="77777777" w:rsidR="00CA449E" w:rsidRDefault="00CA449E">
            <w:pPr>
              <w:pStyle w:val="NormalWeb"/>
              <w:spacing w:before="0" w:beforeAutospacing="0" w:after="0" w:afterAutospacing="0"/>
              <w:ind w:right="34"/>
              <w:rPr>
                <w:rFonts w:ascii="Arial" w:hAnsi="Arial" w:cs="Arial"/>
                <w:sz w:val="22"/>
                <w:szCs w:val="22"/>
              </w:rPr>
            </w:pPr>
            <w:r>
              <w:rPr>
                <w:rFonts w:ascii="Arial" w:hAnsi="Arial" w:cs="Arial"/>
                <w:sz w:val="22"/>
                <w:szCs w:val="22"/>
              </w:rPr>
              <w:t>Educational support needs:</w:t>
            </w:r>
          </w:p>
          <w:p w14:paraId="26ACD2F8" w14:textId="0A7BFED0" w:rsidR="00CA449E" w:rsidRPr="00CA449E" w:rsidRDefault="00CA449E">
            <w:pPr>
              <w:pStyle w:val="NormalWeb"/>
              <w:spacing w:before="0" w:beforeAutospacing="0" w:after="0" w:afterAutospacing="0"/>
              <w:ind w:right="34"/>
              <w:rPr>
                <w:rFonts w:ascii="Arial" w:hAnsi="Arial" w:cs="Arial"/>
                <w:b/>
                <w:bCs/>
                <w:sz w:val="22"/>
                <w:szCs w:val="22"/>
              </w:rPr>
            </w:pPr>
            <w:r w:rsidRPr="00CA449E">
              <w:rPr>
                <w:rFonts w:ascii="Arial" w:hAnsi="Arial" w:cs="Arial"/>
                <w:b/>
                <w:bCs/>
                <w:sz w:val="22"/>
                <w:szCs w:val="22"/>
              </w:rPr>
              <w:t>No</w:t>
            </w:r>
          </w:p>
        </w:tc>
      </w:tr>
      <w:tr w:rsidR="00CA449E" w14:paraId="3D8EB1FD" w14:textId="77777777" w:rsidTr="00CA449E">
        <w:trPr>
          <w:trHeight w:val="1139"/>
        </w:trPr>
        <w:tc>
          <w:tcPr>
            <w:tcW w:w="8856" w:type="dxa"/>
            <w:gridSpan w:val="5"/>
            <w:tcBorders>
              <w:top w:val="single" w:sz="4" w:space="0" w:color="000000"/>
              <w:left w:val="single" w:sz="4" w:space="0" w:color="000000"/>
              <w:bottom w:val="single" w:sz="4" w:space="0" w:color="000000"/>
              <w:right w:val="single" w:sz="4" w:space="0" w:color="000000"/>
            </w:tcBorders>
          </w:tcPr>
          <w:p w14:paraId="164EB859" w14:textId="0298A844" w:rsidR="00CA449E" w:rsidRDefault="00CA449E">
            <w:pPr>
              <w:pStyle w:val="NormalWeb"/>
              <w:spacing w:before="0" w:beforeAutospacing="0" w:after="0" w:afterAutospacing="0"/>
              <w:ind w:right="34"/>
              <w:rPr>
                <w:rFonts w:ascii="Arial" w:hAnsi="Arial" w:cs="Arial"/>
                <w:sz w:val="22"/>
                <w:szCs w:val="22"/>
              </w:rPr>
            </w:pPr>
            <w:r>
              <w:rPr>
                <w:rFonts w:ascii="Arial" w:hAnsi="Arial" w:cs="Arial"/>
                <w:sz w:val="22"/>
                <w:szCs w:val="22"/>
              </w:rPr>
              <w:t>Assignment title:</w:t>
            </w:r>
            <w:r>
              <w:rPr>
                <w:rFonts w:ascii="Arial" w:hAnsi="Arial" w:cs="Arial"/>
                <w:sz w:val="22"/>
                <w:szCs w:val="22"/>
              </w:rPr>
              <w:t xml:space="preserve"> </w:t>
            </w:r>
            <w:r w:rsidRPr="006D5620">
              <w:rPr>
                <w:rFonts w:asciiTheme="minorHAnsi" w:hAnsiTheme="minorHAnsi" w:cstheme="minorHAnsi"/>
                <w:b/>
                <w:bCs/>
                <w:sz w:val="22"/>
                <w:szCs w:val="22"/>
              </w:rPr>
              <w:t>A Critical Comparison of two Secondary Sources</w:t>
            </w:r>
          </w:p>
          <w:p w14:paraId="11F82152" w14:textId="77777777" w:rsidR="00CA449E" w:rsidRDefault="00CA449E">
            <w:pPr>
              <w:pStyle w:val="NormalWeb"/>
              <w:spacing w:before="0" w:beforeAutospacing="0" w:after="0" w:afterAutospacing="0"/>
              <w:ind w:right="34"/>
              <w:rPr>
                <w:rFonts w:ascii="Arial" w:hAnsi="Arial" w:cs="Arial"/>
                <w:sz w:val="22"/>
                <w:szCs w:val="22"/>
              </w:rPr>
            </w:pPr>
          </w:p>
          <w:p w14:paraId="6502F570" w14:textId="0A7B5208" w:rsidR="00CA449E" w:rsidRDefault="00CA449E">
            <w:pPr>
              <w:pStyle w:val="NormalWeb"/>
              <w:spacing w:before="0" w:beforeAutospacing="0" w:after="0" w:afterAutospacing="0"/>
              <w:ind w:right="34"/>
              <w:rPr>
                <w:rFonts w:ascii="Arial" w:hAnsi="Arial" w:cs="Arial"/>
                <w:sz w:val="22"/>
                <w:szCs w:val="22"/>
              </w:rPr>
            </w:pPr>
            <w:r>
              <w:rPr>
                <w:rFonts w:ascii="Arial" w:hAnsi="Arial" w:cs="Arial"/>
                <w:sz w:val="22"/>
                <w:szCs w:val="22"/>
              </w:rPr>
              <w:t>Assignment due date:</w:t>
            </w:r>
            <w:r>
              <w:rPr>
                <w:rFonts w:ascii="Arial" w:hAnsi="Arial" w:cs="Arial"/>
                <w:sz w:val="22"/>
                <w:szCs w:val="22"/>
              </w:rPr>
              <w:t xml:space="preserve"> </w:t>
            </w:r>
            <w:r>
              <w:rPr>
                <w:rFonts w:ascii="Arial" w:hAnsi="Arial" w:cs="Arial"/>
                <w:b/>
                <w:bCs/>
                <w:sz w:val="20"/>
                <w:szCs w:val="20"/>
              </w:rPr>
              <w:t>23/03</w:t>
            </w:r>
            <w:r w:rsidRPr="007D0B7D">
              <w:rPr>
                <w:rFonts w:ascii="Arial" w:hAnsi="Arial" w:cs="Arial"/>
                <w:b/>
                <w:bCs/>
                <w:sz w:val="20"/>
                <w:szCs w:val="20"/>
              </w:rPr>
              <w:t>/202</w:t>
            </w:r>
            <w:r>
              <w:rPr>
                <w:rFonts w:ascii="Arial" w:hAnsi="Arial" w:cs="Arial"/>
                <w:b/>
                <w:bCs/>
                <w:sz w:val="20"/>
                <w:szCs w:val="20"/>
              </w:rPr>
              <w:t>3</w:t>
            </w:r>
          </w:p>
        </w:tc>
      </w:tr>
      <w:tr w:rsidR="00CA449E" w14:paraId="415C71C5" w14:textId="77777777" w:rsidTr="00CA449E">
        <w:trPr>
          <w:trHeight w:val="978"/>
        </w:trPr>
        <w:tc>
          <w:tcPr>
            <w:tcW w:w="8856" w:type="dxa"/>
            <w:gridSpan w:val="5"/>
            <w:tcBorders>
              <w:top w:val="single" w:sz="4" w:space="0" w:color="000000"/>
              <w:left w:val="single" w:sz="4" w:space="0" w:color="000000"/>
              <w:bottom w:val="single" w:sz="4" w:space="0" w:color="000000"/>
              <w:right w:val="single" w:sz="4" w:space="0" w:color="000000"/>
            </w:tcBorders>
            <w:hideMark/>
          </w:tcPr>
          <w:p w14:paraId="264F0AC2" w14:textId="0B9FB058" w:rsidR="00CA449E" w:rsidRDefault="00CA449E">
            <w:pPr>
              <w:rPr>
                <w:rFonts w:ascii="Arial" w:hAnsi="Arial" w:cs="Arial"/>
              </w:rPr>
            </w:pPr>
            <w:r>
              <w:rPr>
                <w:rFonts w:ascii="Arial" w:hAnsi="Arial" w:cs="Arial"/>
              </w:rPr>
              <w:t>This assignment is for the       1</w:t>
            </w:r>
            <w:r>
              <w:rPr>
                <w:rFonts w:ascii="Arial" w:hAnsi="Arial" w:cs="Arial"/>
                <w:vertAlign w:val="superscript"/>
              </w:rPr>
              <w:t xml:space="preserve">st </w:t>
            </w:r>
            <w:r>
              <w:rPr>
                <w:rFonts w:ascii="Arial" w:hAnsi="Arial" w:cs="Arial"/>
              </w:rPr>
              <w:fldChar w:fldCharType="begin">
                <w:ffData>
                  <w:name w:val="Check13"/>
                  <w:enabled/>
                  <w:calcOnExit w:val="0"/>
                  <w:checkBox>
                    <w:sizeAuto/>
                    <w:default w:val="0"/>
                  </w:checkBox>
                </w:ffData>
              </w:fldChar>
            </w:r>
            <w:bookmarkStart w:id="0" w:name="Check13"/>
            <w:r>
              <w:rPr>
                <w:rFonts w:ascii="Arial" w:hAnsi="Arial" w:cs="Arial"/>
              </w:rPr>
              <w:instrText xml:space="preserve"> FORMCHECKBOX </w:instrText>
            </w:r>
            <w:r>
              <w:rPr>
                <w:rFonts w:ascii="Times New Roman" w:hAnsi="Times New Roman" w:cs="Times New Roman"/>
                <w:sz w:val="24"/>
                <w:szCs w:val="24"/>
              </w:rPr>
              <w:fldChar w:fldCharType="end"/>
            </w:r>
            <w:bookmarkEnd w:id="0"/>
            <w:r>
              <w:rPr>
                <w:rFonts w:ascii="Arial" w:hAnsi="Arial" w:cs="Arial"/>
              </w:rPr>
              <w:t xml:space="preserve">    2</w:t>
            </w:r>
            <w:r>
              <w:rPr>
                <w:rFonts w:ascii="Arial" w:hAnsi="Arial" w:cs="Arial"/>
                <w:vertAlign w:val="superscript"/>
              </w:rPr>
              <w:t>nd</w:t>
            </w:r>
            <w:r>
              <w:rPr>
                <w:rFonts w:ascii="Arial" w:hAnsi="Arial" w:cs="Arial"/>
              </w:rPr>
              <w:t xml:space="preserve">  </w:t>
            </w:r>
            <w:r>
              <w:rPr>
                <w:rFonts w:ascii="Arial" w:hAnsi="Arial" w:cs="Arial"/>
              </w:rPr>
              <w:fldChar w:fldCharType="begin">
                <w:ffData>
                  <w:name w:val="Check14"/>
                  <w:enabled/>
                  <w:calcOnExit w:val="0"/>
                  <w:checkBox>
                    <w:sizeAuto/>
                    <w:default w:val="0"/>
                  </w:checkBox>
                </w:ffData>
              </w:fldChar>
            </w:r>
            <w:bookmarkStart w:id="1" w:name="Check14"/>
            <w:r>
              <w:rPr>
                <w:rFonts w:ascii="Arial" w:hAnsi="Arial" w:cs="Arial"/>
              </w:rPr>
              <w:instrText xml:space="preserve"> FORMCHECKBOX </w:instrText>
            </w:r>
            <w:r>
              <w:rPr>
                <w:rFonts w:ascii="Times New Roman" w:hAnsi="Times New Roman" w:cs="Times New Roman"/>
                <w:sz w:val="24"/>
                <w:szCs w:val="24"/>
              </w:rPr>
              <w:fldChar w:fldCharType="end"/>
            </w:r>
            <w:bookmarkEnd w:id="1"/>
            <w:r>
              <w:rPr>
                <w:rFonts w:ascii="Arial" w:hAnsi="Arial" w:cs="Arial"/>
              </w:rPr>
              <w:t xml:space="preserve">     3</w:t>
            </w:r>
            <w:proofErr w:type="gramStart"/>
            <w:r>
              <w:rPr>
                <w:rFonts w:ascii="Arial" w:hAnsi="Arial" w:cs="Arial"/>
                <w:vertAlign w:val="superscript"/>
              </w:rPr>
              <w:t>rd</w:t>
            </w:r>
            <w:r>
              <w:rPr>
                <w:rFonts w:ascii="Arial" w:hAnsi="Arial" w:cs="Arial"/>
              </w:rPr>
              <w:t xml:space="preserve">  </w:t>
            </w:r>
            <w:r>
              <w:rPr>
                <w:rFonts w:ascii="Arial" w:hAnsi="Arial" w:cs="Arial"/>
              </w:rPr>
              <w:t>X</w:t>
            </w:r>
            <w:proofErr w:type="gramEnd"/>
            <w:r>
              <w:rPr>
                <w:rFonts w:ascii="Arial" w:hAnsi="Arial" w:cs="Arial"/>
              </w:rPr>
              <w:t xml:space="preserve">      4</w:t>
            </w:r>
            <w:r>
              <w:rPr>
                <w:rFonts w:ascii="Arial" w:hAnsi="Arial" w:cs="Arial"/>
                <w:vertAlign w:val="superscript"/>
              </w:rPr>
              <w:t>th</w:t>
            </w:r>
            <w:r>
              <w:rPr>
                <w:rFonts w:ascii="Arial" w:hAnsi="Arial" w:cs="Arial"/>
              </w:rPr>
              <w:t xml:space="preserve"> </w:t>
            </w:r>
            <w:r>
              <w:rPr>
                <w:rFonts w:ascii="Arial" w:hAnsi="Arial" w:cs="Arial"/>
              </w:rPr>
              <w:fldChar w:fldCharType="begin">
                <w:ffData>
                  <w:name w:val="Check16"/>
                  <w:enabled/>
                  <w:calcOnExit w:val="0"/>
                  <w:checkBox>
                    <w:sizeAuto/>
                    <w:default w:val="0"/>
                  </w:checkBox>
                </w:ffData>
              </w:fldChar>
            </w:r>
            <w:bookmarkStart w:id="2" w:name="Check16"/>
            <w:r>
              <w:rPr>
                <w:rFonts w:ascii="Arial" w:hAnsi="Arial" w:cs="Arial"/>
              </w:rPr>
              <w:instrText xml:space="preserve"> FORMCHECKBOX </w:instrText>
            </w:r>
            <w:r>
              <w:rPr>
                <w:rFonts w:ascii="Times New Roman" w:hAnsi="Times New Roman" w:cs="Times New Roman"/>
                <w:sz w:val="24"/>
                <w:szCs w:val="24"/>
              </w:rPr>
              <w:fldChar w:fldCharType="end"/>
            </w:r>
            <w:bookmarkEnd w:id="2"/>
            <w:r>
              <w:rPr>
                <w:rFonts w:ascii="Arial" w:hAnsi="Arial" w:cs="Arial"/>
              </w:rPr>
              <w:t xml:space="preserve">      5</w:t>
            </w:r>
            <w:r>
              <w:rPr>
                <w:rFonts w:ascii="Arial" w:hAnsi="Arial" w:cs="Arial"/>
                <w:vertAlign w:val="superscript"/>
              </w:rPr>
              <w:t>th</w:t>
            </w:r>
            <w:r>
              <w:rPr>
                <w:rFonts w:ascii="Arial" w:hAnsi="Arial" w:cs="Arial"/>
              </w:rPr>
              <w:t xml:space="preserve"> </w:t>
            </w:r>
            <w:r>
              <w:rPr>
                <w:rFonts w:ascii="Arial" w:hAnsi="Arial" w:cs="Arial"/>
              </w:rPr>
              <w:fldChar w:fldCharType="begin">
                <w:ffData>
                  <w:name w:val="Check17"/>
                  <w:enabled/>
                  <w:calcOnExit w:val="0"/>
                  <w:checkBox>
                    <w:sizeAuto/>
                    <w:default w:val="0"/>
                  </w:checkBox>
                </w:ffData>
              </w:fldChar>
            </w:r>
            <w:bookmarkStart w:id="3" w:name="Check17"/>
            <w:r>
              <w:rPr>
                <w:rFonts w:ascii="Arial" w:hAnsi="Arial" w:cs="Arial"/>
              </w:rPr>
              <w:instrText xml:space="preserve"> FORMCHECKBOX </w:instrText>
            </w:r>
            <w:r>
              <w:rPr>
                <w:rFonts w:ascii="Times New Roman" w:hAnsi="Times New Roman" w:cs="Times New Roman"/>
                <w:sz w:val="24"/>
                <w:szCs w:val="24"/>
              </w:rPr>
              <w:fldChar w:fldCharType="end"/>
            </w:r>
            <w:bookmarkEnd w:id="3"/>
            <w:r>
              <w:rPr>
                <w:rFonts w:ascii="Arial" w:hAnsi="Arial" w:cs="Arial"/>
              </w:rPr>
              <w:t xml:space="preserve">      6</w:t>
            </w:r>
            <w:r>
              <w:rPr>
                <w:rFonts w:ascii="Arial" w:hAnsi="Arial" w:cs="Arial"/>
                <w:vertAlign w:val="superscript"/>
              </w:rPr>
              <w:t>th</w:t>
            </w:r>
            <w:r>
              <w:rPr>
                <w:rFonts w:ascii="Arial" w:hAnsi="Arial" w:cs="Arial"/>
              </w:rPr>
              <w:t xml:space="preserve"> </w:t>
            </w:r>
            <w:r>
              <w:rPr>
                <w:rFonts w:ascii="Arial" w:hAnsi="Arial" w:cs="Arial"/>
              </w:rPr>
              <w:fldChar w:fldCharType="begin">
                <w:ffData>
                  <w:name w:val="Check18"/>
                  <w:enabled/>
                  <w:calcOnExit w:val="0"/>
                  <w:checkBox>
                    <w:sizeAuto/>
                    <w:default w:val="0"/>
                  </w:checkBox>
                </w:ffData>
              </w:fldChar>
            </w:r>
            <w:bookmarkStart w:id="4" w:name="Check18"/>
            <w:r>
              <w:rPr>
                <w:rFonts w:ascii="Arial" w:hAnsi="Arial" w:cs="Arial"/>
              </w:rPr>
              <w:instrText xml:space="preserve"> FORMCHECKBOX </w:instrText>
            </w:r>
            <w:r>
              <w:rPr>
                <w:rFonts w:ascii="Times New Roman" w:hAnsi="Times New Roman" w:cs="Times New Roman"/>
                <w:sz w:val="24"/>
                <w:szCs w:val="24"/>
              </w:rPr>
              <w:fldChar w:fldCharType="end"/>
            </w:r>
            <w:bookmarkEnd w:id="4"/>
            <w:r>
              <w:rPr>
                <w:rFonts w:ascii="Arial" w:hAnsi="Arial" w:cs="Arial"/>
                <w:b/>
              </w:rPr>
              <w:t xml:space="preserve">   </w:t>
            </w:r>
            <w:r>
              <w:rPr>
                <w:rFonts w:ascii="Arial" w:hAnsi="Arial" w:cs="Arial"/>
              </w:rPr>
              <w:t>module of the degree</w:t>
            </w:r>
          </w:p>
        </w:tc>
      </w:tr>
      <w:tr w:rsidR="00CA449E" w14:paraId="646B9EA3" w14:textId="77777777" w:rsidTr="00CA449E">
        <w:trPr>
          <w:trHeight w:val="978"/>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D9D9D9"/>
            <w:hideMark/>
          </w:tcPr>
          <w:p w14:paraId="12855C60" w14:textId="3E2B29D7" w:rsidR="00CA449E" w:rsidRDefault="00CA449E">
            <w:pPr>
              <w:pStyle w:val="NormalWeb"/>
              <w:spacing w:before="0" w:beforeAutospacing="0" w:after="0" w:afterAutospacing="0"/>
              <w:ind w:right="34"/>
              <w:rPr>
                <w:rFonts w:ascii="Arial" w:hAnsi="Arial" w:cs="Arial"/>
                <w:sz w:val="22"/>
                <w:szCs w:val="22"/>
              </w:rPr>
            </w:pPr>
            <w:r>
              <w:rPr>
                <w:rFonts w:ascii="Arial" w:hAnsi="Arial" w:cs="Arial"/>
                <w:sz w:val="22"/>
                <w:szCs w:val="22"/>
              </w:rPr>
              <w:t>I confirm that this is my original work and that I have adhered to the University policy on plagiarism.</w:t>
            </w:r>
          </w:p>
          <w:p w14:paraId="21357F22" w14:textId="18F0E471" w:rsidR="00CA449E" w:rsidRDefault="00CA449E">
            <w:pPr>
              <w:pStyle w:val="NormalWeb"/>
              <w:spacing w:before="0" w:beforeAutospacing="0" w:after="0" w:afterAutospacing="0"/>
              <w:ind w:right="34"/>
              <w:rPr>
                <w:rFonts w:ascii="Arial" w:hAnsi="Arial" w:cs="Arial"/>
                <w:sz w:val="22"/>
                <w:szCs w:val="22"/>
              </w:rPr>
            </w:pPr>
            <w:r>
              <w:rPr>
                <w:rFonts w:ascii="Arial" w:hAnsi="Arial" w:cs="Arial"/>
                <w:noProof/>
              </w:rPr>
              <mc:AlternateContent>
                <mc:Choice Requires="wps">
                  <w:drawing>
                    <wp:anchor distT="0" distB="0" distL="114300" distR="114300" simplePos="0" relativeHeight="251665408" behindDoc="0" locked="0" layoutInCell="1" allowOverlap="1" wp14:anchorId="7BD6A508" wp14:editId="1267D920">
                      <wp:simplePos x="0" y="0"/>
                      <wp:positionH relativeFrom="column">
                        <wp:posOffset>5060950</wp:posOffset>
                      </wp:positionH>
                      <wp:positionV relativeFrom="paragraph">
                        <wp:posOffset>48260</wp:posOffset>
                      </wp:positionV>
                      <wp:extent cx="171450" cy="323850"/>
                      <wp:effectExtent l="9525" t="9525" r="9525" b="9525"/>
                      <wp:wrapNone/>
                      <wp:docPr id="1332050817" name="Straight Arrow Connector 133205081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171450" cy="32385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2E834ED7" id="_x0000_t32" coordsize="21600,21600" o:spt="32" o:oned="t" path="m,l21600,21600e" filled="f">
                      <v:path arrowok="t" fillok="f" o:connecttype="none"/>
                      <o:lock v:ext="edit" shapetype="t"/>
                    </v:shapetype>
                    <v:shape id="Straight Arrow Connector 1332050817" o:spid="_x0000_s1026" type="#_x0000_t32" style="position:absolute;margin-left:398.5pt;margin-top:3.8pt;width:13.5pt;height:25.5pt;flip:x;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"/>
                  </w:pict>
                </mc:Fallback>
              </mc:AlternateContent>
            </w:r>
            <w:r>
              <w:rPr>
                <w:rFonts w:ascii="Arial" w:hAnsi="Arial" w:cs="Arial"/>
                <w:sz w:val="22"/>
                <w:szCs w:val="22"/>
              </w:rPr>
              <w:t>Signed ………………</w:t>
            </w:r>
            <w:r>
              <w:rPr>
                <w:rFonts w:ascii="Arial" w:hAnsi="Arial" w:cs="Arial"/>
                <w:sz w:val="22"/>
                <w:szCs w:val="22"/>
              </w:rPr>
              <w:t xml:space="preserve"> </w:t>
            </w:r>
            <w:r>
              <w:rPr>
                <w:rFonts w:ascii="Arial" w:hAnsi="Arial" w:cs="Arial"/>
                <w:sz w:val="22"/>
                <w:szCs w:val="22"/>
              </w:rPr>
              <w:t>Barbara Jedlinska</w:t>
            </w:r>
            <w:r>
              <w:rPr>
                <w:rFonts w:ascii="Arial" w:hAnsi="Arial" w:cs="Arial"/>
                <w:sz w:val="22"/>
                <w:szCs w:val="22"/>
              </w:rPr>
              <w:t xml:space="preserve"> </w:t>
            </w:r>
            <w:r>
              <w:rPr>
                <w:rFonts w:ascii="Arial" w:hAnsi="Arial" w:cs="Arial"/>
                <w:sz w:val="22"/>
                <w:szCs w:val="22"/>
              </w:rPr>
              <w:t>……………………………………………</w:t>
            </w:r>
          </w:p>
          <w:p w14:paraId="1C5AEDEE" w14:textId="334BAA5F" w:rsidR="00CA449E" w:rsidRDefault="00CA449E">
            <w:pPr>
              <w:pStyle w:val="NormalWeb"/>
              <w:spacing w:before="0" w:beforeAutospacing="0" w:after="0" w:afterAutospacing="0"/>
              <w:ind w:right="34"/>
              <w:rPr>
                <w:rFonts w:ascii="Calibri" w:hAnsi="Calibri" w:cs="Calibri"/>
                <w:b/>
                <w:sz w:val="44"/>
                <w:szCs w:val="44"/>
              </w:rPr>
            </w:pPr>
            <w:r>
              <w:rPr>
                <w:rFonts w:ascii="Arial" w:hAnsi="Arial" w:cs="Arial"/>
                <w:noProof/>
              </w:rPr>
              <mc:AlternateContent>
                <mc:Choice Requires="wps">
                  <w:drawing>
                    <wp:anchor distT="0" distB="0" distL="114300" distR="114300" simplePos="0" relativeHeight="251664384" behindDoc="0" locked="0" layoutInCell="1" allowOverlap="1" wp14:anchorId="3F25DEDE" wp14:editId="17DD0F32">
                      <wp:simplePos x="0" y="0"/>
                      <wp:positionH relativeFrom="column">
                        <wp:posOffset>4965700</wp:posOffset>
                      </wp:positionH>
                      <wp:positionV relativeFrom="paragraph">
                        <wp:posOffset>80010</wp:posOffset>
                      </wp:positionV>
                      <wp:extent cx="104775" cy="133350"/>
                      <wp:effectExtent l="9525" t="10160" r="9525" b="8890"/>
                      <wp:wrapNone/>
                      <wp:docPr id="1294768397" name="Straight Arrow Connector 129476839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04775" cy="13335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44D5C5D0" id="Straight Arrow Connector 1294768397" o:spid="_x0000_s1026" type="#_x0000_t32" style="position:absolute;margin-left:391pt;margin-top:6.3pt;width:8.25pt;height:10.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"/>
                  </w:pict>
                </mc:Fallback>
              </mc:AlternateContent>
            </w:r>
            <w:r>
              <w:rPr>
                <w:rFonts w:ascii="Calibri" w:hAnsi="Calibri" w:cs="Tahoma"/>
                <w:b/>
              </w:rPr>
              <w:t xml:space="preserve">Email </w:t>
            </w:r>
            <w:proofErr w:type="spellStart"/>
            <w:proofErr w:type="gramStart"/>
            <w:r>
              <w:rPr>
                <w:rFonts w:ascii="Calibri" w:hAnsi="Calibri" w:cs="Tahoma"/>
                <w:b/>
              </w:rPr>
              <w:t>submission:if</w:t>
            </w:r>
            <w:proofErr w:type="spellEnd"/>
            <w:proofErr w:type="gramEnd"/>
            <w:r>
              <w:rPr>
                <w:rFonts w:ascii="Calibri" w:hAnsi="Calibri" w:cs="Tahoma"/>
                <w:b/>
              </w:rPr>
              <w:t xml:space="preserve"> you are submitting this form via email, please tick this box </w:t>
            </w:r>
            <w:r>
              <w:rPr>
                <w:rFonts w:ascii="Calibri" w:hAnsi="Calibri" w:cs="Calibri"/>
                <w:b/>
                <w:sz w:val="44"/>
                <w:szCs w:val="44"/>
              </w:rPr>
              <w:t>□</w:t>
            </w:r>
          </w:p>
          <w:p w14:paraId="67668E3D" w14:textId="77777777" w:rsidR="00CA449E" w:rsidRDefault="00CA449E">
            <w:pPr>
              <w:pStyle w:val="NormalWeb"/>
              <w:spacing w:before="0" w:beforeAutospacing="0" w:after="0" w:afterAutospacing="0"/>
              <w:ind w:right="34"/>
              <w:rPr>
                <w:rFonts w:ascii="Arial" w:hAnsi="Arial" w:cs="Arial"/>
                <w:sz w:val="22"/>
                <w:szCs w:val="22"/>
              </w:rPr>
            </w:pPr>
            <w:r>
              <w:rPr>
                <w:rFonts w:ascii="Calibri" w:hAnsi="Calibri" w:cs="Tahoma"/>
                <w:b/>
              </w:rPr>
              <w:t>(</w:t>
            </w:r>
            <w:proofErr w:type="gramStart"/>
            <w:r>
              <w:rPr>
                <w:rFonts w:ascii="Calibri" w:hAnsi="Calibri" w:cs="Tahoma"/>
                <w:b/>
              </w:rPr>
              <w:t>as</w:t>
            </w:r>
            <w:proofErr w:type="gramEnd"/>
            <w:r>
              <w:rPr>
                <w:rFonts w:ascii="Calibri" w:hAnsi="Calibri" w:cs="Tahoma"/>
                <w:b/>
              </w:rPr>
              <w:t xml:space="preserve"> a substitute for your signature) to confirm that you agree to the above declaration.</w:t>
            </w:r>
          </w:p>
        </w:tc>
      </w:tr>
      <w:tr w:rsidR="00CA449E" w14:paraId="06059312" w14:textId="77777777" w:rsidTr="00CA449E">
        <w:trPr>
          <w:trHeight w:val="3972"/>
        </w:trPr>
        <w:tc>
          <w:tcPr>
            <w:tcW w:w="8856" w:type="dxa"/>
            <w:gridSpan w:val="5"/>
            <w:tcBorders>
              <w:top w:val="single" w:sz="4" w:space="0" w:color="000000"/>
              <w:left w:val="single" w:sz="4" w:space="0" w:color="000000"/>
              <w:bottom w:val="single" w:sz="4" w:space="0" w:color="000000"/>
              <w:right w:val="single" w:sz="4" w:space="0" w:color="000000"/>
            </w:tcBorders>
          </w:tcPr>
          <w:p w14:paraId="0FB1C350" w14:textId="77777777" w:rsidR="00CA449E" w:rsidRDefault="00CA449E">
            <w:pPr>
              <w:rPr>
                <w:rFonts w:ascii="Arial" w:hAnsi="Arial" w:cs="Times New Roman"/>
                <w:b/>
                <w:sz w:val="24"/>
                <w:szCs w:val="24"/>
              </w:rPr>
            </w:pPr>
          </w:p>
          <w:p w14:paraId="319E7D59" w14:textId="77777777" w:rsidR="00CA449E" w:rsidRDefault="00CA449E">
            <w:pPr>
              <w:rPr>
                <w:rFonts w:ascii="Arial" w:hAnsi="Arial"/>
              </w:rPr>
            </w:pPr>
            <w:r>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CA449E" w14:paraId="0C17122F" w14:textId="77777777">
              <w:tc>
                <w:tcPr>
                  <w:tcW w:w="6970" w:type="dxa"/>
                  <w:tcBorders>
                    <w:top w:val="single" w:sz="4" w:space="0" w:color="auto"/>
                    <w:left w:val="single" w:sz="4" w:space="0" w:color="auto"/>
                    <w:bottom w:val="single" w:sz="4" w:space="0" w:color="auto"/>
                    <w:right w:val="single" w:sz="4" w:space="0" w:color="auto"/>
                  </w:tcBorders>
                </w:tcPr>
                <w:p w14:paraId="283B9C65" w14:textId="77777777" w:rsidR="00CA449E" w:rsidRDefault="00CA449E">
                  <w:pPr>
                    <w:rPr>
                      <w:rFonts w:ascii="Arial" w:hAnsi="Arial"/>
                      <w:sz w:val="20"/>
                      <w:szCs w:val="20"/>
                    </w:rPr>
                  </w:pPr>
                </w:p>
                <w:p w14:paraId="11EB9919" w14:textId="77777777" w:rsidR="00CA449E" w:rsidRDefault="00CA449E">
                  <w:pPr>
                    <w:rPr>
                      <w:rFonts w:ascii="Arial" w:hAnsi="Arial"/>
                      <w:sz w:val="20"/>
                      <w:szCs w:val="20"/>
                    </w:rPr>
                  </w:pPr>
                  <w:r>
                    <w:rPr>
                      <w:rFonts w:ascii="Arial" w:hAnsi="Arial"/>
                      <w:sz w:val="20"/>
                      <w:szCs w:val="20"/>
                    </w:rPr>
                    <w:t>1</w:t>
                  </w:r>
                  <w:r>
                    <w:rPr>
                      <w:rFonts w:ascii="Arial" w:hAnsi="Arial"/>
                      <w:sz w:val="20"/>
                      <w:szCs w:val="20"/>
                      <w:vertAlign w:val="superscript"/>
                    </w:rPr>
                    <w:t>st</w:t>
                  </w:r>
                  <w:r>
                    <w:rPr>
                      <w:rFonts w:ascii="Arial" w:hAnsi="Arial"/>
                      <w:sz w:val="20"/>
                      <w:szCs w:val="20"/>
                    </w:rPr>
                    <w:t xml:space="preserve"> Marker’s Provisional mark</w:t>
                  </w:r>
                </w:p>
              </w:tc>
              <w:tc>
                <w:tcPr>
                  <w:tcW w:w="1660" w:type="dxa"/>
                  <w:tcBorders>
                    <w:top w:val="single" w:sz="4" w:space="0" w:color="auto"/>
                    <w:left w:val="single" w:sz="4" w:space="0" w:color="auto"/>
                    <w:bottom w:val="single" w:sz="4" w:space="0" w:color="auto"/>
                    <w:right w:val="single" w:sz="4" w:space="0" w:color="auto"/>
                  </w:tcBorders>
                </w:tcPr>
                <w:p w14:paraId="165D15B9" w14:textId="77777777" w:rsidR="00CA449E" w:rsidRDefault="00CA449E">
                  <w:pPr>
                    <w:rPr>
                      <w:rFonts w:ascii="Arial" w:hAnsi="Arial"/>
                      <w:sz w:val="20"/>
                      <w:szCs w:val="20"/>
                    </w:rPr>
                  </w:pPr>
                </w:p>
              </w:tc>
            </w:tr>
            <w:tr w:rsidR="00CA449E" w14:paraId="48BD3D94" w14:textId="77777777">
              <w:tc>
                <w:tcPr>
                  <w:tcW w:w="6970" w:type="dxa"/>
                  <w:tcBorders>
                    <w:top w:val="single" w:sz="4" w:space="0" w:color="auto"/>
                    <w:left w:val="single" w:sz="4" w:space="0" w:color="auto"/>
                    <w:bottom w:val="single" w:sz="4" w:space="0" w:color="auto"/>
                    <w:right w:val="single" w:sz="4" w:space="0" w:color="auto"/>
                  </w:tcBorders>
                </w:tcPr>
                <w:p w14:paraId="6C213C7C" w14:textId="77777777" w:rsidR="00CA449E" w:rsidRDefault="00CA449E">
                  <w:pPr>
                    <w:rPr>
                      <w:rFonts w:ascii="Arial" w:hAnsi="Arial"/>
                      <w:sz w:val="20"/>
                      <w:szCs w:val="20"/>
                    </w:rPr>
                  </w:pPr>
                </w:p>
                <w:p w14:paraId="521A4FB7" w14:textId="77777777" w:rsidR="00CA449E" w:rsidRDefault="00CA449E">
                  <w:pPr>
                    <w:rPr>
                      <w:rFonts w:ascii="Arial" w:hAnsi="Arial"/>
                      <w:sz w:val="20"/>
                      <w:szCs w:val="20"/>
                    </w:rPr>
                  </w:pPr>
                  <w:r>
                    <w:rPr>
                      <w:rFonts w:ascii="Arial" w:hAnsi="Arial"/>
                      <w:sz w:val="20"/>
                      <w:szCs w:val="20"/>
                    </w:rPr>
                    <w:t>2</w:t>
                  </w:r>
                  <w:r>
                    <w:rPr>
                      <w:rFonts w:ascii="Arial" w:hAnsi="Arial"/>
                      <w:sz w:val="20"/>
                      <w:szCs w:val="20"/>
                      <w:vertAlign w:val="superscript"/>
                    </w:rPr>
                    <w:t>nd</w:t>
                  </w:r>
                  <w:r>
                    <w:rPr>
                      <w:rFonts w:ascii="Arial" w:hAnsi="Arial"/>
                      <w:sz w:val="20"/>
                      <w:szCs w:val="20"/>
                    </w:rPr>
                    <w:t xml:space="preserve"> Marker’s/Moderator’s provisional mark</w:t>
                  </w:r>
                </w:p>
              </w:tc>
              <w:tc>
                <w:tcPr>
                  <w:tcW w:w="1660" w:type="dxa"/>
                  <w:tcBorders>
                    <w:top w:val="single" w:sz="4" w:space="0" w:color="auto"/>
                    <w:left w:val="single" w:sz="4" w:space="0" w:color="auto"/>
                    <w:bottom w:val="single" w:sz="4" w:space="0" w:color="auto"/>
                    <w:right w:val="single" w:sz="4" w:space="0" w:color="auto"/>
                  </w:tcBorders>
                </w:tcPr>
                <w:p w14:paraId="56710442" w14:textId="77777777" w:rsidR="00CA449E" w:rsidRDefault="00CA449E">
                  <w:pPr>
                    <w:rPr>
                      <w:rFonts w:ascii="Arial" w:hAnsi="Arial"/>
                      <w:sz w:val="20"/>
                      <w:szCs w:val="20"/>
                    </w:rPr>
                  </w:pPr>
                </w:p>
              </w:tc>
            </w:tr>
            <w:tr w:rsidR="00CA449E" w14:paraId="6D192642" w14:textId="77777777">
              <w:tc>
                <w:tcPr>
                  <w:tcW w:w="6970" w:type="dxa"/>
                  <w:tcBorders>
                    <w:top w:val="single" w:sz="4" w:space="0" w:color="auto"/>
                    <w:left w:val="single" w:sz="4" w:space="0" w:color="auto"/>
                    <w:bottom w:val="single" w:sz="4" w:space="0" w:color="auto"/>
                    <w:right w:val="single" w:sz="4" w:space="0" w:color="auto"/>
                  </w:tcBorders>
                </w:tcPr>
                <w:p w14:paraId="1EF03C4C" w14:textId="77777777" w:rsidR="00CA449E" w:rsidRDefault="00CA449E">
                  <w:pPr>
                    <w:rPr>
                      <w:rFonts w:ascii="Arial" w:hAnsi="Arial"/>
                      <w:sz w:val="20"/>
                      <w:szCs w:val="20"/>
                    </w:rPr>
                  </w:pPr>
                </w:p>
                <w:p w14:paraId="0145E7CF" w14:textId="77777777" w:rsidR="00CA449E" w:rsidRDefault="00CA449E">
                  <w:pPr>
                    <w:rPr>
                      <w:rFonts w:ascii="Arial" w:hAnsi="Arial"/>
                      <w:sz w:val="20"/>
                      <w:szCs w:val="20"/>
                    </w:rPr>
                  </w:pPr>
                  <w:r>
                    <w:rPr>
                      <w:rFonts w:ascii="Arial" w:hAnsi="Arial"/>
                      <w:sz w:val="20"/>
                      <w:szCs w:val="20"/>
                    </w:rPr>
                    <w:t>External Examiner’s mark (if relevant)</w:t>
                  </w:r>
                </w:p>
              </w:tc>
              <w:tc>
                <w:tcPr>
                  <w:tcW w:w="1660" w:type="dxa"/>
                  <w:tcBorders>
                    <w:top w:val="single" w:sz="4" w:space="0" w:color="auto"/>
                    <w:left w:val="single" w:sz="4" w:space="0" w:color="auto"/>
                    <w:bottom w:val="single" w:sz="4" w:space="0" w:color="auto"/>
                    <w:right w:val="single" w:sz="4" w:space="0" w:color="auto"/>
                  </w:tcBorders>
                </w:tcPr>
                <w:p w14:paraId="71DAAC84" w14:textId="77777777" w:rsidR="00CA449E" w:rsidRDefault="00CA449E">
                  <w:pPr>
                    <w:rPr>
                      <w:rFonts w:ascii="Arial" w:hAnsi="Arial"/>
                      <w:sz w:val="20"/>
                      <w:szCs w:val="20"/>
                    </w:rPr>
                  </w:pPr>
                </w:p>
              </w:tc>
            </w:tr>
            <w:tr w:rsidR="00CA449E" w14:paraId="7DEF6F48" w14:textId="77777777">
              <w:tc>
                <w:tcPr>
                  <w:tcW w:w="6970" w:type="dxa"/>
                  <w:tcBorders>
                    <w:top w:val="single" w:sz="4" w:space="0" w:color="auto"/>
                    <w:left w:val="single" w:sz="4" w:space="0" w:color="auto"/>
                    <w:bottom w:val="single" w:sz="4" w:space="0" w:color="auto"/>
                    <w:right w:val="single" w:sz="4" w:space="0" w:color="auto"/>
                  </w:tcBorders>
                </w:tcPr>
                <w:p w14:paraId="78DDA357" w14:textId="77777777" w:rsidR="00CA449E" w:rsidRDefault="00CA449E">
                  <w:pPr>
                    <w:rPr>
                      <w:rFonts w:ascii="Arial" w:hAnsi="Arial"/>
                      <w:sz w:val="20"/>
                      <w:szCs w:val="20"/>
                    </w:rPr>
                  </w:pPr>
                </w:p>
                <w:p w14:paraId="69D03A10" w14:textId="77777777" w:rsidR="00CA449E" w:rsidRDefault="00CA449E">
                  <w:pPr>
                    <w:rPr>
                      <w:rFonts w:ascii="Arial" w:hAnsi="Arial"/>
                      <w:b/>
                      <w:sz w:val="20"/>
                      <w:szCs w:val="20"/>
                    </w:rPr>
                  </w:pPr>
                  <w:r>
                    <w:rPr>
                      <w:rFonts w:ascii="Arial" w:hAnsi="Arial"/>
                      <w:b/>
                      <w:sz w:val="20"/>
                      <w:szCs w:val="20"/>
                    </w:rPr>
                    <w:t>Final Mark</w:t>
                  </w:r>
                </w:p>
                <w:p w14:paraId="74506295" w14:textId="77777777" w:rsidR="00CA449E" w:rsidRDefault="00CA449E">
                  <w:pPr>
                    <w:rPr>
                      <w:rFonts w:ascii="Arial" w:hAnsi="Arial"/>
                      <w:sz w:val="20"/>
                      <w:szCs w:val="20"/>
                    </w:rPr>
                  </w:pPr>
                </w:p>
              </w:tc>
              <w:tc>
                <w:tcPr>
                  <w:tcW w:w="1660" w:type="dxa"/>
                  <w:tcBorders>
                    <w:top w:val="single" w:sz="4" w:space="0" w:color="auto"/>
                    <w:left w:val="single" w:sz="4" w:space="0" w:color="auto"/>
                    <w:bottom w:val="single" w:sz="4" w:space="0" w:color="auto"/>
                    <w:right w:val="single" w:sz="4" w:space="0" w:color="auto"/>
                  </w:tcBorders>
                </w:tcPr>
                <w:p w14:paraId="4AE2E81D" w14:textId="77777777" w:rsidR="00CA449E" w:rsidRDefault="00CA449E">
                  <w:pPr>
                    <w:rPr>
                      <w:rFonts w:ascii="Arial" w:hAnsi="Arial"/>
                      <w:sz w:val="20"/>
                      <w:szCs w:val="20"/>
                    </w:rPr>
                  </w:pPr>
                </w:p>
              </w:tc>
            </w:tr>
          </w:tbl>
          <w:p w14:paraId="658D19AF" w14:textId="77777777" w:rsidR="00CA449E" w:rsidRDefault="00CA449E">
            <w:pPr>
              <w:pStyle w:val="NormalWeb"/>
              <w:spacing w:before="0" w:beforeAutospacing="0" w:after="0" w:afterAutospacing="0"/>
              <w:ind w:left="142" w:right="34"/>
              <w:rPr>
                <w:rFonts w:ascii="Arial" w:hAnsi="Arial" w:cs="Arial"/>
                <w:b/>
                <w:sz w:val="22"/>
                <w:szCs w:val="22"/>
                <w:lang w:eastAsia="zh-CN"/>
              </w:rPr>
            </w:pPr>
          </w:p>
          <w:p w14:paraId="711F4A94" w14:textId="77777777" w:rsidR="00CA449E" w:rsidRDefault="00CA449E">
            <w:pPr>
              <w:pStyle w:val="NormalWeb"/>
              <w:spacing w:before="0" w:beforeAutospacing="0" w:after="0" w:afterAutospacing="0"/>
              <w:ind w:left="142" w:right="34"/>
              <w:rPr>
                <w:rFonts w:ascii="Arial" w:hAnsi="Arial" w:cs="Arial"/>
                <w:sz w:val="22"/>
                <w:szCs w:val="22"/>
              </w:rPr>
            </w:pPr>
            <w:r>
              <w:rPr>
                <w:rFonts w:ascii="Arial" w:hAnsi="Arial" w:cs="Arial"/>
                <w:b/>
                <w:sz w:val="22"/>
                <w:szCs w:val="22"/>
              </w:rPr>
              <w:t>NB.</w:t>
            </w:r>
            <w:r>
              <w:rPr>
                <w:rFonts w:ascii="Arial" w:hAnsi="Arial" w:cs="Arial"/>
                <w:sz w:val="22"/>
                <w:szCs w:val="22"/>
              </w:rPr>
              <w:t xml:space="preserve">  All marks are provisional until confirmed by the Final Examination Board.</w:t>
            </w:r>
          </w:p>
          <w:p w14:paraId="587D0135" w14:textId="77777777" w:rsidR="00CA449E" w:rsidRDefault="00CA449E">
            <w:pPr>
              <w:pStyle w:val="NormalWeb"/>
              <w:spacing w:before="0" w:beforeAutospacing="0" w:after="0" w:afterAutospacing="0"/>
              <w:rPr>
                <w:rFonts w:ascii="Arial" w:hAnsi="Arial" w:cs="Arial"/>
                <w:b/>
                <w:sz w:val="22"/>
                <w:szCs w:val="22"/>
              </w:rPr>
            </w:pPr>
          </w:p>
          <w:p w14:paraId="4EA42864" w14:textId="77777777" w:rsidR="00CA449E" w:rsidRDefault="00CA449E">
            <w:pPr>
              <w:pStyle w:val="NormalWeb"/>
              <w:spacing w:before="0" w:beforeAutospacing="0" w:after="0" w:afterAutospacing="0"/>
              <w:rPr>
                <w:rFonts w:ascii="Arial" w:hAnsi="Arial" w:cs="Arial"/>
                <w:b/>
                <w:sz w:val="22"/>
                <w:szCs w:val="22"/>
              </w:rPr>
            </w:pPr>
          </w:p>
          <w:p w14:paraId="0AAE71E0" w14:textId="77777777" w:rsidR="00CA449E" w:rsidRDefault="00CA449E">
            <w:pPr>
              <w:pStyle w:val="NormalWeb"/>
              <w:spacing w:before="0" w:beforeAutospacing="0" w:after="0" w:afterAutospacing="0"/>
              <w:rPr>
                <w:rFonts w:ascii="Arial" w:hAnsi="Arial" w:cs="Arial"/>
                <w:b/>
                <w:sz w:val="22"/>
                <w:szCs w:val="22"/>
              </w:rPr>
            </w:pPr>
          </w:p>
          <w:p w14:paraId="61536747" w14:textId="77777777" w:rsidR="00CA449E" w:rsidRDefault="00CA449E">
            <w:pPr>
              <w:pStyle w:val="NormalWeb"/>
              <w:spacing w:before="0" w:beforeAutospacing="0" w:after="0" w:afterAutospacing="0"/>
              <w:rPr>
                <w:rFonts w:ascii="Arial" w:hAnsi="Arial" w:cs="Arial"/>
                <w:b/>
                <w:sz w:val="22"/>
                <w:szCs w:val="22"/>
              </w:rPr>
            </w:pPr>
          </w:p>
          <w:p w14:paraId="57AE04E1" w14:textId="77777777" w:rsidR="00CA449E" w:rsidRDefault="00CA449E">
            <w:pPr>
              <w:pStyle w:val="NormalWeb"/>
              <w:spacing w:before="0" w:beforeAutospacing="0" w:after="0" w:afterAutospacing="0"/>
              <w:rPr>
                <w:rFonts w:ascii="Arial" w:hAnsi="Arial" w:cs="Arial"/>
                <w:b/>
                <w:sz w:val="22"/>
                <w:szCs w:val="22"/>
              </w:rPr>
            </w:pPr>
          </w:p>
          <w:p w14:paraId="49FE0FC4" w14:textId="77777777" w:rsidR="00CA449E" w:rsidRDefault="00CA449E">
            <w:pPr>
              <w:pStyle w:val="NormalWeb"/>
              <w:spacing w:before="0" w:beforeAutospacing="0" w:after="0" w:afterAutospacing="0"/>
              <w:rPr>
                <w:rFonts w:ascii="Arial" w:hAnsi="Arial" w:cs="Arial"/>
                <w:b/>
                <w:sz w:val="22"/>
                <w:szCs w:val="22"/>
              </w:rPr>
            </w:pPr>
            <w:r>
              <w:rPr>
                <w:rFonts w:ascii="Arial" w:hAnsi="Arial" w:cs="Arial"/>
                <w:b/>
                <w:sz w:val="22"/>
                <w:szCs w:val="22"/>
              </w:rPr>
              <w:t xml:space="preserve">For completion by Marker </w:t>
            </w:r>
            <w:proofErr w:type="gramStart"/>
            <w:r>
              <w:rPr>
                <w:rFonts w:ascii="Arial" w:hAnsi="Arial" w:cs="Arial"/>
                <w:b/>
                <w:sz w:val="22"/>
                <w:szCs w:val="22"/>
              </w:rPr>
              <w:t>1 :</w:t>
            </w:r>
            <w:proofErr w:type="gramEnd"/>
          </w:p>
          <w:p w14:paraId="32AFBEDA" w14:textId="77777777" w:rsidR="00CA449E" w:rsidRDefault="00CA449E">
            <w:pPr>
              <w:pStyle w:val="NormalWeb"/>
              <w:rPr>
                <w:rFonts w:ascii="Arial" w:hAnsi="Arial" w:cs="Arial"/>
                <w:sz w:val="22"/>
                <w:szCs w:val="22"/>
              </w:rPr>
            </w:pPr>
            <w:r>
              <w:rPr>
                <w:rFonts w:ascii="Arial" w:hAnsi="Arial" w:cs="Arial"/>
                <w:sz w:val="22"/>
                <w:szCs w:val="22"/>
              </w:rPr>
              <w:t>Comments:</w:t>
            </w:r>
          </w:p>
          <w:p w14:paraId="1B397336" w14:textId="77777777" w:rsidR="00CA449E" w:rsidRDefault="00CA449E">
            <w:pPr>
              <w:pStyle w:val="NormalWeb"/>
              <w:rPr>
                <w:rFonts w:ascii="Arial" w:hAnsi="Arial" w:cs="Arial"/>
                <w:sz w:val="22"/>
                <w:szCs w:val="22"/>
              </w:rPr>
            </w:pPr>
          </w:p>
        </w:tc>
      </w:tr>
      <w:tr w:rsidR="00CA449E" w14:paraId="0313E8B5" w14:textId="77777777" w:rsidTr="00CA449E">
        <w:trPr>
          <w:trHeight w:val="492"/>
        </w:trPr>
        <w:tc>
          <w:tcPr>
            <w:tcW w:w="6768" w:type="dxa"/>
            <w:gridSpan w:val="3"/>
            <w:tcBorders>
              <w:top w:val="single" w:sz="4" w:space="0" w:color="000000"/>
              <w:left w:val="single" w:sz="4" w:space="0" w:color="000000"/>
              <w:bottom w:val="single" w:sz="4" w:space="0" w:color="000000"/>
              <w:right w:val="single" w:sz="4" w:space="0" w:color="000000"/>
            </w:tcBorders>
            <w:hideMark/>
          </w:tcPr>
          <w:p w14:paraId="1EE7D2B6" w14:textId="77777777" w:rsidR="00CA449E" w:rsidRDefault="00CA449E">
            <w:pPr>
              <w:pStyle w:val="NormalWeb"/>
              <w:spacing w:beforeAutospacing="0" w:afterAutospacing="0"/>
              <w:ind w:left="142" w:right="34"/>
              <w:rPr>
                <w:rFonts w:ascii="Arial" w:hAnsi="Arial" w:cs="Arial"/>
                <w:sz w:val="22"/>
                <w:szCs w:val="22"/>
              </w:rPr>
            </w:pPr>
            <w:r>
              <w:rPr>
                <w:rFonts w:ascii="Arial" w:hAnsi="Arial" w:cs="Arial"/>
                <w:sz w:val="22"/>
                <w:szCs w:val="22"/>
              </w:rPr>
              <w:t>Marker’s signature:</w:t>
            </w:r>
          </w:p>
        </w:tc>
        <w:tc>
          <w:tcPr>
            <w:tcW w:w="2088" w:type="dxa"/>
            <w:gridSpan w:val="2"/>
            <w:tcBorders>
              <w:top w:val="single" w:sz="4" w:space="0" w:color="000000"/>
              <w:left w:val="single" w:sz="4" w:space="0" w:color="000000"/>
              <w:bottom w:val="single" w:sz="4" w:space="0" w:color="000000"/>
              <w:right w:val="single" w:sz="4" w:space="0" w:color="000000"/>
            </w:tcBorders>
            <w:hideMark/>
          </w:tcPr>
          <w:p w14:paraId="3E8B5A4C" w14:textId="77777777" w:rsidR="00CA449E" w:rsidRDefault="00CA449E">
            <w:pPr>
              <w:pStyle w:val="NormalWeb"/>
              <w:spacing w:beforeAutospacing="0" w:after="0" w:afterAutospacing="0"/>
              <w:ind w:left="142" w:right="34"/>
              <w:rPr>
                <w:rFonts w:ascii="Arial" w:hAnsi="Arial" w:cs="Arial"/>
                <w:sz w:val="22"/>
                <w:szCs w:val="22"/>
              </w:rPr>
            </w:pPr>
            <w:r>
              <w:rPr>
                <w:rFonts w:ascii="Arial" w:hAnsi="Arial" w:cs="Arial"/>
                <w:sz w:val="22"/>
                <w:szCs w:val="22"/>
              </w:rPr>
              <w:t>Date:</w:t>
            </w:r>
          </w:p>
        </w:tc>
      </w:tr>
      <w:tr w:rsidR="00CA449E" w14:paraId="373A3CA9" w14:textId="77777777" w:rsidTr="00CA449E">
        <w:tc>
          <w:tcPr>
            <w:tcW w:w="8856" w:type="dxa"/>
            <w:gridSpan w:val="5"/>
            <w:tcBorders>
              <w:top w:val="single" w:sz="4" w:space="0" w:color="000000"/>
              <w:left w:val="single" w:sz="4" w:space="0" w:color="000000"/>
              <w:bottom w:val="single" w:sz="4" w:space="0" w:color="000000"/>
              <w:right w:val="single" w:sz="4" w:space="0" w:color="000000"/>
            </w:tcBorders>
          </w:tcPr>
          <w:p w14:paraId="2DD32C17" w14:textId="77777777" w:rsidR="00CA449E" w:rsidRDefault="00CA449E">
            <w:pPr>
              <w:pStyle w:val="NormalWeb"/>
              <w:spacing w:before="0" w:beforeAutospacing="0" w:after="0" w:afterAutospacing="0"/>
              <w:ind w:right="-334"/>
              <w:rPr>
                <w:rFonts w:ascii="Arial" w:hAnsi="Arial" w:cs="Arial"/>
                <w:bCs/>
                <w:i/>
                <w:sz w:val="22"/>
                <w:szCs w:val="22"/>
              </w:rPr>
            </w:pPr>
          </w:p>
          <w:p w14:paraId="194F3B03" w14:textId="77777777" w:rsidR="00CA449E" w:rsidRDefault="00CA449E">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Marker 2/Moderator:</w:t>
            </w:r>
          </w:p>
          <w:p w14:paraId="0F97A59B" w14:textId="77777777" w:rsidR="00CA449E" w:rsidRDefault="00CA449E">
            <w:pPr>
              <w:pStyle w:val="NormalWeb"/>
              <w:spacing w:before="0" w:beforeAutospacing="0" w:after="0" w:afterAutospacing="0"/>
              <w:ind w:right="-334"/>
              <w:rPr>
                <w:rFonts w:ascii="Arial" w:hAnsi="Arial" w:cs="Arial"/>
                <w:b/>
                <w:bCs/>
                <w:sz w:val="22"/>
                <w:szCs w:val="22"/>
              </w:rPr>
            </w:pPr>
          </w:p>
          <w:p w14:paraId="47B8D1AC" w14:textId="77777777" w:rsidR="00CA449E" w:rsidRDefault="00CA449E">
            <w:pPr>
              <w:pStyle w:val="NormalWeb"/>
              <w:spacing w:before="0" w:beforeAutospacing="0" w:after="0" w:afterAutospacing="0"/>
              <w:ind w:right="-334"/>
              <w:rPr>
                <w:rFonts w:ascii="Arial" w:hAnsi="Arial" w:cs="Arial"/>
                <w:bCs/>
                <w:sz w:val="22"/>
                <w:szCs w:val="22"/>
              </w:rPr>
            </w:pPr>
            <w:r>
              <w:rPr>
                <w:rFonts w:ascii="Arial" w:hAnsi="Arial" w:cs="Arial"/>
                <w:bCs/>
                <w:sz w:val="22"/>
                <w:szCs w:val="22"/>
              </w:rPr>
              <w:t>Comments:</w:t>
            </w:r>
          </w:p>
          <w:p w14:paraId="18508D53" w14:textId="77777777" w:rsidR="00CA449E" w:rsidRDefault="00CA449E">
            <w:pPr>
              <w:pStyle w:val="NormalWeb"/>
              <w:spacing w:before="0" w:beforeAutospacing="0" w:after="0" w:afterAutospacing="0"/>
              <w:ind w:right="-334"/>
              <w:rPr>
                <w:rFonts w:ascii="Arial" w:hAnsi="Arial" w:cs="Arial"/>
                <w:bCs/>
                <w:sz w:val="22"/>
                <w:szCs w:val="22"/>
              </w:rPr>
            </w:pPr>
          </w:p>
          <w:p w14:paraId="654A7AD2" w14:textId="77777777" w:rsidR="00CA449E" w:rsidRDefault="00CA449E">
            <w:pPr>
              <w:pStyle w:val="NormalWeb"/>
              <w:spacing w:before="0" w:beforeAutospacing="0" w:after="0" w:afterAutospacing="0"/>
              <w:ind w:right="-334"/>
              <w:rPr>
                <w:rFonts w:ascii="Arial" w:hAnsi="Arial" w:cs="Arial"/>
                <w:bCs/>
                <w:sz w:val="22"/>
                <w:szCs w:val="22"/>
              </w:rPr>
            </w:pPr>
          </w:p>
          <w:p w14:paraId="7556CA0A" w14:textId="77777777" w:rsidR="00CA449E" w:rsidRDefault="00CA449E">
            <w:pPr>
              <w:pStyle w:val="NormalWeb"/>
              <w:spacing w:before="0" w:beforeAutospacing="0" w:after="0" w:afterAutospacing="0"/>
              <w:ind w:right="-334"/>
              <w:rPr>
                <w:rFonts w:ascii="Arial" w:hAnsi="Arial" w:cs="Arial"/>
                <w:bCs/>
                <w:sz w:val="22"/>
                <w:szCs w:val="22"/>
              </w:rPr>
            </w:pPr>
          </w:p>
          <w:p w14:paraId="1D91D639" w14:textId="77777777" w:rsidR="00CA449E" w:rsidRDefault="00CA449E">
            <w:pPr>
              <w:pStyle w:val="NormalWeb"/>
              <w:spacing w:before="0" w:beforeAutospacing="0" w:after="0" w:afterAutospacing="0"/>
              <w:ind w:right="-334"/>
              <w:rPr>
                <w:rFonts w:ascii="Arial" w:hAnsi="Arial" w:cs="Arial"/>
                <w:bCs/>
                <w:sz w:val="22"/>
                <w:szCs w:val="22"/>
              </w:rPr>
            </w:pPr>
          </w:p>
          <w:p w14:paraId="7ED41475" w14:textId="77777777" w:rsidR="00CA449E" w:rsidRDefault="00CA449E">
            <w:pPr>
              <w:pStyle w:val="NormalWeb"/>
              <w:spacing w:before="0" w:beforeAutospacing="0" w:after="0" w:afterAutospacing="0"/>
              <w:ind w:right="-334"/>
              <w:rPr>
                <w:rFonts w:ascii="Arial" w:hAnsi="Arial" w:cs="Arial"/>
                <w:bCs/>
                <w:sz w:val="22"/>
                <w:szCs w:val="22"/>
              </w:rPr>
            </w:pPr>
          </w:p>
          <w:p w14:paraId="2921BED9" w14:textId="77777777" w:rsidR="00CA449E" w:rsidRDefault="00CA449E">
            <w:pPr>
              <w:pStyle w:val="NormalWeb"/>
              <w:spacing w:before="0" w:beforeAutospacing="0" w:after="0" w:afterAutospacing="0"/>
              <w:ind w:right="-334"/>
              <w:rPr>
                <w:rFonts w:ascii="Arial" w:hAnsi="Arial" w:cs="Arial"/>
                <w:bCs/>
                <w:sz w:val="22"/>
                <w:szCs w:val="22"/>
              </w:rPr>
            </w:pPr>
          </w:p>
          <w:p w14:paraId="715B5E11" w14:textId="77777777" w:rsidR="00CA449E" w:rsidRDefault="00CA449E">
            <w:pPr>
              <w:pStyle w:val="NormalWeb"/>
              <w:spacing w:before="0" w:beforeAutospacing="0" w:after="0" w:afterAutospacing="0"/>
              <w:ind w:right="-334"/>
              <w:rPr>
                <w:rFonts w:ascii="Arial" w:hAnsi="Arial" w:cs="Arial"/>
                <w:bCs/>
                <w:sz w:val="22"/>
                <w:szCs w:val="22"/>
              </w:rPr>
            </w:pPr>
          </w:p>
          <w:p w14:paraId="0EA34581" w14:textId="77777777" w:rsidR="00CA449E" w:rsidRDefault="00CA449E">
            <w:pPr>
              <w:pStyle w:val="NormalWeb"/>
              <w:spacing w:before="0" w:beforeAutospacing="0" w:after="0" w:afterAutospacing="0"/>
              <w:ind w:right="-334"/>
              <w:rPr>
                <w:rFonts w:ascii="Arial" w:hAnsi="Arial" w:cs="Arial"/>
                <w:bCs/>
                <w:sz w:val="22"/>
                <w:szCs w:val="22"/>
              </w:rPr>
            </w:pPr>
          </w:p>
          <w:p w14:paraId="28AE21F5" w14:textId="77777777" w:rsidR="00CA449E" w:rsidRDefault="00CA449E">
            <w:pPr>
              <w:pStyle w:val="NormalWeb"/>
              <w:spacing w:before="0" w:beforeAutospacing="0" w:after="0" w:afterAutospacing="0"/>
              <w:ind w:right="-334"/>
              <w:rPr>
                <w:rFonts w:ascii="Arial" w:hAnsi="Arial" w:cs="Arial"/>
                <w:bCs/>
                <w:sz w:val="22"/>
                <w:szCs w:val="22"/>
              </w:rPr>
            </w:pPr>
          </w:p>
          <w:p w14:paraId="3B598168" w14:textId="77777777" w:rsidR="00CA449E" w:rsidRDefault="00CA449E">
            <w:pPr>
              <w:pStyle w:val="NormalWeb"/>
              <w:spacing w:before="0" w:beforeAutospacing="0" w:after="0" w:afterAutospacing="0"/>
              <w:ind w:right="-334"/>
              <w:rPr>
                <w:rFonts w:ascii="Arial" w:hAnsi="Arial" w:cs="Arial"/>
                <w:bCs/>
                <w:sz w:val="22"/>
                <w:szCs w:val="22"/>
              </w:rPr>
            </w:pPr>
          </w:p>
          <w:p w14:paraId="73C63E9B" w14:textId="77777777" w:rsidR="00CA449E" w:rsidRDefault="00CA449E">
            <w:pPr>
              <w:pStyle w:val="NormalWeb"/>
              <w:spacing w:before="0" w:beforeAutospacing="0" w:after="0" w:afterAutospacing="0"/>
              <w:ind w:right="-334"/>
              <w:rPr>
                <w:rFonts w:ascii="Arial" w:hAnsi="Arial" w:cs="Arial"/>
                <w:bCs/>
                <w:sz w:val="22"/>
                <w:szCs w:val="22"/>
              </w:rPr>
            </w:pPr>
          </w:p>
          <w:p w14:paraId="175CB99F" w14:textId="77777777" w:rsidR="00CA449E" w:rsidRDefault="00CA449E">
            <w:pPr>
              <w:pStyle w:val="NormalWeb"/>
              <w:spacing w:before="0" w:beforeAutospacing="0" w:after="0" w:afterAutospacing="0"/>
              <w:ind w:right="-334"/>
              <w:rPr>
                <w:rFonts w:ascii="Arial" w:hAnsi="Arial" w:cs="Arial"/>
                <w:bCs/>
                <w:sz w:val="22"/>
                <w:szCs w:val="22"/>
              </w:rPr>
            </w:pPr>
          </w:p>
          <w:p w14:paraId="5B49BF3C" w14:textId="77777777" w:rsidR="00CA449E" w:rsidRDefault="00CA449E">
            <w:pPr>
              <w:pStyle w:val="NormalWeb"/>
              <w:spacing w:before="0" w:beforeAutospacing="0" w:after="0" w:afterAutospacing="0"/>
              <w:ind w:right="-334"/>
              <w:rPr>
                <w:rFonts w:ascii="Arial" w:hAnsi="Arial" w:cs="Arial"/>
                <w:bCs/>
                <w:sz w:val="22"/>
                <w:szCs w:val="22"/>
              </w:rPr>
            </w:pPr>
          </w:p>
        </w:tc>
      </w:tr>
      <w:tr w:rsidR="00CA449E" w14:paraId="39852E42" w14:textId="77777777" w:rsidTr="00CA449E">
        <w:trPr>
          <w:trHeight w:val="720"/>
        </w:trPr>
        <w:tc>
          <w:tcPr>
            <w:tcW w:w="5211" w:type="dxa"/>
            <w:gridSpan w:val="2"/>
            <w:tcBorders>
              <w:top w:val="single" w:sz="4" w:space="0" w:color="000000"/>
              <w:left w:val="single" w:sz="4" w:space="0" w:color="000000"/>
              <w:bottom w:val="single" w:sz="4" w:space="0" w:color="000000"/>
              <w:right w:val="single" w:sz="4" w:space="0" w:color="000000"/>
            </w:tcBorders>
            <w:hideMark/>
          </w:tcPr>
          <w:p w14:paraId="5035ED65" w14:textId="77777777" w:rsidR="00CA449E" w:rsidRDefault="00CA449E">
            <w:pPr>
              <w:pStyle w:val="NormalWeb"/>
              <w:spacing w:before="0" w:beforeAutospacing="0" w:after="0" w:afterAutospacing="0"/>
              <w:ind w:right="-334"/>
              <w:rPr>
                <w:rFonts w:ascii="Arial" w:hAnsi="Arial" w:cs="Arial"/>
                <w:bCs/>
                <w:sz w:val="22"/>
                <w:szCs w:val="22"/>
              </w:rPr>
            </w:pPr>
            <w:r>
              <w:rPr>
                <w:rFonts w:ascii="Arial" w:hAnsi="Arial" w:cs="Arial"/>
                <w:bCs/>
                <w:sz w:val="22"/>
                <w:szCs w:val="22"/>
              </w:rPr>
              <w:t>Marker’s Signature:</w:t>
            </w:r>
          </w:p>
        </w:tc>
        <w:tc>
          <w:tcPr>
            <w:tcW w:w="3645" w:type="dxa"/>
            <w:gridSpan w:val="3"/>
            <w:tcBorders>
              <w:top w:val="single" w:sz="4" w:space="0" w:color="000000"/>
              <w:left w:val="single" w:sz="4" w:space="0" w:color="000000"/>
              <w:bottom w:val="single" w:sz="4" w:space="0" w:color="000000"/>
              <w:right w:val="single" w:sz="4" w:space="0" w:color="000000"/>
            </w:tcBorders>
            <w:hideMark/>
          </w:tcPr>
          <w:p w14:paraId="3FE118E7" w14:textId="77777777" w:rsidR="00CA449E" w:rsidRDefault="00CA449E">
            <w:pPr>
              <w:pStyle w:val="NormalWeb"/>
              <w:spacing w:before="0" w:beforeAutospacing="0" w:after="0" w:afterAutospacing="0"/>
              <w:ind w:right="-334"/>
              <w:rPr>
                <w:rFonts w:ascii="Arial" w:hAnsi="Arial" w:cs="Arial"/>
                <w:bCs/>
                <w:sz w:val="22"/>
                <w:szCs w:val="22"/>
              </w:rPr>
            </w:pPr>
            <w:r>
              <w:rPr>
                <w:rFonts w:ascii="Arial" w:hAnsi="Arial" w:cs="Arial"/>
                <w:bCs/>
                <w:sz w:val="22"/>
                <w:szCs w:val="22"/>
              </w:rPr>
              <w:t>Date:</w:t>
            </w:r>
          </w:p>
        </w:tc>
      </w:tr>
      <w:tr w:rsidR="00CA449E" w14:paraId="0ACF04C7" w14:textId="77777777" w:rsidTr="00CA449E">
        <w:trPr>
          <w:trHeight w:val="720"/>
        </w:trPr>
        <w:tc>
          <w:tcPr>
            <w:tcW w:w="8856" w:type="dxa"/>
            <w:gridSpan w:val="5"/>
            <w:tcBorders>
              <w:top w:val="single" w:sz="4" w:space="0" w:color="000000"/>
              <w:left w:val="single" w:sz="4" w:space="0" w:color="000000"/>
              <w:bottom w:val="single" w:sz="4" w:space="0" w:color="000000"/>
              <w:right w:val="single" w:sz="4" w:space="0" w:color="000000"/>
            </w:tcBorders>
          </w:tcPr>
          <w:p w14:paraId="454C79BC" w14:textId="77777777" w:rsidR="00CA449E" w:rsidRDefault="00CA449E">
            <w:pPr>
              <w:rPr>
                <w:rFonts w:ascii="Arial" w:hAnsi="Arial" w:cs="Arial"/>
                <w:b/>
              </w:rPr>
            </w:pPr>
            <w:r>
              <w:rPr>
                <w:rFonts w:ascii="Arial" w:hAnsi="Arial" w:cs="Arial"/>
                <w:b/>
              </w:rPr>
              <w:lastRenderedPageBreak/>
              <w:t>External Examiner’s comments (if relevant)</w:t>
            </w:r>
          </w:p>
          <w:p w14:paraId="21E70062" w14:textId="77777777" w:rsidR="00CA449E" w:rsidRDefault="00CA449E">
            <w:pPr>
              <w:pStyle w:val="NormalWeb"/>
              <w:spacing w:before="0" w:beforeAutospacing="0" w:after="0" w:afterAutospacing="0"/>
              <w:ind w:right="-334"/>
              <w:rPr>
                <w:rFonts w:ascii="Arial" w:hAnsi="Arial" w:cs="Arial"/>
                <w:bCs/>
                <w:sz w:val="22"/>
                <w:szCs w:val="22"/>
              </w:rPr>
            </w:pPr>
          </w:p>
          <w:p w14:paraId="36067656" w14:textId="77777777" w:rsidR="00CA449E" w:rsidRDefault="00CA449E">
            <w:pPr>
              <w:pStyle w:val="NormalWeb"/>
              <w:spacing w:before="0" w:beforeAutospacing="0" w:after="0" w:afterAutospacing="0"/>
              <w:ind w:right="-334"/>
              <w:rPr>
                <w:rFonts w:ascii="Arial" w:hAnsi="Arial" w:cs="Arial"/>
                <w:bCs/>
                <w:sz w:val="22"/>
                <w:szCs w:val="22"/>
              </w:rPr>
            </w:pPr>
          </w:p>
          <w:p w14:paraId="30F686B4" w14:textId="77777777" w:rsidR="00CA449E" w:rsidRDefault="00CA449E">
            <w:pPr>
              <w:pStyle w:val="NormalWeb"/>
              <w:spacing w:before="0" w:beforeAutospacing="0" w:after="0" w:afterAutospacing="0"/>
              <w:ind w:right="-334"/>
              <w:rPr>
                <w:rFonts w:ascii="Arial" w:hAnsi="Arial" w:cs="Arial"/>
                <w:bCs/>
                <w:sz w:val="22"/>
                <w:szCs w:val="22"/>
              </w:rPr>
            </w:pPr>
          </w:p>
          <w:p w14:paraId="7C9A6979" w14:textId="77777777" w:rsidR="00CA449E" w:rsidRDefault="00CA449E">
            <w:pPr>
              <w:pStyle w:val="NormalWeb"/>
              <w:spacing w:before="0" w:beforeAutospacing="0" w:after="0" w:afterAutospacing="0"/>
              <w:ind w:right="-334"/>
              <w:rPr>
                <w:rFonts w:ascii="Arial" w:hAnsi="Arial" w:cs="Arial"/>
                <w:bCs/>
                <w:sz w:val="22"/>
                <w:szCs w:val="22"/>
              </w:rPr>
            </w:pPr>
          </w:p>
          <w:p w14:paraId="4ACD4F1A" w14:textId="77777777" w:rsidR="00CA449E" w:rsidRDefault="00CA449E">
            <w:pPr>
              <w:pStyle w:val="NormalWeb"/>
              <w:spacing w:before="0" w:beforeAutospacing="0" w:after="0" w:afterAutospacing="0"/>
              <w:ind w:right="-334"/>
              <w:rPr>
                <w:rFonts w:ascii="Arial" w:hAnsi="Arial" w:cs="Arial"/>
                <w:bCs/>
                <w:sz w:val="22"/>
                <w:szCs w:val="22"/>
              </w:rPr>
            </w:pPr>
          </w:p>
          <w:p w14:paraId="416073EF" w14:textId="77777777" w:rsidR="00CA449E" w:rsidRDefault="00CA449E">
            <w:pPr>
              <w:pStyle w:val="NormalWeb"/>
              <w:spacing w:before="0" w:beforeAutospacing="0" w:after="0" w:afterAutospacing="0"/>
              <w:ind w:right="-334"/>
              <w:rPr>
                <w:rFonts w:ascii="Arial" w:hAnsi="Arial" w:cs="Arial"/>
                <w:bCs/>
                <w:sz w:val="22"/>
                <w:szCs w:val="22"/>
              </w:rPr>
            </w:pPr>
          </w:p>
          <w:p w14:paraId="2C4C6959" w14:textId="77777777" w:rsidR="00CA449E" w:rsidRDefault="00CA449E">
            <w:pPr>
              <w:pStyle w:val="NormalWeb"/>
              <w:spacing w:before="0" w:beforeAutospacing="0" w:after="0" w:afterAutospacing="0"/>
              <w:ind w:right="-334"/>
              <w:rPr>
                <w:rFonts w:ascii="Arial" w:hAnsi="Arial" w:cs="Arial"/>
                <w:bCs/>
                <w:sz w:val="22"/>
                <w:szCs w:val="22"/>
              </w:rPr>
            </w:pPr>
          </w:p>
          <w:p w14:paraId="0A7246CA" w14:textId="77777777" w:rsidR="00CA449E" w:rsidRDefault="00CA449E">
            <w:pPr>
              <w:pStyle w:val="NormalWeb"/>
              <w:spacing w:before="0" w:beforeAutospacing="0" w:after="0" w:afterAutospacing="0"/>
              <w:ind w:right="-334"/>
              <w:rPr>
                <w:rFonts w:ascii="Arial" w:hAnsi="Arial" w:cs="Arial"/>
                <w:bCs/>
                <w:sz w:val="22"/>
                <w:szCs w:val="22"/>
              </w:rPr>
            </w:pPr>
          </w:p>
          <w:p w14:paraId="5D12637C" w14:textId="77777777" w:rsidR="00CA449E" w:rsidRDefault="00CA449E">
            <w:pPr>
              <w:pStyle w:val="NormalWeb"/>
              <w:spacing w:before="0" w:beforeAutospacing="0" w:after="0" w:afterAutospacing="0"/>
              <w:ind w:right="-334"/>
              <w:rPr>
                <w:rFonts w:ascii="Arial" w:hAnsi="Arial" w:cs="Arial"/>
                <w:bCs/>
                <w:sz w:val="22"/>
                <w:szCs w:val="22"/>
              </w:rPr>
            </w:pPr>
          </w:p>
          <w:p w14:paraId="257F7D6A" w14:textId="77777777" w:rsidR="00CA449E" w:rsidRDefault="00CA449E">
            <w:pPr>
              <w:pStyle w:val="NormalWeb"/>
              <w:spacing w:before="0" w:beforeAutospacing="0" w:after="0" w:afterAutospacing="0"/>
              <w:ind w:right="-334"/>
              <w:rPr>
                <w:rFonts w:ascii="Arial" w:hAnsi="Arial" w:cs="Arial"/>
                <w:bCs/>
                <w:sz w:val="22"/>
                <w:szCs w:val="22"/>
              </w:rPr>
            </w:pPr>
          </w:p>
          <w:p w14:paraId="26FB1E88" w14:textId="77777777" w:rsidR="00CA449E" w:rsidRDefault="00CA449E">
            <w:pPr>
              <w:pStyle w:val="NormalWeb"/>
              <w:spacing w:before="0" w:beforeAutospacing="0" w:after="0" w:afterAutospacing="0"/>
              <w:ind w:right="-334"/>
              <w:rPr>
                <w:rFonts w:ascii="Arial" w:hAnsi="Arial" w:cs="Arial"/>
                <w:bCs/>
                <w:sz w:val="22"/>
                <w:szCs w:val="22"/>
              </w:rPr>
            </w:pPr>
          </w:p>
        </w:tc>
      </w:tr>
      <w:tr w:rsidR="00CA449E" w14:paraId="53D80CC7" w14:textId="77777777" w:rsidTr="00CA449E">
        <w:trPr>
          <w:trHeight w:val="720"/>
        </w:trPr>
        <w:tc>
          <w:tcPr>
            <w:tcW w:w="5211" w:type="dxa"/>
            <w:gridSpan w:val="2"/>
            <w:tcBorders>
              <w:top w:val="single" w:sz="4" w:space="0" w:color="000000"/>
              <w:left w:val="single" w:sz="4" w:space="0" w:color="000000"/>
              <w:bottom w:val="single" w:sz="4" w:space="0" w:color="000000"/>
              <w:right w:val="single" w:sz="4" w:space="0" w:color="000000"/>
            </w:tcBorders>
            <w:hideMark/>
          </w:tcPr>
          <w:p w14:paraId="42F6F0B4" w14:textId="77777777" w:rsidR="00CA449E" w:rsidRDefault="00CA449E">
            <w:pPr>
              <w:rPr>
                <w:rFonts w:ascii="Arial" w:hAnsi="Arial" w:cs="Arial"/>
              </w:rPr>
            </w:pPr>
            <w:r>
              <w:rPr>
                <w:rFonts w:ascii="Arial" w:hAnsi="Arial" w:cs="Arial"/>
              </w:rPr>
              <w:t>External Examiner’s Signature:</w:t>
            </w:r>
          </w:p>
        </w:tc>
        <w:tc>
          <w:tcPr>
            <w:tcW w:w="3645" w:type="dxa"/>
            <w:gridSpan w:val="3"/>
            <w:tcBorders>
              <w:top w:val="single" w:sz="4" w:space="0" w:color="000000"/>
              <w:left w:val="single" w:sz="4" w:space="0" w:color="000000"/>
              <w:bottom w:val="single" w:sz="4" w:space="0" w:color="000000"/>
              <w:right w:val="single" w:sz="4" w:space="0" w:color="000000"/>
            </w:tcBorders>
            <w:hideMark/>
          </w:tcPr>
          <w:p w14:paraId="167CFBE4" w14:textId="77777777" w:rsidR="00CA449E" w:rsidRDefault="00CA449E">
            <w:pPr>
              <w:rPr>
                <w:rFonts w:ascii="Arial" w:hAnsi="Arial" w:cs="Arial"/>
              </w:rPr>
            </w:pPr>
            <w:r>
              <w:rPr>
                <w:rFonts w:ascii="Arial" w:hAnsi="Arial" w:cs="Arial"/>
              </w:rPr>
              <w:t>Date:</w:t>
            </w:r>
          </w:p>
        </w:tc>
      </w:tr>
    </w:tbl>
    <w:p w14:paraId="00975384" w14:textId="77777777" w:rsidR="005F5BB3" w:rsidRDefault="005F5BB3" w:rsidP="005F5BB3">
      <w:pPr>
        <w:pStyle w:val="BodyText"/>
        <w:spacing w:before="40"/>
        <w:ind w:right="397" w:firstLine="720"/>
        <w:rPr>
          <w:rFonts w:asciiTheme="minorHAnsi" w:hAnsiTheme="minorHAnsi" w:cstheme="minorHAnsi"/>
          <w:b/>
          <w:bCs/>
          <w:u w:val="single"/>
        </w:rPr>
      </w:pPr>
    </w:p>
    <w:p w14:paraId="632ACC99" w14:textId="77777777" w:rsidR="005F5BB3" w:rsidRDefault="005F5BB3" w:rsidP="005F5BB3">
      <w:pPr>
        <w:jc w:val="both"/>
        <w:rPr>
          <w:rFonts w:cstheme="minorHAnsi"/>
        </w:rPr>
      </w:pPr>
    </w:p>
    <w:p w14:paraId="0E54E302" w14:textId="77777777" w:rsidR="00CA449E" w:rsidRDefault="00CA449E" w:rsidP="005F5BB3">
      <w:pPr>
        <w:jc w:val="both"/>
        <w:rPr>
          <w:rFonts w:cstheme="minorHAnsi"/>
        </w:rPr>
      </w:pPr>
    </w:p>
    <w:p w14:paraId="292713BE" w14:textId="77777777" w:rsidR="00CA449E" w:rsidRDefault="00CA449E" w:rsidP="005F5BB3">
      <w:pPr>
        <w:jc w:val="both"/>
        <w:rPr>
          <w:rFonts w:cstheme="minorHAnsi"/>
        </w:rPr>
      </w:pPr>
    </w:p>
    <w:p w14:paraId="6CA7F7C8" w14:textId="77777777" w:rsidR="00CA449E" w:rsidRDefault="00CA449E" w:rsidP="005F5BB3">
      <w:pPr>
        <w:jc w:val="both"/>
        <w:rPr>
          <w:rFonts w:cstheme="minorHAnsi"/>
        </w:rPr>
      </w:pPr>
    </w:p>
    <w:p w14:paraId="7043E53A" w14:textId="77777777" w:rsidR="00CA449E" w:rsidRDefault="00CA449E" w:rsidP="005F5BB3">
      <w:pPr>
        <w:jc w:val="both"/>
        <w:rPr>
          <w:rFonts w:cstheme="minorHAnsi"/>
        </w:rPr>
      </w:pPr>
    </w:p>
    <w:p w14:paraId="48F23373" w14:textId="77777777" w:rsidR="00CA449E" w:rsidRDefault="00CA449E" w:rsidP="005F5BB3">
      <w:pPr>
        <w:jc w:val="both"/>
        <w:rPr>
          <w:rFonts w:cstheme="minorHAnsi"/>
        </w:rPr>
      </w:pPr>
    </w:p>
    <w:p w14:paraId="0EAAEEF4" w14:textId="77777777" w:rsidR="00CA449E" w:rsidRDefault="00CA449E" w:rsidP="005F5BB3">
      <w:pPr>
        <w:jc w:val="both"/>
        <w:rPr>
          <w:rFonts w:cstheme="minorHAnsi"/>
        </w:rPr>
      </w:pPr>
    </w:p>
    <w:p w14:paraId="1530549B" w14:textId="77777777" w:rsidR="00CA449E" w:rsidRDefault="00CA449E" w:rsidP="005F5BB3">
      <w:pPr>
        <w:jc w:val="both"/>
        <w:rPr>
          <w:rFonts w:cstheme="minorHAnsi"/>
        </w:rPr>
      </w:pPr>
    </w:p>
    <w:p w14:paraId="4B952416" w14:textId="77777777" w:rsidR="00CA449E" w:rsidRDefault="00CA449E" w:rsidP="005F5BB3">
      <w:pPr>
        <w:jc w:val="both"/>
        <w:rPr>
          <w:rFonts w:cstheme="minorHAnsi"/>
        </w:rPr>
      </w:pPr>
    </w:p>
    <w:p w14:paraId="239784AD" w14:textId="77777777" w:rsidR="00CA449E" w:rsidRDefault="00CA449E" w:rsidP="005F5BB3">
      <w:pPr>
        <w:jc w:val="both"/>
        <w:rPr>
          <w:rFonts w:cstheme="minorHAnsi"/>
        </w:rPr>
      </w:pPr>
    </w:p>
    <w:p w14:paraId="00ECA791" w14:textId="77777777" w:rsidR="00CA449E" w:rsidRDefault="00CA449E" w:rsidP="005F5BB3">
      <w:pPr>
        <w:jc w:val="both"/>
        <w:rPr>
          <w:rFonts w:cstheme="minorHAnsi"/>
        </w:rPr>
      </w:pPr>
    </w:p>
    <w:p w14:paraId="1C2848AC" w14:textId="77777777" w:rsidR="00CA449E" w:rsidRDefault="00CA449E" w:rsidP="005F5BB3">
      <w:pPr>
        <w:jc w:val="both"/>
        <w:rPr>
          <w:rFonts w:cstheme="minorHAnsi"/>
        </w:rPr>
      </w:pPr>
    </w:p>
    <w:p w14:paraId="41839E1A" w14:textId="77777777" w:rsidR="00CA449E" w:rsidRDefault="00CA449E" w:rsidP="005F5BB3">
      <w:pPr>
        <w:jc w:val="both"/>
        <w:rPr>
          <w:rFonts w:cstheme="minorHAnsi"/>
        </w:rPr>
      </w:pPr>
    </w:p>
    <w:p w14:paraId="6853AC68" w14:textId="77777777" w:rsidR="00CA449E" w:rsidRDefault="00CA449E" w:rsidP="005F5BB3">
      <w:pPr>
        <w:jc w:val="both"/>
        <w:rPr>
          <w:rFonts w:cstheme="minorHAnsi"/>
        </w:rPr>
      </w:pPr>
    </w:p>
    <w:p w14:paraId="3604C65C" w14:textId="77777777" w:rsidR="00CA449E" w:rsidRDefault="00CA449E" w:rsidP="005F5BB3">
      <w:pPr>
        <w:jc w:val="both"/>
        <w:rPr>
          <w:rFonts w:cstheme="minorHAnsi"/>
        </w:rPr>
      </w:pPr>
    </w:p>
    <w:p w14:paraId="0E9C2EC7" w14:textId="77777777" w:rsidR="00CA449E" w:rsidRDefault="00CA449E" w:rsidP="005F5BB3">
      <w:pPr>
        <w:jc w:val="both"/>
        <w:rPr>
          <w:rFonts w:cstheme="minorHAnsi"/>
        </w:rPr>
      </w:pPr>
    </w:p>
    <w:p w14:paraId="6401AE71" w14:textId="77777777" w:rsidR="00CA449E" w:rsidRDefault="00CA449E" w:rsidP="005F5BB3">
      <w:pPr>
        <w:jc w:val="both"/>
        <w:rPr>
          <w:rFonts w:cstheme="minorHAnsi"/>
        </w:rPr>
      </w:pPr>
    </w:p>
    <w:p w14:paraId="70FD0D3E" w14:textId="77777777" w:rsidR="00CA449E" w:rsidRDefault="00CA449E" w:rsidP="005F5BB3">
      <w:pPr>
        <w:jc w:val="both"/>
        <w:rPr>
          <w:rFonts w:cstheme="minorHAnsi"/>
        </w:rPr>
      </w:pPr>
    </w:p>
    <w:p w14:paraId="223CDEEE" w14:textId="77777777" w:rsidR="00CA449E" w:rsidRDefault="00CA449E" w:rsidP="005F5BB3">
      <w:pPr>
        <w:jc w:val="both"/>
        <w:rPr>
          <w:rFonts w:cstheme="minorHAnsi"/>
        </w:rPr>
      </w:pPr>
    </w:p>
    <w:p w14:paraId="755B7ADF" w14:textId="77777777" w:rsidR="00CA449E" w:rsidRDefault="00CA449E" w:rsidP="005F5BB3">
      <w:pPr>
        <w:jc w:val="both"/>
        <w:rPr>
          <w:rFonts w:cstheme="minorHAnsi"/>
        </w:rPr>
      </w:pPr>
    </w:p>
    <w:p w14:paraId="0B5941EF" w14:textId="77777777" w:rsidR="005F5BB3" w:rsidRDefault="005F5BB3" w:rsidP="009F11B1">
      <w:pPr>
        <w:jc w:val="center"/>
        <w:rPr>
          <w:b/>
          <w:bCs/>
          <w:u w:val="single"/>
        </w:rPr>
      </w:pPr>
    </w:p>
    <w:p w14:paraId="6209FE9A" w14:textId="1B50F1CF" w:rsidR="0073169A" w:rsidRPr="005F5BB3" w:rsidRDefault="009F11B1" w:rsidP="009F11B1">
      <w:pPr>
        <w:jc w:val="center"/>
        <w:rPr>
          <w:b/>
          <w:bCs/>
          <w:sz w:val="28"/>
          <w:szCs w:val="28"/>
          <w:u w:val="single"/>
        </w:rPr>
      </w:pPr>
      <w:r w:rsidRPr="005F5BB3">
        <w:rPr>
          <w:b/>
          <w:bCs/>
          <w:sz w:val="28"/>
          <w:szCs w:val="28"/>
          <w:u w:val="single"/>
        </w:rPr>
        <w:lastRenderedPageBreak/>
        <w:t>A Critical Comparison of two Secondary Sources</w:t>
      </w:r>
    </w:p>
    <w:p w14:paraId="5EFBDC01" w14:textId="77777777" w:rsidR="009F11B1" w:rsidRDefault="009F11B1" w:rsidP="009F11B1">
      <w:pPr>
        <w:jc w:val="center"/>
        <w:rPr>
          <w:b/>
          <w:bCs/>
          <w:u w:val="single"/>
        </w:rPr>
      </w:pPr>
    </w:p>
    <w:p w14:paraId="49D006A8" w14:textId="77777777" w:rsidR="009F11B1" w:rsidRDefault="009F11B1" w:rsidP="009F11B1">
      <w:pPr>
        <w:jc w:val="both"/>
      </w:pPr>
    </w:p>
    <w:p w14:paraId="242B18E3" w14:textId="64FF51BD" w:rsidR="00D80347" w:rsidRDefault="00457E2E" w:rsidP="00457E2E">
      <w:pPr>
        <w:ind w:firstLine="720"/>
        <w:jc w:val="both"/>
      </w:pPr>
      <w:r>
        <w:t xml:space="preserve">This essay critically </w:t>
      </w:r>
      <w:proofErr w:type="gramStart"/>
      <w:r w:rsidR="00F15F50">
        <w:t>compares</w:t>
      </w:r>
      <w:r>
        <w:t xml:space="preserve"> </w:t>
      </w:r>
      <w:r w:rsidR="00F15F50">
        <w:t>and contrasts</w:t>
      </w:r>
      <w:proofErr w:type="gramEnd"/>
      <w:r w:rsidR="00F15F50">
        <w:t xml:space="preserve"> </w:t>
      </w:r>
      <w:r>
        <w:t>two papers, Brink, T. L. 1978. ‘Inconsistency of Belief among Roman Catholic Girls: Concerning Religion, Astrology, Reincarnation.’ Review of Religious Research, 20, 82-85, and of Walter, T. &amp; Waterhouse, H. 1999. ‘A Very Private Belief: Reincarnation in Contemporary England’. Sociology of Religion, 60, 187-197</w:t>
      </w:r>
      <w:r>
        <w:t xml:space="preserve">. </w:t>
      </w:r>
      <w:r w:rsidR="00CA347F">
        <w:t>Brink’s paper was written two decades earlier than that of Walter and Waterhouse</w:t>
      </w:r>
      <w:r w:rsidR="003C34EC">
        <w:t>, and hence some fundamental differences between the two can stem from the progress of research methodologies over time</w:t>
      </w:r>
      <w:r w:rsidR="00CA347F">
        <w:t xml:space="preserve">. </w:t>
      </w:r>
      <w:r w:rsidR="003C34EC">
        <w:t xml:space="preserve">As a social scientist, Brink’s key areas of interest include religious </w:t>
      </w:r>
      <w:r w:rsidR="003C34EC" w:rsidRPr="003C34EC">
        <w:t>phenomena</w:t>
      </w:r>
      <w:r w:rsidR="003C34EC" w:rsidRPr="003C34EC">
        <w:rPr>
          <w:rStyle w:val="FootnoteReference"/>
          <w:rFonts w:ascii="Arial" w:hAnsi="Arial" w:cs="Arial"/>
          <w:color w:val="202124"/>
          <w:shd w:val="clear" w:color="auto" w:fill="FFFFFF"/>
        </w:rPr>
        <w:footnoteReference w:id="1"/>
      </w:r>
      <w:r w:rsidR="003C34EC" w:rsidRPr="003C34EC">
        <w:t xml:space="preserve">, </w:t>
      </w:r>
      <w:r w:rsidR="003C34EC">
        <w:t xml:space="preserve">making him </w:t>
      </w:r>
      <w:r w:rsidR="00F15F50">
        <w:t>an authoritative voice in the research area undertaken. Importantly, his audience were the readers of the Review of Religious Research, indicating an academic audience with core interest in religious systems. There is some similarity in the audience interests with the paper of Walter and Waterhouse, however their work has been published in a Sociology of Religion paper, suggesting a slightly less systemic, and more broadly sociology-oriented audience.</w:t>
      </w:r>
      <w:r w:rsidR="00CA347F" w:rsidRPr="003C34EC">
        <w:t xml:space="preserve"> </w:t>
      </w:r>
      <w:r w:rsidRPr="003C34EC">
        <w:t>T</w:t>
      </w:r>
      <w:r>
        <w:t xml:space="preserve">he works chosen </w:t>
      </w:r>
      <w:proofErr w:type="gramStart"/>
      <w:r>
        <w:t>lend</w:t>
      </w:r>
      <w:proofErr w:type="gramEnd"/>
      <w:r>
        <w:t xml:space="preserve"> themselves to the comparison, representing two different approaches to the topic such as reincarnation. First, the methodologies of the researchers will be investigated, to understand its validity for the project. Then, their position on the insider / outsider continuum will be analysed. Lastly, the papers will be presented in the context of the researchers’ field work </w:t>
      </w:r>
      <w:r w:rsidR="005C0F48">
        <w:t xml:space="preserve">compared to the existing literature and the larger academic framework. </w:t>
      </w:r>
    </w:p>
    <w:p w14:paraId="4EA1E588" w14:textId="77777777" w:rsidR="007032E2" w:rsidRDefault="007032E2" w:rsidP="00CA347F">
      <w:pPr>
        <w:ind w:firstLine="720"/>
        <w:jc w:val="both"/>
      </w:pPr>
    </w:p>
    <w:p w14:paraId="5A758EA4" w14:textId="44A6D0B7" w:rsidR="00D80347" w:rsidRDefault="00D80347" w:rsidP="00CA347F">
      <w:pPr>
        <w:ind w:firstLine="720"/>
        <w:jc w:val="both"/>
      </w:pPr>
      <w:r>
        <w:t>The first area of comparison between the two sources is the methodology employed by the researchers</w:t>
      </w:r>
      <w:r w:rsidR="00CA347F">
        <w:t>.</w:t>
      </w:r>
      <w:r>
        <w:t xml:space="preserve"> Brink used quantitative research to investigate his question, </w:t>
      </w:r>
      <w:r w:rsidR="00CA347F">
        <w:t xml:space="preserve">while </w:t>
      </w:r>
      <w:r>
        <w:t>the approach</w:t>
      </w:r>
      <w:r w:rsidR="00CA347F">
        <w:t xml:space="preserve"> clearly</w:t>
      </w:r>
      <w:r>
        <w:t xml:space="preserve"> contrasts with the qualitative </w:t>
      </w:r>
      <w:r w:rsidR="00FC5798">
        <w:t>methods</w:t>
      </w:r>
      <w:r>
        <w:t xml:space="preserve"> applied by Walter</w:t>
      </w:r>
      <w:r w:rsidR="006530D7">
        <w:t xml:space="preserve"> and</w:t>
      </w:r>
      <w:r>
        <w:t xml:space="preserve"> Waterhouse. </w:t>
      </w:r>
      <w:r w:rsidR="00A55ADA">
        <w:t>On the other hand, some similarities for the rationale behind the sample choice can be deduced</w:t>
      </w:r>
      <w:r w:rsidR="00CA347F">
        <w:t xml:space="preserve"> between the works. </w:t>
      </w:r>
    </w:p>
    <w:p w14:paraId="3BA4A1E9" w14:textId="0926C8A8" w:rsidR="004A5D77" w:rsidRPr="0038237E" w:rsidRDefault="004A5D77" w:rsidP="009F11B1">
      <w:pPr>
        <w:jc w:val="both"/>
      </w:pPr>
      <w:r>
        <w:t xml:space="preserve">Brink’s investigation </w:t>
      </w:r>
      <w:r w:rsidR="00A55ADA">
        <w:t xml:space="preserve">in his own words </w:t>
      </w:r>
      <w:r>
        <w:t>“fails to confirm the substitution hypothesis”</w:t>
      </w:r>
      <w:r>
        <w:rPr>
          <w:rStyle w:val="FootnoteReference"/>
        </w:rPr>
        <w:footnoteReference w:id="2"/>
      </w:r>
      <w:r>
        <w:t xml:space="preserve">, which implores a question </w:t>
      </w:r>
      <w:r w:rsidR="00FC5798">
        <w:t xml:space="preserve">of </w:t>
      </w:r>
      <w:r>
        <w:t>whether the most appropriate methods</w:t>
      </w:r>
      <w:r w:rsidR="00A55ADA">
        <w:t xml:space="preserve"> available</w:t>
      </w:r>
      <w:r>
        <w:t xml:space="preserve"> have been chosen to carry it out in the first place. His research</w:t>
      </w:r>
      <w:r w:rsidR="00CA347F">
        <w:t xml:space="preserve"> was focused on the </w:t>
      </w:r>
      <w:r>
        <w:t xml:space="preserve">positivist approach, quantitatively analysing the interrogated questions. </w:t>
      </w:r>
      <w:r w:rsidR="00045D55">
        <w:t>It is also important t</w:t>
      </w:r>
      <w:r w:rsidR="00BA358A">
        <w:t>o</w:t>
      </w:r>
      <w:r w:rsidR="00045D55">
        <w:t xml:space="preserve"> note that the research has been based on a sample of female students </w:t>
      </w:r>
      <w:r w:rsidR="00F33714">
        <w:t>of Polish or Italian heritage</w:t>
      </w:r>
      <w:r w:rsidR="00F33714">
        <w:rPr>
          <w:rStyle w:val="FootnoteReference"/>
        </w:rPr>
        <w:footnoteReference w:id="3"/>
      </w:r>
      <w:r w:rsidR="00BA358A">
        <w:t>.</w:t>
      </w:r>
      <w:r w:rsidR="00F33714">
        <w:t xml:space="preserve"> </w:t>
      </w:r>
      <w:r w:rsidR="00BA358A">
        <w:t>As</w:t>
      </w:r>
      <w:r w:rsidR="00F33714">
        <w:t xml:space="preserve"> the research has been conducted in Chicago in the United States</w:t>
      </w:r>
      <w:r w:rsidR="00BA358A">
        <w:t>, this</w:t>
      </w:r>
      <w:r w:rsidR="00F33714">
        <w:t xml:space="preserve"> implies that</w:t>
      </w:r>
      <w:r w:rsidR="00BA358A">
        <w:t xml:space="preserve"> there would have likely existed</w:t>
      </w:r>
      <w:r w:rsidR="00F33714">
        <w:t xml:space="preserve"> some underlying folk worldviews of the sample’s parental culture</w:t>
      </w:r>
      <w:r w:rsidR="00BA358A">
        <w:t xml:space="preserve">s, which might not be </w:t>
      </w:r>
      <w:r w:rsidR="00F33714">
        <w:t xml:space="preserve">representative of the </w:t>
      </w:r>
      <w:r w:rsidR="00BA358A">
        <w:t xml:space="preserve">wider </w:t>
      </w:r>
      <w:r w:rsidR="00F33714">
        <w:t>population</w:t>
      </w:r>
      <w:r w:rsidR="00BA358A">
        <w:t xml:space="preserve">, thus implying a potential for rather low relevance. </w:t>
      </w:r>
      <w:r w:rsidR="00F33714">
        <w:t xml:space="preserve">This is especially important compared to </w:t>
      </w:r>
      <w:proofErr w:type="spellStart"/>
      <w:r w:rsidR="00F33714">
        <w:t>Wuthnow</w:t>
      </w:r>
      <w:r w:rsidR="00F33714">
        <w:t>’s</w:t>
      </w:r>
      <w:proofErr w:type="spellEnd"/>
      <w:r w:rsidR="00F33714">
        <w:t xml:space="preserve"> (1976)</w:t>
      </w:r>
      <w:r w:rsidR="00F33714">
        <w:t xml:space="preserve"> claim</w:t>
      </w:r>
      <w:r w:rsidR="00F33714">
        <w:t xml:space="preserve"> that “the higher the index of marginality, the greater the likelihood of belief in astrology”</w:t>
      </w:r>
      <w:r w:rsidR="00F33714">
        <w:rPr>
          <w:rStyle w:val="FootnoteReference"/>
        </w:rPr>
        <w:footnoteReference w:id="4"/>
      </w:r>
      <w:r w:rsidR="00F33714">
        <w:t xml:space="preserve">, which implies the sample could have been skewed towards the </w:t>
      </w:r>
      <w:r w:rsidR="00EF7460">
        <w:t xml:space="preserve">author’s </w:t>
      </w:r>
      <w:r w:rsidR="00F33714">
        <w:t>hypothesis</w:t>
      </w:r>
      <w:r w:rsidR="00F33714">
        <w:t>.</w:t>
      </w:r>
      <w:r w:rsidR="00F33714">
        <w:t xml:space="preserve"> </w:t>
      </w:r>
      <w:r w:rsidR="006530D7">
        <w:t xml:space="preserve">On the other side, Walter and Waterhouse have opted for an interpretivist approach, having “conducted thirty taped interviews </w:t>
      </w:r>
      <w:r w:rsidR="006530D7">
        <w:lastRenderedPageBreak/>
        <w:t>with adults (…) [and] three group interviews (…) with 21 school</w:t>
      </w:r>
      <w:r w:rsidR="00F33714">
        <w:t xml:space="preserve"> </w:t>
      </w:r>
      <w:r w:rsidR="006530D7">
        <w:t>children”</w:t>
      </w:r>
      <w:r w:rsidR="006530D7">
        <w:rPr>
          <w:rStyle w:val="FootnoteReference"/>
        </w:rPr>
        <w:footnoteReference w:id="5"/>
      </w:r>
      <w:r w:rsidR="006530D7">
        <w:t xml:space="preserve">. </w:t>
      </w:r>
      <w:r w:rsidR="00915A66">
        <w:t>This contrasts deeply with Brink’s approach</w:t>
      </w:r>
      <w:r w:rsidR="00CA347F">
        <w:t xml:space="preserve"> to the matter. In fact,</w:t>
      </w:r>
      <w:r w:rsidR="00915A66">
        <w:t xml:space="preserve"> the</w:t>
      </w:r>
      <w:r w:rsidR="00BA358A">
        <w:t xml:space="preserve"> two </w:t>
      </w:r>
      <w:r w:rsidR="00CA347F">
        <w:t>specifically discredit quantitative methods’ ability to address the questions as subtle as reincarnation</w:t>
      </w:r>
      <w:r w:rsidR="00915A66">
        <w:t xml:space="preserve">, stating that “to attempt to categorise belief in reincarnation </w:t>
      </w:r>
      <w:r w:rsidR="0038237E">
        <w:t xml:space="preserve">into the categories </w:t>
      </w:r>
      <w:r w:rsidR="0038237E">
        <w:rPr>
          <w:i/>
          <w:iCs/>
        </w:rPr>
        <w:t xml:space="preserve">yes-don’t know-no </w:t>
      </w:r>
      <w:r w:rsidR="0038237E">
        <w:t>(…) bears little relationship to the way in which people think and talk about the concept”</w:t>
      </w:r>
      <w:r w:rsidR="0038237E">
        <w:rPr>
          <w:rStyle w:val="FootnoteReference"/>
        </w:rPr>
        <w:footnoteReference w:id="6"/>
      </w:r>
      <w:r w:rsidR="00F33714">
        <w:t xml:space="preserve">. It is however important to remind that the two researchers had </w:t>
      </w:r>
      <w:r w:rsidR="00CB47B2">
        <w:t>twenty</w:t>
      </w:r>
      <w:r w:rsidR="00F33714">
        <w:t xml:space="preserve"> more years of academic research methods advancement that aided their </w:t>
      </w:r>
      <w:r w:rsidR="00BA358A">
        <w:t>investigation</w:t>
      </w:r>
      <w:r w:rsidR="00F33714">
        <w:t xml:space="preserve"> over that of Brink’s.</w:t>
      </w:r>
    </w:p>
    <w:p w14:paraId="59F8D2F7" w14:textId="4C836FFA" w:rsidR="00045D55" w:rsidRDefault="00045D55" w:rsidP="009F11B1">
      <w:pPr>
        <w:jc w:val="both"/>
      </w:pPr>
      <w:r>
        <w:t>On the other hand, some similarities between the methodology of the two research papers can also be noted. It</w:t>
      </w:r>
      <w:r w:rsidR="00F33714">
        <w:t xml:space="preserve"> is crucial to note how both papers focused on the sample of the population</w:t>
      </w:r>
      <w:r w:rsidR="00BA358A">
        <w:t xml:space="preserve"> within the C</w:t>
      </w:r>
      <w:r w:rsidR="00DF32A0">
        <w:t>hristian religion followers</w:t>
      </w:r>
      <w:r w:rsidR="00EF7460">
        <w:t>’</w:t>
      </w:r>
      <w:r w:rsidR="00BA358A">
        <w:t xml:space="preserve"> segment</w:t>
      </w:r>
      <w:r w:rsidR="00F33714">
        <w:t xml:space="preserve">. While Brink’s material does not specify the rationale, Walter and Waterman </w:t>
      </w:r>
      <w:r w:rsidR="00691034">
        <w:t>directly pointed out their</w:t>
      </w:r>
      <w:r w:rsidR="00CB47B2">
        <w:t>s</w:t>
      </w:r>
      <w:r w:rsidR="00691034">
        <w:t>,</w:t>
      </w:r>
      <w:r w:rsidR="00CB47B2">
        <w:t xml:space="preserve"> in</w:t>
      </w:r>
      <w:r w:rsidR="00691034">
        <w:t xml:space="preserve"> that they </w:t>
      </w:r>
      <w:r w:rsidR="00EF7460">
        <w:t xml:space="preserve">on purpose </w:t>
      </w:r>
      <w:r w:rsidR="00691034">
        <w:t>“excluded Hindus, Sikhs, Buddhists</w:t>
      </w:r>
      <w:r w:rsidR="00F33714">
        <w:t xml:space="preserve"> </w:t>
      </w:r>
      <w:r w:rsidR="00691034">
        <w:t xml:space="preserve">(…) [as </w:t>
      </w:r>
      <w:proofErr w:type="spellStart"/>
      <w:r w:rsidR="00691034">
        <w:t>the</w:t>
      </w:r>
      <w:proofErr w:type="spellEnd"/>
      <w:r w:rsidR="00691034">
        <w:t xml:space="preserve"> researchers were] </w:t>
      </w:r>
      <w:r w:rsidR="00F33714">
        <w:t>not interested in the meanings of reincarnation by people who believe it because their religion tells them to”</w:t>
      </w:r>
      <w:r w:rsidR="00F33714">
        <w:rPr>
          <w:rStyle w:val="FootnoteReference"/>
        </w:rPr>
        <w:footnoteReference w:id="7"/>
      </w:r>
      <w:r w:rsidR="00691034">
        <w:t>. This gives some explanation as t</w:t>
      </w:r>
      <w:r w:rsidR="00BD0516">
        <w:t xml:space="preserve">o the relevance of the reincarnation beliefs treated as separate to a potential folk worldview, in </w:t>
      </w:r>
      <w:r w:rsidR="00CB47B2">
        <w:t>both papers.</w:t>
      </w:r>
      <w:r w:rsidR="00BD0516">
        <w:t xml:space="preserve"> </w:t>
      </w:r>
    </w:p>
    <w:p w14:paraId="06230430" w14:textId="385FAA3E" w:rsidR="004A5D77" w:rsidRDefault="004A5D77" w:rsidP="004A5D77">
      <w:pPr>
        <w:jc w:val="both"/>
      </w:pPr>
      <w:r>
        <w:t xml:space="preserve">To sum up, </w:t>
      </w:r>
      <w:r w:rsidR="009D5EEA">
        <w:t>given the remit of the individual projects, the qualitative methodology appears to have been a more appropriate choice. Having applied quantitative methods, Brink has struggled to prove his hypothesis</w:t>
      </w:r>
      <w:r w:rsidR="00D93156">
        <w:t>. However,</w:t>
      </w:r>
      <w:r w:rsidR="009D5EEA">
        <w:t xml:space="preserve"> it is also important to note the </w:t>
      </w:r>
      <w:r w:rsidR="00CB47B2">
        <w:t>twenty</w:t>
      </w:r>
      <w:r w:rsidR="009D5EEA">
        <w:t xml:space="preserve"> years of difference between the papers, during which there would have been some evolution of understanding on what is required for such analyses. </w:t>
      </w:r>
      <w:r w:rsidR="00D93156">
        <w:t xml:space="preserve">Finally, </w:t>
      </w:r>
      <w:r w:rsidR="00BD0516">
        <w:t xml:space="preserve">some similarities have also been noted between the works, </w:t>
      </w:r>
      <w:r w:rsidR="00CB47B2">
        <w:t xml:space="preserve">namely the Christian </w:t>
      </w:r>
      <w:r w:rsidR="00637DBB">
        <w:t>religi</w:t>
      </w:r>
      <w:r w:rsidR="00CB47B2">
        <w:t>ous</w:t>
      </w:r>
      <w:r w:rsidR="00637DBB">
        <w:t xml:space="preserve"> associations</w:t>
      </w:r>
      <w:r w:rsidR="00CB47B2">
        <w:t xml:space="preserve"> of the subjects</w:t>
      </w:r>
      <w:r w:rsidR="00637DBB">
        <w:t xml:space="preserve"> – which h</w:t>
      </w:r>
      <w:r w:rsidR="00CB47B2">
        <w:t>as</w:t>
      </w:r>
      <w:r w:rsidR="00637DBB">
        <w:t xml:space="preserve"> been a common theme, </w:t>
      </w:r>
      <w:r w:rsidR="00CB47B2">
        <w:t>albeit some further</w:t>
      </w:r>
      <w:r w:rsidR="00637DBB">
        <w:t xml:space="preserve"> personal religions</w:t>
      </w:r>
      <w:r w:rsidR="00CB47B2">
        <w:t xml:space="preserve"> and</w:t>
      </w:r>
      <w:r w:rsidR="00637DBB">
        <w:t xml:space="preserve"> preferences</w:t>
      </w:r>
      <w:r w:rsidR="00CB47B2">
        <w:t xml:space="preserve"> have been noted in both papers’ sample groups</w:t>
      </w:r>
      <w:r w:rsidR="00637DBB">
        <w:t xml:space="preserve">. </w:t>
      </w:r>
    </w:p>
    <w:p w14:paraId="3E54AC16" w14:textId="69E0145C" w:rsidR="00D80347" w:rsidRDefault="00D80347" w:rsidP="00D80347">
      <w:pPr>
        <w:jc w:val="both"/>
      </w:pPr>
    </w:p>
    <w:p w14:paraId="1F8BADD1" w14:textId="2C21F3A3" w:rsidR="00BA55D9" w:rsidRDefault="00BD0516" w:rsidP="00BA55D9">
      <w:pPr>
        <w:ind w:firstLine="720"/>
        <w:jc w:val="both"/>
      </w:pPr>
      <w:r>
        <w:t xml:space="preserve">The next area of importance </w:t>
      </w:r>
      <w:r w:rsidR="00874750">
        <w:t xml:space="preserve">when </w:t>
      </w:r>
      <w:r>
        <w:t xml:space="preserve">comparing the two works is the </w:t>
      </w:r>
      <w:r w:rsidR="00E549EF">
        <w:t>relation</w:t>
      </w:r>
      <w:r>
        <w:t xml:space="preserve"> of the researchers </w:t>
      </w:r>
      <w:r w:rsidR="00E549EF">
        <w:t>as</w:t>
      </w:r>
      <w:r>
        <w:t xml:space="preserve"> </w:t>
      </w:r>
      <w:r w:rsidR="00E549EF">
        <w:t>an</w:t>
      </w:r>
      <w:r>
        <w:t xml:space="preserve"> </w:t>
      </w:r>
      <w:r w:rsidR="00E549EF">
        <w:t>‘</w:t>
      </w:r>
      <w:r>
        <w:t>inside</w:t>
      </w:r>
      <w:r w:rsidR="00E549EF">
        <w:t>r’ or an ‘</w:t>
      </w:r>
      <w:r>
        <w:t>outsider</w:t>
      </w:r>
      <w:r w:rsidR="00E549EF">
        <w:t>’</w:t>
      </w:r>
      <w:r>
        <w:t xml:space="preserve"> </w:t>
      </w:r>
      <w:r w:rsidR="00E549EF">
        <w:t>in their investigation of</w:t>
      </w:r>
      <w:r>
        <w:t xml:space="preserve"> the target groups.</w:t>
      </w:r>
      <w:r w:rsidR="00637DBB">
        <w:t xml:space="preserve"> While Brink has carried out his research from an outsider perspective, Walter and Waterman have clearly been </w:t>
      </w:r>
      <w:r w:rsidR="00CB47B2">
        <w:t xml:space="preserve">familiar with </w:t>
      </w:r>
      <w:r w:rsidR="00637DBB">
        <w:t xml:space="preserve">the inside of the assessed community sample. </w:t>
      </w:r>
      <w:r w:rsidR="005061E6">
        <w:t>The other difference also pertains to an individual v</w:t>
      </w:r>
      <w:r w:rsidR="00E657BC">
        <w:t>ersus</w:t>
      </w:r>
      <w:r w:rsidR="00CB47B2">
        <w:t xml:space="preserve"> collaborative</w:t>
      </w:r>
      <w:r w:rsidR="005061E6">
        <w:t xml:space="preserve"> contributions to the </w:t>
      </w:r>
      <w:r w:rsidR="00EF7460">
        <w:t xml:space="preserve">two </w:t>
      </w:r>
      <w:r w:rsidR="005061E6">
        <w:t>research project</w:t>
      </w:r>
      <w:r w:rsidR="00EF7460">
        <w:t>s</w:t>
      </w:r>
      <w:r w:rsidR="005061E6">
        <w:t xml:space="preserve">. </w:t>
      </w:r>
    </w:p>
    <w:p w14:paraId="0FAD91DD" w14:textId="465781AE" w:rsidR="00BA55D9" w:rsidRDefault="005061E6" w:rsidP="009F11B1">
      <w:pPr>
        <w:jc w:val="both"/>
      </w:pPr>
      <w:r>
        <w:t xml:space="preserve">In his assessment of school-aged female audience, Brink as the researcher has clearly carried out his work from </w:t>
      </w:r>
      <w:r w:rsidR="00EF7460">
        <w:t>an</w:t>
      </w:r>
      <w:r>
        <w:t xml:space="preserve"> outsider</w:t>
      </w:r>
      <w:r w:rsidR="00EF7460">
        <w:t>’s</w:t>
      </w:r>
      <w:r>
        <w:t xml:space="preserve"> position. His work has been further challenged by potential research hindrances, which as an outsider he might not have intuitively been able to recognise. For example, his assessment </w:t>
      </w:r>
      <w:r w:rsidR="00CB47B2">
        <w:t>took place</w:t>
      </w:r>
      <w:r>
        <w:t xml:space="preserve"> at a </w:t>
      </w:r>
      <w:r>
        <w:t>Christian school</w:t>
      </w:r>
      <w:r>
        <w:t xml:space="preserve"> in the 1970s</w:t>
      </w:r>
      <w:r>
        <w:t xml:space="preserve">, where </w:t>
      </w:r>
      <w:r>
        <w:t>given the wider</w:t>
      </w:r>
      <w:r w:rsidR="00CB47B2">
        <w:t xml:space="preserve"> social</w:t>
      </w:r>
      <w:r>
        <w:t xml:space="preserve"> context,</w:t>
      </w:r>
      <w:r w:rsidR="00CB47B2">
        <w:t xml:space="preserve"> and the age group of the sample,</w:t>
      </w:r>
      <w:r>
        <w:t xml:space="preserve"> his female </w:t>
      </w:r>
      <w:r w:rsidR="00CB47B2">
        <w:t xml:space="preserve">students </w:t>
      </w:r>
      <w:r>
        <w:t>subjec</w:t>
      </w:r>
      <w:r>
        <w:t>t</w:t>
      </w:r>
      <w:r>
        <w:t>s could</w:t>
      </w:r>
      <w:r>
        <w:t xml:space="preserve"> potentially</w:t>
      </w:r>
      <w:r>
        <w:t xml:space="preserve"> be afraid of consequences</w:t>
      </w:r>
      <w:r w:rsidR="00CB47B2">
        <w:t xml:space="preserve"> of</w:t>
      </w:r>
      <w:r>
        <w:t xml:space="preserve"> answering truthfully</w:t>
      </w:r>
      <w:r>
        <w:t>, in case their answers were shared with their school authority</w:t>
      </w:r>
      <w:r>
        <w:t xml:space="preserve">. In the context of this work, “the author was surprised at the low response </w:t>
      </w:r>
      <w:r w:rsidR="00356E6A">
        <w:t xml:space="preserve">(…) </w:t>
      </w:r>
      <w:r>
        <w:t>to the statement about Roman Catholic religion being the one for them”</w:t>
      </w:r>
      <w:r>
        <w:rPr>
          <w:rStyle w:val="FootnoteReference"/>
        </w:rPr>
        <w:footnoteReference w:id="8"/>
      </w:r>
      <w:r w:rsidR="003F32C4">
        <w:t>, which suggests such risk was</w:t>
      </w:r>
      <w:r w:rsidR="00CB47B2">
        <w:t xml:space="preserve"> offset. H</w:t>
      </w:r>
      <w:r w:rsidR="003F32C4">
        <w:t>owever</w:t>
      </w:r>
      <w:r w:rsidR="00EF7460">
        <w:t>,</w:t>
      </w:r>
      <w:r w:rsidR="003F32C4">
        <w:t xml:space="preserve"> equally, </w:t>
      </w:r>
      <w:r w:rsidR="00EF7460">
        <w:t xml:space="preserve">by </w:t>
      </w:r>
      <w:r w:rsidR="003F32C4">
        <w:t>not being a part of the community</w:t>
      </w:r>
      <w:r w:rsidR="00EF7460">
        <w:t xml:space="preserve"> </w:t>
      </w:r>
      <w:r w:rsidR="003F32C4">
        <w:t xml:space="preserve">he could have missed out on some events leading to </w:t>
      </w:r>
      <w:r w:rsidR="00CB47B2">
        <w:t>potential</w:t>
      </w:r>
      <w:r w:rsidR="003F32C4">
        <w:t xml:space="preserve"> contrarian </w:t>
      </w:r>
      <w:r w:rsidR="00CB47B2">
        <w:t xml:space="preserve">attitudes </w:t>
      </w:r>
      <w:r w:rsidR="003F32C4">
        <w:t>within his sample population. The above</w:t>
      </w:r>
      <w:r w:rsidR="00DF32A0">
        <w:t xml:space="preserve"> holds </w:t>
      </w:r>
      <w:r w:rsidR="00CB47B2">
        <w:t xml:space="preserve">additionally </w:t>
      </w:r>
      <w:r w:rsidR="00DF32A0">
        <w:t xml:space="preserve">true in comparison to research </w:t>
      </w:r>
      <w:r w:rsidR="00DF32A0">
        <w:lastRenderedPageBreak/>
        <w:t>by Rabe (2003), who stated that</w:t>
      </w:r>
      <w:r w:rsidR="003F32C4">
        <w:t xml:space="preserve"> </w:t>
      </w:r>
      <w:r w:rsidR="00BA55D9">
        <w:t>“</w:t>
      </w:r>
      <w:r w:rsidR="00DF32A0">
        <w:t>i</w:t>
      </w:r>
      <w:r w:rsidR="00BA55D9">
        <w:t>nsiders can provide major insight into communities that would not have been achieved by outsiders on their own”</w:t>
      </w:r>
      <w:r w:rsidR="00BA55D9">
        <w:rPr>
          <w:rStyle w:val="FootnoteReference"/>
        </w:rPr>
        <w:footnoteReference w:id="9"/>
      </w:r>
      <w:r w:rsidR="00BA55D9">
        <w:t xml:space="preserve">. </w:t>
      </w:r>
      <w:r w:rsidR="00DF32A0">
        <w:t>Compar</w:t>
      </w:r>
      <w:r w:rsidR="00DB2A90">
        <w:t>ing</w:t>
      </w:r>
      <w:r w:rsidR="00DF32A0">
        <w:t xml:space="preserve"> to the works of Walter and Waterhouse, especially at the reference of </w:t>
      </w:r>
      <w:r w:rsidR="00DF32A0">
        <w:t>“nurses at our local hospice”</w:t>
      </w:r>
      <w:r w:rsidR="00DF32A0">
        <w:rPr>
          <w:rStyle w:val="FootnoteReference"/>
        </w:rPr>
        <w:footnoteReference w:id="10"/>
      </w:r>
      <w:r w:rsidR="00EF7460">
        <w:t xml:space="preserve"> in their paper</w:t>
      </w:r>
      <w:r w:rsidR="00DF32A0">
        <w:t xml:space="preserve">, it can be deduced that their research has been carried out in the local and familiar environment </w:t>
      </w:r>
      <w:r w:rsidR="00DB2A90">
        <w:t>to</w:t>
      </w:r>
      <w:r w:rsidR="00DF32A0">
        <w:t xml:space="preserve"> the authors. </w:t>
      </w:r>
      <w:r w:rsidR="00E657BC">
        <w:t>Moreover, t</w:t>
      </w:r>
      <w:r w:rsidR="00BA55D9">
        <w:t xml:space="preserve">he qualitative approach </w:t>
      </w:r>
      <w:r w:rsidR="00E657BC">
        <w:t xml:space="preserve">employed has </w:t>
      </w:r>
      <w:r w:rsidR="00BA55D9">
        <w:t xml:space="preserve">allowed Walter and Waterman to satisfy some of the requisites of a </w:t>
      </w:r>
      <w:r w:rsidR="00DF32A0">
        <w:t>well-done</w:t>
      </w:r>
      <w:r w:rsidR="00BA55D9">
        <w:t xml:space="preserve"> qualitative research, as noted by Borman, LeCompte and </w:t>
      </w:r>
      <w:proofErr w:type="spellStart"/>
      <w:r w:rsidR="00BA55D9">
        <w:t>Boetz</w:t>
      </w:r>
      <w:proofErr w:type="spellEnd"/>
      <w:r w:rsidR="00BA55D9">
        <w:t xml:space="preserve"> (1986)</w:t>
      </w:r>
      <w:r w:rsidR="00CA53BB">
        <w:t xml:space="preserve">, according to whom </w:t>
      </w:r>
      <w:r w:rsidR="00BA55D9">
        <w:t>“Researchers find it important to be certain that their work really speaks with the voice off “their people,” and feel that this is facilitated more adequately by qualitative research methods</w:t>
      </w:r>
      <w:r w:rsidR="00EF7460">
        <w:t>”</w:t>
      </w:r>
      <w:r w:rsidR="00BA55D9">
        <w:rPr>
          <w:rStyle w:val="FootnoteReference"/>
        </w:rPr>
        <w:footnoteReference w:id="11"/>
      </w:r>
      <w:r w:rsidR="00CA53BB">
        <w:t>.</w:t>
      </w:r>
    </w:p>
    <w:p w14:paraId="5E75DFA6" w14:textId="60636159" w:rsidR="00CA53BB" w:rsidRDefault="00CA53BB" w:rsidP="009F11B1">
      <w:pPr>
        <w:jc w:val="both"/>
      </w:pPr>
      <w:r>
        <w:t xml:space="preserve">Further links can be drawn looking at purely the length of the research articles. In case of Brink, the paper appears to have exhausted the areas of interest within several pages, which can have a connection to the author’s outsider perspective on the assessed community. </w:t>
      </w:r>
      <w:r w:rsidR="00DD64B5">
        <w:t xml:space="preserve">His work appears to be an example to the claim of </w:t>
      </w:r>
      <w:r w:rsidR="00D068FF">
        <w:t xml:space="preserve">Hufford (1995) </w:t>
      </w:r>
      <w:r w:rsidR="00DD64B5">
        <w:t>that “the requirement of disinterest as a qualification for the study of matters in which all persons have an interest is a paradox that reflects the tensions when one (powerful) group studies another (less powerful) group”</w:t>
      </w:r>
      <w:r w:rsidR="00DD64B5">
        <w:rPr>
          <w:rStyle w:val="FootnoteReference"/>
        </w:rPr>
        <w:footnoteReference w:id="12"/>
      </w:r>
      <w:r w:rsidR="00DD64B5">
        <w:t xml:space="preserve">. </w:t>
      </w:r>
      <w:r>
        <w:t xml:space="preserve">In case or Walter and Waterhouse, the length of the article and density of potential avenues, which naturally in part stem from the interpretivist approach employed, suggests that the authors’ insider perspective allowed them to investigate the concepts in much more detail. An important aspect here as well is the benefit of two researchers collaborating on this qualitative research, which allows further depths to the topic to be </w:t>
      </w:r>
      <w:r w:rsidR="00EF7460">
        <w:t>explored</w:t>
      </w:r>
      <w:r>
        <w:t xml:space="preserve">. This can be assumed to be a benefit of the shared research, as cannot be attributed to </w:t>
      </w:r>
      <w:r w:rsidR="00EF7460">
        <w:t xml:space="preserve">specific </w:t>
      </w:r>
      <w:r>
        <w:t xml:space="preserve">major differences </w:t>
      </w:r>
      <w:r w:rsidR="00EF7460">
        <w:t xml:space="preserve">in terms of academic background of the researchers </w:t>
      </w:r>
      <w:r>
        <w:t>–</w:t>
      </w:r>
      <w:r w:rsidR="00EF7460">
        <w:t xml:space="preserve"> </w:t>
      </w:r>
      <w:r w:rsidR="00DD64B5">
        <w:t>the authors introduced themselves as</w:t>
      </w:r>
      <w:r>
        <w:t xml:space="preserve"> </w:t>
      </w:r>
      <w:r w:rsidR="00FD5354">
        <w:t>“</w:t>
      </w:r>
      <w:r>
        <w:t>W</w:t>
      </w:r>
      <w:r w:rsidR="00FD5354">
        <w:t xml:space="preserve">aterhouse coming from a religious </w:t>
      </w:r>
      <w:r>
        <w:t>s</w:t>
      </w:r>
      <w:r w:rsidR="00FD5354">
        <w:t>tudies perspective, Walter from sociology”</w:t>
      </w:r>
      <w:r w:rsidR="00FD5354">
        <w:rPr>
          <w:rStyle w:val="FootnoteReference"/>
        </w:rPr>
        <w:footnoteReference w:id="13"/>
      </w:r>
      <w:r>
        <w:t xml:space="preserve">, </w:t>
      </w:r>
      <w:r w:rsidR="00EF7460">
        <w:t xml:space="preserve">and therefore </w:t>
      </w:r>
      <w:r>
        <w:t xml:space="preserve">Brink shared the </w:t>
      </w:r>
      <w:r w:rsidR="00EF7460">
        <w:t xml:space="preserve">career route in </w:t>
      </w:r>
      <w:r w:rsidR="00EF7460">
        <w:t>sociology</w:t>
      </w:r>
      <w:r>
        <w:t xml:space="preserve"> with Walter. </w:t>
      </w:r>
    </w:p>
    <w:p w14:paraId="40D4AD6B" w14:textId="1A4AA498" w:rsidR="00CA53BB" w:rsidRDefault="00CA53BB" w:rsidP="009F11B1">
      <w:pPr>
        <w:jc w:val="both"/>
      </w:pPr>
      <w:r>
        <w:t>To summarise, the differences in the two works’ authors’ position</w:t>
      </w:r>
      <w:r w:rsidR="00E549EF">
        <w:t>,</w:t>
      </w:r>
      <w:r>
        <w:t xml:space="preserve"> </w:t>
      </w:r>
      <w:r w:rsidR="00E549EF">
        <w:t>as an</w:t>
      </w:r>
      <w:r>
        <w:t xml:space="preserve"> </w:t>
      </w:r>
      <w:r w:rsidR="00E549EF">
        <w:t>‘</w:t>
      </w:r>
      <w:r>
        <w:t>insider</w:t>
      </w:r>
      <w:r w:rsidR="00E549EF">
        <w:t>’ or an</w:t>
      </w:r>
      <w:r>
        <w:t xml:space="preserve"> </w:t>
      </w:r>
      <w:r w:rsidR="00E549EF">
        <w:t>‘</w:t>
      </w:r>
      <w:r>
        <w:t>outsider</w:t>
      </w:r>
      <w:r w:rsidR="00E549EF">
        <w:t>’</w:t>
      </w:r>
      <w:r>
        <w:t xml:space="preserve"> </w:t>
      </w:r>
      <w:r w:rsidR="00E549EF">
        <w:t xml:space="preserve">when investigating </w:t>
      </w:r>
      <w:r>
        <w:t>their target groups</w:t>
      </w:r>
      <w:r w:rsidR="00E549EF">
        <w:t>,</w:t>
      </w:r>
      <w:r>
        <w:t xml:space="preserve"> reveals </w:t>
      </w:r>
      <w:r w:rsidR="00CE76F7">
        <w:t xml:space="preserve">some key benefits associated with the insider status. It comes with instinctual understanding of nuances potentially impacting the focus groups and allows for much further and deeper analysis of the investigated topic. This further holds true, as while Brink and Walter share similar backgrounds with focus in sociology, their research has driven completely different results in terms of perceived depth of understanding of their target research groups. </w:t>
      </w:r>
    </w:p>
    <w:p w14:paraId="693D3E7B" w14:textId="24039F64" w:rsidR="00D80347" w:rsidRDefault="00D80347" w:rsidP="00D80347">
      <w:pPr>
        <w:jc w:val="both"/>
      </w:pPr>
    </w:p>
    <w:p w14:paraId="546F690C" w14:textId="13BD4F32" w:rsidR="00D80347" w:rsidRDefault="00DF32A0" w:rsidP="007032E2">
      <w:pPr>
        <w:ind w:firstLine="720"/>
        <w:jc w:val="both"/>
      </w:pPr>
      <w:r>
        <w:t xml:space="preserve">Finally, the two works can be compared in terms of the literature review applied by the </w:t>
      </w:r>
      <w:r w:rsidR="00D068FF">
        <w:t>researchers. Here also some fundamental differences can be noted in the approaches, likely stemming from the overall length of the research content. While Brink has</w:t>
      </w:r>
      <w:r w:rsidR="00E047B1">
        <w:t xml:space="preserve"> placed</w:t>
      </w:r>
      <w:r w:rsidR="00D068FF">
        <w:t xml:space="preserve"> </w:t>
      </w:r>
      <w:r w:rsidR="00E047B1">
        <w:t xml:space="preserve">his </w:t>
      </w:r>
      <w:r w:rsidR="00D068FF">
        <w:t>research in</w:t>
      </w:r>
      <w:r w:rsidR="00E047B1">
        <w:t>to the wider context</w:t>
      </w:r>
      <w:r w:rsidR="00DB2A90">
        <w:t xml:space="preserve"> within</w:t>
      </w:r>
      <w:r w:rsidR="00D068FF">
        <w:t xml:space="preserve"> the introduction and summary of </w:t>
      </w:r>
      <w:r w:rsidR="00DB2A90">
        <w:t>the paper</w:t>
      </w:r>
      <w:r w:rsidR="00E047B1">
        <w:t>, the</w:t>
      </w:r>
      <w:r w:rsidR="00DB2A90">
        <w:t>re appears to be a separation</w:t>
      </w:r>
      <w:r w:rsidR="00E047B1">
        <w:t xml:space="preserve"> between his investigation and the context itself. On the other hand, in case of the qualitative approach of Walter and Waterhouse, the research, while also supporting the opening and concluding statements, is </w:t>
      </w:r>
      <w:r w:rsidR="00E047B1">
        <w:lastRenderedPageBreak/>
        <w:t>further introduced into the</w:t>
      </w:r>
      <w:r w:rsidR="00DB2A90">
        <w:t xml:space="preserve"> main</w:t>
      </w:r>
      <w:r w:rsidR="00E047B1">
        <w:t xml:space="preserve"> text, and guides the </w:t>
      </w:r>
      <w:r w:rsidR="00DB2A90">
        <w:t>understanding of the reader</w:t>
      </w:r>
      <w:r w:rsidR="00E047B1">
        <w:t xml:space="preserve"> alongside the authors’ interpretation of the data. </w:t>
      </w:r>
    </w:p>
    <w:p w14:paraId="32EB007B" w14:textId="582EB48E" w:rsidR="00AF61C2" w:rsidRDefault="00AF61C2" w:rsidP="009F11B1">
      <w:pPr>
        <w:jc w:val="both"/>
      </w:pPr>
      <w:r>
        <w:t xml:space="preserve">In his research, Brink </w:t>
      </w:r>
      <w:r w:rsidR="009023CF">
        <w:t xml:space="preserve">introduces his area of investigation by quoting several fellow social scientists, to provide the background for </w:t>
      </w:r>
      <w:r w:rsidR="00DB2A90">
        <w:t>his</w:t>
      </w:r>
      <w:r w:rsidR="009023CF">
        <w:t xml:space="preserve"> research</w:t>
      </w:r>
      <w:r w:rsidR="00DB2A90">
        <w:t xml:space="preserve"> validity</w:t>
      </w:r>
      <w:r w:rsidR="009023CF">
        <w:t xml:space="preserve">. Importantly however, at the time of his work in 1978, the quoted work has likely </w:t>
      </w:r>
      <w:r w:rsidR="00DB2A90">
        <w:t>lost some relevance within the social research context</w:t>
      </w:r>
      <w:r w:rsidR="009023CF">
        <w:t>, with the works provided authored between 1946 and 1965</w:t>
      </w:r>
      <w:r w:rsidR="009023CF">
        <w:rPr>
          <w:rStyle w:val="FootnoteReference"/>
        </w:rPr>
        <w:footnoteReference w:id="14"/>
      </w:r>
      <w:r w:rsidR="009023CF">
        <w:t>. This suggests that the concepts which his work was based</w:t>
      </w:r>
      <w:r w:rsidR="00DB2A90">
        <w:t xml:space="preserve"> on</w:t>
      </w:r>
      <w:r w:rsidR="009023CF">
        <w:t xml:space="preserve"> could potentially already been outdated at the time, </w:t>
      </w:r>
      <w:r w:rsidR="00DB2A90">
        <w:t xml:space="preserve">therefore </w:t>
      </w:r>
      <w:r w:rsidR="009023CF">
        <w:t xml:space="preserve">potentially decreasing the relevance of the research to </w:t>
      </w:r>
      <w:r w:rsidR="00DB2A90">
        <w:t>his</w:t>
      </w:r>
      <w:r w:rsidR="009023CF">
        <w:t xml:space="preserve"> more modern context. More importantly, while six separate works have been quoted, there is little relevance drawn between their</w:t>
      </w:r>
      <w:r w:rsidR="00DB2A90">
        <w:t xml:space="preserve"> individual</w:t>
      </w:r>
      <w:r w:rsidR="009023CF">
        <w:t xml:space="preserve"> importance to </w:t>
      </w:r>
      <w:r w:rsidR="00EF7460">
        <w:t>his</w:t>
      </w:r>
      <w:r w:rsidR="009023CF">
        <w:t xml:space="preserve"> topic of investigation. In comparison to Brink, </w:t>
      </w:r>
      <w:r>
        <w:t xml:space="preserve">Walter and Waterhouse draw on </w:t>
      </w:r>
      <w:r w:rsidR="009023CF">
        <w:t xml:space="preserve">rather </w:t>
      </w:r>
      <w:r>
        <w:t>recent research relevant to the topic</w:t>
      </w:r>
      <w:r w:rsidR="009023CF">
        <w:t xml:space="preserve"> at the time of their investigation in 1999. This is particularly visible in their</w:t>
      </w:r>
      <w:r>
        <w:t xml:space="preserve"> quoting </w:t>
      </w:r>
      <w:r w:rsidR="009023CF">
        <w:t xml:space="preserve">the works of </w:t>
      </w:r>
      <w:r>
        <w:t xml:space="preserve">Sutphen and Taylor (1983), McClain (1994) and Carpenter (1995) as sources for their contrasting conclusions on their finding </w:t>
      </w:r>
      <w:r w:rsidR="00356E6A">
        <w:t xml:space="preserve">to </w:t>
      </w:r>
      <w:r>
        <w:t>not</w:t>
      </w:r>
      <w:r w:rsidR="00356E6A">
        <w:t xml:space="preserve"> be</w:t>
      </w:r>
      <w:r>
        <w:t xml:space="preserve"> resembling</w:t>
      </w:r>
      <w:r w:rsidR="00356E6A">
        <w:t xml:space="preserve"> the stories that can be</w:t>
      </w:r>
      <w:r>
        <w:t xml:space="preserve"> “found in popular books on reincarnation and past life regression”</w:t>
      </w:r>
      <w:r>
        <w:rPr>
          <w:rStyle w:val="FootnoteReference"/>
        </w:rPr>
        <w:footnoteReference w:id="15"/>
      </w:r>
      <w:r>
        <w:t xml:space="preserve">. </w:t>
      </w:r>
    </w:p>
    <w:p w14:paraId="6E22CC3D" w14:textId="01B8A94B" w:rsidR="00E047B1" w:rsidRDefault="00E047B1" w:rsidP="009F11B1">
      <w:pPr>
        <w:jc w:val="both"/>
      </w:pPr>
      <w:r>
        <w:t>On the other hand, it must also be noted that the interpretivist approach of Walter and Waterhouse lends itself to a potential for overinterpretation of observed results</w:t>
      </w:r>
      <w:r w:rsidR="00E25816">
        <w:t xml:space="preserve"> as well, given the challenge of finding research closely related to it. This </w:t>
      </w:r>
      <w:r w:rsidR="007032E2">
        <w:t xml:space="preserve">is represented by the authors’ claim that “these figures </w:t>
      </w:r>
      <w:r w:rsidR="00DB2A90">
        <w:t xml:space="preserve">(…) </w:t>
      </w:r>
      <w:r w:rsidR="007032E2">
        <w:t>do broadly fit the EVS data”</w:t>
      </w:r>
      <w:r w:rsidR="007032E2">
        <w:rPr>
          <w:rStyle w:val="FootnoteReference"/>
        </w:rPr>
        <w:footnoteReference w:id="16"/>
      </w:r>
      <w:r w:rsidR="007032E2">
        <w:t xml:space="preserve"> – hence bringing into consideration that the word ‘broadly’ implies a rather non-specific range. The question then emerges as to how relevant the sample is, when representing a further population. However, the key is that the authors bring this to attention and explain the connection as providing an opportunity for researching their enquiry, rather than representing a cold stone fact. </w:t>
      </w:r>
      <w:r w:rsidR="00DB2A90">
        <w:t>According to Rabe (2003),</w:t>
      </w:r>
      <w:r w:rsidR="00356E6A">
        <w:t xml:space="preserve"> it is natural for there to be some advantages and disadvantages, no matter which methodology is employed</w:t>
      </w:r>
      <w:r w:rsidR="00DB2A90">
        <w:rPr>
          <w:rStyle w:val="FootnoteReference"/>
        </w:rPr>
        <w:footnoteReference w:id="17"/>
      </w:r>
      <w:r w:rsidR="00DB2A90">
        <w:t xml:space="preserve">, and these have been noted also in </w:t>
      </w:r>
      <w:r w:rsidR="00DB2A90">
        <w:t>Walter and Waterhouse’s</w:t>
      </w:r>
      <w:r w:rsidR="00DB2A90">
        <w:t xml:space="preserve"> interpretivist approach. </w:t>
      </w:r>
      <w:r w:rsidR="00DB2A90">
        <w:t>Furthermore, t</w:t>
      </w:r>
      <w:r w:rsidR="00874750">
        <w:t xml:space="preserve">heir work </w:t>
      </w:r>
      <w:r w:rsidR="00874750" w:rsidRPr="00874750">
        <w:rPr>
          <w:rFonts w:cstheme="minorHAnsi"/>
        </w:rPr>
        <w:t>represents the modern ap</w:t>
      </w:r>
      <w:r w:rsidR="00E16692">
        <w:rPr>
          <w:rFonts w:cstheme="minorHAnsi"/>
        </w:rPr>
        <w:t>plication</w:t>
      </w:r>
      <w:r w:rsidR="00874750" w:rsidRPr="00874750">
        <w:rPr>
          <w:rFonts w:cstheme="minorHAnsi"/>
        </w:rPr>
        <w:t xml:space="preserve"> of phenomenology</w:t>
      </w:r>
      <w:r w:rsidR="00E16692">
        <w:rPr>
          <w:rStyle w:val="FootnoteReference"/>
          <w:rFonts w:cstheme="minorHAnsi"/>
        </w:rPr>
        <w:footnoteReference w:id="18"/>
      </w:r>
      <w:r w:rsidR="00874750" w:rsidRPr="00874750">
        <w:rPr>
          <w:rFonts w:cstheme="minorHAnsi"/>
        </w:rPr>
        <w:t>, which Englander and Morley (202</w:t>
      </w:r>
      <w:r w:rsidR="00874750">
        <w:rPr>
          <w:rFonts w:cstheme="minorHAnsi"/>
        </w:rPr>
        <w:t>3</w:t>
      </w:r>
      <w:r w:rsidR="00874750" w:rsidRPr="00874750">
        <w:rPr>
          <w:rFonts w:cstheme="minorHAnsi"/>
        </w:rPr>
        <w:t xml:space="preserve">) </w:t>
      </w:r>
      <w:r w:rsidR="00874750" w:rsidRPr="00874750">
        <w:rPr>
          <w:rFonts w:cstheme="minorHAnsi"/>
          <w:color w:val="000000" w:themeColor="text1"/>
        </w:rPr>
        <w:t>describe as requiring “</w:t>
      </w:r>
      <w:r w:rsidR="00874750" w:rsidRPr="00874750">
        <w:rPr>
          <w:rFonts w:cstheme="minorHAnsi"/>
          <w:color w:val="000000" w:themeColor="text1"/>
          <w:shd w:val="clear" w:color="auto" w:fill="FCFCFC"/>
        </w:rPr>
        <w:t>a kind of ‘dual citizenship’ in both psychology and phenomenological philosophy</w:t>
      </w:r>
      <w:r w:rsidR="00874750" w:rsidRPr="00874750">
        <w:rPr>
          <w:rFonts w:cstheme="minorHAnsi"/>
          <w:color w:val="000000" w:themeColor="text1"/>
          <w:shd w:val="clear" w:color="auto" w:fill="FCFCFC"/>
        </w:rPr>
        <w:t>”</w:t>
      </w:r>
      <w:r w:rsidR="00874750" w:rsidRPr="00874750">
        <w:rPr>
          <w:rStyle w:val="FootnoteReference"/>
          <w:rFonts w:cstheme="minorHAnsi"/>
          <w:color w:val="000000" w:themeColor="text1"/>
          <w:shd w:val="clear" w:color="auto" w:fill="FCFCFC"/>
        </w:rPr>
        <w:footnoteReference w:id="19"/>
      </w:r>
      <w:r w:rsidR="00874750" w:rsidRPr="00874750">
        <w:rPr>
          <w:rFonts w:cstheme="minorHAnsi"/>
          <w:color w:val="000000" w:themeColor="text1"/>
          <w:shd w:val="clear" w:color="auto" w:fill="FCFCFC"/>
        </w:rPr>
        <w:t>.</w:t>
      </w:r>
      <w:r w:rsidR="00874750">
        <w:rPr>
          <w:rFonts w:cstheme="minorHAnsi"/>
          <w:color w:val="000000" w:themeColor="text1"/>
          <w:shd w:val="clear" w:color="auto" w:fill="FCFCFC"/>
        </w:rPr>
        <w:t xml:space="preserve"> It further reflects a benefit of two authors collaborating on the qualitative project of this scale.</w:t>
      </w:r>
      <w:r w:rsidR="00874750" w:rsidRPr="00874750">
        <w:rPr>
          <w:rFonts w:ascii="Georgia" w:hAnsi="Georgia"/>
          <w:color w:val="000000" w:themeColor="text1"/>
          <w:sz w:val="27"/>
          <w:szCs w:val="27"/>
          <w:shd w:val="clear" w:color="auto" w:fill="FCFCFC"/>
        </w:rPr>
        <w:t xml:space="preserve"> </w:t>
      </w:r>
    </w:p>
    <w:p w14:paraId="10BD090C" w14:textId="30EF69D0" w:rsidR="007032E2" w:rsidRDefault="007032E2" w:rsidP="009F11B1">
      <w:pPr>
        <w:jc w:val="both"/>
      </w:pPr>
      <w:r>
        <w:t xml:space="preserve">To summarise, </w:t>
      </w:r>
      <w:r w:rsidR="00874750">
        <w:t xml:space="preserve">the literature review further suggests that interpretivist approach allows a deeper understanding of the topic of investigation compared to a positivist one. While Brink’s work appears to struggle with its placement within the wider context and thus proving relevance, the collaboration of Walter and Waterhouse brings forth </w:t>
      </w:r>
      <w:r w:rsidR="002C166E">
        <w:t>a representation and the benefits of the modern academic approach to phenomenology.</w:t>
      </w:r>
    </w:p>
    <w:p w14:paraId="64E4C36B" w14:textId="77777777" w:rsidR="00510DF1" w:rsidRDefault="00510DF1" w:rsidP="00502252">
      <w:pPr>
        <w:jc w:val="both"/>
      </w:pPr>
    </w:p>
    <w:p w14:paraId="6FBB71E5" w14:textId="77777777" w:rsidR="00502252" w:rsidRDefault="00502252" w:rsidP="00502252">
      <w:pPr>
        <w:jc w:val="both"/>
      </w:pPr>
    </w:p>
    <w:p w14:paraId="72E03FFE" w14:textId="11EDA522" w:rsidR="00875C9C" w:rsidRDefault="007032E2" w:rsidP="00DB2A90">
      <w:pPr>
        <w:ind w:firstLine="720"/>
        <w:jc w:val="both"/>
      </w:pPr>
      <w:r>
        <w:lastRenderedPageBreak/>
        <w:t xml:space="preserve">In conclusion, </w:t>
      </w:r>
      <w:r w:rsidR="00BA55D9">
        <w:t xml:space="preserve">the analysis of these two sources, </w:t>
      </w:r>
      <w:r w:rsidR="00DB2A90">
        <w:t xml:space="preserve">apart from some sampling similarities, has revealed some fundamental benefits of employing an interpretivist approach, compared to positivist one, when investigating subtle topics in the areas of personal religion and beliefs. </w:t>
      </w:r>
      <w:r w:rsidR="00E16692">
        <w:t xml:space="preserve">The first sign of the differences in methodologies could be found in the fact that Brink was unable to prove his hypothesis through purely quantitative methods. Another important disadvantage to his research has been his position on the outside of the sample population, which in contrast benefitted Walter and Waterhouse. Lastly, the interpretivist approach has allowed a deeper understanding of the nuances of the personal religion topic, compared to Brink’s – further placing Walter and Waterhouse’s work as an example of an application of phenomenology into solid academic conclusions. </w:t>
      </w:r>
    </w:p>
    <w:p w14:paraId="05033755" w14:textId="77777777" w:rsidR="00E16692" w:rsidRDefault="00E16692" w:rsidP="00DB2A90">
      <w:pPr>
        <w:ind w:firstLine="720"/>
        <w:jc w:val="both"/>
      </w:pPr>
    </w:p>
    <w:p w14:paraId="0FAF4F8A" w14:textId="77777777" w:rsidR="00E16692" w:rsidRDefault="00E16692" w:rsidP="00DB2A90">
      <w:pPr>
        <w:ind w:firstLine="720"/>
        <w:jc w:val="both"/>
      </w:pPr>
    </w:p>
    <w:p w14:paraId="1A1E10C9" w14:textId="77777777" w:rsidR="00E16692" w:rsidRDefault="00E16692" w:rsidP="00DB2A90">
      <w:pPr>
        <w:ind w:firstLine="720"/>
        <w:jc w:val="both"/>
      </w:pPr>
    </w:p>
    <w:p w14:paraId="7A63FB5D" w14:textId="77777777" w:rsidR="00E16692" w:rsidRDefault="00E16692" w:rsidP="00DB2A90">
      <w:pPr>
        <w:ind w:firstLine="720"/>
        <w:jc w:val="both"/>
      </w:pPr>
    </w:p>
    <w:p w14:paraId="1F75D68E" w14:textId="77777777" w:rsidR="00E16692" w:rsidRDefault="00E16692" w:rsidP="00DB2A90">
      <w:pPr>
        <w:ind w:firstLine="720"/>
        <w:jc w:val="both"/>
      </w:pPr>
    </w:p>
    <w:p w14:paraId="61E3E1AD" w14:textId="77777777" w:rsidR="00E16692" w:rsidRDefault="00E16692" w:rsidP="00DB2A90">
      <w:pPr>
        <w:ind w:firstLine="720"/>
        <w:jc w:val="both"/>
      </w:pPr>
    </w:p>
    <w:p w14:paraId="34250C08" w14:textId="77777777" w:rsidR="00E16692" w:rsidRDefault="00E16692" w:rsidP="00DB2A90">
      <w:pPr>
        <w:ind w:firstLine="720"/>
        <w:jc w:val="both"/>
      </w:pPr>
    </w:p>
    <w:p w14:paraId="3FAE6AB8" w14:textId="77777777" w:rsidR="00E16692" w:rsidRDefault="00E16692" w:rsidP="00DB2A90">
      <w:pPr>
        <w:ind w:firstLine="720"/>
        <w:jc w:val="both"/>
      </w:pPr>
    </w:p>
    <w:p w14:paraId="54703178" w14:textId="77777777" w:rsidR="00E16692" w:rsidRDefault="00E16692" w:rsidP="00DB2A90">
      <w:pPr>
        <w:ind w:firstLine="720"/>
        <w:jc w:val="both"/>
      </w:pPr>
    </w:p>
    <w:p w14:paraId="3785D5C2" w14:textId="77777777" w:rsidR="00E16692" w:rsidRDefault="00E16692" w:rsidP="00DB2A90">
      <w:pPr>
        <w:ind w:firstLine="720"/>
        <w:jc w:val="both"/>
      </w:pPr>
    </w:p>
    <w:p w14:paraId="00751359" w14:textId="77777777" w:rsidR="00E16692" w:rsidRDefault="00E16692" w:rsidP="00DB2A90">
      <w:pPr>
        <w:ind w:firstLine="720"/>
        <w:jc w:val="both"/>
      </w:pPr>
    </w:p>
    <w:p w14:paraId="487CCBC9" w14:textId="77777777" w:rsidR="00E16692" w:rsidRDefault="00E16692" w:rsidP="00DB2A90">
      <w:pPr>
        <w:ind w:firstLine="720"/>
        <w:jc w:val="both"/>
      </w:pPr>
    </w:p>
    <w:p w14:paraId="5D94FC1F" w14:textId="77777777" w:rsidR="00E16692" w:rsidRDefault="00E16692" w:rsidP="00DB2A90">
      <w:pPr>
        <w:ind w:firstLine="720"/>
        <w:jc w:val="both"/>
      </w:pPr>
    </w:p>
    <w:p w14:paraId="09790603" w14:textId="77777777" w:rsidR="00E16692" w:rsidRDefault="00E16692" w:rsidP="00DB2A90">
      <w:pPr>
        <w:ind w:firstLine="720"/>
        <w:jc w:val="both"/>
      </w:pPr>
    </w:p>
    <w:p w14:paraId="26294E8A" w14:textId="77777777" w:rsidR="00E16692" w:rsidRDefault="00E16692" w:rsidP="00DB2A90">
      <w:pPr>
        <w:ind w:firstLine="720"/>
        <w:jc w:val="both"/>
      </w:pPr>
    </w:p>
    <w:p w14:paraId="1477A447" w14:textId="77777777" w:rsidR="00E16692" w:rsidRDefault="00E16692" w:rsidP="00DB2A90">
      <w:pPr>
        <w:ind w:firstLine="720"/>
        <w:jc w:val="both"/>
      </w:pPr>
    </w:p>
    <w:p w14:paraId="2C23605E" w14:textId="77777777" w:rsidR="00E16692" w:rsidRDefault="00E16692" w:rsidP="00DB2A90">
      <w:pPr>
        <w:ind w:firstLine="720"/>
        <w:jc w:val="both"/>
      </w:pPr>
    </w:p>
    <w:p w14:paraId="58559781" w14:textId="77777777" w:rsidR="00E16692" w:rsidRDefault="00E16692" w:rsidP="00DB2A90">
      <w:pPr>
        <w:ind w:firstLine="720"/>
        <w:jc w:val="both"/>
      </w:pPr>
    </w:p>
    <w:p w14:paraId="73A8558C" w14:textId="77777777" w:rsidR="00E16692" w:rsidRDefault="00E16692" w:rsidP="00DB2A90">
      <w:pPr>
        <w:ind w:firstLine="720"/>
        <w:jc w:val="both"/>
      </w:pPr>
    </w:p>
    <w:p w14:paraId="026445D6" w14:textId="77777777" w:rsidR="00E16692" w:rsidRDefault="00E16692" w:rsidP="00DB2A90">
      <w:pPr>
        <w:ind w:firstLine="720"/>
        <w:jc w:val="both"/>
      </w:pPr>
    </w:p>
    <w:p w14:paraId="03478841" w14:textId="77777777" w:rsidR="00E16692" w:rsidRDefault="00E16692" w:rsidP="00DB2A90">
      <w:pPr>
        <w:ind w:firstLine="720"/>
        <w:jc w:val="both"/>
      </w:pPr>
    </w:p>
    <w:p w14:paraId="207B2572" w14:textId="77777777" w:rsidR="00E16692" w:rsidRDefault="00E16692" w:rsidP="00DB2A90">
      <w:pPr>
        <w:ind w:firstLine="720"/>
        <w:jc w:val="both"/>
      </w:pPr>
    </w:p>
    <w:p w14:paraId="6BDED5E1" w14:textId="77777777" w:rsidR="00E16692" w:rsidRDefault="00E16692" w:rsidP="00DB2A90">
      <w:pPr>
        <w:ind w:firstLine="720"/>
        <w:jc w:val="both"/>
      </w:pPr>
    </w:p>
    <w:p w14:paraId="0778EAAF" w14:textId="77777777" w:rsidR="00E16692" w:rsidRDefault="00E16692" w:rsidP="00DB2A90">
      <w:pPr>
        <w:ind w:firstLine="720"/>
        <w:jc w:val="both"/>
      </w:pPr>
    </w:p>
    <w:p w14:paraId="6356B07A" w14:textId="77777777" w:rsidR="00E16692" w:rsidRDefault="00E16692" w:rsidP="00B654CE">
      <w:pPr>
        <w:jc w:val="both"/>
      </w:pPr>
    </w:p>
    <w:p w14:paraId="318B19B8" w14:textId="55CF151A" w:rsidR="00E16692" w:rsidRDefault="00E16692" w:rsidP="00E16692">
      <w:pPr>
        <w:jc w:val="center"/>
        <w:rPr>
          <w:b/>
          <w:bCs/>
          <w:u w:val="single"/>
        </w:rPr>
      </w:pPr>
      <w:r>
        <w:rPr>
          <w:b/>
          <w:bCs/>
          <w:u w:val="single"/>
        </w:rPr>
        <w:lastRenderedPageBreak/>
        <w:t>BIBLIOGRAPHY</w:t>
      </w:r>
    </w:p>
    <w:p w14:paraId="40666AD4" w14:textId="77777777" w:rsidR="00E16692" w:rsidRDefault="00E16692" w:rsidP="00E16692">
      <w:pPr>
        <w:jc w:val="center"/>
        <w:rPr>
          <w:b/>
          <w:bCs/>
          <w:u w:val="single"/>
        </w:rPr>
      </w:pPr>
    </w:p>
    <w:p w14:paraId="341D2FB1" w14:textId="77777777" w:rsidR="00E16692" w:rsidRPr="00B654CE" w:rsidRDefault="00E16692" w:rsidP="00E16692">
      <w:pPr>
        <w:jc w:val="both"/>
      </w:pPr>
    </w:p>
    <w:p w14:paraId="64295829" w14:textId="78C126C8" w:rsidR="00E16692" w:rsidRPr="00B654CE" w:rsidRDefault="00E16692" w:rsidP="00E16692">
      <w:pPr>
        <w:jc w:val="both"/>
      </w:pPr>
      <w:r w:rsidRPr="00B654CE">
        <w:t>Brink, T. L. ‘Inconsistency of Belief among Roman Catholic Girls: Concerning Religion, Astrology, Reincarnation.’</w:t>
      </w:r>
      <w:r w:rsidR="009D069D" w:rsidRPr="00B654CE">
        <w:t>,</w:t>
      </w:r>
      <w:r w:rsidRPr="00B654CE">
        <w:t xml:space="preserve"> </w:t>
      </w:r>
      <w:r w:rsidRPr="00B654CE">
        <w:rPr>
          <w:i/>
          <w:iCs/>
        </w:rPr>
        <w:t>Review of Religious Research</w:t>
      </w:r>
      <w:r w:rsidRPr="00B654CE">
        <w:t>, 20</w:t>
      </w:r>
      <w:r w:rsidR="009D069D" w:rsidRPr="00B654CE">
        <w:t xml:space="preserve"> (</w:t>
      </w:r>
      <w:r w:rsidR="009D069D" w:rsidRPr="00B654CE">
        <w:t>1978</w:t>
      </w:r>
      <w:r w:rsidR="009D069D" w:rsidRPr="00B654CE">
        <w:t>)</w:t>
      </w:r>
      <w:r w:rsidRPr="00B654CE">
        <w:t xml:space="preserve">, </w:t>
      </w:r>
      <w:r w:rsidR="009D069D" w:rsidRPr="00B654CE">
        <w:t xml:space="preserve">pp. </w:t>
      </w:r>
      <w:r w:rsidRPr="00B654CE">
        <w:t>82-85</w:t>
      </w:r>
    </w:p>
    <w:p w14:paraId="733EAC41" w14:textId="132D60EE" w:rsidR="00E16692" w:rsidRPr="00B654CE" w:rsidRDefault="002A630E" w:rsidP="00E16692">
      <w:pPr>
        <w:jc w:val="both"/>
      </w:pPr>
      <w:r w:rsidRPr="00B654CE">
        <w:t xml:space="preserve">Walter, T. &amp; Waterhouse, H., ‘A Very Private Belief: Reincarnation in Contemporary England’, </w:t>
      </w:r>
      <w:r w:rsidRPr="00B654CE">
        <w:rPr>
          <w:i/>
          <w:iCs/>
        </w:rPr>
        <w:t>Sociology of Religion</w:t>
      </w:r>
      <w:r w:rsidRPr="00B654CE">
        <w:t>, 60 (1999), pp.187-197</w:t>
      </w:r>
    </w:p>
    <w:p w14:paraId="564716B4" w14:textId="7470F748" w:rsidR="00E16692" w:rsidRPr="00B654CE" w:rsidRDefault="002A630E" w:rsidP="00E16692">
      <w:pPr>
        <w:jc w:val="both"/>
        <w:rPr>
          <w:rStyle w:val="src"/>
          <w:rFonts w:cstheme="minorHAnsi"/>
          <w:color w:val="343332"/>
          <w:spacing w:val="-5"/>
        </w:rPr>
      </w:pPr>
      <w:proofErr w:type="spellStart"/>
      <w:r w:rsidRPr="00B654CE">
        <w:t>Wuthnow</w:t>
      </w:r>
      <w:proofErr w:type="spellEnd"/>
      <w:r w:rsidRPr="00B654CE">
        <w:t xml:space="preserve"> </w:t>
      </w:r>
      <w:r w:rsidRPr="00B654CE">
        <w:t>Robert,</w:t>
      </w:r>
      <w:r w:rsidRPr="00B654CE">
        <w:rPr>
          <w:rFonts w:cstheme="minorHAnsi"/>
        </w:rPr>
        <w:t xml:space="preserve"> ‘Astrology &amp; Marginality’, </w:t>
      </w:r>
      <w:r w:rsidRPr="00B654CE">
        <w:rPr>
          <w:rFonts w:cstheme="minorHAnsi"/>
          <w:i/>
          <w:iCs/>
        </w:rPr>
        <w:t>Journal for the Scientific Study of Religion</w:t>
      </w:r>
      <w:r w:rsidRPr="00B654CE">
        <w:rPr>
          <w:rFonts w:cstheme="minorHAnsi"/>
        </w:rPr>
        <w:t xml:space="preserve">, </w:t>
      </w:r>
      <w:r w:rsidRPr="00B654CE">
        <w:rPr>
          <w:rStyle w:val="src"/>
          <w:rFonts w:cstheme="minorHAnsi"/>
          <w:color w:val="343332"/>
          <w:spacing w:val="-5"/>
        </w:rPr>
        <w:t>Vol. 15, No. 2 (1976), pp. 157-168</w:t>
      </w:r>
    </w:p>
    <w:p w14:paraId="03A8C4B9" w14:textId="450883BA" w:rsidR="00E16692" w:rsidRPr="00B654CE" w:rsidRDefault="00D503A2" w:rsidP="00E16692">
      <w:pPr>
        <w:jc w:val="both"/>
      </w:pPr>
      <w:r w:rsidRPr="00B654CE">
        <w:rPr>
          <w:rFonts w:cstheme="minorHAnsi"/>
          <w:color w:val="000000" w:themeColor="text1"/>
          <w:spacing w:val="-5"/>
        </w:rPr>
        <w:t>Rabe</w:t>
      </w:r>
      <w:r w:rsidRPr="00B654CE">
        <w:rPr>
          <w:rFonts w:cstheme="minorHAnsi"/>
          <w:color w:val="000000" w:themeColor="text1"/>
          <w:spacing w:val="-5"/>
        </w:rPr>
        <w:t>, M.</w:t>
      </w:r>
      <w:r w:rsidRPr="00B654CE">
        <w:rPr>
          <w:rFonts w:cstheme="minorHAnsi"/>
          <w:color w:val="000000" w:themeColor="text1"/>
          <w:spacing w:val="-5"/>
        </w:rPr>
        <w:t>,</w:t>
      </w:r>
      <w:r w:rsidRPr="00B654CE">
        <w:rPr>
          <w:rFonts w:cstheme="minorHAnsi"/>
          <w:color w:val="000000" w:themeColor="text1"/>
          <w:spacing w:val="-5"/>
          <w:u w:val="single"/>
        </w:rPr>
        <w:t xml:space="preserve"> </w:t>
      </w:r>
      <w:r w:rsidRPr="00B654CE">
        <w:rPr>
          <w:rFonts w:cstheme="minorHAnsi"/>
          <w:color w:val="000000" w:themeColor="text1"/>
          <w:spacing w:val="-4"/>
        </w:rPr>
        <w:t xml:space="preserve">‘Revisiting 'insiders' and 'outsiders' as social researchers’, </w:t>
      </w:r>
      <w:r w:rsidRPr="00B654CE">
        <w:rPr>
          <w:rStyle w:val="HTMLCite"/>
          <w:rFonts w:cstheme="minorHAnsi"/>
          <w:color w:val="000000" w:themeColor="text1"/>
        </w:rPr>
        <w:t xml:space="preserve">African Sociological Review / Revue </w:t>
      </w:r>
      <w:proofErr w:type="spellStart"/>
      <w:r w:rsidRPr="00B654CE">
        <w:rPr>
          <w:rStyle w:val="HTMLCite"/>
          <w:rFonts w:cstheme="minorHAnsi"/>
          <w:color w:val="000000" w:themeColor="text1"/>
        </w:rPr>
        <w:t>Africaine</w:t>
      </w:r>
      <w:proofErr w:type="spellEnd"/>
      <w:r w:rsidRPr="00B654CE">
        <w:rPr>
          <w:rStyle w:val="HTMLCite"/>
          <w:rFonts w:cstheme="minorHAnsi"/>
          <w:color w:val="000000" w:themeColor="text1"/>
        </w:rPr>
        <w:t xml:space="preserve"> de </w:t>
      </w:r>
      <w:proofErr w:type="spellStart"/>
      <w:r w:rsidRPr="00B654CE">
        <w:rPr>
          <w:rStyle w:val="HTMLCite"/>
          <w:rFonts w:cstheme="minorHAnsi"/>
          <w:color w:val="000000" w:themeColor="text1"/>
        </w:rPr>
        <w:t>Sociologie</w:t>
      </w:r>
      <w:proofErr w:type="spellEnd"/>
      <w:r w:rsidRPr="00B654CE">
        <w:rPr>
          <w:rStyle w:val="src"/>
          <w:rFonts w:cstheme="minorHAnsi"/>
          <w:color w:val="000000" w:themeColor="text1"/>
          <w:spacing w:val="-5"/>
        </w:rPr>
        <w:t>, Vol. 7, No. 2 (2003), pp. 149-161</w:t>
      </w:r>
    </w:p>
    <w:p w14:paraId="44A93DBF" w14:textId="43B2A469" w:rsidR="00D503A2" w:rsidRPr="00B654CE" w:rsidRDefault="00D503A2" w:rsidP="00E16692">
      <w:pPr>
        <w:jc w:val="both"/>
      </w:pPr>
      <w:r w:rsidRPr="00B654CE">
        <w:t xml:space="preserve">Borman, K.M., LeCompte, M.D. &amp; Goetz, J.P., ‘Ethnographic and Qualitative Research Design and Why it Doesn’t Work.’ </w:t>
      </w:r>
      <w:r w:rsidRPr="00B654CE">
        <w:rPr>
          <w:i/>
          <w:iCs/>
        </w:rPr>
        <w:t xml:space="preserve">American </w:t>
      </w:r>
      <w:proofErr w:type="spellStart"/>
      <w:r w:rsidRPr="00B654CE">
        <w:rPr>
          <w:i/>
          <w:iCs/>
        </w:rPr>
        <w:t>Behavioral</w:t>
      </w:r>
      <w:proofErr w:type="spellEnd"/>
      <w:r w:rsidRPr="00B654CE">
        <w:rPr>
          <w:i/>
          <w:iCs/>
        </w:rPr>
        <w:t xml:space="preserve"> Scientist</w:t>
      </w:r>
      <w:r w:rsidRPr="00B654CE">
        <w:t>, Vol. 30, No. 1 (1986), pp. 42-5</w:t>
      </w:r>
      <w:r w:rsidRPr="00B654CE">
        <w:t>7</w:t>
      </w:r>
    </w:p>
    <w:p w14:paraId="09325B69" w14:textId="50F3F7EA" w:rsidR="00D503A2" w:rsidRPr="00B654CE" w:rsidRDefault="00D503A2" w:rsidP="00D503A2">
      <w:pPr>
        <w:pStyle w:val="FootnoteText"/>
        <w:rPr>
          <w:rStyle w:val="src"/>
          <w:rFonts w:cstheme="minorHAnsi"/>
          <w:color w:val="000000" w:themeColor="text1"/>
          <w:spacing w:val="-5"/>
          <w:sz w:val="22"/>
          <w:szCs w:val="22"/>
        </w:rPr>
      </w:pPr>
      <w:r w:rsidRPr="00B654CE">
        <w:rPr>
          <w:rFonts w:cstheme="minorHAnsi"/>
          <w:color w:val="000000" w:themeColor="text1"/>
          <w:spacing w:val="-5"/>
          <w:sz w:val="22"/>
          <w:szCs w:val="22"/>
        </w:rPr>
        <w:t>Hufford</w:t>
      </w:r>
      <w:r w:rsidRPr="00B654CE">
        <w:rPr>
          <w:rFonts w:cstheme="minorHAnsi"/>
          <w:color w:val="000000" w:themeColor="text1"/>
          <w:spacing w:val="-5"/>
          <w:sz w:val="22"/>
          <w:szCs w:val="22"/>
        </w:rPr>
        <w:t xml:space="preserve">, </w:t>
      </w:r>
      <w:r w:rsidRPr="00B654CE">
        <w:rPr>
          <w:rFonts w:cstheme="minorHAnsi"/>
          <w:color w:val="000000" w:themeColor="text1"/>
          <w:spacing w:val="-5"/>
          <w:sz w:val="22"/>
          <w:szCs w:val="22"/>
        </w:rPr>
        <w:t>D</w:t>
      </w:r>
      <w:r w:rsidRPr="00B654CE">
        <w:rPr>
          <w:rFonts w:cstheme="minorHAnsi"/>
          <w:color w:val="000000" w:themeColor="text1"/>
          <w:spacing w:val="-5"/>
          <w:sz w:val="22"/>
          <w:szCs w:val="22"/>
        </w:rPr>
        <w:t>.</w:t>
      </w:r>
      <w:r w:rsidRPr="00B654CE">
        <w:rPr>
          <w:rFonts w:cstheme="minorHAnsi"/>
          <w:color w:val="000000" w:themeColor="text1"/>
          <w:spacing w:val="-5"/>
          <w:sz w:val="22"/>
          <w:szCs w:val="22"/>
        </w:rPr>
        <w:t xml:space="preserve">J., </w:t>
      </w:r>
      <w:r w:rsidRPr="00B654CE">
        <w:rPr>
          <w:rFonts w:cstheme="minorHAnsi"/>
          <w:color w:val="000000" w:themeColor="text1"/>
          <w:spacing w:val="-5"/>
          <w:sz w:val="22"/>
          <w:szCs w:val="22"/>
        </w:rPr>
        <w:t>‘</w:t>
      </w:r>
      <w:r w:rsidRPr="00B654CE">
        <w:rPr>
          <w:rFonts w:cstheme="minorHAnsi"/>
          <w:color w:val="000000" w:themeColor="text1"/>
          <w:spacing w:val="-4"/>
          <w:sz w:val="22"/>
          <w:szCs w:val="22"/>
        </w:rPr>
        <w:t>The Scholarly Voice and the Personal Voice: Reflexivity in Belief Studies</w:t>
      </w:r>
      <w:r w:rsidRPr="00B654CE">
        <w:rPr>
          <w:rFonts w:cstheme="minorHAnsi"/>
          <w:color w:val="000000" w:themeColor="text1"/>
          <w:spacing w:val="-4"/>
          <w:sz w:val="22"/>
          <w:szCs w:val="22"/>
        </w:rPr>
        <w:t>’</w:t>
      </w:r>
      <w:r w:rsidRPr="00B654CE">
        <w:rPr>
          <w:rFonts w:cstheme="minorHAnsi"/>
          <w:color w:val="000000" w:themeColor="text1"/>
          <w:spacing w:val="-4"/>
          <w:sz w:val="22"/>
          <w:szCs w:val="22"/>
        </w:rPr>
        <w:t xml:space="preserve">, </w:t>
      </w:r>
      <w:r w:rsidRPr="00B654CE">
        <w:rPr>
          <w:rStyle w:val="HTMLCite"/>
          <w:rFonts w:cstheme="minorHAnsi"/>
          <w:color w:val="000000" w:themeColor="text1"/>
          <w:sz w:val="22"/>
          <w:szCs w:val="22"/>
        </w:rPr>
        <w:t>Western Folklore</w:t>
      </w:r>
      <w:r w:rsidRPr="00B654CE">
        <w:rPr>
          <w:rStyle w:val="src"/>
          <w:rFonts w:cstheme="minorHAnsi"/>
          <w:color w:val="000000" w:themeColor="text1"/>
          <w:spacing w:val="-5"/>
          <w:sz w:val="22"/>
          <w:szCs w:val="22"/>
        </w:rPr>
        <w:t>, Vol. 54, No. 1, Reflexivity and the Study of Belief (1995), pp. 57-76</w:t>
      </w:r>
    </w:p>
    <w:p w14:paraId="0F0B1E11" w14:textId="77777777" w:rsidR="00D503A2" w:rsidRPr="00B654CE" w:rsidRDefault="00D503A2" w:rsidP="00D503A2">
      <w:pPr>
        <w:pStyle w:val="FootnoteText"/>
        <w:rPr>
          <w:rFonts w:cstheme="minorHAnsi"/>
          <w:color w:val="000000" w:themeColor="text1"/>
          <w:sz w:val="22"/>
          <w:szCs w:val="22"/>
        </w:rPr>
      </w:pPr>
    </w:p>
    <w:p w14:paraId="7EEC7DE7" w14:textId="3847EE33" w:rsidR="00D503A2" w:rsidRPr="00B654CE" w:rsidRDefault="00D503A2" w:rsidP="00E16692">
      <w:pPr>
        <w:jc w:val="both"/>
        <w:rPr>
          <w:rFonts w:cstheme="minorHAnsi"/>
          <w:color w:val="000000" w:themeColor="text1"/>
          <w:shd w:val="clear" w:color="auto" w:fill="FCFCFC"/>
        </w:rPr>
      </w:pPr>
      <w:r w:rsidRPr="00B654CE">
        <w:rPr>
          <w:rFonts w:cstheme="minorHAnsi"/>
          <w:color w:val="000000" w:themeColor="text1"/>
          <w:shd w:val="clear" w:color="auto" w:fill="FCFCFC"/>
        </w:rPr>
        <w:t>Englander, M., Morley, J., Phenomenological psychology and qualitative research’, </w:t>
      </w:r>
      <w:r w:rsidRPr="00B654CE">
        <w:rPr>
          <w:rFonts w:cstheme="minorHAnsi"/>
          <w:i/>
          <w:iCs/>
          <w:shd w:val="clear" w:color="auto" w:fill="FCFCFC"/>
        </w:rPr>
        <w:t>Phenomenology and the Cognitive Sciences,</w:t>
      </w:r>
      <w:r w:rsidRPr="00B654CE">
        <w:rPr>
          <w:rFonts w:cstheme="minorHAnsi"/>
          <w:color w:val="000000" w:themeColor="text1"/>
          <w:shd w:val="clear" w:color="auto" w:fill="FCFCFC"/>
        </w:rPr>
        <w:t> Vol. 22, (2023), pp. 25–53</w:t>
      </w:r>
    </w:p>
    <w:p w14:paraId="39645C31" w14:textId="77777777" w:rsidR="00B654CE" w:rsidRPr="00B654CE" w:rsidRDefault="00B654CE" w:rsidP="00E16692">
      <w:pPr>
        <w:jc w:val="both"/>
        <w:rPr>
          <w:rFonts w:cstheme="minorHAnsi"/>
          <w:b/>
          <w:bCs/>
          <w:color w:val="000000" w:themeColor="text1"/>
          <w:u w:val="single"/>
          <w:shd w:val="clear" w:color="auto" w:fill="FCFCFC"/>
        </w:rPr>
      </w:pPr>
    </w:p>
    <w:p w14:paraId="3A5A26B1" w14:textId="144B5D5C" w:rsidR="00B654CE" w:rsidRPr="00B654CE" w:rsidRDefault="00B654CE" w:rsidP="00E16692">
      <w:pPr>
        <w:jc w:val="both"/>
        <w:rPr>
          <w:b/>
          <w:bCs/>
          <w:u w:val="single"/>
        </w:rPr>
      </w:pPr>
      <w:r w:rsidRPr="00B654CE">
        <w:rPr>
          <w:rFonts w:cstheme="minorHAnsi"/>
          <w:b/>
          <w:bCs/>
          <w:color w:val="000000" w:themeColor="text1"/>
          <w:u w:val="single"/>
          <w:shd w:val="clear" w:color="auto" w:fill="FCFCFC"/>
        </w:rPr>
        <w:t>Online Sources</w:t>
      </w:r>
    </w:p>
    <w:p w14:paraId="2DCF1137" w14:textId="5EF10448" w:rsidR="00E16692" w:rsidRPr="00B654CE" w:rsidRDefault="00E16692" w:rsidP="00E16692">
      <w:pPr>
        <w:jc w:val="both"/>
      </w:pPr>
      <w:r w:rsidRPr="00B654CE">
        <w:t>https://craftonhills.academia.edu/TLBrink#:~:text=T.L.%20Brink%20is%20a%20social,consumer%20behavior%2C%20and%20religious%20phenomena</w:t>
      </w:r>
      <w:r w:rsidR="00B654CE" w:rsidRPr="00B654CE">
        <w:t xml:space="preserve"> [accessed 22</w:t>
      </w:r>
      <w:r w:rsidR="00B654CE" w:rsidRPr="00B654CE">
        <w:rPr>
          <w:vertAlign w:val="superscript"/>
        </w:rPr>
        <w:t>nd</w:t>
      </w:r>
      <w:r w:rsidR="00B654CE" w:rsidRPr="00B654CE">
        <w:t xml:space="preserve"> March 2023]</w:t>
      </w:r>
    </w:p>
    <w:p w14:paraId="1AFC63B7" w14:textId="208EB249" w:rsidR="00B654CE" w:rsidRPr="00B654CE" w:rsidRDefault="00B654CE" w:rsidP="00B654CE">
      <w:pPr>
        <w:pStyle w:val="FootnoteText"/>
        <w:rPr>
          <w:rFonts w:cstheme="minorHAnsi"/>
          <w:color w:val="000000" w:themeColor="text1"/>
          <w:sz w:val="22"/>
          <w:szCs w:val="22"/>
        </w:rPr>
      </w:pPr>
      <w:r w:rsidRPr="00B654CE">
        <w:rPr>
          <w:rFonts w:cstheme="minorHAnsi"/>
          <w:color w:val="000000" w:themeColor="text1"/>
          <w:sz w:val="22"/>
          <w:szCs w:val="22"/>
        </w:rPr>
        <w:t xml:space="preserve">https://plato.stanford.edu/entries/phenomenology/ </w:t>
      </w:r>
      <w:r w:rsidRPr="00B654CE">
        <w:rPr>
          <w:sz w:val="22"/>
          <w:szCs w:val="22"/>
        </w:rPr>
        <w:t>[accessed 22</w:t>
      </w:r>
      <w:r w:rsidRPr="00B654CE">
        <w:rPr>
          <w:sz w:val="22"/>
          <w:szCs w:val="22"/>
          <w:vertAlign w:val="superscript"/>
        </w:rPr>
        <w:t>nd</w:t>
      </w:r>
      <w:r w:rsidRPr="00B654CE">
        <w:rPr>
          <w:sz w:val="22"/>
          <w:szCs w:val="22"/>
        </w:rPr>
        <w:t xml:space="preserve"> March 2023]</w:t>
      </w:r>
    </w:p>
    <w:p w14:paraId="3F618371" w14:textId="77777777" w:rsidR="00B654CE" w:rsidRPr="009F11B1" w:rsidRDefault="00B654CE" w:rsidP="00E16692">
      <w:pPr>
        <w:jc w:val="both"/>
      </w:pPr>
    </w:p>
    <w:sectPr w:rsidR="00B654CE" w:rsidRPr="009F11B1">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BB2707" w14:textId="77777777" w:rsidR="001D68D8" w:rsidRDefault="001D68D8" w:rsidP="00D308E7">
      <w:pPr>
        <w:spacing w:after="0" w:line="240" w:lineRule="auto"/>
      </w:pPr>
      <w:r>
        <w:separator/>
      </w:r>
    </w:p>
  </w:endnote>
  <w:endnote w:type="continuationSeparator" w:id="0">
    <w:p w14:paraId="238F712D" w14:textId="77777777" w:rsidR="001D68D8" w:rsidRDefault="001D68D8" w:rsidP="00D308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Garamond">
    <w:panose1 w:val="020204040303010108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687" w:usb1="00000000" w:usb2="00000000" w:usb3="00000000" w:csb0="0000009F" w:csb1="00000000"/>
  </w:font>
  <w:font w:name="Helvetica">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24625104"/>
      <w:docPartObj>
        <w:docPartGallery w:val="Page Numbers (Bottom of Page)"/>
        <w:docPartUnique/>
      </w:docPartObj>
    </w:sdtPr>
    <w:sdtEndPr>
      <w:rPr>
        <w:noProof/>
      </w:rPr>
    </w:sdtEndPr>
    <w:sdtContent>
      <w:p w14:paraId="4B217050" w14:textId="61AD6949" w:rsidR="00B654CE" w:rsidRDefault="00B654C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8E2C347" w14:textId="77777777" w:rsidR="00B654CE" w:rsidRDefault="00B654C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EDA417" w14:textId="77777777" w:rsidR="001D68D8" w:rsidRDefault="001D68D8" w:rsidP="00D308E7">
      <w:pPr>
        <w:spacing w:after="0" w:line="240" w:lineRule="auto"/>
      </w:pPr>
      <w:r>
        <w:separator/>
      </w:r>
    </w:p>
  </w:footnote>
  <w:footnote w:type="continuationSeparator" w:id="0">
    <w:p w14:paraId="33D6CBF1" w14:textId="77777777" w:rsidR="001D68D8" w:rsidRDefault="001D68D8" w:rsidP="00D308E7">
      <w:pPr>
        <w:spacing w:after="0" w:line="240" w:lineRule="auto"/>
      </w:pPr>
      <w:r>
        <w:continuationSeparator/>
      </w:r>
    </w:p>
  </w:footnote>
  <w:footnote w:id="1">
    <w:p w14:paraId="28A491D2" w14:textId="79F23BBC" w:rsidR="003C34EC" w:rsidRPr="00EF7460" w:rsidRDefault="003C34EC" w:rsidP="009D069D">
      <w:pPr>
        <w:pStyle w:val="FootnoteText"/>
        <w:rPr>
          <w:color w:val="000000" w:themeColor="text1"/>
        </w:rPr>
      </w:pPr>
      <w:r w:rsidRPr="00EF7460">
        <w:rPr>
          <w:rStyle w:val="FootnoteReference"/>
          <w:color w:val="000000" w:themeColor="text1"/>
        </w:rPr>
        <w:footnoteRef/>
      </w:r>
      <w:hyperlink r:id="rId1" w:history="1">
        <w:r w:rsidRPr="00EF7460">
          <w:rPr>
            <w:rStyle w:val="Hyperlink"/>
            <w:color w:val="000000" w:themeColor="text1"/>
            <w:u w:val="none"/>
          </w:rPr>
          <w:t>https://craftonhills.academia.edu/TLBrink#:~:text=T.L.%20Brink%20is%20a%20social,consumer%20behavior%2C%20and%20religious%20phenomena</w:t>
        </w:r>
      </w:hyperlink>
    </w:p>
  </w:footnote>
  <w:footnote w:id="2">
    <w:p w14:paraId="152E7566" w14:textId="595EBE5B" w:rsidR="004A5D77" w:rsidRPr="00EF7460" w:rsidRDefault="004A5D77" w:rsidP="009D069D">
      <w:pPr>
        <w:spacing w:after="0" w:line="240" w:lineRule="auto"/>
        <w:jc w:val="both"/>
        <w:rPr>
          <w:color w:val="000000" w:themeColor="text1"/>
        </w:rPr>
      </w:pPr>
      <w:r w:rsidRPr="00EF7460">
        <w:rPr>
          <w:rStyle w:val="FootnoteReference"/>
          <w:color w:val="000000" w:themeColor="text1"/>
          <w:sz w:val="20"/>
          <w:szCs w:val="20"/>
        </w:rPr>
        <w:footnoteRef/>
      </w:r>
      <w:r w:rsidR="009D069D" w:rsidRPr="00EF7460">
        <w:rPr>
          <w:color w:val="000000" w:themeColor="text1"/>
          <w:sz w:val="20"/>
          <w:szCs w:val="20"/>
        </w:rPr>
        <w:t xml:space="preserve"> </w:t>
      </w:r>
      <w:r w:rsidR="009D069D" w:rsidRPr="00EF7460">
        <w:rPr>
          <w:color w:val="000000" w:themeColor="text1"/>
          <w:sz w:val="20"/>
          <w:szCs w:val="20"/>
        </w:rPr>
        <w:t>T.L.</w:t>
      </w:r>
      <w:r w:rsidR="009D069D" w:rsidRPr="00EF7460">
        <w:rPr>
          <w:color w:val="000000" w:themeColor="text1"/>
          <w:sz w:val="20"/>
          <w:szCs w:val="20"/>
        </w:rPr>
        <w:t xml:space="preserve"> </w:t>
      </w:r>
      <w:r w:rsidR="009D069D" w:rsidRPr="00EF7460">
        <w:rPr>
          <w:color w:val="000000" w:themeColor="text1"/>
          <w:sz w:val="20"/>
          <w:szCs w:val="20"/>
        </w:rPr>
        <w:t xml:space="preserve">Brink, ‘Inconsistency of Belief among Roman Catholic Girls: Concerning Religion, Astrology, Reincarnation.’, </w:t>
      </w:r>
      <w:r w:rsidR="009D069D" w:rsidRPr="00EF7460">
        <w:rPr>
          <w:i/>
          <w:iCs/>
          <w:color w:val="000000" w:themeColor="text1"/>
          <w:sz w:val="20"/>
          <w:szCs w:val="20"/>
        </w:rPr>
        <w:t>Review of Religious Research</w:t>
      </w:r>
      <w:r w:rsidR="009D069D" w:rsidRPr="00EF7460">
        <w:rPr>
          <w:color w:val="000000" w:themeColor="text1"/>
          <w:sz w:val="20"/>
          <w:szCs w:val="20"/>
        </w:rPr>
        <w:t>, 20 (1978), pp. 82-85</w:t>
      </w:r>
      <w:r w:rsidR="00E047B1" w:rsidRPr="00EF7460">
        <w:rPr>
          <w:color w:val="000000" w:themeColor="text1"/>
          <w:sz w:val="20"/>
          <w:szCs w:val="20"/>
        </w:rPr>
        <w:t>,</w:t>
      </w:r>
      <w:r w:rsidR="00E047B1" w:rsidRPr="00EF7460">
        <w:rPr>
          <w:color w:val="000000" w:themeColor="text1"/>
          <w:sz w:val="20"/>
          <w:szCs w:val="20"/>
        </w:rPr>
        <w:t xml:space="preserve"> p.</w:t>
      </w:r>
      <w:proofErr w:type="gramStart"/>
      <w:r w:rsidR="00E047B1" w:rsidRPr="00EF7460">
        <w:rPr>
          <w:color w:val="000000" w:themeColor="text1"/>
          <w:sz w:val="20"/>
          <w:szCs w:val="20"/>
        </w:rPr>
        <w:t>84</w:t>
      </w:r>
      <w:proofErr w:type="gramEnd"/>
    </w:p>
  </w:footnote>
  <w:footnote w:id="3">
    <w:p w14:paraId="225F4514" w14:textId="385924F3" w:rsidR="00F33714" w:rsidRPr="00EF7460" w:rsidRDefault="00F33714">
      <w:pPr>
        <w:pStyle w:val="FootnoteText"/>
        <w:rPr>
          <w:color w:val="000000" w:themeColor="text1"/>
        </w:rPr>
      </w:pPr>
      <w:r w:rsidRPr="00EF7460">
        <w:rPr>
          <w:rStyle w:val="FootnoteReference"/>
          <w:color w:val="000000" w:themeColor="text1"/>
        </w:rPr>
        <w:footnoteRef/>
      </w:r>
      <w:r w:rsidRPr="00EF7460">
        <w:rPr>
          <w:color w:val="000000" w:themeColor="text1"/>
        </w:rPr>
        <w:t xml:space="preserve"> </w:t>
      </w:r>
      <w:r w:rsidR="009D069D" w:rsidRPr="00EF7460">
        <w:rPr>
          <w:color w:val="000000" w:themeColor="text1"/>
        </w:rPr>
        <w:t xml:space="preserve">T.L. Brink, ‘Inconsistency of Belief among Roman Catholic Girls: Concerning Religion, Astrology, Reincarnation.’, </w:t>
      </w:r>
      <w:r w:rsidR="009D069D" w:rsidRPr="00EF7460">
        <w:rPr>
          <w:i/>
          <w:iCs/>
          <w:color w:val="000000" w:themeColor="text1"/>
        </w:rPr>
        <w:t>Review of Religious Research</w:t>
      </w:r>
      <w:r w:rsidR="009D069D" w:rsidRPr="00EF7460">
        <w:rPr>
          <w:color w:val="000000" w:themeColor="text1"/>
        </w:rPr>
        <w:t>, 20 (1978), pp. 82-85, p.</w:t>
      </w:r>
      <w:proofErr w:type="gramStart"/>
      <w:r w:rsidR="009D069D" w:rsidRPr="00EF7460">
        <w:rPr>
          <w:color w:val="000000" w:themeColor="text1"/>
        </w:rPr>
        <w:t>8</w:t>
      </w:r>
      <w:r w:rsidR="009D069D" w:rsidRPr="00EF7460">
        <w:rPr>
          <w:color w:val="000000" w:themeColor="text1"/>
        </w:rPr>
        <w:t>3</w:t>
      </w:r>
      <w:proofErr w:type="gramEnd"/>
    </w:p>
  </w:footnote>
  <w:footnote w:id="4">
    <w:p w14:paraId="1232FC39" w14:textId="65D53AF8" w:rsidR="00F33714" w:rsidRPr="00EF7460" w:rsidRDefault="00F33714" w:rsidP="00F33714">
      <w:pPr>
        <w:pStyle w:val="FootnoteText"/>
        <w:rPr>
          <w:color w:val="000000" w:themeColor="text1"/>
        </w:rPr>
      </w:pPr>
      <w:r w:rsidRPr="00EF7460">
        <w:rPr>
          <w:rStyle w:val="FootnoteReference"/>
          <w:color w:val="000000" w:themeColor="text1"/>
        </w:rPr>
        <w:footnoteRef/>
      </w:r>
      <w:r w:rsidRPr="00EF7460">
        <w:rPr>
          <w:color w:val="000000" w:themeColor="text1"/>
        </w:rPr>
        <w:t xml:space="preserve"> </w:t>
      </w:r>
      <w:r w:rsidR="00CE76F7" w:rsidRPr="00EF7460">
        <w:rPr>
          <w:color w:val="000000" w:themeColor="text1"/>
        </w:rPr>
        <w:t xml:space="preserve">Robert </w:t>
      </w:r>
      <w:proofErr w:type="spellStart"/>
      <w:r w:rsidR="00CE76F7" w:rsidRPr="00EF7460">
        <w:rPr>
          <w:color w:val="000000" w:themeColor="text1"/>
        </w:rPr>
        <w:t>Wuthnow</w:t>
      </w:r>
      <w:proofErr w:type="spellEnd"/>
      <w:r w:rsidR="00CE76F7" w:rsidRPr="00EF7460">
        <w:rPr>
          <w:color w:val="000000" w:themeColor="text1"/>
        </w:rPr>
        <w:t>,</w:t>
      </w:r>
      <w:r w:rsidR="00CE76F7" w:rsidRPr="00EF7460">
        <w:rPr>
          <w:rFonts w:cstheme="minorHAnsi"/>
          <w:color w:val="000000" w:themeColor="text1"/>
        </w:rPr>
        <w:t xml:space="preserve"> </w:t>
      </w:r>
      <w:r w:rsidR="002A630E" w:rsidRPr="00EF7460">
        <w:rPr>
          <w:rFonts w:cstheme="minorHAnsi"/>
          <w:color w:val="000000" w:themeColor="text1"/>
        </w:rPr>
        <w:t>‘</w:t>
      </w:r>
      <w:r w:rsidR="00CE76F7" w:rsidRPr="00EF7460">
        <w:rPr>
          <w:rFonts w:cstheme="minorHAnsi"/>
          <w:color w:val="000000" w:themeColor="text1"/>
        </w:rPr>
        <w:t>Astrology &amp; Marginality</w:t>
      </w:r>
      <w:r w:rsidR="002A630E" w:rsidRPr="00EF7460">
        <w:rPr>
          <w:rFonts w:cstheme="minorHAnsi"/>
          <w:color w:val="000000" w:themeColor="text1"/>
        </w:rPr>
        <w:t>’</w:t>
      </w:r>
      <w:r w:rsidR="00CE76F7" w:rsidRPr="00EF7460">
        <w:rPr>
          <w:rFonts w:cstheme="minorHAnsi"/>
          <w:color w:val="000000" w:themeColor="text1"/>
        </w:rPr>
        <w:t xml:space="preserve">, </w:t>
      </w:r>
      <w:r w:rsidR="00CE76F7" w:rsidRPr="00EF7460">
        <w:rPr>
          <w:rFonts w:cstheme="minorHAnsi"/>
          <w:i/>
          <w:iCs/>
          <w:color w:val="000000" w:themeColor="text1"/>
        </w:rPr>
        <w:t>Journal for the Scientific Study of Religion</w:t>
      </w:r>
      <w:r w:rsidR="00CE76F7" w:rsidRPr="00EF7460">
        <w:rPr>
          <w:rFonts w:cstheme="minorHAnsi"/>
          <w:color w:val="000000" w:themeColor="text1"/>
        </w:rPr>
        <w:t xml:space="preserve">, </w:t>
      </w:r>
      <w:r w:rsidR="009D069D" w:rsidRPr="00EF7460">
        <w:rPr>
          <w:rStyle w:val="src"/>
          <w:rFonts w:cstheme="minorHAnsi"/>
          <w:color w:val="000000" w:themeColor="text1"/>
          <w:spacing w:val="-5"/>
        </w:rPr>
        <w:t>Vol. 15, No. 2 (1976), pp. 157-168</w:t>
      </w:r>
      <w:r w:rsidR="009D069D" w:rsidRPr="00EF7460">
        <w:rPr>
          <w:rStyle w:val="src"/>
          <w:rFonts w:cstheme="minorHAnsi"/>
          <w:color w:val="000000" w:themeColor="text1"/>
          <w:spacing w:val="-5"/>
        </w:rPr>
        <w:t>, p.167</w:t>
      </w:r>
    </w:p>
  </w:footnote>
  <w:footnote w:id="5">
    <w:p w14:paraId="08E726C4" w14:textId="109B72B0" w:rsidR="006530D7" w:rsidRPr="00EF7460" w:rsidRDefault="006530D7">
      <w:pPr>
        <w:pStyle w:val="FootnoteText"/>
        <w:rPr>
          <w:color w:val="000000" w:themeColor="text1"/>
        </w:rPr>
      </w:pPr>
      <w:r w:rsidRPr="00EF7460">
        <w:rPr>
          <w:rStyle w:val="FootnoteReference"/>
          <w:color w:val="000000" w:themeColor="text1"/>
        </w:rPr>
        <w:footnoteRef/>
      </w:r>
      <w:r w:rsidRPr="00EF7460">
        <w:rPr>
          <w:color w:val="000000" w:themeColor="text1"/>
        </w:rPr>
        <w:t xml:space="preserve"> </w:t>
      </w:r>
      <w:r w:rsidR="00E047B1" w:rsidRPr="00EF7460">
        <w:rPr>
          <w:color w:val="000000" w:themeColor="text1"/>
        </w:rPr>
        <w:t>T.</w:t>
      </w:r>
      <w:r w:rsidR="002A630E" w:rsidRPr="00EF7460">
        <w:rPr>
          <w:color w:val="000000" w:themeColor="text1"/>
        </w:rPr>
        <w:t xml:space="preserve"> </w:t>
      </w:r>
      <w:r w:rsidR="002A630E" w:rsidRPr="00EF7460">
        <w:rPr>
          <w:color w:val="000000" w:themeColor="text1"/>
        </w:rPr>
        <w:t>Walter</w:t>
      </w:r>
      <w:r w:rsidR="00E047B1" w:rsidRPr="00EF7460">
        <w:rPr>
          <w:color w:val="000000" w:themeColor="text1"/>
        </w:rPr>
        <w:t xml:space="preserve"> &amp;</w:t>
      </w:r>
      <w:r w:rsidR="002A630E" w:rsidRPr="00EF7460">
        <w:rPr>
          <w:color w:val="000000" w:themeColor="text1"/>
        </w:rPr>
        <w:t xml:space="preserve"> H.</w:t>
      </w:r>
      <w:r w:rsidR="00E047B1" w:rsidRPr="00EF7460">
        <w:rPr>
          <w:color w:val="000000" w:themeColor="text1"/>
        </w:rPr>
        <w:t xml:space="preserve"> Waterhouse</w:t>
      </w:r>
      <w:r w:rsidR="002A630E" w:rsidRPr="00EF7460">
        <w:rPr>
          <w:color w:val="000000" w:themeColor="text1"/>
        </w:rPr>
        <w:t>,</w:t>
      </w:r>
      <w:r w:rsidR="00E047B1" w:rsidRPr="00EF7460">
        <w:rPr>
          <w:color w:val="000000" w:themeColor="text1"/>
        </w:rPr>
        <w:t xml:space="preserve"> ‘A Very Private Belief: Reincarnation in Contemporary England’</w:t>
      </w:r>
      <w:r w:rsidR="002A630E" w:rsidRPr="00EF7460">
        <w:rPr>
          <w:color w:val="000000" w:themeColor="text1"/>
        </w:rPr>
        <w:t xml:space="preserve">, </w:t>
      </w:r>
      <w:r w:rsidR="00E047B1" w:rsidRPr="00EF7460">
        <w:rPr>
          <w:i/>
          <w:iCs/>
          <w:color w:val="000000" w:themeColor="text1"/>
        </w:rPr>
        <w:t>Sociology of Religion</w:t>
      </w:r>
      <w:r w:rsidR="00E047B1" w:rsidRPr="00EF7460">
        <w:rPr>
          <w:color w:val="000000" w:themeColor="text1"/>
        </w:rPr>
        <w:t>, 60</w:t>
      </w:r>
      <w:r w:rsidR="002A630E" w:rsidRPr="00EF7460">
        <w:rPr>
          <w:color w:val="000000" w:themeColor="text1"/>
        </w:rPr>
        <w:t xml:space="preserve"> (1999)</w:t>
      </w:r>
      <w:r w:rsidR="00E047B1" w:rsidRPr="00EF7460">
        <w:rPr>
          <w:color w:val="000000" w:themeColor="text1"/>
        </w:rPr>
        <w:t xml:space="preserve">, </w:t>
      </w:r>
      <w:r w:rsidR="002A630E" w:rsidRPr="00EF7460">
        <w:rPr>
          <w:color w:val="000000" w:themeColor="text1"/>
        </w:rPr>
        <w:t>pp.</w:t>
      </w:r>
      <w:r w:rsidR="00E047B1" w:rsidRPr="00EF7460">
        <w:rPr>
          <w:color w:val="000000" w:themeColor="text1"/>
        </w:rPr>
        <w:t>187-197</w:t>
      </w:r>
      <w:r w:rsidR="00E047B1" w:rsidRPr="00EF7460">
        <w:rPr>
          <w:color w:val="000000" w:themeColor="text1"/>
        </w:rPr>
        <w:t>, p.</w:t>
      </w:r>
      <w:r w:rsidRPr="00EF7460">
        <w:rPr>
          <w:color w:val="000000" w:themeColor="text1"/>
        </w:rPr>
        <w:t>189</w:t>
      </w:r>
    </w:p>
  </w:footnote>
  <w:footnote w:id="6">
    <w:p w14:paraId="56998150" w14:textId="579BB3F2" w:rsidR="0038237E" w:rsidRPr="00EF7460" w:rsidRDefault="0038237E">
      <w:pPr>
        <w:pStyle w:val="FootnoteText"/>
        <w:rPr>
          <w:color w:val="000000" w:themeColor="text1"/>
        </w:rPr>
      </w:pPr>
      <w:r w:rsidRPr="00EF7460">
        <w:rPr>
          <w:rStyle w:val="FootnoteReference"/>
          <w:color w:val="000000" w:themeColor="text1"/>
        </w:rPr>
        <w:footnoteRef/>
      </w:r>
      <w:r w:rsidRPr="00EF7460">
        <w:rPr>
          <w:color w:val="000000" w:themeColor="text1"/>
        </w:rPr>
        <w:t xml:space="preserve"> </w:t>
      </w:r>
      <w:r w:rsidR="00D503A2" w:rsidRPr="00EF7460">
        <w:rPr>
          <w:color w:val="000000" w:themeColor="text1"/>
        </w:rPr>
        <w:t xml:space="preserve">T. Walter &amp; H. Waterhouse, ‘A Very Private Belief: Reincarnation in Contemporary England’, </w:t>
      </w:r>
      <w:r w:rsidR="00D503A2" w:rsidRPr="00EF7460">
        <w:rPr>
          <w:i/>
          <w:iCs/>
          <w:color w:val="000000" w:themeColor="text1"/>
        </w:rPr>
        <w:t>Sociology of Religion</w:t>
      </w:r>
      <w:r w:rsidR="00D503A2" w:rsidRPr="00EF7460">
        <w:rPr>
          <w:color w:val="000000" w:themeColor="text1"/>
        </w:rPr>
        <w:t>, 60 (1999), pp.187-197, p.1</w:t>
      </w:r>
      <w:r w:rsidR="00D503A2" w:rsidRPr="00EF7460">
        <w:rPr>
          <w:color w:val="000000" w:themeColor="text1"/>
        </w:rPr>
        <w:t>92</w:t>
      </w:r>
    </w:p>
  </w:footnote>
  <w:footnote w:id="7">
    <w:p w14:paraId="4D45A1D8" w14:textId="5A47B2F5" w:rsidR="00F33714" w:rsidRPr="00EF7460" w:rsidRDefault="00F33714" w:rsidP="00F33714">
      <w:pPr>
        <w:pStyle w:val="FootnoteText"/>
        <w:rPr>
          <w:color w:val="000000" w:themeColor="text1"/>
        </w:rPr>
      </w:pPr>
      <w:r w:rsidRPr="00EF7460">
        <w:rPr>
          <w:rStyle w:val="FootnoteReference"/>
          <w:color w:val="000000" w:themeColor="text1"/>
        </w:rPr>
        <w:footnoteRef/>
      </w:r>
      <w:r w:rsidRPr="00EF7460">
        <w:rPr>
          <w:color w:val="000000" w:themeColor="text1"/>
        </w:rPr>
        <w:t xml:space="preserve"> </w:t>
      </w:r>
      <w:r w:rsidR="00D503A2" w:rsidRPr="00EF7460">
        <w:rPr>
          <w:color w:val="000000" w:themeColor="text1"/>
        </w:rPr>
        <w:t xml:space="preserve">T. Walter &amp; H. Waterhouse, ‘A Very Private Belief: Reincarnation in Contemporary England’, </w:t>
      </w:r>
      <w:r w:rsidR="00D503A2" w:rsidRPr="00EF7460">
        <w:rPr>
          <w:i/>
          <w:iCs/>
          <w:color w:val="000000" w:themeColor="text1"/>
        </w:rPr>
        <w:t>Sociology of Religion</w:t>
      </w:r>
      <w:r w:rsidR="00D503A2" w:rsidRPr="00EF7460">
        <w:rPr>
          <w:color w:val="000000" w:themeColor="text1"/>
        </w:rPr>
        <w:t>, 60 (1999), pp.187-197, p.189</w:t>
      </w:r>
    </w:p>
  </w:footnote>
  <w:footnote w:id="8">
    <w:p w14:paraId="7B0DE494" w14:textId="08177BE8" w:rsidR="005061E6" w:rsidRPr="00EF7460" w:rsidRDefault="005061E6" w:rsidP="005061E6">
      <w:pPr>
        <w:pStyle w:val="FootnoteText"/>
        <w:rPr>
          <w:color w:val="000000" w:themeColor="text1"/>
        </w:rPr>
      </w:pPr>
      <w:r w:rsidRPr="00EF7460">
        <w:rPr>
          <w:rStyle w:val="FootnoteReference"/>
          <w:color w:val="000000" w:themeColor="text1"/>
        </w:rPr>
        <w:footnoteRef/>
      </w:r>
      <w:r w:rsidRPr="00EF7460">
        <w:rPr>
          <w:color w:val="000000" w:themeColor="text1"/>
        </w:rPr>
        <w:t xml:space="preserve"> </w:t>
      </w:r>
      <w:r w:rsidR="00D503A2" w:rsidRPr="00EF7460">
        <w:rPr>
          <w:color w:val="000000" w:themeColor="text1"/>
        </w:rPr>
        <w:t xml:space="preserve">T.L. Brink, ‘Inconsistency of Belief among Roman Catholic Girls: Concerning Religion, Astrology, Reincarnation.’, </w:t>
      </w:r>
      <w:r w:rsidR="00D503A2" w:rsidRPr="00EF7460">
        <w:rPr>
          <w:i/>
          <w:iCs/>
          <w:color w:val="000000" w:themeColor="text1"/>
        </w:rPr>
        <w:t>Review of Religious Research</w:t>
      </w:r>
      <w:r w:rsidR="00D503A2" w:rsidRPr="00EF7460">
        <w:rPr>
          <w:color w:val="000000" w:themeColor="text1"/>
        </w:rPr>
        <w:t>, 20 (1978), pp. 82-85, p.</w:t>
      </w:r>
      <w:proofErr w:type="gramStart"/>
      <w:r w:rsidR="00D503A2" w:rsidRPr="00EF7460">
        <w:rPr>
          <w:color w:val="000000" w:themeColor="text1"/>
        </w:rPr>
        <w:t>84</w:t>
      </w:r>
      <w:proofErr w:type="gramEnd"/>
    </w:p>
  </w:footnote>
  <w:footnote w:id="9">
    <w:p w14:paraId="013A1445" w14:textId="33B7EC78" w:rsidR="00BA55D9" w:rsidRPr="00EF7460" w:rsidRDefault="00BA55D9">
      <w:pPr>
        <w:pStyle w:val="FootnoteText"/>
        <w:rPr>
          <w:rFonts w:cstheme="minorHAnsi"/>
          <w:color w:val="000000" w:themeColor="text1"/>
        </w:rPr>
      </w:pPr>
      <w:r w:rsidRPr="00EF7460">
        <w:rPr>
          <w:rStyle w:val="FootnoteReference"/>
          <w:rFonts w:cstheme="minorHAnsi"/>
          <w:color w:val="000000" w:themeColor="text1"/>
        </w:rPr>
        <w:footnoteRef/>
      </w:r>
      <w:r w:rsidRPr="00EF7460">
        <w:rPr>
          <w:rFonts w:cstheme="minorHAnsi"/>
          <w:color w:val="000000" w:themeColor="text1"/>
        </w:rPr>
        <w:t xml:space="preserve"> </w:t>
      </w:r>
      <w:r w:rsidRPr="00EF7460">
        <w:rPr>
          <w:rFonts w:cstheme="minorHAnsi"/>
          <w:color w:val="000000" w:themeColor="text1"/>
          <w:spacing w:val="-5"/>
        </w:rPr>
        <w:t>Marlize Rabe</w:t>
      </w:r>
      <w:r w:rsidRPr="00EF7460">
        <w:rPr>
          <w:rFonts w:cstheme="minorHAnsi"/>
          <w:color w:val="000000" w:themeColor="text1"/>
          <w:spacing w:val="-5"/>
        </w:rPr>
        <w:t xml:space="preserve">, </w:t>
      </w:r>
      <w:r w:rsidR="00D503A2" w:rsidRPr="00EF7460">
        <w:rPr>
          <w:rFonts w:cstheme="minorHAnsi"/>
          <w:color w:val="000000" w:themeColor="text1"/>
          <w:spacing w:val="-4"/>
        </w:rPr>
        <w:t>‘</w:t>
      </w:r>
      <w:r w:rsidRPr="00EF7460">
        <w:rPr>
          <w:rFonts w:cstheme="minorHAnsi"/>
          <w:color w:val="000000" w:themeColor="text1"/>
          <w:spacing w:val="-4"/>
        </w:rPr>
        <w:t>Revisiting 'insiders' and 'outsiders' as social researchers</w:t>
      </w:r>
      <w:r w:rsidR="00D503A2" w:rsidRPr="00EF7460">
        <w:rPr>
          <w:rFonts w:cstheme="minorHAnsi"/>
          <w:color w:val="000000" w:themeColor="text1"/>
          <w:spacing w:val="-4"/>
        </w:rPr>
        <w:t>’</w:t>
      </w:r>
      <w:r w:rsidRPr="00EF7460">
        <w:rPr>
          <w:rFonts w:cstheme="minorHAnsi"/>
          <w:color w:val="000000" w:themeColor="text1"/>
          <w:spacing w:val="-4"/>
        </w:rPr>
        <w:t xml:space="preserve">, </w:t>
      </w:r>
      <w:r w:rsidRPr="00EF7460">
        <w:rPr>
          <w:rStyle w:val="HTMLCite"/>
          <w:rFonts w:cstheme="minorHAnsi"/>
          <w:color w:val="000000" w:themeColor="text1"/>
        </w:rPr>
        <w:t xml:space="preserve">African Sociological Review / Revue </w:t>
      </w:r>
      <w:proofErr w:type="spellStart"/>
      <w:r w:rsidRPr="00EF7460">
        <w:rPr>
          <w:rStyle w:val="HTMLCite"/>
          <w:rFonts w:cstheme="minorHAnsi"/>
          <w:color w:val="000000" w:themeColor="text1"/>
        </w:rPr>
        <w:t>Africaine</w:t>
      </w:r>
      <w:proofErr w:type="spellEnd"/>
      <w:r w:rsidRPr="00EF7460">
        <w:rPr>
          <w:rStyle w:val="HTMLCite"/>
          <w:rFonts w:cstheme="minorHAnsi"/>
          <w:color w:val="000000" w:themeColor="text1"/>
        </w:rPr>
        <w:t xml:space="preserve"> de </w:t>
      </w:r>
      <w:proofErr w:type="spellStart"/>
      <w:r w:rsidRPr="00EF7460">
        <w:rPr>
          <w:rStyle w:val="HTMLCite"/>
          <w:rFonts w:cstheme="minorHAnsi"/>
          <w:color w:val="000000" w:themeColor="text1"/>
        </w:rPr>
        <w:t>Sociologie</w:t>
      </w:r>
      <w:proofErr w:type="spellEnd"/>
      <w:r w:rsidRPr="00EF7460">
        <w:rPr>
          <w:rStyle w:val="src"/>
          <w:rFonts w:cstheme="minorHAnsi"/>
          <w:color w:val="000000" w:themeColor="text1"/>
          <w:spacing w:val="-5"/>
        </w:rPr>
        <w:t>, Vol. 7, No. 2</w:t>
      </w:r>
      <w:r w:rsidR="00D503A2" w:rsidRPr="00EF7460">
        <w:rPr>
          <w:rStyle w:val="src"/>
          <w:rFonts w:cstheme="minorHAnsi"/>
          <w:color w:val="000000" w:themeColor="text1"/>
          <w:spacing w:val="-5"/>
        </w:rPr>
        <w:t xml:space="preserve"> </w:t>
      </w:r>
      <w:r w:rsidRPr="00EF7460">
        <w:rPr>
          <w:rStyle w:val="src"/>
          <w:rFonts w:cstheme="minorHAnsi"/>
          <w:color w:val="000000" w:themeColor="text1"/>
          <w:spacing w:val="-5"/>
        </w:rPr>
        <w:t>(2003), pp. 149-161</w:t>
      </w:r>
      <w:r w:rsidR="00CE76F7" w:rsidRPr="00EF7460">
        <w:rPr>
          <w:rStyle w:val="src"/>
          <w:rFonts w:cstheme="minorHAnsi"/>
          <w:color w:val="000000" w:themeColor="text1"/>
          <w:spacing w:val="-5"/>
        </w:rPr>
        <w:t>, p.156</w:t>
      </w:r>
    </w:p>
  </w:footnote>
  <w:footnote w:id="10">
    <w:p w14:paraId="15816294" w14:textId="78804CA4" w:rsidR="00DF32A0" w:rsidRPr="00EF7460" w:rsidRDefault="00DF32A0" w:rsidP="00DF32A0">
      <w:pPr>
        <w:pStyle w:val="FootnoteText"/>
        <w:rPr>
          <w:color w:val="000000" w:themeColor="text1"/>
        </w:rPr>
      </w:pPr>
      <w:r w:rsidRPr="00EF7460">
        <w:rPr>
          <w:rStyle w:val="FootnoteReference"/>
          <w:color w:val="000000" w:themeColor="text1"/>
        </w:rPr>
        <w:footnoteRef/>
      </w:r>
      <w:r w:rsidRPr="00EF7460">
        <w:rPr>
          <w:color w:val="000000" w:themeColor="text1"/>
        </w:rPr>
        <w:t xml:space="preserve"> </w:t>
      </w:r>
      <w:r w:rsidR="00D503A2" w:rsidRPr="00EF7460">
        <w:rPr>
          <w:color w:val="000000" w:themeColor="text1"/>
        </w:rPr>
        <w:t xml:space="preserve">T. Walter &amp; H. Waterhouse, ‘A Very Private Belief: Reincarnation in Contemporary England’, </w:t>
      </w:r>
      <w:r w:rsidR="00D503A2" w:rsidRPr="00EF7460">
        <w:rPr>
          <w:i/>
          <w:iCs/>
          <w:color w:val="000000" w:themeColor="text1"/>
        </w:rPr>
        <w:t>Sociology of Religion</w:t>
      </w:r>
      <w:r w:rsidR="00D503A2" w:rsidRPr="00EF7460">
        <w:rPr>
          <w:color w:val="000000" w:themeColor="text1"/>
        </w:rPr>
        <w:t>, 60 (1999), pp.187-197, p.1</w:t>
      </w:r>
      <w:r w:rsidR="00D503A2" w:rsidRPr="00EF7460">
        <w:rPr>
          <w:color w:val="000000" w:themeColor="text1"/>
        </w:rPr>
        <w:t>90</w:t>
      </w:r>
    </w:p>
  </w:footnote>
  <w:footnote w:id="11">
    <w:p w14:paraId="75D448FA" w14:textId="410B00C0" w:rsidR="00BA55D9" w:rsidRPr="00EF7460" w:rsidRDefault="00BA55D9">
      <w:pPr>
        <w:pStyle w:val="FootnoteText"/>
        <w:rPr>
          <w:color w:val="000000" w:themeColor="text1"/>
        </w:rPr>
      </w:pPr>
      <w:r w:rsidRPr="00EF7460">
        <w:rPr>
          <w:rStyle w:val="FootnoteReference"/>
          <w:color w:val="000000" w:themeColor="text1"/>
        </w:rPr>
        <w:footnoteRef/>
      </w:r>
      <w:r w:rsidRPr="00EF7460">
        <w:rPr>
          <w:color w:val="000000" w:themeColor="text1"/>
        </w:rPr>
        <w:t xml:space="preserve"> </w:t>
      </w:r>
      <w:r w:rsidRPr="00EF7460">
        <w:rPr>
          <w:color w:val="000000" w:themeColor="text1"/>
        </w:rPr>
        <w:t>K.M.</w:t>
      </w:r>
      <w:r w:rsidR="00D503A2" w:rsidRPr="00EF7460">
        <w:rPr>
          <w:color w:val="000000" w:themeColor="text1"/>
        </w:rPr>
        <w:t xml:space="preserve"> </w:t>
      </w:r>
      <w:r w:rsidR="00D503A2" w:rsidRPr="00EF7460">
        <w:rPr>
          <w:color w:val="000000" w:themeColor="text1"/>
        </w:rPr>
        <w:t>Borman</w:t>
      </w:r>
      <w:r w:rsidRPr="00EF7460">
        <w:rPr>
          <w:color w:val="000000" w:themeColor="text1"/>
        </w:rPr>
        <w:t>, M.D.</w:t>
      </w:r>
      <w:r w:rsidR="00D503A2" w:rsidRPr="00EF7460">
        <w:rPr>
          <w:color w:val="000000" w:themeColor="text1"/>
        </w:rPr>
        <w:t xml:space="preserve"> </w:t>
      </w:r>
      <w:r w:rsidR="00D503A2" w:rsidRPr="00EF7460">
        <w:rPr>
          <w:color w:val="000000" w:themeColor="text1"/>
        </w:rPr>
        <w:t>LeCompte</w:t>
      </w:r>
      <w:r w:rsidR="00D503A2" w:rsidRPr="00EF7460">
        <w:rPr>
          <w:color w:val="000000" w:themeColor="text1"/>
        </w:rPr>
        <w:t xml:space="preserve"> </w:t>
      </w:r>
      <w:r w:rsidRPr="00EF7460">
        <w:rPr>
          <w:color w:val="000000" w:themeColor="text1"/>
        </w:rPr>
        <w:t>&amp; J.P.</w:t>
      </w:r>
      <w:r w:rsidR="00D503A2" w:rsidRPr="00EF7460">
        <w:rPr>
          <w:color w:val="000000" w:themeColor="text1"/>
        </w:rPr>
        <w:t xml:space="preserve"> </w:t>
      </w:r>
      <w:r w:rsidR="00D503A2" w:rsidRPr="00EF7460">
        <w:rPr>
          <w:color w:val="000000" w:themeColor="text1"/>
        </w:rPr>
        <w:t>Goetz</w:t>
      </w:r>
      <w:r w:rsidR="00D503A2" w:rsidRPr="00EF7460">
        <w:rPr>
          <w:color w:val="000000" w:themeColor="text1"/>
        </w:rPr>
        <w:t xml:space="preserve">, </w:t>
      </w:r>
      <w:r w:rsidRPr="00EF7460">
        <w:rPr>
          <w:color w:val="000000" w:themeColor="text1"/>
        </w:rPr>
        <w:t xml:space="preserve">‘Ethnographic and Qualitative Research Design and Why it Doesn’t Work.’ </w:t>
      </w:r>
      <w:r w:rsidRPr="00EF7460">
        <w:rPr>
          <w:i/>
          <w:iCs/>
          <w:color w:val="000000" w:themeColor="text1"/>
        </w:rPr>
        <w:t xml:space="preserve">American </w:t>
      </w:r>
      <w:proofErr w:type="spellStart"/>
      <w:r w:rsidRPr="00EF7460">
        <w:rPr>
          <w:i/>
          <w:iCs/>
          <w:color w:val="000000" w:themeColor="text1"/>
        </w:rPr>
        <w:t>Behavioral</w:t>
      </w:r>
      <w:proofErr w:type="spellEnd"/>
      <w:r w:rsidRPr="00EF7460">
        <w:rPr>
          <w:i/>
          <w:iCs/>
          <w:color w:val="000000" w:themeColor="text1"/>
        </w:rPr>
        <w:t xml:space="preserve"> Scientist</w:t>
      </w:r>
      <w:r w:rsidRPr="00EF7460">
        <w:rPr>
          <w:color w:val="000000" w:themeColor="text1"/>
        </w:rPr>
        <w:t>, Vol. 30, No. 1</w:t>
      </w:r>
      <w:r w:rsidR="00D503A2" w:rsidRPr="00EF7460">
        <w:rPr>
          <w:color w:val="000000" w:themeColor="text1"/>
        </w:rPr>
        <w:t xml:space="preserve"> </w:t>
      </w:r>
      <w:r w:rsidR="00D503A2" w:rsidRPr="00EF7460">
        <w:rPr>
          <w:color w:val="000000" w:themeColor="text1"/>
        </w:rPr>
        <w:t>(1986)</w:t>
      </w:r>
      <w:r w:rsidRPr="00EF7460">
        <w:rPr>
          <w:color w:val="000000" w:themeColor="text1"/>
        </w:rPr>
        <w:t>, pp. 42-57</w:t>
      </w:r>
      <w:r w:rsidRPr="00EF7460">
        <w:rPr>
          <w:color w:val="000000" w:themeColor="text1"/>
        </w:rPr>
        <w:t>, p.55</w:t>
      </w:r>
    </w:p>
  </w:footnote>
  <w:footnote w:id="12">
    <w:p w14:paraId="538FA458" w14:textId="016E7D32" w:rsidR="00DD64B5" w:rsidRPr="00EF7460" w:rsidRDefault="00DD64B5">
      <w:pPr>
        <w:pStyle w:val="FootnoteText"/>
        <w:rPr>
          <w:rFonts w:cstheme="minorHAnsi"/>
          <w:color w:val="000000" w:themeColor="text1"/>
        </w:rPr>
      </w:pPr>
      <w:r w:rsidRPr="00EF7460">
        <w:rPr>
          <w:rStyle w:val="FootnoteReference"/>
          <w:rFonts w:cstheme="minorHAnsi"/>
          <w:color w:val="000000" w:themeColor="text1"/>
        </w:rPr>
        <w:footnoteRef/>
      </w:r>
      <w:r w:rsidRPr="00EF7460">
        <w:rPr>
          <w:rFonts w:cstheme="minorHAnsi"/>
          <w:color w:val="000000" w:themeColor="text1"/>
        </w:rPr>
        <w:t xml:space="preserve"> </w:t>
      </w:r>
      <w:r w:rsidRPr="00EF7460">
        <w:rPr>
          <w:rFonts w:cstheme="minorHAnsi"/>
          <w:color w:val="000000" w:themeColor="text1"/>
          <w:spacing w:val="-5"/>
        </w:rPr>
        <w:t>David J. Hufford</w:t>
      </w:r>
      <w:r w:rsidRPr="00EF7460">
        <w:rPr>
          <w:rFonts w:cstheme="minorHAnsi"/>
          <w:color w:val="000000" w:themeColor="text1"/>
          <w:spacing w:val="-5"/>
        </w:rPr>
        <w:t xml:space="preserve">, </w:t>
      </w:r>
      <w:r w:rsidR="00D503A2" w:rsidRPr="00EF7460">
        <w:rPr>
          <w:rFonts w:cstheme="minorHAnsi"/>
          <w:color w:val="000000" w:themeColor="text1"/>
          <w:spacing w:val="-5"/>
        </w:rPr>
        <w:t>‘</w:t>
      </w:r>
      <w:r w:rsidRPr="00EF7460">
        <w:rPr>
          <w:rFonts w:cstheme="minorHAnsi"/>
          <w:color w:val="000000" w:themeColor="text1"/>
          <w:spacing w:val="-4"/>
        </w:rPr>
        <w:t>The Scholarly Voice and the Personal Voice: Reflexivity in Belief Studies</w:t>
      </w:r>
      <w:r w:rsidR="00D503A2" w:rsidRPr="00EF7460">
        <w:rPr>
          <w:rFonts w:cstheme="minorHAnsi"/>
          <w:color w:val="000000" w:themeColor="text1"/>
          <w:spacing w:val="-4"/>
        </w:rPr>
        <w:t>’</w:t>
      </w:r>
      <w:r w:rsidRPr="00EF7460">
        <w:rPr>
          <w:rFonts w:cstheme="minorHAnsi"/>
          <w:color w:val="000000" w:themeColor="text1"/>
          <w:spacing w:val="-4"/>
        </w:rPr>
        <w:t xml:space="preserve">, </w:t>
      </w:r>
      <w:r w:rsidRPr="00EF7460">
        <w:rPr>
          <w:rStyle w:val="HTMLCite"/>
          <w:rFonts w:cstheme="minorHAnsi"/>
          <w:color w:val="000000" w:themeColor="text1"/>
        </w:rPr>
        <w:t>Western Folklore</w:t>
      </w:r>
      <w:r w:rsidRPr="00EF7460">
        <w:rPr>
          <w:rStyle w:val="src"/>
          <w:rFonts w:cstheme="minorHAnsi"/>
          <w:color w:val="000000" w:themeColor="text1"/>
          <w:spacing w:val="-5"/>
        </w:rPr>
        <w:t>, Vol. 54, No. 1, Reflexivity and the Study of Belief (1995), pp. 57-76</w:t>
      </w:r>
      <w:r w:rsidRPr="00EF7460">
        <w:rPr>
          <w:rStyle w:val="src"/>
          <w:rFonts w:cstheme="minorHAnsi"/>
          <w:color w:val="000000" w:themeColor="text1"/>
          <w:spacing w:val="-5"/>
        </w:rPr>
        <w:t>, p.62</w:t>
      </w:r>
    </w:p>
  </w:footnote>
  <w:footnote w:id="13">
    <w:p w14:paraId="5A10FDD7" w14:textId="115EA14E" w:rsidR="00FD5354" w:rsidRPr="00EF7460" w:rsidRDefault="00FD5354">
      <w:pPr>
        <w:pStyle w:val="FootnoteText"/>
        <w:rPr>
          <w:color w:val="000000" w:themeColor="text1"/>
        </w:rPr>
      </w:pPr>
      <w:r w:rsidRPr="00EF7460">
        <w:rPr>
          <w:rStyle w:val="FootnoteReference"/>
          <w:rFonts w:cstheme="minorHAnsi"/>
          <w:color w:val="000000" w:themeColor="text1"/>
        </w:rPr>
        <w:footnoteRef/>
      </w:r>
      <w:r w:rsidRPr="00EF7460">
        <w:rPr>
          <w:rFonts w:cstheme="minorHAnsi"/>
          <w:color w:val="000000" w:themeColor="text1"/>
        </w:rPr>
        <w:t xml:space="preserve"> </w:t>
      </w:r>
      <w:r w:rsidR="00D503A2" w:rsidRPr="00EF7460">
        <w:rPr>
          <w:color w:val="000000" w:themeColor="text1"/>
        </w:rPr>
        <w:t xml:space="preserve">T. Walter &amp; H. Waterhouse, ‘A Very Private Belief: Reincarnation in Contemporary England’, </w:t>
      </w:r>
      <w:r w:rsidR="00D503A2" w:rsidRPr="00EF7460">
        <w:rPr>
          <w:i/>
          <w:iCs/>
          <w:color w:val="000000" w:themeColor="text1"/>
        </w:rPr>
        <w:t>Sociology of Religion</w:t>
      </w:r>
      <w:r w:rsidR="00D503A2" w:rsidRPr="00EF7460">
        <w:rPr>
          <w:color w:val="000000" w:themeColor="text1"/>
        </w:rPr>
        <w:t>, 60 (1999), pp.187-197, p.189</w:t>
      </w:r>
    </w:p>
  </w:footnote>
  <w:footnote w:id="14">
    <w:p w14:paraId="04004436" w14:textId="05F80147" w:rsidR="009023CF" w:rsidRPr="00EF7460" w:rsidRDefault="009023CF">
      <w:pPr>
        <w:pStyle w:val="FootnoteText"/>
        <w:rPr>
          <w:rFonts w:cstheme="minorHAnsi"/>
          <w:color w:val="000000" w:themeColor="text1"/>
        </w:rPr>
      </w:pPr>
      <w:r w:rsidRPr="00EF7460">
        <w:rPr>
          <w:rStyle w:val="FootnoteReference"/>
          <w:color w:val="000000" w:themeColor="text1"/>
        </w:rPr>
        <w:footnoteRef/>
      </w:r>
      <w:r w:rsidRPr="00EF7460">
        <w:rPr>
          <w:color w:val="000000" w:themeColor="text1"/>
        </w:rPr>
        <w:t xml:space="preserve"> </w:t>
      </w:r>
      <w:r w:rsidR="009D069D" w:rsidRPr="00EF7460">
        <w:rPr>
          <w:color w:val="000000" w:themeColor="text1"/>
        </w:rPr>
        <w:t xml:space="preserve">T.L. Brink, ‘Inconsistency of Belief among Roman Catholic Girls: Concerning Religion, Astrology, Reincarnation.’, </w:t>
      </w:r>
      <w:r w:rsidR="009D069D" w:rsidRPr="00EF7460">
        <w:rPr>
          <w:i/>
          <w:iCs/>
          <w:color w:val="000000" w:themeColor="text1"/>
        </w:rPr>
        <w:t>Review of Religious Research</w:t>
      </w:r>
      <w:r w:rsidR="009D069D" w:rsidRPr="00EF7460">
        <w:rPr>
          <w:color w:val="000000" w:themeColor="text1"/>
        </w:rPr>
        <w:t>, 20 (1978), pp. 82-85, p.</w:t>
      </w:r>
      <w:proofErr w:type="gramStart"/>
      <w:r w:rsidR="009D069D" w:rsidRPr="00EF7460">
        <w:rPr>
          <w:color w:val="000000" w:themeColor="text1"/>
        </w:rPr>
        <w:t>8</w:t>
      </w:r>
      <w:r w:rsidR="009D069D" w:rsidRPr="00EF7460">
        <w:rPr>
          <w:color w:val="000000" w:themeColor="text1"/>
        </w:rPr>
        <w:t>2</w:t>
      </w:r>
      <w:proofErr w:type="gramEnd"/>
    </w:p>
  </w:footnote>
  <w:footnote w:id="15">
    <w:p w14:paraId="10B59384" w14:textId="0A03465D" w:rsidR="00AF61C2" w:rsidRPr="00EF7460" w:rsidRDefault="00AF61C2">
      <w:pPr>
        <w:pStyle w:val="FootnoteText"/>
        <w:rPr>
          <w:rFonts w:cstheme="minorHAnsi"/>
          <w:color w:val="000000" w:themeColor="text1"/>
        </w:rPr>
      </w:pPr>
      <w:r w:rsidRPr="00EF7460">
        <w:rPr>
          <w:rStyle w:val="FootnoteReference"/>
          <w:rFonts w:cstheme="minorHAnsi"/>
          <w:color w:val="000000" w:themeColor="text1"/>
        </w:rPr>
        <w:footnoteRef/>
      </w:r>
      <w:r w:rsidRPr="00EF7460">
        <w:rPr>
          <w:rFonts w:cstheme="minorHAnsi"/>
          <w:color w:val="000000" w:themeColor="text1"/>
        </w:rPr>
        <w:t xml:space="preserve"> </w:t>
      </w:r>
      <w:r w:rsidRPr="00EF7460">
        <w:rPr>
          <w:rFonts w:cstheme="minorHAnsi"/>
          <w:color w:val="000000" w:themeColor="text1"/>
        </w:rPr>
        <w:t xml:space="preserve">Sutphen </w:t>
      </w:r>
      <w:r w:rsidR="00D503A2" w:rsidRPr="00EF7460">
        <w:rPr>
          <w:rFonts w:cstheme="minorHAnsi"/>
          <w:color w:val="000000" w:themeColor="text1"/>
        </w:rPr>
        <w:t>&amp;</w:t>
      </w:r>
      <w:r w:rsidRPr="00EF7460">
        <w:rPr>
          <w:rFonts w:cstheme="minorHAnsi"/>
          <w:color w:val="000000" w:themeColor="text1"/>
        </w:rPr>
        <w:t xml:space="preserve"> Taylor (1983), McClain (1994) and Carpenter (1995)</w:t>
      </w:r>
      <w:r w:rsidRPr="00EF7460">
        <w:rPr>
          <w:rFonts w:cstheme="minorHAnsi"/>
          <w:color w:val="000000" w:themeColor="text1"/>
        </w:rPr>
        <w:t xml:space="preserve">, quoted in </w:t>
      </w:r>
      <w:r w:rsidR="00D503A2" w:rsidRPr="00EF7460">
        <w:rPr>
          <w:color w:val="000000" w:themeColor="text1"/>
        </w:rPr>
        <w:t xml:space="preserve">T. Walter &amp; H. Waterhouse, ‘A Very Private Belief: Reincarnation in Contemporary England’, </w:t>
      </w:r>
      <w:r w:rsidR="00D503A2" w:rsidRPr="00EF7460">
        <w:rPr>
          <w:i/>
          <w:iCs/>
          <w:color w:val="000000" w:themeColor="text1"/>
        </w:rPr>
        <w:t>Sociology of Religion</w:t>
      </w:r>
      <w:r w:rsidR="00D503A2" w:rsidRPr="00EF7460">
        <w:rPr>
          <w:color w:val="000000" w:themeColor="text1"/>
        </w:rPr>
        <w:t>, 60 (1999), pp.187-197, p.</w:t>
      </w:r>
      <w:proofErr w:type="gramStart"/>
      <w:r w:rsidR="00D503A2" w:rsidRPr="00EF7460">
        <w:rPr>
          <w:color w:val="000000" w:themeColor="text1"/>
        </w:rPr>
        <w:t>193</w:t>
      </w:r>
      <w:proofErr w:type="gramEnd"/>
    </w:p>
  </w:footnote>
  <w:footnote w:id="16">
    <w:p w14:paraId="6A0BBA95" w14:textId="1AA218BC" w:rsidR="007032E2" w:rsidRPr="00EF7460" w:rsidRDefault="007032E2">
      <w:pPr>
        <w:pStyle w:val="FootnoteText"/>
        <w:rPr>
          <w:rFonts w:cstheme="minorHAnsi"/>
          <w:color w:val="000000" w:themeColor="text1"/>
        </w:rPr>
      </w:pPr>
      <w:r w:rsidRPr="00EF7460">
        <w:rPr>
          <w:rStyle w:val="FootnoteReference"/>
          <w:rFonts w:cstheme="minorHAnsi"/>
          <w:color w:val="000000" w:themeColor="text1"/>
        </w:rPr>
        <w:footnoteRef/>
      </w:r>
      <w:r w:rsidRPr="00EF7460">
        <w:rPr>
          <w:rFonts w:cstheme="minorHAnsi"/>
          <w:color w:val="000000" w:themeColor="text1"/>
        </w:rPr>
        <w:t xml:space="preserve"> </w:t>
      </w:r>
      <w:r w:rsidR="00D503A2" w:rsidRPr="00EF7460">
        <w:rPr>
          <w:color w:val="000000" w:themeColor="text1"/>
        </w:rPr>
        <w:t xml:space="preserve">T. Walter &amp; H. Waterhouse, ‘A Very Private Belief: Reincarnation in Contemporary England’, </w:t>
      </w:r>
      <w:r w:rsidR="00D503A2" w:rsidRPr="00EF7460">
        <w:rPr>
          <w:i/>
          <w:iCs/>
          <w:color w:val="000000" w:themeColor="text1"/>
        </w:rPr>
        <w:t>Sociology of Religion</w:t>
      </w:r>
      <w:r w:rsidR="00D503A2" w:rsidRPr="00EF7460">
        <w:rPr>
          <w:color w:val="000000" w:themeColor="text1"/>
        </w:rPr>
        <w:t>, 60 (1999), pp.187-197, p.1</w:t>
      </w:r>
      <w:r w:rsidR="00D503A2" w:rsidRPr="00EF7460">
        <w:rPr>
          <w:color w:val="000000" w:themeColor="text1"/>
        </w:rPr>
        <w:t>90</w:t>
      </w:r>
    </w:p>
  </w:footnote>
  <w:footnote w:id="17">
    <w:p w14:paraId="3F96B5F5" w14:textId="513B9C45" w:rsidR="00DB2A90" w:rsidRPr="00EF7460" w:rsidRDefault="00DB2A90" w:rsidP="00DB2A90">
      <w:pPr>
        <w:pStyle w:val="FootnoteText"/>
        <w:rPr>
          <w:rFonts w:cstheme="minorHAnsi"/>
          <w:color w:val="000000" w:themeColor="text1"/>
        </w:rPr>
      </w:pPr>
      <w:r w:rsidRPr="00EF7460">
        <w:rPr>
          <w:rStyle w:val="FootnoteReference"/>
          <w:rFonts w:cstheme="minorHAnsi"/>
          <w:color w:val="000000" w:themeColor="text1"/>
        </w:rPr>
        <w:footnoteRef/>
      </w:r>
      <w:r w:rsidRPr="00EF7460">
        <w:rPr>
          <w:rFonts w:cstheme="minorHAnsi"/>
          <w:color w:val="000000" w:themeColor="text1"/>
        </w:rPr>
        <w:t xml:space="preserve"> </w:t>
      </w:r>
      <w:r w:rsidR="00D503A2" w:rsidRPr="00EF7460">
        <w:rPr>
          <w:rFonts w:cstheme="minorHAnsi"/>
          <w:color w:val="000000" w:themeColor="text1"/>
          <w:spacing w:val="-5"/>
        </w:rPr>
        <w:t>Marlize Rabe,</w:t>
      </w:r>
      <w:r w:rsidR="00D503A2" w:rsidRPr="00EF7460">
        <w:rPr>
          <w:rFonts w:cstheme="minorHAnsi"/>
          <w:color w:val="000000" w:themeColor="text1"/>
          <w:spacing w:val="-5"/>
        </w:rPr>
        <w:t xml:space="preserve"> </w:t>
      </w:r>
      <w:r w:rsidR="00D503A2" w:rsidRPr="00EF7460">
        <w:rPr>
          <w:rFonts w:cstheme="minorHAnsi"/>
          <w:color w:val="000000" w:themeColor="text1"/>
          <w:spacing w:val="-4"/>
        </w:rPr>
        <w:t xml:space="preserve">‘Revisiting 'insiders' and 'outsiders' as social researchers’, </w:t>
      </w:r>
      <w:r w:rsidR="00D503A2" w:rsidRPr="00EF7460">
        <w:rPr>
          <w:rStyle w:val="HTMLCite"/>
          <w:rFonts w:cstheme="minorHAnsi"/>
          <w:color w:val="000000" w:themeColor="text1"/>
        </w:rPr>
        <w:t xml:space="preserve">African Sociological Review / Revue </w:t>
      </w:r>
      <w:proofErr w:type="spellStart"/>
      <w:r w:rsidR="00D503A2" w:rsidRPr="00EF7460">
        <w:rPr>
          <w:rStyle w:val="HTMLCite"/>
          <w:rFonts w:cstheme="minorHAnsi"/>
          <w:color w:val="000000" w:themeColor="text1"/>
        </w:rPr>
        <w:t>Africaine</w:t>
      </w:r>
      <w:proofErr w:type="spellEnd"/>
      <w:r w:rsidR="00D503A2" w:rsidRPr="00EF7460">
        <w:rPr>
          <w:rStyle w:val="HTMLCite"/>
          <w:rFonts w:cstheme="minorHAnsi"/>
          <w:color w:val="000000" w:themeColor="text1"/>
        </w:rPr>
        <w:t xml:space="preserve"> de </w:t>
      </w:r>
      <w:proofErr w:type="spellStart"/>
      <w:r w:rsidR="00D503A2" w:rsidRPr="00EF7460">
        <w:rPr>
          <w:rStyle w:val="HTMLCite"/>
          <w:rFonts w:cstheme="minorHAnsi"/>
          <w:color w:val="000000" w:themeColor="text1"/>
        </w:rPr>
        <w:t>Sociologie</w:t>
      </w:r>
      <w:proofErr w:type="spellEnd"/>
      <w:r w:rsidR="00D503A2" w:rsidRPr="00EF7460">
        <w:rPr>
          <w:rStyle w:val="src"/>
          <w:rFonts w:cstheme="minorHAnsi"/>
          <w:color w:val="000000" w:themeColor="text1"/>
          <w:spacing w:val="-5"/>
        </w:rPr>
        <w:t>, Vol. 7, No. 2 (2003), pp. 149-161, p.15</w:t>
      </w:r>
      <w:r w:rsidR="00D503A2" w:rsidRPr="00EF7460">
        <w:rPr>
          <w:rStyle w:val="src"/>
          <w:rFonts w:cstheme="minorHAnsi"/>
          <w:color w:val="000000" w:themeColor="text1"/>
          <w:spacing w:val="-5"/>
        </w:rPr>
        <w:t>9</w:t>
      </w:r>
    </w:p>
  </w:footnote>
  <w:footnote w:id="18">
    <w:p w14:paraId="6C2E34B6" w14:textId="2EE13CCF" w:rsidR="00E16692" w:rsidRPr="00EF7460" w:rsidRDefault="00E16692">
      <w:pPr>
        <w:pStyle w:val="FootnoteText"/>
        <w:rPr>
          <w:rFonts w:cstheme="minorHAnsi"/>
          <w:color w:val="000000" w:themeColor="text1"/>
        </w:rPr>
      </w:pPr>
      <w:r w:rsidRPr="00EF7460">
        <w:rPr>
          <w:rStyle w:val="FootnoteReference"/>
          <w:rFonts w:cstheme="minorHAnsi"/>
          <w:color w:val="000000" w:themeColor="text1"/>
        </w:rPr>
        <w:footnoteRef/>
      </w:r>
      <w:r w:rsidRPr="00EF7460">
        <w:rPr>
          <w:rFonts w:cstheme="minorHAnsi"/>
          <w:color w:val="000000" w:themeColor="text1"/>
        </w:rPr>
        <w:t xml:space="preserve"> </w:t>
      </w:r>
      <w:r w:rsidRPr="00EF7460">
        <w:rPr>
          <w:rFonts w:cstheme="minorHAnsi"/>
          <w:color w:val="000000" w:themeColor="text1"/>
        </w:rPr>
        <w:t>https://plato.stanford.edu/entries/phenomenology/</w:t>
      </w:r>
      <w:r w:rsidRPr="00EF7460">
        <w:rPr>
          <w:rFonts w:cstheme="minorHAnsi"/>
          <w:color w:val="000000" w:themeColor="text1"/>
        </w:rPr>
        <w:t xml:space="preserve"> </w:t>
      </w:r>
    </w:p>
  </w:footnote>
  <w:footnote w:id="19">
    <w:p w14:paraId="07C4CD3F" w14:textId="7CF875B5" w:rsidR="00874750" w:rsidRPr="00EF7460" w:rsidRDefault="00874750">
      <w:pPr>
        <w:pStyle w:val="FootnoteText"/>
        <w:rPr>
          <w:color w:val="000000" w:themeColor="text1"/>
        </w:rPr>
      </w:pPr>
      <w:r w:rsidRPr="00EF7460">
        <w:rPr>
          <w:rStyle w:val="FootnoteReference"/>
          <w:rFonts w:cstheme="minorHAnsi"/>
          <w:color w:val="000000" w:themeColor="text1"/>
        </w:rPr>
        <w:footnoteRef/>
      </w:r>
      <w:r w:rsidRPr="00EF7460">
        <w:rPr>
          <w:rFonts w:cstheme="minorHAnsi"/>
          <w:color w:val="000000" w:themeColor="text1"/>
        </w:rPr>
        <w:t xml:space="preserve"> </w:t>
      </w:r>
      <w:r w:rsidR="00D503A2" w:rsidRPr="00EF7460">
        <w:rPr>
          <w:rFonts w:cstheme="minorHAnsi"/>
          <w:color w:val="000000" w:themeColor="text1"/>
        </w:rPr>
        <w:t xml:space="preserve">M. </w:t>
      </w:r>
      <w:r w:rsidRPr="00EF7460">
        <w:rPr>
          <w:rFonts w:cstheme="minorHAnsi"/>
          <w:color w:val="000000" w:themeColor="text1"/>
          <w:shd w:val="clear" w:color="auto" w:fill="FCFCFC"/>
        </w:rPr>
        <w:t>Englander,</w:t>
      </w:r>
      <w:r w:rsidR="00D503A2" w:rsidRPr="00EF7460">
        <w:rPr>
          <w:rFonts w:cstheme="minorHAnsi"/>
          <w:color w:val="000000" w:themeColor="text1"/>
          <w:shd w:val="clear" w:color="auto" w:fill="FCFCFC"/>
        </w:rPr>
        <w:t xml:space="preserve"> J.</w:t>
      </w:r>
      <w:r w:rsidRPr="00EF7460">
        <w:rPr>
          <w:rFonts w:cstheme="minorHAnsi"/>
          <w:color w:val="000000" w:themeColor="text1"/>
          <w:shd w:val="clear" w:color="auto" w:fill="FCFCFC"/>
        </w:rPr>
        <w:t xml:space="preserve"> Morley</w:t>
      </w:r>
      <w:r w:rsidR="00D503A2" w:rsidRPr="00EF7460">
        <w:rPr>
          <w:rFonts w:cstheme="minorHAnsi"/>
          <w:color w:val="000000" w:themeColor="text1"/>
          <w:shd w:val="clear" w:color="auto" w:fill="FCFCFC"/>
        </w:rPr>
        <w:t>,</w:t>
      </w:r>
      <w:r w:rsidRPr="00EF7460">
        <w:rPr>
          <w:rFonts w:cstheme="minorHAnsi"/>
          <w:color w:val="000000" w:themeColor="text1"/>
          <w:shd w:val="clear" w:color="auto" w:fill="FCFCFC"/>
        </w:rPr>
        <w:t xml:space="preserve"> Phenomenological psychology and qualitative research</w:t>
      </w:r>
      <w:r w:rsidR="00D503A2" w:rsidRPr="00EF7460">
        <w:rPr>
          <w:rFonts w:cstheme="minorHAnsi"/>
          <w:color w:val="000000" w:themeColor="text1"/>
          <w:shd w:val="clear" w:color="auto" w:fill="FCFCFC"/>
        </w:rPr>
        <w:t>’,</w:t>
      </w:r>
      <w:r w:rsidRPr="00EF7460">
        <w:rPr>
          <w:rFonts w:cstheme="minorHAnsi"/>
          <w:color w:val="000000" w:themeColor="text1"/>
          <w:shd w:val="clear" w:color="auto" w:fill="FCFCFC"/>
        </w:rPr>
        <w:t> </w:t>
      </w:r>
      <w:r w:rsidR="00D503A2" w:rsidRPr="00EF7460">
        <w:rPr>
          <w:rFonts w:cstheme="minorHAnsi"/>
          <w:i/>
          <w:iCs/>
          <w:color w:val="000000" w:themeColor="text1"/>
          <w:shd w:val="clear" w:color="auto" w:fill="FCFCFC"/>
        </w:rPr>
        <w:t>Phenomenology and the Cognitive Sciences</w:t>
      </w:r>
      <w:r w:rsidR="00D503A2" w:rsidRPr="00EF7460">
        <w:rPr>
          <w:rFonts w:cstheme="minorHAnsi"/>
          <w:i/>
          <w:iCs/>
          <w:color w:val="000000" w:themeColor="text1"/>
          <w:shd w:val="clear" w:color="auto" w:fill="FCFCFC"/>
        </w:rPr>
        <w:t>,</w:t>
      </w:r>
      <w:r w:rsidRPr="00EF7460">
        <w:rPr>
          <w:rFonts w:cstheme="minorHAnsi"/>
          <w:color w:val="000000" w:themeColor="text1"/>
          <w:shd w:val="clear" w:color="auto" w:fill="FCFCFC"/>
        </w:rPr>
        <w:t> </w:t>
      </w:r>
      <w:r w:rsidR="00D503A2" w:rsidRPr="00EF7460">
        <w:rPr>
          <w:rFonts w:cstheme="minorHAnsi"/>
          <w:color w:val="000000" w:themeColor="text1"/>
          <w:shd w:val="clear" w:color="auto" w:fill="FCFCFC"/>
        </w:rPr>
        <w:t xml:space="preserve">Vol. </w:t>
      </w:r>
      <w:r w:rsidRPr="00EF7460">
        <w:rPr>
          <w:rFonts w:cstheme="minorHAnsi"/>
          <w:color w:val="000000" w:themeColor="text1"/>
          <w:shd w:val="clear" w:color="auto" w:fill="FCFCFC"/>
        </w:rPr>
        <w:t>22, (2023)</w:t>
      </w:r>
      <w:r w:rsidR="00DB2A90" w:rsidRPr="00EF7460">
        <w:rPr>
          <w:rFonts w:cstheme="minorHAnsi"/>
          <w:color w:val="000000" w:themeColor="text1"/>
          <w:shd w:val="clear" w:color="auto" w:fill="FCFCFC"/>
        </w:rPr>
        <w:t>,</w:t>
      </w:r>
      <w:r w:rsidR="00D503A2" w:rsidRPr="00EF7460">
        <w:rPr>
          <w:rFonts w:cstheme="minorHAnsi"/>
          <w:color w:val="000000" w:themeColor="text1"/>
          <w:shd w:val="clear" w:color="auto" w:fill="FCFCFC"/>
        </w:rPr>
        <w:t xml:space="preserve"> pp.</w:t>
      </w:r>
      <w:r w:rsidR="00D503A2" w:rsidRPr="00EF7460">
        <w:rPr>
          <w:rFonts w:cstheme="minorHAnsi"/>
          <w:color w:val="000000" w:themeColor="text1"/>
          <w:shd w:val="clear" w:color="auto" w:fill="FCFCFC"/>
        </w:rPr>
        <w:t xml:space="preserve"> 25–53</w:t>
      </w:r>
      <w:r w:rsidR="00D503A2" w:rsidRPr="00EF7460">
        <w:rPr>
          <w:rFonts w:cstheme="minorHAnsi"/>
          <w:color w:val="000000" w:themeColor="text1"/>
          <w:shd w:val="clear" w:color="auto" w:fill="FCFCFC"/>
        </w:rPr>
        <w:t>,</w:t>
      </w:r>
      <w:r w:rsidRPr="00EF7460">
        <w:rPr>
          <w:rFonts w:cstheme="minorHAnsi"/>
          <w:color w:val="000000" w:themeColor="text1"/>
          <w:shd w:val="clear" w:color="auto" w:fill="FCFCFC"/>
        </w:rPr>
        <w:t xml:space="preserve"> p.50</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11B1"/>
    <w:rsid w:val="0002448C"/>
    <w:rsid w:val="0003789B"/>
    <w:rsid w:val="00045D55"/>
    <w:rsid w:val="000D0AC1"/>
    <w:rsid w:val="00141608"/>
    <w:rsid w:val="001627B8"/>
    <w:rsid w:val="001D68D8"/>
    <w:rsid w:val="002A630E"/>
    <w:rsid w:val="002C166E"/>
    <w:rsid w:val="00302D07"/>
    <w:rsid w:val="00356E6A"/>
    <w:rsid w:val="0036504B"/>
    <w:rsid w:val="0038237E"/>
    <w:rsid w:val="003C34EC"/>
    <w:rsid w:val="003F32C4"/>
    <w:rsid w:val="00455248"/>
    <w:rsid w:val="00457E2E"/>
    <w:rsid w:val="004A5D77"/>
    <w:rsid w:val="004C080D"/>
    <w:rsid w:val="00502252"/>
    <w:rsid w:val="005061E6"/>
    <w:rsid w:val="00510DF1"/>
    <w:rsid w:val="00587D4B"/>
    <w:rsid w:val="005B74DC"/>
    <w:rsid w:val="005C0F48"/>
    <w:rsid w:val="005F5BB3"/>
    <w:rsid w:val="006259E2"/>
    <w:rsid w:val="00637DBB"/>
    <w:rsid w:val="006530D7"/>
    <w:rsid w:val="00690646"/>
    <w:rsid w:val="00691034"/>
    <w:rsid w:val="006D5620"/>
    <w:rsid w:val="006E6306"/>
    <w:rsid w:val="007032E2"/>
    <w:rsid w:val="0073169A"/>
    <w:rsid w:val="0085514B"/>
    <w:rsid w:val="00874750"/>
    <w:rsid w:val="00875C9C"/>
    <w:rsid w:val="008C183E"/>
    <w:rsid w:val="008C2238"/>
    <w:rsid w:val="008F644F"/>
    <w:rsid w:val="009023CF"/>
    <w:rsid w:val="00915A66"/>
    <w:rsid w:val="00980194"/>
    <w:rsid w:val="009D069D"/>
    <w:rsid w:val="009D5EEA"/>
    <w:rsid w:val="009F11B1"/>
    <w:rsid w:val="00A53598"/>
    <w:rsid w:val="00A55ADA"/>
    <w:rsid w:val="00A97C65"/>
    <w:rsid w:val="00AF61C2"/>
    <w:rsid w:val="00B31E4C"/>
    <w:rsid w:val="00B654CE"/>
    <w:rsid w:val="00BA358A"/>
    <w:rsid w:val="00BA55D9"/>
    <w:rsid w:val="00BD0516"/>
    <w:rsid w:val="00C113C6"/>
    <w:rsid w:val="00C76CD8"/>
    <w:rsid w:val="00C8129C"/>
    <w:rsid w:val="00CA347F"/>
    <w:rsid w:val="00CA449E"/>
    <w:rsid w:val="00CA53BB"/>
    <w:rsid w:val="00CB47B2"/>
    <w:rsid w:val="00CE76F7"/>
    <w:rsid w:val="00D068FF"/>
    <w:rsid w:val="00D15202"/>
    <w:rsid w:val="00D308E7"/>
    <w:rsid w:val="00D376DB"/>
    <w:rsid w:val="00D503A2"/>
    <w:rsid w:val="00D80347"/>
    <w:rsid w:val="00D93156"/>
    <w:rsid w:val="00DB2A90"/>
    <w:rsid w:val="00DD64B5"/>
    <w:rsid w:val="00DF32A0"/>
    <w:rsid w:val="00E047B1"/>
    <w:rsid w:val="00E13FDE"/>
    <w:rsid w:val="00E16692"/>
    <w:rsid w:val="00E21118"/>
    <w:rsid w:val="00E25816"/>
    <w:rsid w:val="00E37AE3"/>
    <w:rsid w:val="00E549EF"/>
    <w:rsid w:val="00E657BC"/>
    <w:rsid w:val="00E742CA"/>
    <w:rsid w:val="00EA068A"/>
    <w:rsid w:val="00EF7460"/>
    <w:rsid w:val="00F11356"/>
    <w:rsid w:val="00F15F50"/>
    <w:rsid w:val="00F33714"/>
    <w:rsid w:val="00F914F4"/>
    <w:rsid w:val="00FC5798"/>
    <w:rsid w:val="00FD53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1294D7"/>
  <w15:chartTrackingRefBased/>
  <w15:docId w15:val="{5053F617-764E-4BE0-921E-5BCB06745A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next w:val="Normal"/>
    <w:link w:val="Heading3Char"/>
    <w:uiPriority w:val="9"/>
    <w:semiHidden/>
    <w:unhideWhenUsed/>
    <w:qFormat/>
    <w:rsid w:val="005F5BB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D308E7"/>
    <w:pPr>
      <w:spacing w:after="0" w:line="240" w:lineRule="auto"/>
    </w:pPr>
    <w:rPr>
      <w:sz w:val="20"/>
      <w:szCs w:val="20"/>
    </w:rPr>
  </w:style>
  <w:style w:type="character" w:customStyle="1" w:styleId="FootnoteTextChar">
    <w:name w:val="Footnote Text Char"/>
    <w:basedOn w:val="DefaultParagraphFont"/>
    <w:link w:val="FootnoteText"/>
    <w:uiPriority w:val="99"/>
    <w:rsid w:val="00D308E7"/>
    <w:rPr>
      <w:sz w:val="20"/>
      <w:szCs w:val="20"/>
    </w:rPr>
  </w:style>
  <w:style w:type="character" w:styleId="FootnoteReference">
    <w:name w:val="footnote reference"/>
    <w:basedOn w:val="DefaultParagraphFont"/>
    <w:uiPriority w:val="99"/>
    <w:semiHidden/>
    <w:unhideWhenUsed/>
    <w:rsid w:val="00D308E7"/>
    <w:rPr>
      <w:vertAlign w:val="superscript"/>
    </w:rPr>
  </w:style>
  <w:style w:type="character" w:styleId="Hyperlink">
    <w:name w:val="Hyperlink"/>
    <w:basedOn w:val="DefaultParagraphFont"/>
    <w:uiPriority w:val="99"/>
    <w:unhideWhenUsed/>
    <w:rsid w:val="00D308E7"/>
    <w:rPr>
      <w:color w:val="0563C1" w:themeColor="hyperlink"/>
      <w:u w:val="single"/>
    </w:rPr>
  </w:style>
  <w:style w:type="character" w:styleId="UnresolvedMention">
    <w:name w:val="Unresolved Mention"/>
    <w:basedOn w:val="DefaultParagraphFont"/>
    <w:uiPriority w:val="99"/>
    <w:semiHidden/>
    <w:unhideWhenUsed/>
    <w:rsid w:val="00D308E7"/>
    <w:rPr>
      <w:color w:val="605E5C"/>
      <w:shd w:val="clear" w:color="auto" w:fill="E1DFDD"/>
    </w:rPr>
  </w:style>
  <w:style w:type="paragraph" w:styleId="NormalWeb">
    <w:name w:val="Normal (Web)"/>
    <w:basedOn w:val="Normal"/>
    <w:unhideWhenUsed/>
    <w:rsid w:val="00D8034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TMLCite">
    <w:name w:val="HTML Cite"/>
    <w:basedOn w:val="DefaultParagraphFont"/>
    <w:uiPriority w:val="99"/>
    <w:semiHidden/>
    <w:unhideWhenUsed/>
    <w:rsid w:val="00BA55D9"/>
    <w:rPr>
      <w:i/>
      <w:iCs/>
    </w:rPr>
  </w:style>
  <w:style w:type="character" w:customStyle="1" w:styleId="src">
    <w:name w:val="src"/>
    <w:basedOn w:val="DefaultParagraphFont"/>
    <w:rsid w:val="00BA55D9"/>
  </w:style>
  <w:style w:type="character" w:customStyle="1" w:styleId="u-visually-hidden">
    <w:name w:val="u-visually-hidden"/>
    <w:basedOn w:val="DefaultParagraphFont"/>
    <w:rsid w:val="00D503A2"/>
  </w:style>
  <w:style w:type="paragraph" w:styleId="Header">
    <w:name w:val="header"/>
    <w:basedOn w:val="Normal"/>
    <w:link w:val="HeaderChar"/>
    <w:uiPriority w:val="99"/>
    <w:unhideWhenUsed/>
    <w:rsid w:val="00B654CE"/>
    <w:pPr>
      <w:tabs>
        <w:tab w:val="center" w:pos="4513"/>
        <w:tab w:val="right" w:pos="9026"/>
      </w:tabs>
      <w:spacing w:after="0" w:line="240" w:lineRule="auto"/>
    </w:pPr>
  </w:style>
  <w:style w:type="character" w:customStyle="1" w:styleId="HeaderChar">
    <w:name w:val="Header Char"/>
    <w:basedOn w:val="DefaultParagraphFont"/>
    <w:link w:val="Header"/>
    <w:uiPriority w:val="99"/>
    <w:rsid w:val="00B654CE"/>
  </w:style>
  <w:style w:type="paragraph" w:styleId="Footer">
    <w:name w:val="footer"/>
    <w:basedOn w:val="Normal"/>
    <w:link w:val="FooterChar"/>
    <w:uiPriority w:val="99"/>
    <w:unhideWhenUsed/>
    <w:rsid w:val="00B654CE"/>
    <w:pPr>
      <w:tabs>
        <w:tab w:val="center" w:pos="4513"/>
        <w:tab w:val="right" w:pos="9026"/>
      </w:tabs>
      <w:spacing w:after="0" w:line="240" w:lineRule="auto"/>
    </w:pPr>
  </w:style>
  <w:style w:type="character" w:customStyle="1" w:styleId="FooterChar">
    <w:name w:val="Footer Char"/>
    <w:basedOn w:val="DefaultParagraphFont"/>
    <w:link w:val="Footer"/>
    <w:uiPriority w:val="99"/>
    <w:rsid w:val="00B654CE"/>
  </w:style>
  <w:style w:type="character" w:customStyle="1" w:styleId="Heading3Char">
    <w:name w:val="Heading 3 Char"/>
    <w:basedOn w:val="DefaultParagraphFont"/>
    <w:link w:val="Heading3"/>
    <w:uiPriority w:val="9"/>
    <w:semiHidden/>
    <w:rsid w:val="005F5BB3"/>
    <w:rPr>
      <w:rFonts w:asciiTheme="majorHAnsi" w:eastAsiaTheme="majorEastAsia" w:hAnsiTheme="majorHAnsi" w:cstheme="majorBidi"/>
      <w:color w:val="1F3763" w:themeColor="accent1" w:themeShade="7F"/>
      <w:sz w:val="24"/>
      <w:szCs w:val="24"/>
    </w:rPr>
  </w:style>
  <w:style w:type="paragraph" w:styleId="BodyText">
    <w:name w:val="Body Text"/>
    <w:basedOn w:val="Normal"/>
    <w:link w:val="BodyTextChar"/>
    <w:uiPriority w:val="1"/>
    <w:qFormat/>
    <w:rsid w:val="005F5BB3"/>
    <w:pPr>
      <w:widowControl w:val="0"/>
      <w:autoSpaceDE w:val="0"/>
      <w:autoSpaceDN w:val="0"/>
      <w:spacing w:after="0" w:line="240" w:lineRule="auto"/>
      <w:ind w:left="220"/>
      <w:jc w:val="both"/>
    </w:pPr>
    <w:rPr>
      <w:rFonts w:ascii="Garamond" w:eastAsia="Garamond" w:hAnsi="Garamond" w:cs="Garamond"/>
      <w:kern w:val="0"/>
      <w:sz w:val="24"/>
      <w:szCs w:val="24"/>
      <w:lang w:val="en-US"/>
      <w14:ligatures w14:val="none"/>
    </w:rPr>
  </w:style>
  <w:style w:type="character" w:customStyle="1" w:styleId="BodyTextChar">
    <w:name w:val="Body Text Char"/>
    <w:basedOn w:val="DefaultParagraphFont"/>
    <w:link w:val="BodyText"/>
    <w:uiPriority w:val="1"/>
    <w:rsid w:val="005F5BB3"/>
    <w:rPr>
      <w:rFonts w:ascii="Garamond" w:eastAsia="Garamond" w:hAnsi="Garamond" w:cs="Garamond"/>
      <w:kern w:val="0"/>
      <w:sz w:val="24"/>
      <w:szCs w:val="24"/>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6787001">
      <w:bodyDiv w:val="1"/>
      <w:marLeft w:val="0"/>
      <w:marRight w:val="0"/>
      <w:marTop w:val="0"/>
      <w:marBottom w:val="0"/>
      <w:divBdr>
        <w:top w:val="none" w:sz="0" w:space="0" w:color="auto"/>
        <w:left w:val="none" w:sz="0" w:space="0" w:color="auto"/>
        <w:bottom w:val="none" w:sz="0" w:space="0" w:color="auto"/>
        <w:right w:val="none" w:sz="0" w:space="0" w:color="auto"/>
      </w:divBdr>
    </w:div>
    <w:div w:id="1083795188">
      <w:bodyDiv w:val="1"/>
      <w:marLeft w:val="0"/>
      <w:marRight w:val="0"/>
      <w:marTop w:val="0"/>
      <w:marBottom w:val="0"/>
      <w:divBdr>
        <w:top w:val="none" w:sz="0" w:space="0" w:color="auto"/>
        <w:left w:val="none" w:sz="0" w:space="0" w:color="auto"/>
        <w:bottom w:val="none" w:sz="0" w:space="0" w:color="auto"/>
        <w:right w:val="none" w:sz="0" w:space="0" w:color="auto"/>
      </w:divBdr>
    </w:div>
    <w:div w:id="17592503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mailto:2116626@student.uwtsd.ac.uk"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_rels/footnotes.xml.rels><?xml version="1.0" encoding="UTF-8" standalone="yes"?>
<Relationships xmlns="http://schemas.openxmlformats.org/package/2006/relationships"><Relationship Id="rId1" Type="http://schemas.openxmlformats.org/officeDocument/2006/relationships/hyperlink" Target="https://craftonhills.academia.edu/TLBrink#:~:text=T.L.%20Brink%20is%20a%20social,consumer%20behavior%2C%20and%20religious%20phenomen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2FE2ACDA-7334-4EF2-A2EE-7230C02E927B}">
  <we:reference id="wa104099688" version="1.3.0.0" store="en-US" storeType="OMEX"/>
  <we:alternateReferences/>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Template>
  <TotalTime>5704</TotalTime>
  <Pages>9</Pages>
  <Words>2504</Words>
  <Characters>14279</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Barbara Jedlinska</dc:creator>
  <cp:keywords/>
  <dc:description/>
  <cp:lastModifiedBy>Barbara Jedlinska</cp:lastModifiedBy>
  <cp:revision>19</cp:revision>
  <cp:lastPrinted>2023-03-30T20:35:00Z</cp:lastPrinted>
  <dcterms:created xsi:type="dcterms:W3CDTF">2023-03-22T21:44:00Z</dcterms:created>
  <dcterms:modified xsi:type="dcterms:W3CDTF">2023-03-30T21:02:00Z</dcterms:modified>
</cp:coreProperties>
</file>