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widowControl w:val="0"/>
        <w:spacing w:line="240" w:lineRule="auto"/>
        <w:rPr>
          <w:sz w:val="38"/>
          <w:szCs w:val="38"/>
        </w:rPr>
      </w:pPr>
      <w:r w:rsidDel="00000000" w:rsidR="00000000" w:rsidRPr="00000000">
        <w:rPr>
          <w:sz w:val="38"/>
          <w:szCs w:val="38"/>
          <w:rtl w:val="0"/>
        </w:rPr>
        <w:t xml:space="preserve">Assignment: Feasibility Plan for an International Meeting ( "green idea" )</w:t>
      </w:r>
    </w:p>
    <w:p w:rsidR="00000000" w:rsidDel="00000000" w:rsidP="00000000" w:rsidRDefault="00000000" w:rsidRPr="00000000" w14:paraId="00000002">
      <w:pPr>
        <w:widowControl w:val="0"/>
        <w:spacing w:line="240" w:lineRule="auto"/>
        <w:rPr>
          <w:sz w:val="40"/>
          <w:szCs w:val="40"/>
        </w:rPr>
      </w:pPr>
      <w:r w:rsidDel="00000000" w:rsidR="00000000" w:rsidRPr="00000000">
        <w:rPr>
          <w:sz w:val="40"/>
          <w:szCs w:val="40"/>
          <w:rtl w:val="0"/>
        </w:rPr>
        <w:t xml:space="preserve">Student Name: MD Khaled Uddin Emon </w:t>
      </w:r>
    </w:p>
    <w:p w:rsidR="00000000" w:rsidDel="00000000" w:rsidP="00000000" w:rsidRDefault="00000000" w:rsidRPr="00000000" w14:paraId="00000003">
      <w:pPr>
        <w:widowControl w:val="0"/>
        <w:spacing w:line="240" w:lineRule="auto"/>
        <w:rPr>
          <w:sz w:val="40"/>
          <w:szCs w:val="40"/>
        </w:rPr>
      </w:pPr>
      <w:r w:rsidDel="00000000" w:rsidR="00000000" w:rsidRPr="00000000">
        <w:rPr>
          <w:sz w:val="40"/>
          <w:szCs w:val="40"/>
          <w:rtl w:val="0"/>
        </w:rPr>
        <w:t xml:space="preserve">Student ID number: 2014271 </w:t>
      </w:r>
    </w:p>
    <w:p w:rsidR="00000000" w:rsidDel="00000000" w:rsidP="00000000" w:rsidRDefault="00000000" w:rsidRPr="00000000" w14:paraId="00000004">
      <w:pPr>
        <w:widowControl w:val="0"/>
        <w:spacing w:line="240" w:lineRule="auto"/>
        <w:rPr>
          <w:sz w:val="40"/>
          <w:szCs w:val="40"/>
        </w:rPr>
      </w:pPr>
      <w:r w:rsidDel="00000000" w:rsidR="00000000" w:rsidRPr="00000000">
        <w:rPr>
          <w:sz w:val="40"/>
          <w:szCs w:val="40"/>
          <w:rtl w:val="0"/>
        </w:rPr>
        <w:t xml:space="preserve">Lecturers: Philippa Fitzgerald </w:t>
      </w:r>
    </w:p>
    <w:p w:rsidR="00000000" w:rsidDel="00000000" w:rsidP="00000000" w:rsidRDefault="00000000" w:rsidRPr="00000000" w14:paraId="00000005">
      <w:pPr>
        <w:widowControl w:val="0"/>
        <w:spacing w:line="240" w:lineRule="auto"/>
        <w:rPr>
          <w:sz w:val="40"/>
          <w:szCs w:val="40"/>
        </w:rPr>
      </w:pPr>
      <w:r w:rsidDel="00000000" w:rsidR="00000000" w:rsidRPr="00000000">
        <w:rPr>
          <w:sz w:val="40"/>
          <w:szCs w:val="40"/>
          <w:rtl w:val="0"/>
        </w:rPr>
        <w:t xml:space="preserve">Module: International Meetings Management for 8the Hotel Industry</w:t>
      </w:r>
    </w:p>
    <w:p w:rsidR="00000000" w:rsidDel="00000000" w:rsidP="00000000" w:rsidRDefault="00000000" w:rsidRPr="00000000" w14:paraId="00000006">
      <w:pPr>
        <w:widowControl w:val="0"/>
        <w:spacing w:line="240" w:lineRule="auto"/>
        <w:rPr>
          <w:sz w:val="40"/>
          <w:szCs w:val="40"/>
        </w:rPr>
      </w:pPr>
      <w:r w:rsidDel="00000000" w:rsidR="00000000" w:rsidRPr="00000000">
        <w:rPr>
          <w:sz w:val="40"/>
          <w:szCs w:val="40"/>
          <w:rtl w:val="0"/>
        </w:rPr>
        <w:t xml:space="preserve">Programme: International Hotel Management(BA)</w:t>
      </w:r>
    </w:p>
    <w:p w:rsidR="00000000" w:rsidDel="00000000" w:rsidP="00000000" w:rsidRDefault="00000000" w:rsidRPr="00000000" w14:paraId="00000007">
      <w:pPr>
        <w:widowControl w:val="0"/>
        <w:spacing w:line="240" w:lineRule="auto"/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widowControl w:val="0"/>
        <w:spacing w:line="240" w:lineRule="auto"/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widowControl w:val="0"/>
        <w:spacing w:line="240" w:lineRule="auto"/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12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7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11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4" name="image12.png"/>
            <a:graphic>
              <a:graphicData uri="http://schemas.openxmlformats.org/drawingml/2006/picture">
                <pic:pic>
                  <pic:nvPicPr>
                    <pic:cNvPr id="0" name="image12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9" name="image11.png"/>
            <a:graphic>
              <a:graphicData uri="http://schemas.openxmlformats.org/drawingml/2006/picture">
                <pic:pic>
                  <pic:nvPicPr>
                    <pic:cNvPr id="0" name="image11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2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1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5" name="image13.png"/>
            <a:graphic>
              <a:graphicData uri="http://schemas.openxmlformats.org/drawingml/2006/picture">
                <pic:pic>
                  <pic:nvPicPr>
                    <pic:cNvPr id="0" name="image13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6" name="image9.png"/>
            <a:graphic>
              <a:graphicData uri="http://schemas.openxmlformats.org/drawingml/2006/picture">
                <pic:pic>
                  <pic:nvPicPr>
                    <pic:cNvPr id="0" name="image9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3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5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10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1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13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822700"/>
            <wp:effectExtent b="0" l="0" r="0" t="0"/>
            <wp:docPr id="8" name="image10.png"/>
            <a:graphic>
              <a:graphicData uri="http://schemas.openxmlformats.org/drawingml/2006/picture">
                <pic:pic>
                  <pic:nvPicPr>
                    <pic:cNvPr id="0" name="image10.png"/>
                    <pic:cNvPicPr preferRelativeResize="0"/>
                  </pic:nvPicPr>
                  <pic:blipFill>
                    <a:blip r:embed="rId1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822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widowControl w:val="0"/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widowControl w:val="0"/>
        <w:spacing w:after="240" w:line="360" w:lineRule="auto"/>
        <w:jc w:val="both"/>
        <w:rPr>
          <w:b w:val="1"/>
          <w:sz w:val="36"/>
          <w:szCs w:val="36"/>
          <w:u w:val="single"/>
        </w:rPr>
      </w:pPr>
      <w:r w:rsidDel="00000000" w:rsidR="00000000" w:rsidRPr="00000000">
        <w:rPr>
          <w:b w:val="1"/>
          <w:sz w:val="36"/>
          <w:szCs w:val="36"/>
          <w:u w:val="single"/>
          <w:rtl w:val="0"/>
        </w:rPr>
        <w:t xml:space="preserve">References</w:t>
      </w:r>
    </w:p>
    <w:p w:rsidR="00000000" w:rsidDel="00000000" w:rsidP="00000000" w:rsidRDefault="00000000" w:rsidRPr="00000000" w14:paraId="0000003B">
      <w:pPr>
        <w:widowControl w:val="0"/>
        <w:spacing w:line="240" w:lineRule="auto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1. UNEP (United Nations Environment Programme). (2019). Green Economy. Retrieved from </w:t>
      </w:r>
      <w:hyperlink r:id="rId19">
        <w:r w:rsidDel="00000000" w:rsidR="00000000" w:rsidRPr="00000000">
          <w:rPr>
            <w:sz w:val="28"/>
            <w:szCs w:val="28"/>
            <w:u w:val="single"/>
            <w:rtl w:val="0"/>
          </w:rPr>
          <w:t xml:space="preserve">https://www.unenvironment.org/explore-topics/green-economy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2. Huang, Y. (2017). Environmental innovation and sustainable development in China. Journal of cleaner production, 142, 2567-2578.</w:t>
      </w:r>
    </w:p>
    <w:p w:rsidR="00000000" w:rsidDel="00000000" w:rsidP="00000000" w:rsidRDefault="00000000" w:rsidRPr="00000000" w14:paraId="0000003F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3. Staggers, N., &amp; Pickup, L. (2019). Event Management: From Concept to Execution. Routledge.</w:t>
      </w:r>
    </w:p>
    <w:p w:rsidR="00000000" w:rsidDel="00000000" w:rsidP="00000000" w:rsidRDefault="00000000" w:rsidRPr="00000000" w14:paraId="00000041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4. Lee, K. (2016). Sustainable events across cultures. Routledge.</w:t>
      </w:r>
    </w:p>
    <w:p w:rsidR="00000000" w:rsidDel="00000000" w:rsidP="00000000" w:rsidRDefault="00000000" w:rsidRPr="00000000" w14:paraId="00000043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5. Choo, H., &amp; Mokhtarian, P. L. (2004). What type of vehicle do people drive? The role of attitude and lifestyle in influencing vehicle type choice. Transportation Research Part A: Policy and Practice, 38(3), 201-222).</w:t>
      </w:r>
    </w:p>
    <w:p w:rsidR="00000000" w:rsidDel="00000000" w:rsidP="00000000" w:rsidRDefault="00000000" w:rsidRPr="00000000" w14:paraId="00000045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6.Anderson, C., &amp; Brinkerhoff, J. M. (2002). The Feasibility of Sustainability: A Systems Approach. Environment: Science and Policy for Sustainable Development, 44(4), 4-32).</w:t>
      </w:r>
    </w:p>
    <w:p w:rsidR="00000000" w:rsidDel="00000000" w:rsidP="00000000" w:rsidRDefault="00000000" w:rsidRPr="00000000" w14:paraId="00000047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7.Keivani, R. (2016). Sustainable Urbanism and Sustainable City-Regions. Routledge.</w:t>
      </w:r>
    </w:p>
    <w:p w:rsidR="00000000" w:rsidDel="00000000" w:rsidP="00000000" w:rsidRDefault="00000000" w:rsidRPr="00000000" w14:paraId="00000049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8.McBride, M., Castelli, D., Sholly, S., &amp; Parks, C. (2017). Sustainability of the food supply chain - Farm to fork. In Sustainable Event Management (pp. 219-237). Routledge.</w:t>
      </w:r>
    </w:p>
    <w:p w:rsidR="00000000" w:rsidDel="00000000" w:rsidP="00000000" w:rsidRDefault="00000000" w:rsidRPr="00000000" w14:paraId="0000004B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9. Redman, C. L., Grove, J. M., &amp; Kuby, L. H. (2019). Integrating municipal services with information technology: green initiatives in Scottsdale, Arizona. In Cities as Sustainable Ecosystems (pp. 234-256). Island Press.</w:t>
      </w:r>
    </w:p>
    <w:p w:rsidR="00000000" w:rsidDel="00000000" w:rsidP="00000000" w:rsidRDefault="00000000" w:rsidRPr="00000000" w14:paraId="0000004D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10.Bisdorff, L., &amp; Cerf, T. (2008). Advances in constraint satisfaction: Proceedings of the 10th International Conference on Principles and Practice of Constraint Programming. Berlin, Germany: Springer.</w:t>
      </w:r>
    </w:p>
    <w:p w:rsidR="00000000" w:rsidDel="00000000" w:rsidP="00000000" w:rsidRDefault="00000000" w:rsidRPr="00000000" w14:paraId="0000004F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11. Peal, D. J. (2018). The Event Safety Guide: A Guide to Health, Safety and Welfare at Music and Similar Events. New York, NY: Routledge.</w:t>
      </w:r>
    </w:p>
    <w:p w:rsidR="00000000" w:rsidDel="00000000" w:rsidP="00000000" w:rsidRDefault="00000000" w:rsidRPr="00000000" w14:paraId="00000051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12.Witmer, A. (2019). Interpreting at International Conferences and Meetings. New York, NY: Routledge.</w:t>
      </w:r>
    </w:p>
    <w:p w:rsidR="00000000" w:rsidDel="00000000" w:rsidP="00000000" w:rsidRDefault="00000000" w:rsidRPr="00000000" w14:paraId="00000056">
      <w:pPr>
        <w:widowControl w:val="0"/>
        <w:spacing w:line="240" w:lineRule="auto"/>
        <w:rPr/>
      </w:pPr>
      <w:r w:rsidDel="00000000" w:rsidR="00000000" w:rsidRPr="00000000">
        <w:rPr>
          <w:sz w:val="28"/>
          <w:szCs w:val="28"/>
          <w:rtl w:val="0"/>
        </w:rPr>
        <w:t xml:space="preserve">Fodor's Travel Guides. (2019). The pros and cons of international not-for-profit meetings and conferences. Retrieved from </w:t>
      </w:r>
      <w:hyperlink r:id="rId20">
        <w:r w:rsidDel="00000000" w:rsidR="00000000" w:rsidRPr="00000000">
          <w:rPr>
            <w:sz w:val="28"/>
            <w:szCs w:val="28"/>
            <w:u w:val="single"/>
            <w:rtl w:val="0"/>
          </w:rPr>
          <w:t xml:space="preserve">https://www.fodors.com/community/travel-tips-and-trip-ideas/the-pros-and-cons-of-international-not-for-profit-meetings-and-conferences-1663071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widowControl w:val="0"/>
        <w:spacing w:line="240" w:lineRule="auto"/>
        <w:rPr>
          <w:sz w:val="28"/>
          <w:szCs w:val="28"/>
        </w:rPr>
      </w:pPr>
      <w:hyperlink r:id="rId21">
        <w:r w:rsidDel="00000000" w:rsidR="00000000" w:rsidRPr="00000000">
          <w:rPr>
            <w:sz w:val="28"/>
            <w:szCs w:val="28"/>
            <w:u w:val="single"/>
            <w:rtl w:val="0"/>
          </w:rPr>
          <w:t xml:space="preserve">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13. Runzheimer. (2019). 4 challenges of managing global meetings and events. Retrieved from</w:t>
      </w:r>
    </w:p>
    <w:p w:rsidR="00000000" w:rsidDel="00000000" w:rsidP="00000000" w:rsidRDefault="00000000" w:rsidRPr="00000000" w14:paraId="0000005A">
      <w:pPr>
        <w:widowControl w:val="0"/>
        <w:spacing w:line="240" w:lineRule="auto"/>
        <w:rPr>
          <w:sz w:val="28"/>
          <w:szCs w:val="28"/>
        </w:rPr>
      </w:pPr>
      <w:hyperlink r:id="rId22">
        <w:r w:rsidDel="00000000" w:rsidR="00000000" w:rsidRPr="00000000">
          <w:rPr>
            <w:sz w:val="28"/>
            <w:szCs w:val="28"/>
            <w:u w:val="single"/>
            <w:rtl w:val="0"/>
          </w:rPr>
          <w:t xml:space="preserve">https://www.runzheimer.com/challenges-of-global-meetings-events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B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14. Sustainable Development Goals Knowledge Platform. (2015). Goal  Ensure sustainable consumption and production patterns. Retrieved from </w:t>
      </w:r>
      <w:hyperlink r:id="rId23">
        <w:r w:rsidDel="00000000" w:rsidR="00000000" w:rsidRPr="00000000">
          <w:rPr>
            <w:color w:val="1155cc"/>
            <w:sz w:val="28"/>
            <w:szCs w:val="28"/>
            <w:u w:val="single"/>
            <w:rtl w:val="0"/>
          </w:rPr>
          <w:t xml:space="preserve">https://sustainabledevelopment.un.org/sdg12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D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F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15. Johnstone, D. (2019). Don’t just talk about sustainability, act on it. EventMB. Retrieved from </w:t>
      </w:r>
      <w:hyperlink r:id="rId24">
        <w:r w:rsidDel="00000000" w:rsidR="00000000" w:rsidRPr="00000000">
          <w:rPr>
            <w:sz w:val="28"/>
            <w:szCs w:val="28"/>
            <w:u w:val="single"/>
            <w:rtl w:val="0"/>
          </w:rPr>
          <w:t xml:space="preserve">https://www.eventmanagerblog.com/sustainability-event-industry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16. Rogers, T. (2012). The Feasibility study for International Conferences (Doctoral dissertation, Central European University).</w:t>
      </w:r>
    </w:p>
    <w:p w:rsidR="00000000" w:rsidDel="00000000" w:rsidP="00000000" w:rsidRDefault="00000000" w:rsidRPr="00000000" w14:paraId="00000062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17.Gunawan, H. (2020). Feasibility Study on Planning Indonesian Games Showcase in Japan 2021.</w:t>
      </w:r>
    </w:p>
    <w:p w:rsidR="00000000" w:rsidDel="00000000" w:rsidP="00000000" w:rsidRDefault="00000000" w:rsidRPr="00000000" w14:paraId="00000064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18. Matar, N. N., &amp; Gregory, G. (2016). Feasibility study proposal: Planting seeds retreats.</w:t>
      </w:r>
    </w:p>
    <w:p w:rsidR="00000000" w:rsidDel="00000000" w:rsidP="00000000" w:rsidRDefault="00000000" w:rsidRPr="00000000" w14:paraId="00000066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19. El Wahed, A. A. (2018). The Effectiveness of Feasibility Studies on Projects Success for the Egyptian Public Universities. International Journal of Innovation Sciences and Research (IJISR), 4(6), 269-278.</w:t>
      </w:r>
    </w:p>
    <w:p w:rsidR="00000000" w:rsidDel="00000000" w:rsidP="00000000" w:rsidRDefault="00000000" w:rsidRPr="00000000" w14:paraId="00000068">
      <w:pPr>
        <w:widowControl w:val="0"/>
        <w:spacing w:line="240" w:lineRule="auto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widowControl w:val="0"/>
        <w:spacing w:line="240" w:lineRule="auto"/>
        <w:rPr>
          <w:rFonts w:ascii="Trebuchet MS" w:cs="Trebuchet MS" w:eastAsia="Trebuchet MS" w:hAnsi="Trebuchet MS"/>
          <w:sz w:val="30"/>
          <w:szCs w:val="30"/>
          <w:highlight w:val="white"/>
        </w:rPr>
      </w:pPr>
      <w:r w:rsidDel="00000000" w:rsidR="00000000" w:rsidRPr="00000000">
        <w:rPr>
          <w:sz w:val="28"/>
          <w:szCs w:val="28"/>
          <w:rtl w:val="0"/>
        </w:rPr>
        <w:t xml:space="preserve">20. </w:t>
      </w:r>
      <w:r w:rsidDel="00000000" w:rsidR="00000000" w:rsidRPr="00000000">
        <w:rPr>
          <w:rFonts w:ascii="Trebuchet MS" w:cs="Trebuchet MS" w:eastAsia="Trebuchet MS" w:hAnsi="Trebuchet MS"/>
          <w:sz w:val="30"/>
          <w:szCs w:val="30"/>
          <w:highlight w:val="white"/>
          <w:rtl w:val="0"/>
        </w:rPr>
        <w:t xml:space="preserve">United Nations Environment Programme. (2017). Good Practice Guide on Tourism and Air Pollution. Retrieved from </w:t>
      </w:r>
      <w:hyperlink r:id="rId25">
        <w:r w:rsidDel="00000000" w:rsidR="00000000" w:rsidRPr="00000000">
          <w:rPr>
            <w:rFonts w:ascii="Trebuchet MS" w:cs="Trebuchet MS" w:eastAsia="Trebuchet MS" w:hAnsi="Trebuchet MS"/>
            <w:sz w:val="30"/>
            <w:szCs w:val="30"/>
            <w:highlight w:val="white"/>
            <w:u w:val="single"/>
            <w:rtl w:val="0"/>
          </w:rPr>
          <w:t xml:space="preserve">https://www.unenvironment.org/resources/report/good-practice-guide-tourism-and-air-pollution</w:t>
        </w:r>
      </w:hyperlink>
      <w:r w:rsidDel="00000000" w:rsidR="00000000" w:rsidRPr="00000000">
        <w:rPr>
          <w:rFonts w:ascii="Trebuchet MS" w:cs="Trebuchet MS" w:eastAsia="Trebuchet MS" w:hAnsi="Trebuchet MS"/>
          <w:sz w:val="30"/>
          <w:szCs w:val="30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6A">
      <w:pPr>
        <w:widowControl w:val="0"/>
        <w:spacing w:line="240" w:lineRule="auto"/>
        <w:rPr>
          <w:rFonts w:ascii="Trebuchet MS" w:cs="Trebuchet MS" w:eastAsia="Trebuchet MS" w:hAnsi="Trebuchet MS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B">
      <w:pPr>
        <w:widowControl w:val="0"/>
        <w:spacing w:line="240" w:lineRule="auto"/>
        <w:rPr>
          <w:rFonts w:ascii="Calibri" w:cs="Calibri" w:eastAsia="Calibri" w:hAnsi="Calibri"/>
          <w:sz w:val="28"/>
          <w:szCs w:val="28"/>
          <w:highlight w:val="white"/>
        </w:rPr>
      </w:pPr>
      <w:r w:rsidDel="00000000" w:rsidR="00000000" w:rsidRPr="00000000">
        <w:rPr>
          <w:rFonts w:ascii="Calibri" w:cs="Calibri" w:eastAsia="Calibri" w:hAnsi="Calibri"/>
          <w:sz w:val="28"/>
          <w:szCs w:val="28"/>
          <w:highlight w:val="white"/>
          <w:rtl w:val="0"/>
        </w:rPr>
        <w:t xml:space="preserve">21. Heritage, P. (2014). Reducing Food Waste at Events and Venues: A Practical Guide. Australian Packaging Covenant.</w:t>
      </w:r>
    </w:p>
    <w:p w:rsidR="00000000" w:rsidDel="00000000" w:rsidP="00000000" w:rsidRDefault="00000000" w:rsidRPr="00000000" w14:paraId="0000006C">
      <w:pPr>
        <w:widowControl w:val="0"/>
        <w:spacing w:line="240" w:lineRule="auto"/>
        <w:rPr>
          <w:rFonts w:ascii="Calibri" w:cs="Calibri" w:eastAsia="Calibri" w:hAnsi="Calibri"/>
          <w:sz w:val="28"/>
          <w:szCs w:val="28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D">
      <w:pPr>
        <w:widowControl w:val="0"/>
        <w:spacing w:line="240" w:lineRule="auto"/>
        <w:rPr>
          <w:rFonts w:ascii="Calibri" w:cs="Calibri" w:eastAsia="Calibri" w:hAnsi="Calibri"/>
          <w:sz w:val="28"/>
          <w:szCs w:val="28"/>
          <w:highlight w:val="white"/>
        </w:rPr>
      </w:pPr>
      <w:r w:rsidDel="00000000" w:rsidR="00000000" w:rsidRPr="00000000">
        <w:rPr>
          <w:rFonts w:ascii="Calibri" w:cs="Calibri" w:eastAsia="Calibri" w:hAnsi="Calibri"/>
          <w:sz w:val="28"/>
          <w:szCs w:val="28"/>
          <w:highlight w:val="white"/>
          <w:rtl w:val="0"/>
        </w:rPr>
        <w:t xml:space="preserve">22. Tibansky, M. A. (2018). Eco-friendly event management: An introduction to sustainable planning and resource management. Routledge.</w:t>
      </w:r>
    </w:p>
    <w:p w:rsidR="00000000" w:rsidDel="00000000" w:rsidP="00000000" w:rsidRDefault="00000000" w:rsidRPr="00000000" w14:paraId="0000006E">
      <w:pPr>
        <w:widowControl w:val="0"/>
        <w:spacing w:line="240" w:lineRule="auto"/>
        <w:rPr>
          <w:rFonts w:ascii="Trebuchet MS" w:cs="Trebuchet MS" w:eastAsia="Trebuchet MS" w:hAnsi="Trebuchet MS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F">
      <w:pPr>
        <w:widowControl w:val="0"/>
        <w:rPr>
          <w:rFonts w:ascii="Trebuchet MS" w:cs="Trebuchet MS" w:eastAsia="Trebuchet MS" w:hAnsi="Trebuchet MS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0">
      <w:pPr>
        <w:widowControl w:val="0"/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1">
      <w:pPr>
        <w:widowControl w:val="0"/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widowControl w:val="0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3">
      <w:pPr>
        <w:widowControl w:val="0"/>
        <w:spacing w:line="360" w:lineRule="auto"/>
        <w:jc w:val="both"/>
        <w:rPr>
          <w:sz w:val="24"/>
          <w:szCs w:val="24"/>
        </w:rPr>
      </w:pPr>
      <w:hyperlink r:id="rId26">
        <w:r w:rsidDel="00000000" w:rsidR="00000000" w:rsidRPr="00000000">
          <w:rPr>
            <w:color w:val="1155cc"/>
            <w:sz w:val="24"/>
            <w:szCs w:val="24"/>
            <w:u w:val="single"/>
            <w:rtl w:val="0"/>
          </w:rPr>
          <w:t xml:space="preserve">https://uowtsd-my.sharepoint.com/:v:/g/personal/2014271_student_uwtsd_ac_uk/ERlAPQBhLKBLv0dgg1GvR_sBTtx3ClCpXLClajmcBwOr8w?referrer=Teams.TEAMS-WEB&amp;referrerScenario=MeetingChicletGetLink.view.view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4">
      <w:pPr>
        <w:widowControl w:val="0"/>
        <w:spacing w:line="360" w:lineRule="auto"/>
        <w:jc w:val="both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rPr/>
      </w:pPr>
      <w:r w:rsidDel="00000000" w:rsidR="00000000" w:rsidRPr="00000000">
        <w:rPr>
          <w:rtl w:val="0"/>
        </w:rPr>
      </w:r>
    </w:p>
    <w:sectPr>
      <w:headerReference r:id="rId27" w:type="default"/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Trebuchet MS"/>
  <w:font w:name="Calibri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79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yperlink" Target="https://www.fodors.com/community/travel-tips-and-trip-ideas/the-pros-and-cons-of-international-not-for-profit-meetings-and-conferences-1663071/" TargetMode="External"/><Relationship Id="rId22" Type="http://schemas.openxmlformats.org/officeDocument/2006/relationships/hyperlink" Target="https://www.runzheimer.com/challenges-of-global-meetings-events" TargetMode="External"/><Relationship Id="rId21" Type="http://schemas.openxmlformats.org/officeDocument/2006/relationships/hyperlink" Target="https://www.fodors.com/community/travel-tips-and-trip-ideas/the-pros-and-cons-of-international-not-for-profit-meetings-and-conferences-1663071/" TargetMode="External"/><Relationship Id="rId24" Type="http://schemas.openxmlformats.org/officeDocument/2006/relationships/hyperlink" Target="https://www.eventmanagerblog.com/sustainability-event-industry" TargetMode="External"/><Relationship Id="rId23" Type="http://schemas.openxmlformats.org/officeDocument/2006/relationships/hyperlink" Target="https://sustainabledevelopment.un.org/sdg12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12.png"/><Relationship Id="rId26" Type="http://schemas.openxmlformats.org/officeDocument/2006/relationships/hyperlink" Target="https://uowtsd-my.sharepoint.com/:v:/g/personal/2014271_student_uwtsd_ac_uk/ERlAPQBhLKBLv0dgg1GvR_sBTtx3ClCpXLClajmcBwOr8w?referrer=Teams.TEAMS-WEB&amp;referrerScenario=MeetingChicletGetLink.view.view" TargetMode="External"/><Relationship Id="rId25" Type="http://schemas.openxmlformats.org/officeDocument/2006/relationships/hyperlink" Target="https://www.unenvironment.org/resources/report/good-practice-guide-tourism-and-air-pollution" TargetMode="External"/><Relationship Id="rId27" Type="http://schemas.openxmlformats.org/officeDocument/2006/relationships/header" Target="header1.xml"/><Relationship Id="rId5" Type="http://schemas.openxmlformats.org/officeDocument/2006/relationships/styles" Target="styles.xml"/><Relationship Id="rId6" Type="http://schemas.openxmlformats.org/officeDocument/2006/relationships/image" Target="media/image7.png"/><Relationship Id="rId7" Type="http://schemas.openxmlformats.org/officeDocument/2006/relationships/image" Target="media/image5.png"/><Relationship Id="rId8" Type="http://schemas.openxmlformats.org/officeDocument/2006/relationships/image" Target="media/image8.png"/><Relationship Id="rId11" Type="http://schemas.openxmlformats.org/officeDocument/2006/relationships/image" Target="media/image4.png"/><Relationship Id="rId10" Type="http://schemas.openxmlformats.org/officeDocument/2006/relationships/image" Target="media/image11.png"/><Relationship Id="rId13" Type="http://schemas.openxmlformats.org/officeDocument/2006/relationships/image" Target="media/image13.png"/><Relationship Id="rId12" Type="http://schemas.openxmlformats.org/officeDocument/2006/relationships/image" Target="media/image6.png"/><Relationship Id="rId15" Type="http://schemas.openxmlformats.org/officeDocument/2006/relationships/image" Target="media/image3.png"/><Relationship Id="rId14" Type="http://schemas.openxmlformats.org/officeDocument/2006/relationships/image" Target="media/image9.png"/><Relationship Id="rId17" Type="http://schemas.openxmlformats.org/officeDocument/2006/relationships/image" Target="media/image1.png"/><Relationship Id="rId16" Type="http://schemas.openxmlformats.org/officeDocument/2006/relationships/image" Target="media/image2.png"/><Relationship Id="rId19" Type="http://schemas.openxmlformats.org/officeDocument/2006/relationships/hyperlink" Target="https://www.unenvironment.org/explore-topics/green-economy" TargetMode="External"/><Relationship Id="rId18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