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369A41" w14:textId="31C8688F" w:rsidR="00C07B37" w:rsidRDefault="00C07B37" w:rsidP="002B4596">
      <w:pPr>
        <w:spacing w:after="0"/>
        <w:jc w:val="center"/>
        <w:rPr>
          <w:rFonts w:ascii="Times New Roman" w:hAnsi="Times New Roman" w:cs="Times New Roman"/>
          <w:sz w:val="28"/>
          <w:szCs w:val="28"/>
          <w:u w:val="single"/>
        </w:rPr>
      </w:pPr>
      <w:r>
        <w:rPr>
          <w:rFonts w:ascii="Times New Roman" w:hAnsi="Times New Roman" w:cs="Times New Roman"/>
          <w:sz w:val="28"/>
          <w:szCs w:val="28"/>
          <w:u w:val="single"/>
        </w:rPr>
        <w:t>A ‘Princess’ in Context:</w:t>
      </w:r>
    </w:p>
    <w:p w14:paraId="6D0C5606" w14:textId="07E97703" w:rsidR="009761F3" w:rsidRDefault="002B7747" w:rsidP="002B4596">
      <w:pPr>
        <w:spacing w:after="0"/>
        <w:jc w:val="center"/>
        <w:rPr>
          <w:rFonts w:ascii="Times New Roman" w:hAnsi="Times New Roman" w:cs="Times New Roman"/>
          <w:sz w:val="28"/>
          <w:szCs w:val="28"/>
          <w:u w:val="single"/>
        </w:rPr>
      </w:pPr>
      <w:r>
        <w:rPr>
          <w:rFonts w:ascii="Times New Roman" w:hAnsi="Times New Roman" w:cs="Times New Roman"/>
          <w:sz w:val="28"/>
          <w:szCs w:val="28"/>
          <w:u w:val="single"/>
        </w:rPr>
        <w:t xml:space="preserve">Gender </w:t>
      </w:r>
      <w:r w:rsidR="002A1062">
        <w:rPr>
          <w:rFonts w:ascii="Times New Roman" w:hAnsi="Times New Roman" w:cs="Times New Roman"/>
          <w:sz w:val="28"/>
          <w:szCs w:val="28"/>
          <w:u w:val="single"/>
        </w:rPr>
        <w:t xml:space="preserve">Conventions </w:t>
      </w:r>
      <w:r>
        <w:rPr>
          <w:rFonts w:ascii="Times New Roman" w:hAnsi="Times New Roman" w:cs="Times New Roman"/>
          <w:sz w:val="28"/>
          <w:szCs w:val="28"/>
          <w:u w:val="single"/>
        </w:rPr>
        <w:t>in the Late Hal</w:t>
      </w:r>
      <w:r w:rsidR="007E0A9A">
        <w:rPr>
          <w:rFonts w:ascii="Times New Roman" w:hAnsi="Times New Roman" w:cs="Times New Roman"/>
          <w:sz w:val="28"/>
          <w:szCs w:val="28"/>
          <w:u w:val="single"/>
        </w:rPr>
        <w:t>l</w:t>
      </w:r>
      <w:r>
        <w:rPr>
          <w:rFonts w:ascii="Times New Roman" w:hAnsi="Times New Roman" w:cs="Times New Roman"/>
          <w:sz w:val="28"/>
          <w:szCs w:val="28"/>
          <w:u w:val="single"/>
        </w:rPr>
        <w:t>statt Period</w:t>
      </w:r>
      <w:r w:rsidR="003605A1">
        <w:rPr>
          <w:rFonts w:ascii="Times New Roman" w:hAnsi="Times New Roman" w:cs="Times New Roman"/>
          <w:sz w:val="28"/>
          <w:szCs w:val="28"/>
          <w:u w:val="single"/>
        </w:rPr>
        <w:t xml:space="preserve"> through the Vix Grave</w:t>
      </w:r>
    </w:p>
    <w:p w14:paraId="48F88C8A" w14:textId="77777777" w:rsidR="002B4596" w:rsidRDefault="002B4596" w:rsidP="002B4596">
      <w:pPr>
        <w:spacing w:after="0"/>
        <w:jc w:val="center"/>
        <w:rPr>
          <w:rFonts w:ascii="Times New Roman" w:hAnsi="Times New Roman" w:cs="Times New Roman"/>
          <w:sz w:val="28"/>
          <w:szCs w:val="28"/>
          <w:u w:val="single"/>
        </w:rPr>
      </w:pPr>
    </w:p>
    <w:p w14:paraId="500EA26B" w14:textId="47CE0B08" w:rsidR="009761F3" w:rsidRDefault="00C07B37" w:rsidP="002B4596">
      <w:pPr>
        <w:spacing w:after="0"/>
        <w:rPr>
          <w:rFonts w:ascii="Times New Roman" w:hAnsi="Times New Roman" w:cs="Times New Roman"/>
          <w:sz w:val="28"/>
          <w:szCs w:val="28"/>
          <w:u w:val="single"/>
        </w:rPr>
      </w:pPr>
      <w:r>
        <w:rPr>
          <w:rFonts w:ascii="Times New Roman" w:hAnsi="Times New Roman" w:cs="Times New Roman"/>
          <w:sz w:val="28"/>
          <w:szCs w:val="28"/>
          <w:u w:val="single"/>
        </w:rPr>
        <w:t>Tresor de Vix</w:t>
      </w:r>
    </w:p>
    <w:p w14:paraId="775FDD62" w14:textId="4DBDA834" w:rsidR="00F91411" w:rsidRDefault="00E41419" w:rsidP="00F91411">
      <w:pPr>
        <w:spacing w:after="0"/>
        <w:rPr>
          <w:rFonts w:ascii="Times New Roman" w:hAnsi="Times New Roman" w:cs="Times New Roman"/>
          <w:sz w:val="24"/>
          <w:szCs w:val="24"/>
        </w:rPr>
      </w:pPr>
      <w:r>
        <w:rPr>
          <w:rFonts w:ascii="Times New Roman" w:hAnsi="Times New Roman" w:cs="Times New Roman"/>
          <w:sz w:val="24"/>
          <w:szCs w:val="24"/>
        </w:rPr>
        <w:t xml:space="preserve">The grave of the Lady of Vix or the ‘Vix Grave’ is an Iron Age burial </w:t>
      </w:r>
      <w:r w:rsidR="00AC5542">
        <w:rPr>
          <w:rFonts w:ascii="Times New Roman" w:hAnsi="Times New Roman" w:cs="Times New Roman"/>
          <w:sz w:val="24"/>
          <w:szCs w:val="24"/>
        </w:rPr>
        <w:t xml:space="preserve">site situated on the ancient hillfort of Mont Lassois. It sits in close proximity to Chatillon-sur-Seine in the </w:t>
      </w:r>
      <w:r w:rsidR="00B172EB">
        <w:rPr>
          <w:rFonts w:ascii="Times New Roman" w:hAnsi="Times New Roman" w:cs="Times New Roman"/>
          <w:sz w:val="24"/>
          <w:szCs w:val="24"/>
        </w:rPr>
        <w:t>modern-day</w:t>
      </w:r>
      <w:r w:rsidR="00AC5542">
        <w:rPr>
          <w:rFonts w:ascii="Times New Roman" w:hAnsi="Times New Roman" w:cs="Times New Roman"/>
          <w:sz w:val="24"/>
          <w:szCs w:val="24"/>
        </w:rPr>
        <w:t xml:space="preserve"> region of Burgundy</w:t>
      </w:r>
      <w:r w:rsidR="00982870">
        <w:rPr>
          <w:rFonts w:ascii="Times New Roman" w:hAnsi="Times New Roman" w:cs="Times New Roman"/>
          <w:sz w:val="24"/>
          <w:szCs w:val="24"/>
        </w:rPr>
        <w:t>, France</w:t>
      </w:r>
      <w:r w:rsidR="00AC5542">
        <w:rPr>
          <w:rFonts w:ascii="Times New Roman" w:hAnsi="Times New Roman" w:cs="Times New Roman"/>
          <w:sz w:val="24"/>
          <w:szCs w:val="24"/>
        </w:rPr>
        <w:t>.</w:t>
      </w:r>
      <w:r w:rsidR="002B4596">
        <w:rPr>
          <w:rFonts w:ascii="Times New Roman" w:hAnsi="Times New Roman" w:cs="Times New Roman"/>
          <w:sz w:val="24"/>
          <w:szCs w:val="24"/>
        </w:rPr>
        <w:t xml:space="preserve"> </w:t>
      </w:r>
      <w:r w:rsidR="00AC5542">
        <w:rPr>
          <w:rFonts w:ascii="Times New Roman" w:hAnsi="Times New Roman" w:cs="Times New Roman"/>
          <w:sz w:val="24"/>
          <w:szCs w:val="24"/>
        </w:rPr>
        <w:t>The grave</w:t>
      </w:r>
      <w:r w:rsidR="002B4596">
        <w:rPr>
          <w:rFonts w:ascii="Times New Roman" w:hAnsi="Times New Roman" w:cs="Times New Roman"/>
          <w:sz w:val="24"/>
          <w:szCs w:val="24"/>
        </w:rPr>
        <w:t xml:space="preserve"> itself</w:t>
      </w:r>
      <w:r w:rsidR="00805E3B">
        <w:rPr>
          <w:rFonts w:ascii="Times New Roman" w:hAnsi="Times New Roman" w:cs="Times New Roman"/>
          <w:sz w:val="24"/>
          <w:szCs w:val="24"/>
        </w:rPr>
        <w:t xml:space="preserve"> is believed to hold a female corpus of approximately 35 years of age at the time of </w:t>
      </w:r>
      <w:r w:rsidR="003F1C86">
        <w:rPr>
          <w:rFonts w:ascii="Times New Roman" w:hAnsi="Times New Roman" w:cs="Times New Roman"/>
          <w:sz w:val="24"/>
          <w:szCs w:val="24"/>
        </w:rPr>
        <w:t>death and</w:t>
      </w:r>
      <w:r w:rsidR="00AC5542">
        <w:rPr>
          <w:rFonts w:ascii="Times New Roman" w:hAnsi="Times New Roman" w:cs="Times New Roman"/>
          <w:sz w:val="24"/>
          <w:szCs w:val="24"/>
        </w:rPr>
        <w:t xml:space="preserve"> can be dated back to circa 500 BCE</w:t>
      </w:r>
      <w:r w:rsidR="00805E3B">
        <w:rPr>
          <w:rFonts w:ascii="Times New Roman" w:hAnsi="Times New Roman" w:cs="Times New Roman"/>
          <w:sz w:val="24"/>
          <w:szCs w:val="24"/>
        </w:rPr>
        <w:t xml:space="preserve">. Consequently, this </w:t>
      </w:r>
      <w:r w:rsidR="002B4596">
        <w:rPr>
          <w:rFonts w:ascii="Times New Roman" w:hAnsi="Times New Roman" w:cs="Times New Roman"/>
          <w:sz w:val="24"/>
          <w:szCs w:val="24"/>
        </w:rPr>
        <w:t>places it in the late Ha</w:t>
      </w:r>
      <w:r w:rsidR="007E0A9A">
        <w:rPr>
          <w:rFonts w:ascii="Times New Roman" w:hAnsi="Times New Roman" w:cs="Times New Roman"/>
          <w:sz w:val="24"/>
          <w:szCs w:val="24"/>
        </w:rPr>
        <w:t>l</w:t>
      </w:r>
      <w:r w:rsidR="002B4596">
        <w:rPr>
          <w:rFonts w:ascii="Times New Roman" w:hAnsi="Times New Roman" w:cs="Times New Roman"/>
          <w:sz w:val="24"/>
          <w:szCs w:val="24"/>
        </w:rPr>
        <w:t>lstatt period (phase D was in effect from 600-475 BCE).</w:t>
      </w:r>
      <w:r w:rsidR="002569C5">
        <w:rPr>
          <w:rStyle w:val="FootnoteReference"/>
          <w:rFonts w:ascii="Times New Roman" w:hAnsi="Times New Roman" w:cs="Times New Roman"/>
          <w:sz w:val="24"/>
          <w:szCs w:val="24"/>
        </w:rPr>
        <w:footnoteReference w:id="1"/>
      </w:r>
      <w:r w:rsidR="00805E3B">
        <w:rPr>
          <w:rFonts w:ascii="Times New Roman" w:hAnsi="Times New Roman" w:cs="Times New Roman"/>
          <w:sz w:val="24"/>
          <w:szCs w:val="24"/>
        </w:rPr>
        <w:t xml:space="preserve"> </w:t>
      </w:r>
      <w:r w:rsidR="00CD4676">
        <w:rPr>
          <w:rFonts w:ascii="Times New Roman" w:hAnsi="Times New Roman" w:cs="Times New Roman"/>
          <w:sz w:val="24"/>
          <w:szCs w:val="24"/>
        </w:rPr>
        <w:t xml:space="preserve">Archaeological research has been carried out on the prehistoric complex since the mid-20th century, when it was </w:t>
      </w:r>
      <w:r w:rsidR="006F5753">
        <w:rPr>
          <w:rFonts w:ascii="Times New Roman" w:hAnsi="Times New Roman" w:cs="Times New Roman"/>
          <w:sz w:val="24"/>
          <w:szCs w:val="24"/>
        </w:rPr>
        <w:t>discovered in December 1952</w:t>
      </w:r>
      <w:r w:rsidR="00D07806">
        <w:rPr>
          <w:rFonts w:ascii="Times New Roman" w:hAnsi="Times New Roman" w:cs="Times New Roman"/>
          <w:sz w:val="24"/>
          <w:szCs w:val="24"/>
        </w:rPr>
        <w:t>,</w:t>
      </w:r>
      <w:r w:rsidR="006F5753">
        <w:rPr>
          <w:rFonts w:ascii="Times New Roman" w:hAnsi="Times New Roman" w:cs="Times New Roman"/>
          <w:sz w:val="24"/>
          <w:szCs w:val="24"/>
        </w:rPr>
        <w:t xml:space="preserve"> and subsequently excavated</w:t>
      </w:r>
      <w:r w:rsidR="00CD4676">
        <w:rPr>
          <w:rFonts w:ascii="Times New Roman" w:hAnsi="Times New Roman" w:cs="Times New Roman"/>
          <w:sz w:val="24"/>
          <w:szCs w:val="24"/>
        </w:rPr>
        <w:t xml:space="preserve"> in 1953</w:t>
      </w:r>
      <w:r w:rsidR="00D07806">
        <w:rPr>
          <w:rFonts w:ascii="Times New Roman" w:hAnsi="Times New Roman" w:cs="Times New Roman"/>
          <w:sz w:val="24"/>
          <w:szCs w:val="24"/>
        </w:rPr>
        <w:t>,</w:t>
      </w:r>
      <w:r w:rsidR="00CD4676">
        <w:rPr>
          <w:rFonts w:ascii="Times New Roman" w:hAnsi="Times New Roman" w:cs="Times New Roman"/>
          <w:sz w:val="24"/>
          <w:szCs w:val="24"/>
        </w:rPr>
        <w:t xml:space="preserve"> by Rene Joffroy.</w:t>
      </w:r>
      <w:r w:rsidR="001754BC">
        <w:rPr>
          <w:rFonts w:ascii="Times New Roman" w:hAnsi="Times New Roman" w:cs="Times New Roman"/>
          <w:sz w:val="24"/>
          <w:szCs w:val="24"/>
        </w:rPr>
        <w:t xml:space="preserve"> In the words of Christopher J. Knusel, “The Vix burial has attracted considerable attention because of its enormous, richly decorated krater, unique gold torc, and, perhaps most importantly, the much-debated sex assessment of the principal burial”.</w:t>
      </w:r>
      <w:r w:rsidR="00F81D0D">
        <w:rPr>
          <w:rStyle w:val="FootnoteReference"/>
          <w:rFonts w:ascii="Times New Roman" w:hAnsi="Times New Roman" w:cs="Times New Roman"/>
          <w:sz w:val="24"/>
          <w:szCs w:val="24"/>
        </w:rPr>
        <w:footnoteReference w:id="2"/>
      </w:r>
    </w:p>
    <w:p w14:paraId="7511B807" w14:textId="77777777" w:rsidR="00F91411" w:rsidRDefault="00F91411" w:rsidP="00F91411">
      <w:pPr>
        <w:spacing w:after="0"/>
        <w:rPr>
          <w:rFonts w:ascii="Times New Roman" w:hAnsi="Times New Roman" w:cs="Times New Roman"/>
          <w:sz w:val="24"/>
          <w:szCs w:val="24"/>
        </w:rPr>
      </w:pPr>
    </w:p>
    <w:p w14:paraId="7839187C" w14:textId="6434D78B" w:rsidR="00F91411" w:rsidRDefault="005A2C92" w:rsidP="00F91411">
      <w:pPr>
        <w:spacing w:after="0"/>
        <w:rPr>
          <w:rFonts w:ascii="Times New Roman" w:hAnsi="Times New Roman" w:cs="Times New Roman"/>
          <w:sz w:val="28"/>
          <w:szCs w:val="28"/>
          <w:u w:val="single"/>
        </w:rPr>
      </w:pPr>
      <w:r>
        <w:rPr>
          <w:rFonts w:ascii="Times New Roman" w:hAnsi="Times New Roman" w:cs="Times New Roman"/>
          <w:sz w:val="28"/>
          <w:szCs w:val="28"/>
          <w:u w:val="single"/>
        </w:rPr>
        <w:t>‘Honorary Males’</w:t>
      </w:r>
    </w:p>
    <w:p w14:paraId="29070091" w14:textId="228B0084" w:rsidR="00CD4676" w:rsidRDefault="00CD4676" w:rsidP="002B4596">
      <w:pPr>
        <w:spacing w:after="0"/>
        <w:rPr>
          <w:rFonts w:ascii="Times New Roman" w:hAnsi="Times New Roman" w:cs="Times New Roman"/>
          <w:sz w:val="24"/>
          <w:szCs w:val="24"/>
        </w:rPr>
      </w:pPr>
      <w:r>
        <w:rPr>
          <w:rFonts w:ascii="Times New Roman" w:hAnsi="Times New Roman" w:cs="Times New Roman"/>
          <w:sz w:val="24"/>
          <w:szCs w:val="24"/>
        </w:rPr>
        <w:t xml:space="preserve">One of the </w:t>
      </w:r>
      <w:r w:rsidR="00982870">
        <w:rPr>
          <w:rFonts w:ascii="Times New Roman" w:hAnsi="Times New Roman" w:cs="Times New Roman"/>
          <w:sz w:val="24"/>
          <w:szCs w:val="24"/>
        </w:rPr>
        <w:t>primary reasons that the site holds such significance</w:t>
      </w:r>
      <w:r w:rsidR="00B656B8">
        <w:rPr>
          <w:rFonts w:ascii="Times New Roman" w:hAnsi="Times New Roman" w:cs="Times New Roman"/>
          <w:sz w:val="24"/>
          <w:szCs w:val="24"/>
        </w:rPr>
        <w:t xml:space="preserve"> within the study of Ha</w:t>
      </w:r>
      <w:r w:rsidR="007E0A9A">
        <w:rPr>
          <w:rFonts w:ascii="Times New Roman" w:hAnsi="Times New Roman" w:cs="Times New Roman"/>
          <w:sz w:val="24"/>
          <w:szCs w:val="24"/>
        </w:rPr>
        <w:t>l</w:t>
      </w:r>
      <w:r w:rsidR="00B656B8">
        <w:rPr>
          <w:rFonts w:ascii="Times New Roman" w:hAnsi="Times New Roman" w:cs="Times New Roman"/>
          <w:sz w:val="24"/>
          <w:szCs w:val="24"/>
        </w:rPr>
        <w:t>lstatt culture</w:t>
      </w:r>
      <w:r w:rsidR="00982870">
        <w:rPr>
          <w:rFonts w:ascii="Times New Roman" w:hAnsi="Times New Roman" w:cs="Times New Roman"/>
          <w:sz w:val="24"/>
          <w:szCs w:val="24"/>
        </w:rPr>
        <w:t xml:space="preserve"> is the </w:t>
      </w:r>
      <w:r w:rsidR="00F91411">
        <w:rPr>
          <w:rFonts w:ascii="Times New Roman" w:hAnsi="Times New Roman" w:cs="Times New Roman"/>
          <w:sz w:val="24"/>
          <w:szCs w:val="24"/>
        </w:rPr>
        <w:t>assumption</w:t>
      </w:r>
      <w:r w:rsidR="00982870">
        <w:rPr>
          <w:rFonts w:ascii="Times New Roman" w:hAnsi="Times New Roman" w:cs="Times New Roman"/>
          <w:sz w:val="24"/>
          <w:szCs w:val="24"/>
        </w:rPr>
        <w:t xml:space="preserve"> that the inhabitant of the grave was female, since m</w:t>
      </w:r>
      <w:r w:rsidR="00F91411">
        <w:rPr>
          <w:rFonts w:ascii="Times New Roman" w:hAnsi="Times New Roman" w:cs="Times New Roman"/>
          <w:sz w:val="24"/>
          <w:szCs w:val="24"/>
        </w:rPr>
        <w:t xml:space="preserve">ost Iron Age tumuli hold male remains. </w:t>
      </w:r>
      <w:r w:rsidR="00164DA6">
        <w:rPr>
          <w:rFonts w:ascii="Times New Roman" w:hAnsi="Times New Roman" w:cs="Times New Roman"/>
          <w:sz w:val="24"/>
          <w:szCs w:val="24"/>
        </w:rPr>
        <w:t xml:space="preserve">The Vix grave </w:t>
      </w:r>
      <w:r w:rsidR="00F91411">
        <w:rPr>
          <w:rFonts w:ascii="Times New Roman" w:hAnsi="Times New Roman" w:cs="Times New Roman"/>
          <w:sz w:val="24"/>
          <w:szCs w:val="24"/>
        </w:rPr>
        <w:t xml:space="preserve">itself is </w:t>
      </w:r>
      <w:r w:rsidR="00B656B8">
        <w:rPr>
          <w:rFonts w:ascii="Times New Roman" w:hAnsi="Times New Roman" w:cs="Times New Roman"/>
          <w:sz w:val="24"/>
          <w:szCs w:val="24"/>
        </w:rPr>
        <w:t>primarily</w:t>
      </w:r>
      <w:r w:rsidR="00F91411">
        <w:rPr>
          <w:rFonts w:ascii="Times New Roman" w:hAnsi="Times New Roman" w:cs="Times New Roman"/>
          <w:sz w:val="24"/>
          <w:szCs w:val="24"/>
        </w:rPr>
        <w:t xml:space="preserve"> known for its extensive material items,</w:t>
      </w:r>
      <w:r w:rsidR="00164DA6">
        <w:rPr>
          <w:rFonts w:ascii="Times New Roman" w:hAnsi="Times New Roman" w:cs="Times New Roman"/>
          <w:sz w:val="24"/>
          <w:szCs w:val="24"/>
        </w:rPr>
        <w:t xml:space="preserve"> however,</w:t>
      </w:r>
      <w:r w:rsidR="00F91411">
        <w:rPr>
          <w:rFonts w:ascii="Times New Roman" w:hAnsi="Times New Roman" w:cs="Times New Roman"/>
          <w:sz w:val="24"/>
          <w:szCs w:val="24"/>
        </w:rPr>
        <w:t xml:space="preserve"> </w:t>
      </w:r>
      <w:r w:rsidR="00B656B8">
        <w:rPr>
          <w:rFonts w:ascii="Times New Roman" w:hAnsi="Times New Roman" w:cs="Times New Roman"/>
          <w:sz w:val="24"/>
          <w:szCs w:val="24"/>
        </w:rPr>
        <w:t>upon the initial excavation of the site,</w:t>
      </w:r>
      <w:r w:rsidR="00F91411">
        <w:rPr>
          <w:rFonts w:ascii="Times New Roman" w:hAnsi="Times New Roman" w:cs="Times New Roman"/>
          <w:sz w:val="24"/>
          <w:szCs w:val="24"/>
        </w:rPr>
        <w:t xml:space="preserve"> little to no evidence </w:t>
      </w:r>
      <w:r w:rsidR="00B656B8">
        <w:rPr>
          <w:rFonts w:ascii="Times New Roman" w:hAnsi="Times New Roman" w:cs="Times New Roman"/>
          <w:sz w:val="24"/>
          <w:szCs w:val="24"/>
        </w:rPr>
        <w:t xml:space="preserve">of an </w:t>
      </w:r>
      <w:r w:rsidR="00F91411">
        <w:rPr>
          <w:rFonts w:ascii="Times New Roman" w:hAnsi="Times New Roman" w:cs="Times New Roman"/>
          <w:sz w:val="24"/>
          <w:szCs w:val="24"/>
        </w:rPr>
        <w:t xml:space="preserve">organic </w:t>
      </w:r>
      <w:r w:rsidR="00B656B8">
        <w:rPr>
          <w:rFonts w:ascii="Times New Roman" w:hAnsi="Times New Roman" w:cs="Times New Roman"/>
          <w:sz w:val="24"/>
          <w:szCs w:val="24"/>
        </w:rPr>
        <w:t>nature was found</w:t>
      </w:r>
      <w:r w:rsidR="00F91411">
        <w:rPr>
          <w:rFonts w:ascii="Times New Roman" w:hAnsi="Times New Roman" w:cs="Times New Roman"/>
          <w:sz w:val="24"/>
          <w:szCs w:val="24"/>
        </w:rPr>
        <w:t xml:space="preserve">. </w:t>
      </w:r>
      <w:r w:rsidR="005A2C92">
        <w:rPr>
          <w:rFonts w:ascii="Times New Roman" w:hAnsi="Times New Roman" w:cs="Times New Roman"/>
          <w:sz w:val="24"/>
          <w:szCs w:val="24"/>
        </w:rPr>
        <w:t>Without any definitive archaeolog</w:t>
      </w:r>
      <w:r w:rsidR="00164DA6">
        <w:rPr>
          <w:rFonts w:ascii="Times New Roman" w:hAnsi="Times New Roman" w:cs="Times New Roman"/>
          <w:sz w:val="24"/>
          <w:szCs w:val="24"/>
        </w:rPr>
        <w:t xml:space="preserve">ical proof of the gender of the deceased, </w:t>
      </w:r>
      <w:r w:rsidR="00B172EB">
        <w:rPr>
          <w:rFonts w:ascii="Times New Roman" w:hAnsi="Times New Roman" w:cs="Times New Roman"/>
          <w:sz w:val="24"/>
          <w:szCs w:val="24"/>
        </w:rPr>
        <w:t xml:space="preserve">much of the discussion of the site has centred </w:t>
      </w:r>
      <w:r w:rsidR="00B656B8">
        <w:rPr>
          <w:rFonts w:ascii="Times New Roman" w:hAnsi="Times New Roman" w:cs="Times New Roman"/>
          <w:sz w:val="24"/>
          <w:szCs w:val="24"/>
        </w:rPr>
        <w:t>around</w:t>
      </w:r>
      <w:r w:rsidR="00B172EB">
        <w:rPr>
          <w:rFonts w:ascii="Times New Roman" w:hAnsi="Times New Roman" w:cs="Times New Roman"/>
          <w:sz w:val="24"/>
          <w:szCs w:val="24"/>
        </w:rPr>
        <w:t xml:space="preserve"> the question of how one should characterize the so-called ‘Princess’</w:t>
      </w:r>
      <w:r w:rsidR="00164DA6">
        <w:rPr>
          <w:rFonts w:ascii="Times New Roman" w:hAnsi="Times New Roman" w:cs="Times New Roman"/>
          <w:sz w:val="24"/>
          <w:szCs w:val="24"/>
        </w:rPr>
        <w:t>.</w:t>
      </w:r>
      <w:r w:rsidR="00FA1431">
        <w:rPr>
          <w:rStyle w:val="FootnoteReference"/>
          <w:rFonts w:ascii="Times New Roman" w:hAnsi="Times New Roman" w:cs="Times New Roman"/>
          <w:sz w:val="24"/>
          <w:szCs w:val="24"/>
        </w:rPr>
        <w:footnoteReference w:id="3"/>
      </w:r>
      <w:r w:rsidR="00164DA6">
        <w:rPr>
          <w:rFonts w:ascii="Times New Roman" w:hAnsi="Times New Roman" w:cs="Times New Roman"/>
          <w:sz w:val="24"/>
          <w:szCs w:val="24"/>
        </w:rPr>
        <w:t xml:space="preserve"> Christopher J. Knusel has brought attention to the sheer variety of terms used to describe the individual buried here</w:t>
      </w:r>
      <w:r w:rsidR="00B172EB">
        <w:rPr>
          <w:rFonts w:ascii="Times New Roman" w:hAnsi="Times New Roman" w:cs="Times New Roman"/>
          <w:sz w:val="24"/>
          <w:szCs w:val="24"/>
        </w:rPr>
        <w:t xml:space="preserve"> since the 1950s</w:t>
      </w:r>
      <w:r w:rsidR="00164DA6">
        <w:rPr>
          <w:rFonts w:ascii="Times New Roman" w:hAnsi="Times New Roman" w:cs="Times New Roman"/>
          <w:sz w:val="24"/>
          <w:szCs w:val="24"/>
        </w:rPr>
        <w:t xml:space="preserve">, many of which indicate a belief that this person was not female, or at least not in the sense of conventional femininity. </w:t>
      </w:r>
      <w:r w:rsidR="00B172EB">
        <w:rPr>
          <w:rFonts w:ascii="Times New Roman" w:hAnsi="Times New Roman" w:cs="Times New Roman"/>
          <w:sz w:val="24"/>
          <w:szCs w:val="24"/>
        </w:rPr>
        <w:t xml:space="preserve">In </w:t>
      </w:r>
      <w:r w:rsidR="00B172EB">
        <w:rPr>
          <w:rFonts w:ascii="Times New Roman" w:hAnsi="Times New Roman" w:cs="Times New Roman"/>
          <w:i/>
          <w:iCs/>
          <w:sz w:val="24"/>
          <w:szCs w:val="24"/>
        </w:rPr>
        <w:t>More Circe than Cassandra: The Princess of Vix in ritualized social context</w:t>
      </w:r>
      <w:r w:rsidR="00B172EB">
        <w:rPr>
          <w:rFonts w:ascii="Times New Roman" w:hAnsi="Times New Roman" w:cs="Times New Roman"/>
          <w:sz w:val="24"/>
          <w:szCs w:val="24"/>
        </w:rPr>
        <w:t>, he lists many of these given names, including ‘man who did not mind wearing women’s clothing’, ‘transvestite priest’ and ‘honorary male’.</w:t>
      </w:r>
      <w:r w:rsidR="00FA1431">
        <w:rPr>
          <w:rStyle w:val="FootnoteReference"/>
          <w:rFonts w:ascii="Times New Roman" w:hAnsi="Times New Roman" w:cs="Times New Roman"/>
          <w:sz w:val="24"/>
          <w:szCs w:val="24"/>
        </w:rPr>
        <w:footnoteReference w:id="4"/>
      </w:r>
      <w:r w:rsidR="00B172EB">
        <w:rPr>
          <w:rFonts w:ascii="Times New Roman" w:hAnsi="Times New Roman" w:cs="Times New Roman"/>
          <w:sz w:val="24"/>
          <w:szCs w:val="24"/>
        </w:rPr>
        <w:t xml:space="preserve"> This </w:t>
      </w:r>
      <w:r w:rsidR="00B656B8">
        <w:rPr>
          <w:rFonts w:ascii="Times New Roman" w:hAnsi="Times New Roman" w:cs="Times New Roman"/>
          <w:sz w:val="24"/>
          <w:szCs w:val="24"/>
        </w:rPr>
        <w:t>explains, to an extent,</w:t>
      </w:r>
      <w:r w:rsidR="00B172EB">
        <w:rPr>
          <w:rFonts w:ascii="Times New Roman" w:hAnsi="Times New Roman" w:cs="Times New Roman"/>
          <w:sz w:val="24"/>
          <w:szCs w:val="24"/>
        </w:rPr>
        <w:t xml:space="preserve"> </w:t>
      </w:r>
      <w:r w:rsidR="009176F5">
        <w:rPr>
          <w:rFonts w:ascii="Times New Roman" w:hAnsi="Times New Roman" w:cs="Times New Roman"/>
          <w:sz w:val="24"/>
          <w:szCs w:val="24"/>
        </w:rPr>
        <w:t>why so many have taken issue with Joffroy’s labelling of the site as one of the</w:t>
      </w:r>
      <w:r w:rsidR="00BB4569">
        <w:rPr>
          <w:rFonts w:ascii="Times New Roman" w:hAnsi="Times New Roman" w:cs="Times New Roman"/>
          <w:sz w:val="24"/>
          <w:szCs w:val="24"/>
        </w:rPr>
        <w:t xml:space="preserve"> ‘</w:t>
      </w:r>
      <w:r w:rsidR="009176F5">
        <w:rPr>
          <w:rFonts w:ascii="Times New Roman" w:hAnsi="Times New Roman" w:cs="Times New Roman"/>
          <w:sz w:val="24"/>
          <w:szCs w:val="24"/>
        </w:rPr>
        <w:t>t</w:t>
      </w:r>
      <w:r w:rsidR="00BB4569">
        <w:rPr>
          <w:rFonts w:ascii="Times New Roman" w:hAnsi="Times New Roman" w:cs="Times New Roman"/>
          <w:sz w:val="24"/>
          <w:szCs w:val="24"/>
        </w:rPr>
        <w:t xml:space="preserve">ombes </w:t>
      </w:r>
      <w:r w:rsidR="009176F5">
        <w:rPr>
          <w:rFonts w:ascii="Times New Roman" w:hAnsi="Times New Roman" w:cs="Times New Roman"/>
          <w:sz w:val="24"/>
          <w:szCs w:val="24"/>
        </w:rPr>
        <w:t>p</w:t>
      </w:r>
      <w:r w:rsidR="00BB4569">
        <w:rPr>
          <w:rFonts w:ascii="Times New Roman" w:hAnsi="Times New Roman" w:cs="Times New Roman"/>
          <w:sz w:val="24"/>
          <w:szCs w:val="24"/>
        </w:rPr>
        <w:t xml:space="preserve">rincieres’ </w:t>
      </w:r>
      <w:r w:rsidR="009176F5">
        <w:rPr>
          <w:rFonts w:ascii="Times New Roman" w:hAnsi="Times New Roman" w:cs="Times New Roman"/>
          <w:sz w:val="24"/>
          <w:szCs w:val="24"/>
        </w:rPr>
        <w:t xml:space="preserve">or ‘princely </w:t>
      </w:r>
      <w:proofErr w:type="gramStart"/>
      <w:r w:rsidR="009176F5">
        <w:rPr>
          <w:rFonts w:ascii="Times New Roman" w:hAnsi="Times New Roman" w:cs="Times New Roman"/>
          <w:sz w:val="24"/>
          <w:szCs w:val="24"/>
        </w:rPr>
        <w:t>tombs’</w:t>
      </w:r>
      <w:proofErr w:type="gramEnd"/>
      <w:r w:rsidR="00BB4569">
        <w:rPr>
          <w:rFonts w:ascii="Times New Roman" w:hAnsi="Times New Roman" w:cs="Times New Roman"/>
          <w:sz w:val="24"/>
          <w:szCs w:val="24"/>
        </w:rPr>
        <w:t xml:space="preserve">. </w:t>
      </w:r>
      <w:r w:rsidR="009176F5">
        <w:rPr>
          <w:rFonts w:ascii="Times New Roman" w:hAnsi="Times New Roman" w:cs="Times New Roman"/>
          <w:sz w:val="24"/>
          <w:szCs w:val="24"/>
        </w:rPr>
        <w:t>It could be said that the use of this gendered term is a failure to recognise the ambiguous sex of the grave’s inhabitant, which is one of the fundamental reasons for the importance of the Vix grave</w:t>
      </w:r>
      <w:r w:rsidR="00F81D0D">
        <w:rPr>
          <w:rFonts w:ascii="Times New Roman" w:hAnsi="Times New Roman" w:cs="Times New Roman"/>
          <w:sz w:val="24"/>
          <w:szCs w:val="24"/>
        </w:rPr>
        <w:t>.</w:t>
      </w:r>
      <w:r w:rsidR="00EE5565">
        <w:rPr>
          <w:rStyle w:val="FootnoteReference"/>
          <w:rFonts w:ascii="Times New Roman" w:hAnsi="Times New Roman" w:cs="Times New Roman"/>
          <w:sz w:val="24"/>
          <w:szCs w:val="24"/>
        </w:rPr>
        <w:footnoteReference w:id="5"/>
      </w:r>
    </w:p>
    <w:p w14:paraId="57E9DFFC" w14:textId="65D8545B" w:rsidR="000311A8" w:rsidRDefault="00CF19F9" w:rsidP="002B4596">
      <w:pPr>
        <w:spacing w:after="0"/>
        <w:rPr>
          <w:rFonts w:ascii="Times New Roman" w:hAnsi="Times New Roman" w:cs="Times New Roman"/>
          <w:sz w:val="24"/>
          <w:szCs w:val="24"/>
        </w:rPr>
      </w:pPr>
      <w:r>
        <w:rPr>
          <w:rFonts w:ascii="Times New Roman" w:hAnsi="Times New Roman" w:cs="Times New Roman"/>
          <w:sz w:val="24"/>
          <w:szCs w:val="24"/>
        </w:rPr>
        <w:t xml:space="preserve">At first glance, </w:t>
      </w:r>
      <w:r w:rsidR="00B656B8">
        <w:rPr>
          <w:rFonts w:ascii="Times New Roman" w:hAnsi="Times New Roman" w:cs="Times New Roman"/>
          <w:sz w:val="24"/>
          <w:szCs w:val="24"/>
        </w:rPr>
        <w:t>this</w:t>
      </w:r>
      <w:r>
        <w:rPr>
          <w:rFonts w:ascii="Times New Roman" w:hAnsi="Times New Roman" w:cs="Times New Roman"/>
          <w:sz w:val="24"/>
          <w:szCs w:val="24"/>
        </w:rPr>
        <w:t xml:space="preserve"> </w:t>
      </w:r>
      <w:r w:rsidR="00B656B8">
        <w:rPr>
          <w:rFonts w:ascii="Times New Roman" w:hAnsi="Times New Roman" w:cs="Times New Roman"/>
          <w:sz w:val="24"/>
          <w:szCs w:val="24"/>
        </w:rPr>
        <w:t>may</w:t>
      </w:r>
      <w:r>
        <w:rPr>
          <w:rFonts w:ascii="Times New Roman" w:hAnsi="Times New Roman" w:cs="Times New Roman"/>
          <w:sz w:val="24"/>
          <w:szCs w:val="24"/>
        </w:rPr>
        <w:t xml:space="preserve"> seem a rather arbitrary conclusion to make, however, what little organic evidence we </w:t>
      </w:r>
      <w:r w:rsidR="00B656B8">
        <w:rPr>
          <w:rFonts w:ascii="Times New Roman" w:hAnsi="Times New Roman" w:cs="Times New Roman"/>
          <w:sz w:val="24"/>
          <w:szCs w:val="24"/>
        </w:rPr>
        <w:t xml:space="preserve">do </w:t>
      </w:r>
      <w:r>
        <w:rPr>
          <w:rFonts w:ascii="Times New Roman" w:hAnsi="Times New Roman" w:cs="Times New Roman"/>
          <w:sz w:val="24"/>
          <w:szCs w:val="24"/>
        </w:rPr>
        <w:t>have</w:t>
      </w:r>
      <w:r w:rsidR="00B656B8">
        <w:rPr>
          <w:rFonts w:ascii="Times New Roman" w:hAnsi="Times New Roman" w:cs="Times New Roman"/>
          <w:sz w:val="24"/>
          <w:szCs w:val="24"/>
        </w:rPr>
        <w:t>,</w:t>
      </w:r>
      <w:r>
        <w:rPr>
          <w:rFonts w:ascii="Times New Roman" w:hAnsi="Times New Roman" w:cs="Times New Roman"/>
          <w:sz w:val="24"/>
          <w:szCs w:val="24"/>
        </w:rPr>
        <w:t xml:space="preserve"> does seem to support the notion that the individual was not viewed</w:t>
      </w:r>
      <w:r w:rsidR="00B656B8">
        <w:rPr>
          <w:rFonts w:ascii="Times New Roman" w:hAnsi="Times New Roman" w:cs="Times New Roman"/>
          <w:sz w:val="24"/>
          <w:szCs w:val="24"/>
        </w:rPr>
        <w:t>, even</w:t>
      </w:r>
      <w:r>
        <w:rPr>
          <w:rFonts w:ascii="Times New Roman" w:hAnsi="Times New Roman" w:cs="Times New Roman"/>
          <w:sz w:val="24"/>
          <w:szCs w:val="24"/>
        </w:rPr>
        <w:t xml:space="preserve"> within their own lifetime</w:t>
      </w:r>
      <w:r w:rsidR="00B656B8">
        <w:rPr>
          <w:rFonts w:ascii="Times New Roman" w:hAnsi="Times New Roman" w:cs="Times New Roman"/>
          <w:sz w:val="24"/>
          <w:szCs w:val="24"/>
        </w:rPr>
        <w:t>,</w:t>
      </w:r>
      <w:r>
        <w:rPr>
          <w:rFonts w:ascii="Times New Roman" w:hAnsi="Times New Roman" w:cs="Times New Roman"/>
          <w:sz w:val="24"/>
          <w:szCs w:val="24"/>
        </w:rPr>
        <w:t xml:space="preserve"> as unequivocally male or female</w:t>
      </w:r>
      <w:r w:rsidR="00B656B8">
        <w:rPr>
          <w:rFonts w:ascii="Times New Roman" w:hAnsi="Times New Roman" w:cs="Times New Roman"/>
          <w:sz w:val="24"/>
          <w:szCs w:val="24"/>
        </w:rPr>
        <w:t>. I</w:t>
      </w:r>
      <w:r w:rsidR="00E21D5F">
        <w:rPr>
          <w:rFonts w:ascii="Times New Roman" w:hAnsi="Times New Roman" w:cs="Times New Roman"/>
          <w:sz w:val="24"/>
          <w:szCs w:val="24"/>
        </w:rPr>
        <w:t xml:space="preserve">n recent years, investigation of the site has revealed </w:t>
      </w:r>
      <w:r w:rsidR="00B656B8">
        <w:rPr>
          <w:rFonts w:ascii="Times New Roman" w:hAnsi="Times New Roman" w:cs="Times New Roman"/>
          <w:sz w:val="24"/>
          <w:szCs w:val="24"/>
        </w:rPr>
        <w:t xml:space="preserve">much more with regards to the biological condition of </w:t>
      </w:r>
      <w:r w:rsidR="00B656B8">
        <w:rPr>
          <w:rFonts w:ascii="Times New Roman" w:hAnsi="Times New Roman" w:cs="Times New Roman"/>
          <w:sz w:val="24"/>
          <w:szCs w:val="24"/>
        </w:rPr>
        <w:lastRenderedPageBreak/>
        <w:t>the corpus. The person in question</w:t>
      </w:r>
      <w:r w:rsidR="00E21D5F">
        <w:rPr>
          <w:rFonts w:ascii="Times New Roman" w:hAnsi="Times New Roman" w:cs="Times New Roman"/>
          <w:sz w:val="24"/>
          <w:szCs w:val="24"/>
        </w:rPr>
        <w:t>, in the words of Knusel,</w:t>
      </w:r>
      <w:r w:rsidR="00B656B8">
        <w:rPr>
          <w:rFonts w:ascii="Times New Roman" w:hAnsi="Times New Roman" w:cs="Times New Roman"/>
          <w:sz w:val="24"/>
          <w:szCs w:val="24"/>
        </w:rPr>
        <w:t xml:space="preserve"> was found to have had</w:t>
      </w:r>
      <w:r w:rsidR="00E21D5F">
        <w:rPr>
          <w:rFonts w:ascii="Times New Roman" w:hAnsi="Times New Roman" w:cs="Times New Roman"/>
          <w:sz w:val="24"/>
          <w:szCs w:val="24"/>
        </w:rPr>
        <w:t xml:space="preserve"> a ‘waddling gait and wry-neck deformity’. </w:t>
      </w:r>
      <w:r w:rsidR="000311A8">
        <w:rPr>
          <w:rFonts w:ascii="Times New Roman" w:hAnsi="Times New Roman" w:cs="Times New Roman"/>
          <w:sz w:val="24"/>
          <w:szCs w:val="24"/>
        </w:rPr>
        <w:t>He asserts that, as a result of this, members of their own community believed</w:t>
      </w:r>
      <w:r w:rsidR="00E21D5F">
        <w:rPr>
          <w:rFonts w:ascii="Times New Roman" w:hAnsi="Times New Roman" w:cs="Times New Roman"/>
          <w:sz w:val="24"/>
          <w:szCs w:val="24"/>
        </w:rPr>
        <w:t xml:space="preserve"> the person</w:t>
      </w:r>
      <w:r w:rsidR="000311A8">
        <w:rPr>
          <w:rFonts w:ascii="Times New Roman" w:hAnsi="Times New Roman" w:cs="Times New Roman"/>
          <w:sz w:val="24"/>
          <w:szCs w:val="24"/>
        </w:rPr>
        <w:t xml:space="preserve"> to be </w:t>
      </w:r>
      <w:r w:rsidR="00E21D5F">
        <w:rPr>
          <w:rFonts w:ascii="Times New Roman" w:hAnsi="Times New Roman" w:cs="Times New Roman"/>
          <w:sz w:val="24"/>
          <w:szCs w:val="24"/>
        </w:rPr>
        <w:t xml:space="preserve">the holder of some ritual knowledge and </w:t>
      </w:r>
      <w:r w:rsidR="000311A8">
        <w:rPr>
          <w:rFonts w:ascii="Times New Roman" w:hAnsi="Times New Roman" w:cs="Times New Roman"/>
          <w:sz w:val="24"/>
          <w:szCs w:val="24"/>
        </w:rPr>
        <w:t xml:space="preserve">that they attributed healing abilities to the deceased’s physical deformities. This could indicate the reason that the inhabitant of the Vix grave </w:t>
      </w:r>
      <w:r w:rsidR="00E21D5F">
        <w:rPr>
          <w:rFonts w:ascii="Times New Roman" w:hAnsi="Times New Roman" w:cs="Times New Roman"/>
          <w:sz w:val="24"/>
          <w:szCs w:val="24"/>
        </w:rPr>
        <w:t>was held</w:t>
      </w:r>
      <w:r w:rsidR="000311A8">
        <w:rPr>
          <w:rFonts w:ascii="Times New Roman" w:hAnsi="Times New Roman" w:cs="Times New Roman"/>
          <w:sz w:val="24"/>
          <w:szCs w:val="24"/>
        </w:rPr>
        <w:t xml:space="preserve"> </w:t>
      </w:r>
      <w:r w:rsidR="00E21D5F">
        <w:rPr>
          <w:rFonts w:ascii="Times New Roman" w:hAnsi="Times New Roman" w:cs="Times New Roman"/>
          <w:sz w:val="24"/>
          <w:szCs w:val="24"/>
        </w:rPr>
        <w:t xml:space="preserve">in </w:t>
      </w:r>
      <w:r w:rsidR="000311A8">
        <w:rPr>
          <w:rFonts w:ascii="Times New Roman" w:hAnsi="Times New Roman" w:cs="Times New Roman"/>
          <w:sz w:val="24"/>
          <w:szCs w:val="24"/>
        </w:rPr>
        <w:t xml:space="preserve">such </w:t>
      </w:r>
      <w:r w:rsidR="00E21D5F">
        <w:rPr>
          <w:rFonts w:ascii="Times New Roman" w:hAnsi="Times New Roman" w:cs="Times New Roman"/>
          <w:sz w:val="24"/>
          <w:szCs w:val="24"/>
        </w:rPr>
        <w:t>high esteem</w:t>
      </w:r>
      <w:r w:rsidR="00EF349B">
        <w:rPr>
          <w:rFonts w:ascii="Times New Roman" w:hAnsi="Times New Roman" w:cs="Times New Roman"/>
          <w:sz w:val="24"/>
          <w:szCs w:val="24"/>
        </w:rPr>
        <w:t>,</w:t>
      </w:r>
      <w:r w:rsidR="00E21D5F">
        <w:rPr>
          <w:rFonts w:ascii="Times New Roman" w:hAnsi="Times New Roman" w:cs="Times New Roman"/>
          <w:sz w:val="24"/>
          <w:szCs w:val="24"/>
        </w:rPr>
        <w:t xml:space="preserve"> not just as a member of the social elite</w:t>
      </w:r>
      <w:r w:rsidR="00EF349B">
        <w:rPr>
          <w:rFonts w:ascii="Times New Roman" w:hAnsi="Times New Roman" w:cs="Times New Roman"/>
          <w:sz w:val="24"/>
          <w:szCs w:val="24"/>
        </w:rPr>
        <w:t>,</w:t>
      </w:r>
      <w:r w:rsidR="00E21D5F">
        <w:rPr>
          <w:rFonts w:ascii="Times New Roman" w:hAnsi="Times New Roman" w:cs="Times New Roman"/>
          <w:sz w:val="24"/>
          <w:szCs w:val="24"/>
        </w:rPr>
        <w:t xml:space="preserve"> but also as someone of spiritual significance.</w:t>
      </w:r>
      <w:r w:rsidR="00F81D0D">
        <w:rPr>
          <w:rStyle w:val="FootnoteReference"/>
          <w:rFonts w:ascii="Times New Roman" w:hAnsi="Times New Roman" w:cs="Times New Roman"/>
          <w:sz w:val="24"/>
          <w:szCs w:val="24"/>
        </w:rPr>
        <w:footnoteReference w:id="6"/>
      </w:r>
    </w:p>
    <w:p w14:paraId="5C2FE6A9" w14:textId="77E15D84" w:rsidR="006F5753" w:rsidRDefault="00E21D5F" w:rsidP="002B4596">
      <w:pPr>
        <w:spacing w:after="0"/>
        <w:rPr>
          <w:rFonts w:ascii="Times New Roman" w:hAnsi="Times New Roman" w:cs="Times New Roman"/>
          <w:sz w:val="24"/>
          <w:szCs w:val="24"/>
        </w:rPr>
      </w:pPr>
      <w:r>
        <w:rPr>
          <w:rFonts w:ascii="Times New Roman" w:hAnsi="Times New Roman" w:cs="Times New Roman"/>
          <w:sz w:val="24"/>
          <w:szCs w:val="24"/>
        </w:rPr>
        <w:t>It goes without saying that modern conventions of the gender binary did not exist in the ancient world,</w:t>
      </w:r>
      <w:r w:rsidR="00B656B8">
        <w:rPr>
          <w:rFonts w:ascii="Times New Roman" w:hAnsi="Times New Roman" w:cs="Times New Roman"/>
          <w:sz w:val="24"/>
          <w:szCs w:val="24"/>
        </w:rPr>
        <w:t xml:space="preserve"> and this can go some way to clarifying why the categorisation of the human remains has always faced challenges</w:t>
      </w:r>
      <w:r>
        <w:rPr>
          <w:rFonts w:ascii="Times New Roman" w:hAnsi="Times New Roman" w:cs="Times New Roman"/>
          <w:sz w:val="24"/>
          <w:szCs w:val="24"/>
        </w:rPr>
        <w:t>.</w:t>
      </w:r>
      <w:r w:rsidR="000311A8">
        <w:rPr>
          <w:rFonts w:ascii="Times New Roman" w:hAnsi="Times New Roman" w:cs="Times New Roman"/>
          <w:sz w:val="24"/>
          <w:szCs w:val="24"/>
        </w:rPr>
        <w:t xml:space="preserve"> Nonetheless, could it be possible that contemporary notions of womanhood held by modern academics have clouded the reality of the treatment of Ha</w:t>
      </w:r>
      <w:r w:rsidR="007E0A9A">
        <w:rPr>
          <w:rFonts w:ascii="Times New Roman" w:hAnsi="Times New Roman" w:cs="Times New Roman"/>
          <w:sz w:val="24"/>
          <w:szCs w:val="24"/>
        </w:rPr>
        <w:t>l</w:t>
      </w:r>
      <w:r w:rsidR="000311A8">
        <w:rPr>
          <w:rFonts w:ascii="Times New Roman" w:hAnsi="Times New Roman" w:cs="Times New Roman"/>
          <w:sz w:val="24"/>
          <w:szCs w:val="24"/>
        </w:rPr>
        <w:t>lstatt women within their own society?</w:t>
      </w:r>
      <w:r w:rsidR="00F81D0D">
        <w:rPr>
          <w:rStyle w:val="FootnoteReference"/>
          <w:rFonts w:ascii="Times New Roman" w:hAnsi="Times New Roman" w:cs="Times New Roman"/>
          <w:sz w:val="24"/>
          <w:szCs w:val="24"/>
        </w:rPr>
        <w:footnoteReference w:id="7"/>
      </w:r>
      <w:r w:rsidR="000311A8">
        <w:rPr>
          <w:rFonts w:ascii="Times New Roman" w:hAnsi="Times New Roman" w:cs="Times New Roman"/>
          <w:sz w:val="24"/>
          <w:szCs w:val="24"/>
        </w:rPr>
        <w:t xml:space="preserve"> </w:t>
      </w:r>
      <w:r w:rsidR="000E6AF7">
        <w:rPr>
          <w:rFonts w:ascii="Times New Roman" w:hAnsi="Times New Roman" w:cs="Times New Roman"/>
          <w:sz w:val="24"/>
          <w:szCs w:val="24"/>
        </w:rPr>
        <w:t xml:space="preserve">The concept that a burial of such magnificence and esteem could not possibly be </w:t>
      </w:r>
      <w:r w:rsidR="00F90264">
        <w:rPr>
          <w:rFonts w:ascii="Times New Roman" w:hAnsi="Times New Roman" w:cs="Times New Roman"/>
          <w:sz w:val="24"/>
          <w:szCs w:val="24"/>
        </w:rPr>
        <w:t xml:space="preserve">a </w:t>
      </w:r>
      <w:r w:rsidR="000E6AF7">
        <w:rPr>
          <w:rFonts w:ascii="Times New Roman" w:hAnsi="Times New Roman" w:cs="Times New Roman"/>
          <w:sz w:val="24"/>
          <w:szCs w:val="24"/>
        </w:rPr>
        <w:t>commemorat</w:t>
      </w:r>
      <w:r w:rsidR="00F90264">
        <w:rPr>
          <w:rFonts w:ascii="Times New Roman" w:hAnsi="Times New Roman" w:cs="Times New Roman"/>
          <w:sz w:val="24"/>
          <w:szCs w:val="24"/>
        </w:rPr>
        <w:t>ion of</w:t>
      </w:r>
      <w:r w:rsidR="000E6AF7">
        <w:rPr>
          <w:rFonts w:ascii="Times New Roman" w:hAnsi="Times New Roman" w:cs="Times New Roman"/>
          <w:sz w:val="24"/>
          <w:szCs w:val="24"/>
        </w:rPr>
        <w:t xml:space="preserve"> the life of a woman could be seen as a complete erasure of her femininity</w:t>
      </w:r>
      <w:r w:rsidR="00F90264">
        <w:rPr>
          <w:rFonts w:ascii="Times New Roman" w:hAnsi="Times New Roman" w:cs="Times New Roman"/>
          <w:sz w:val="24"/>
          <w:szCs w:val="24"/>
        </w:rPr>
        <w:t xml:space="preserve">, thus </w:t>
      </w:r>
      <w:r w:rsidR="000E6AF7">
        <w:rPr>
          <w:rFonts w:ascii="Times New Roman" w:hAnsi="Times New Roman" w:cs="Times New Roman"/>
          <w:sz w:val="24"/>
          <w:szCs w:val="24"/>
        </w:rPr>
        <w:t>asserting that</w:t>
      </w:r>
      <w:r w:rsidR="00F90264">
        <w:rPr>
          <w:rFonts w:ascii="Times New Roman" w:hAnsi="Times New Roman" w:cs="Times New Roman"/>
          <w:sz w:val="24"/>
          <w:szCs w:val="24"/>
        </w:rPr>
        <w:t>,</w:t>
      </w:r>
      <w:r w:rsidR="000E6AF7">
        <w:rPr>
          <w:rFonts w:ascii="Times New Roman" w:hAnsi="Times New Roman" w:cs="Times New Roman"/>
          <w:sz w:val="24"/>
          <w:szCs w:val="24"/>
        </w:rPr>
        <w:t xml:space="preserve"> due to her female identity, she could never stand to be legitimised as a member of the social elite</w:t>
      </w:r>
      <w:r w:rsidR="00F90264">
        <w:rPr>
          <w:rFonts w:ascii="Times New Roman" w:hAnsi="Times New Roman" w:cs="Times New Roman"/>
          <w:sz w:val="24"/>
          <w:szCs w:val="24"/>
        </w:rPr>
        <w:t>. Under these circumstances, she would have to be seen as somewhat, or even utterly, masculine.</w:t>
      </w:r>
    </w:p>
    <w:p w14:paraId="364B02DB" w14:textId="76B96698" w:rsidR="00D07806" w:rsidRDefault="00D07806" w:rsidP="002B4596">
      <w:pPr>
        <w:spacing w:after="0"/>
        <w:rPr>
          <w:rFonts w:ascii="Times New Roman" w:hAnsi="Times New Roman" w:cs="Times New Roman"/>
          <w:sz w:val="24"/>
          <w:szCs w:val="24"/>
        </w:rPr>
      </w:pPr>
    </w:p>
    <w:p w14:paraId="41A1C9A8" w14:textId="30B70687" w:rsidR="00D07806" w:rsidRPr="00D07806" w:rsidRDefault="00D07806" w:rsidP="002B4596">
      <w:pPr>
        <w:spacing w:after="0"/>
        <w:rPr>
          <w:rFonts w:ascii="Times New Roman" w:hAnsi="Times New Roman" w:cs="Times New Roman"/>
          <w:sz w:val="24"/>
          <w:szCs w:val="24"/>
        </w:rPr>
      </w:pPr>
      <w:r>
        <w:rPr>
          <w:rFonts w:ascii="Times New Roman" w:hAnsi="Times New Roman" w:cs="Times New Roman"/>
          <w:sz w:val="28"/>
          <w:szCs w:val="28"/>
          <w:u w:val="single"/>
        </w:rPr>
        <w:t>The Vix Grave Krater</w:t>
      </w:r>
    </w:p>
    <w:p w14:paraId="46C55B9E" w14:textId="123680CA" w:rsidR="003605A1" w:rsidRDefault="00EE4175" w:rsidP="002B4596">
      <w:pPr>
        <w:spacing w:after="0"/>
        <w:rPr>
          <w:rFonts w:ascii="Times New Roman" w:hAnsi="Times New Roman" w:cs="Times New Roman"/>
          <w:sz w:val="24"/>
          <w:szCs w:val="24"/>
        </w:rPr>
      </w:pPr>
      <w:r>
        <w:rPr>
          <w:rFonts w:ascii="Times New Roman" w:hAnsi="Times New Roman" w:cs="Times New Roman"/>
          <w:sz w:val="24"/>
          <w:szCs w:val="24"/>
        </w:rPr>
        <w:t>Another argument worth considering is the question of what we know (or previously thought) about the treatment of women within</w:t>
      </w:r>
      <w:r w:rsidR="00D07806">
        <w:rPr>
          <w:rFonts w:ascii="Times New Roman" w:hAnsi="Times New Roman" w:cs="Times New Roman"/>
          <w:sz w:val="24"/>
          <w:szCs w:val="24"/>
        </w:rPr>
        <w:t xml:space="preserve"> the</w:t>
      </w:r>
      <w:r>
        <w:rPr>
          <w:rFonts w:ascii="Times New Roman" w:hAnsi="Times New Roman" w:cs="Times New Roman"/>
          <w:sz w:val="24"/>
          <w:szCs w:val="24"/>
        </w:rPr>
        <w:t xml:space="preserve"> wider Hal</w:t>
      </w:r>
      <w:r w:rsidR="007E0A9A">
        <w:rPr>
          <w:rFonts w:ascii="Times New Roman" w:hAnsi="Times New Roman" w:cs="Times New Roman"/>
          <w:sz w:val="24"/>
          <w:szCs w:val="24"/>
        </w:rPr>
        <w:t>l</w:t>
      </w:r>
      <w:r>
        <w:rPr>
          <w:rFonts w:ascii="Times New Roman" w:hAnsi="Times New Roman" w:cs="Times New Roman"/>
          <w:sz w:val="24"/>
          <w:szCs w:val="24"/>
        </w:rPr>
        <w:t>statt culture</w:t>
      </w:r>
      <w:r w:rsidR="00D07806">
        <w:rPr>
          <w:rFonts w:ascii="Times New Roman" w:hAnsi="Times New Roman" w:cs="Times New Roman"/>
          <w:sz w:val="24"/>
          <w:szCs w:val="24"/>
        </w:rPr>
        <w:t>,</w:t>
      </w:r>
      <w:r>
        <w:rPr>
          <w:rFonts w:ascii="Times New Roman" w:hAnsi="Times New Roman" w:cs="Times New Roman"/>
          <w:sz w:val="24"/>
          <w:szCs w:val="24"/>
        </w:rPr>
        <w:t xml:space="preserve"> and how this can inform our understanding of the Vix ‘Princess’. Without doubt the most widely known of the material findings within the burial site </w:t>
      </w:r>
      <w:r w:rsidR="00245F40">
        <w:rPr>
          <w:rFonts w:ascii="Times New Roman" w:hAnsi="Times New Roman" w:cs="Times New Roman"/>
          <w:sz w:val="24"/>
          <w:szCs w:val="24"/>
        </w:rPr>
        <w:t>is the ‘Vix Grave Krater’. Sitting over five feet tall and capable of holding 1</w:t>
      </w:r>
      <w:r w:rsidR="00FF6BC1">
        <w:rPr>
          <w:rFonts w:ascii="Times New Roman" w:hAnsi="Times New Roman" w:cs="Times New Roman"/>
          <w:sz w:val="24"/>
          <w:szCs w:val="24"/>
        </w:rPr>
        <w:t>1</w:t>
      </w:r>
      <w:r w:rsidR="00245F40">
        <w:rPr>
          <w:rFonts w:ascii="Times New Roman" w:hAnsi="Times New Roman" w:cs="Times New Roman"/>
          <w:sz w:val="24"/>
          <w:szCs w:val="24"/>
        </w:rPr>
        <w:t>00 litres of liquid, the krater is inherently Greek in style and composition</w:t>
      </w:r>
      <w:r w:rsidR="00863F78">
        <w:rPr>
          <w:rFonts w:ascii="Times New Roman" w:hAnsi="Times New Roman" w:cs="Times New Roman"/>
          <w:sz w:val="24"/>
          <w:szCs w:val="24"/>
        </w:rPr>
        <w:t>,</w:t>
      </w:r>
      <w:r w:rsidR="00245F40">
        <w:rPr>
          <w:rFonts w:ascii="Times New Roman" w:hAnsi="Times New Roman" w:cs="Times New Roman"/>
          <w:sz w:val="24"/>
          <w:szCs w:val="24"/>
        </w:rPr>
        <w:t xml:space="preserve"> and is believed to have been a gift with the purpose of commemorating a diplomatic relationship.</w:t>
      </w:r>
      <w:r w:rsidR="00EE5565">
        <w:rPr>
          <w:rStyle w:val="FootnoteReference"/>
          <w:rFonts w:ascii="Times New Roman" w:hAnsi="Times New Roman" w:cs="Times New Roman"/>
          <w:sz w:val="24"/>
          <w:szCs w:val="24"/>
        </w:rPr>
        <w:footnoteReference w:id="8"/>
      </w:r>
      <w:r w:rsidR="00245F40">
        <w:rPr>
          <w:rFonts w:ascii="Times New Roman" w:hAnsi="Times New Roman" w:cs="Times New Roman"/>
          <w:sz w:val="24"/>
          <w:szCs w:val="24"/>
        </w:rPr>
        <w:t xml:space="preserve"> The continental Celts in the Ha</w:t>
      </w:r>
      <w:r w:rsidR="007E0A9A">
        <w:rPr>
          <w:rFonts w:ascii="Times New Roman" w:hAnsi="Times New Roman" w:cs="Times New Roman"/>
          <w:sz w:val="24"/>
          <w:szCs w:val="24"/>
        </w:rPr>
        <w:t>l</w:t>
      </w:r>
      <w:r w:rsidR="00245F40">
        <w:rPr>
          <w:rFonts w:ascii="Times New Roman" w:hAnsi="Times New Roman" w:cs="Times New Roman"/>
          <w:sz w:val="24"/>
          <w:szCs w:val="24"/>
        </w:rPr>
        <w:t xml:space="preserve">lstatt zone traded frequently with Mediterranean peoples such as the </w:t>
      </w:r>
      <w:r w:rsidR="003605A1">
        <w:rPr>
          <w:rFonts w:ascii="Times New Roman" w:hAnsi="Times New Roman" w:cs="Times New Roman"/>
          <w:sz w:val="24"/>
          <w:szCs w:val="24"/>
        </w:rPr>
        <w:t>Etruscans in Italy and the Greeks</w:t>
      </w:r>
      <w:r w:rsidR="00863F78">
        <w:rPr>
          <w:rFonts w:ascii="Times New Roman" w:hAnsi="Times New Roman" w:cs="Times New Roman"/>
          <w:sz w:val="24"/>
          <w:szCs w:val="24"/>
        </w:rPr>
        <w:t>,</w:t>
      </w:r>
      <w:r w:rsidR="003605A1">
        <w:rPr>
          <w:rFonts w:ascii="Times New Roman" w:hAnsi="Times New Roman" w:cs="Times New Roman"/>
          <w:sz w:val="24"/>
          <w:szCs w:val="24"/>
        </w:rPr>
        <w:t xml:space="preserve"> and the prized commodity of Hal</w:t>
      </w:r>
      <w:r w:rsidR="007E0A9A">
        <w:rPr>
          <w:rFonts w:ascii="Times New Roman" w:hAnsi="Times New Roman" w:cs="Times New Roman"/>
          <w:sz w:val="24"/>
          <w:szCs w:val="24"/>
        </w:rPr>
        <w:t>l</w:t>
      </w:r>
      <w:r w:rsidR="003605A1">
        <w:rPr>
          <w:rFonts w:ascii="Times New Roman" w:hAnsi="Times New Roman" w:cs="Times New Roman"/>
          <w:sz w:val="24"/>
          <w:szCs w:val="24"/>
        </w:rPr>
        <w:t xml:space="preserve">statt salt was </w:t>
      </w:r>
      <w:r w:rsidR="00863F78">
        <w:rPr>
          <w:rFonts w:ascii="Times New Roman" w:hAnsi="Times New Roman" w:cs="Times New Roman"/>
          <w:sz w:val="24"/>
          <w:szCs w:val="24"/>
        </w:rPr>
        <w:t xml:space="preserve">often </w:t>
      </w:r>
      <w:r w:rsidR="003605A1">
        <w:rPr>
          <w:rFonts w:ascii="Times New Roman" w:hAnsi="Times New Roman" w:cs="Times New Roman"/>
          <w:sz w:val="24"/>
          <w:szCs w:val="24"/>
        </w:rPr>
        <w:t xml:space="preserve">exchanged for </w:t>
      </w:r>
      <w:r w:rsidR="00D07806">
        <w:rPr>
          <w:rFonts w:ascii="Times New Roman" w:hAnsi="Times New Roman" w:cs="Times New Roman"/>
          <w:sz w:val="24"/>
          <w:szCs w:val="24"/>
        </w:rPr>
        <w:t xml:space="preserve">the </w:t>
      </w:r>
      <w:r w:rsidR="003605A1">
        <w:rPr>
          <w:rFonts w:ascii="Times New Roman" w:hAnsi="Times New Roman" w:cs="Times New Roman"/>
          <w:sz w:val="24"/>
          <w:szCs w:val="24"/>
        </w:rPr>
        <w:t>wine produced further south.</w:t>
      </w:r>
      <w:r w:rsidR="00EE5565">
        <w:rPr>
          <w:rStyle w:val="FootnoteReference"/>
          <w:rFonts w:ascii="Times New Roman" w:hAnsi="Times New Roman" w:cs="Times New Roman"/>
          <w:sz w:val="24"/>
          <w:szCs w:val="24"/>
        </w:rPr>
        <w:footnoteReference w:id="9"/>
      </w:r>
      <w:r w:rsidR="003605A1">
        <w:rPr>
          <w:rFonts w:ascii="Times New Roman" w:hAnsi="Times New Roman" w:cs="Times New Roman"/>
          <w:sz w:val="24"/>
          <w:szCs w:val="24"/>
        </w:rPr>
        <w:t xml:space="preserve"> The discovery of the krater within the tomb has raised</w:t>
      </w:r>
      <w:r w:rsidR="00D07806">
        <w:rPr>
          <w:rFonts w:ascii="Times New Roman" w:hAnsi="Times New Roman" w:cs="Times New Roman"/>
          <w:sz w:val="24"/>
          <w:szCs w:val="24"/>
        </w:rPr>
        <w:t xml:space="preserve"> some</w:t>
      </w:r>
      <w:r w:rsidR="003605A1">
        <w:rPr>
          <w:rFonts w:ascii="Times New Roman" w:hAnsi="Times New Roman" w:cs="Times New Roman"/>
          <w:sz w:val="24"/>
          <w:szCs w:val="24"/>
        </w:rPr>
        <w:t xml:space="preserve"> doubt as to the nature of its purpose in an apparently female grave. This is widely </w:t>
      </w:r>
      <w:r w:rsidR="00B13C4F">
        <w:rPr>
          <w:rFonts w:ascii="Times New Roman" w:hAnsi="Times New Roman" w:cs="Times New Roman"/>
          <w:sz w:val="24"/>
          <w:szCs w:val="24"/>
        </w:rPr>
        <w:t>as a result of the belief that</w:t>
      </w:r>
      <w:r w:rsidR="003605A1">
        <w:rPr>
          <w:rFonts w:ascii="Times New Roman" w:hAnsi="Times New Roman" w:cs="Times New Roman"/>
          <w:sz w:val="24"/>
          <w:szCs w:val="24"/>
        </w:rPr>
        <w:t xml:space="preserve"> women within the ancient Celtic tradition were prohibited from engaging in the consumption </w:t>
      </w:r>
      <w:r w:rsidR="00526CC5">
        <w:rPr>
          <w:rFonts w:ascii="Times New Roman" w:hAnsi="Times New Roman" w:cs="Times New Roman"/>
          <w:sz w:val="24"/>
          <w:szCs w:val="24"/>
        </w:rPr>
        <w:t>of wine</w:t>
      </w:r>
      <w:r w:rsidR="005F4F9C">
        <w:rPr>
          <w:rFonts w:ascii="Times New Roman" w:hAnsi="Times New Roman" w:cs="Times New Roman"/>
          <w:sz w:val="24"/>
          <w:szCs w:val="24"/>
        </w:rPr>
        <w:t>,</w:t>
      </w:r>
      <w:r w:rsidR="00526CC5">
        <w:rPr>
          <w:rFonts w:ascii="Times New Roman" w:hAnsi="Times New Roman" w:cs="Times New Roman"/>
          <w:sz w:val="24"/>
          <w:szCs w:val="24"/>
        </w:rPr>
        <w:t xml:space="preserve"> as it</w:t>
      </w:r>
      <w:r w:rsidR="00D07806">
        <w:rPr>
          <w:rFonts w:ascii="Times New Roman" w:hAnsi="Times New Roman" w:cs="Times New Roman"/>
          <w:sz w:val="24"/>
          <w:szCs w:val="24"/>
        </w:rPr>
        <w:t xml:space="preserve"> was</w:t>
      </w:r>
      <w:r w:rsidR="00526CC5">
        <w:rPr>
          <w:rFonts w:ascii="Times New Roman" w:hAnsi="Times New Roman" w:cs="Times New Roman"/>
          <w:sz w:val="24"/>
          <w:szCs w:val="24"/>
        </w:rPr>
        <w:t xml:space="preserve"> preserved for those of high esteem</w:t>
      </w:r>
      <w:r w:rsidR="00E91CC3">
        <w:rPr>
          <w:rFonts w:ascii="Times New Roman" w:hAnsi="Times New Roman" w:cs="Times New Roman"/>
          <w:sz w:val="24"/>
          <w:szCs w:val="24"/>
        </w:rPr>
        <w:t xml:space="preserve"> and viewed a</w:t>
      </w:r>
      <w:r w:rsidR="00FF6BC1">
        <w:rPr>
          <w:rFonts w:ascii="Times New Roman" w:hAnsi="Times New Roman" w:cs="Times New Roman"/>
          <w:sz w:val="24"/>
          <w:szCs w:val="24"/>
        </w:rPr>
        <w:t>s a</w:t>
      </w:r>
      <w:r w:rsidR="00E91CC3">
        <w:rPr>
          <w:rFonts w:ascii="Times New Roman" w:hAnsi="Times New Roman" w:cs="Times New Roman"/>
          <w:sz w:val="24"/>
          <w:szCs w:val="24"/>
        </w:rPr>
        <w:t xml:space="preserve"> male pursuit</w:t>
      </w:r>
      <w:r w:rsidR="00526CC5">
        <w:rPr>
          <w:rFonts w:ascii="Times New Roman" w:hAnsi="Times New Roman" w:cs="Times New Roman"/>
          <w:sz w:val="24"/>
          <w:szCs w:val="24"/>
        </w:rPr>
        <w:t>.</w:t>
      </w:r>
      <w:r w:rsidR="00EE5565">
        <w:rPr>
          <w:rStyle w:val="FootnoteReference"/>
          <w:rFonts w:ascii="Times New Roman" w:hAnsi="Times New Roman" w:cs="Times New Roman"/>
          <w:sz w:val="24"/>
          <w:szCs w:val="24"/>
        </w:rPr>
        <w:footnoteReference w:id="10"/>
      </w:r>
      <w:r w:rsidR="00526CC5">
        <w:rPr>
          <w:rFonts w:ascii="Times New Roman" w:hAnsi="Times New Roman" w:cs="Times New Roman"/>
          <w:sz w:val="24"/>
          <w:szCs w:val="24"/>
        </w:rPr>
        <w:t xml:space="preserve"> </w:t>
      </w:r>
      <w:r w:rsidR="00863F78">
        <w:rPr>
          <w:rFonts w:ascii="Times New Roman" w:hAnsi="Times New Roman" w:cs="Times New Roman"/>
          <w:sz w:val="24"/>
          <w:szCs w:val="24"/>
        </w:rPr>
        <w:t>This could be a contributing factor to the belief that the deceased was, in fact, not a female. On the contrary</w:t>
      </w:r>
      <w:r w:rsidR="00526CC5">
        <w:rPr>
          <w:rFonts w:ascii="Times New Roman" w:hAnsi="Times New Roman" w:cs="Times New Roman"/>
          <w:sz w:val="24"/>
          <w:szCs w:val="24"/>
        </w:rPr>
        <w:t xml:space="preserve">, it seems only too easy to wonder if the presence, and indeed existence, of the Vix grave </w:t>
      </w:r>
      <w:r w:rsidR="00FF6BC1">
        <w:rPr>
          <w:rFonts w:ascii="Times New Roman" w:hAnsi="Times New Roman" w:cs="Times New Roman"/>
          <w:sz w:val="24"/>
          <w:szCs w:val="24"/>
        </w:rPr>
        <w:t>k</w:t>
      </w:r>
      <w:r w:rsidR="00526CC5">
        <w:rPr>
          <w:rFonts w:ascii="Times New Roman" w:hAnsi="Times New Roman" w:cs="Times New Roman"/>
          <w:sz w:val="24"/>
          <w:szCs w:val="24"/>
        </w:rPr>
        <w:t>rater should</w:t>
      </w:r>
      <w:r w:rsidR="00863F78">
        <w:rPr>
          <w:rFonts w:ascii="Times New Roman" w:hAnsi="Times New Roman" w:cs="Times New Roman"/>
          <w:sz w:val="24"/>
          <w:szCs w:val="24"/>
        </w:rPr>
        <w:t xml:space="preserve"> instead</w:t>
      </w:r>
      <w:r w:rsidR="00526CC5">
        <w:rPr>
          <w:rFonts w:ascii="Times New Roman" w:hAnsi="Times New Roman" w:cs="Times New Roman"/>
          <w:sz w:val="24"/>
          <w:szCs w:val="24"/>
        </w:rPr>
        <w:t xml:space="preserve"> be considered evidence that women were in fact included within the upper echelons of Hal</w:t>
      </w:r>
      <w:r w:rsidR="007E0A9A">
        <w:rPr>
          <w:rFonts w:ascii="Times New Roman" w:hAnsi="Times New Roman" w:cs="Times New Roman"/>
          <w:sz w:val="24"/>
          <w:szCs w:val="24"/>
        </w:rPr>
        <w:t>l</w:t>
      </w:r>
      <w:r w:rsidR="00526CC5">
        <w:rPr>
          <w:rFonts w:ascii="Times New Roman" w:hAnsi="Times New Roman" w:cs="Times New Roman"/>
          <w:sz w:val="24"/>
          <w:szCs w:val="24"/>
        </w:rPr>
        <w:t>statt society</w:t>
      </w:r>
      <w:r w:rsidR="00863F78">
        <w:rPr>
          <w:rFonts w:ascii="Times New Roman" w:hAnsi="Times New Roman" w:cs="Times New Roman"/>
          <w:sz w:val="24"/>
          <w:szCs w:val="24"/>
        </w:rPr>
        <w:t>, thus making the high status of the burial not at all out of the ordinary.</w:t>
      </w:r>
    </w:p>
    <w:p w14:paraId="0386B012" w14:textId="77777777" w:rsidR="002A1062" w:rsidRDefault="002A1062" w:rsidP="002B4596">
      <w:pPr>
        <w:spacing w:after="0"/>
        <w:rPr>
          <w:rFonts w:ascii="Times New Roman" w:hAnsi="Times New Roman" w:cs="Times New Roman"/>
          <w:sz w:val="24"/>
          <w:szCs w:val="24"/>
        </w:rPr>
      </w:pPr>
    </w:p>
    <w:p w14:paraId="59D24CB2" w14:textId="2E974115" w:rsidR="007944AA" w:rsidRDefault="0034522B" w:rsidP="002B4596">
      <w:pPr>
        <w:spacing w:after="0"/>
        <w:rPr>
          <w:rFonts w:ascii="Times New Roman" w:hAnsi="Times New Roman" w:cs="Times New Roman"/>
          <w:sz w:val="24"/>
          <w:szCs w:val="24"/>
        </w:rPr>
      </w:pPr>
      <w:r>
        <w:rPr>
          <w:rFonts w:ascii="Times New Roman" w:hAnsi="Times New Roman" w:cs="Times New Roman"/>
          <w:sz w:val="28"/>
          <w:szCs w:val="28"/>
          <w:u w:val="single"/>
        </w:rPr>
        <w:t>Unearthed Treasures</w:t>
      </w:r>
    </w:p>
    <w:p w14:paraId="4EF7EBA5" w14:textId="290A84AC" w:rsidR="00B13C4F" w:rsidRDefault="007E0A9A" w:rsidP="002B4596">
      <w:pPr>
        <w:spacing w:after="0"/>
        <w:rPr>
          <w:rFonts w:ascii="Times New Roman" w:hAnsi="Times New Roman" w:cs="Times New Roman"/>
          <w:sz w:val="24"/>
          <w:szCs w:val="24"/>
        </w:rPr>
      </w:pPr>
      <w:r>
        <w:rPr>
          <w:rFonts w:ascii="Times New Roman" w:hAnsi="Times New Roman" w:cs="Times New Roman"/>
          <w:sz w:val="24"/>
          <w:szCs w:val="24"/>
        </w:rPr>
        <w:t xml:space="preserve">Upon analysis of the copious </w:t>
      </w:r>
      <w:r w:rsidR="003D1ED2">
        <w:rPr>
          <w:rFonts w:ascii="Times New Roman" w:hAnsi="Times New Roman" w:cs="Times New Roman"/>
          <w:sz w:val="24"/>
          <w:szCs w:val="24"/>
        </w:rPr>
        <w:t>archaeological material findings</w:t>
      </w:r>
      <w:r>
        <w:rPr>
          <w:rFonts w:ascii="Times New Roman" w:hAnsi="Times New Roman" w:cs="Times New Roman"/>
          <w:sz w:val="24"/>
          <w:szCs w:val="24"/>
        </w:rPr>
        <w:t xml:space="preserve">, it is possible to divide said artifacts into two categories. The first of these concerns those </w:t>
      </w:r>
      <w:r w:rsidR="006445CE">
        <w:rPr>
          <w:rFonts w:ascii="Times New Roman" w:hAnsi="Times New Roman" w:cs="Times New Roman"/>
          <w:sz w:val="24"/>
          <w:szCs w:val="24"/>
        </w:rPr>
        <w:t>items</w:t>
      </w:r>
      <w:r>
        <w:rPr>
          <w:rFonts w:ascii="Times New Roman" w:hAnsi="Times New Roman" w:cs="Times New Roman"/>
          <w:sz w:val="24"/>
          <w:szCs w:val="24"/>
        </w:rPr>
        <w:t xml:space="preserve"> which </w:t>
      </w:r>
      <w:r w:rsidR="003D1ED2">
        <w:rPr>
          <w:rFonts w:ascii="Times New Roman" w:hAnsi="Times New Roman" w:cs="Times New Roman"/>
          <w:sz w:val="24"/>
          <w:szCs w:val="24"/>
        </w:rPr>
        <w:t xml:space="preserve">were evidently </w:t>
      </w:r>
      <w:r w:rsidR="003D1ED2">
        <w:rPr>
          <w:rFonts w:ascii="Times New Roman" w:hAnsi="Times New Roman" w:cs="Times New Roman"/>
          <w:sz w:val="24"/>
          <w:szCs w:val="24"/>
        </w:rPr>
        <w:lastRenderedPageBreak/>
        <w:t>p</w:t>
      </w:r>
      <w:r w:rsidR="005753EC">
        <w:rPr>
          <w:rFonts w:ascii="Times New Roman" w:hAnsi="Times New Roman" w:cs="Times New Roman"/>
          <w:sz w:val="24"/>
          <w:szCs w:val="24"/>
        </w:rPr>
        <w:t xml:space="preserve">ersonal </w:t>
      </w:r>
      <w:r w:rsidR="003D1ED2">
        <w:rPr>
          <w:rFonts w:ascii="Times New Roman" w:hAnsi="Times New Roman" w:cs="Times New Roman"/>
          <w:sz w:val="24"/>
          <w:szCs w:val="24"/>
        </w:rPr>
        <w:t>goods</w:t>
      </w:r>
      <w:r w:rsidR="005753EC">
        <w:rPr>
          <w:rFonts w:ascii="Times New Roman" w:hAnsi="Times New Roman" w:cs="Times New Roman"/>
          <w:sz w:val="24"/>
          <w:szCs w:val="24"/>
        </w:rPr>
        <w:t xml:space="preserve"> excavated from the burial chamber</w:t>
      </w:r>
      <w:r w:rsidR="003D1ED2">
        <w:rPr>
          <w:rFonts w:ascii="Times New Roman" w:hAnsi="Times New Roman" w:cs="Times New Roman"/>
          <w:sz w:val="24"/>
          <w:szCs w:val="24"/>
        </w:rPr>
        <w:t>. These</w:t>
      </w:r>
      <w:r w:rsidR="005753EC">
        <w:rPr>
          <w:rFonts w:ascii="Times New Roman" w:hAnsi="Times New Roman" w:cs="Times New Roman"/>
          <w:sz w:val="24"/>
          <w:szCs w:val="24"/>
        </w:rPr>
        <w:t xml:space="preserve"> include two torcs (one of 24 carat gold and one of bronze), six fibulae, and a selection of seven bracelets (six crafted from slate and the remaining one fashioned from amber beads).</w:t>
      </w:r>
      <w:r w:rsidR="00EE5565">
        <w:rPr>
          <w:rStyle w:val="FootnoteReference"/>
          <w:rFonts w:ascii="Times New Roman" w:hAnsi="Times New Roman" w:cs="Times New Roman"/>
          <w:sz w:val="24"/>
          <w:szCs w:val="24"/>
        </w:rPr>
        <w:footnoteReference w:id="11"/>
      </w:r>
      <w:r w:rsidR="005753EC">
        <w:rPr>
          <w:rFonts w:ascii="Times New Roman" w:hAnsi="Times New Roman" w:cs="Times New Roman"/>
          <w:sz w:val="24"/>
          <w:szCs w:val="24"/>
        </w:rPr>
        <w:t xml:space="preserve"> It is true that o</w:t>
      </w:r>
      <w:r w:rsidR="006445CE">
        <w:rPr>
          <w:rFonts w:ascii="Times New Roman" w:hAnsi="Times New Roman" w:cs="Times New Roman"/>
          <w:sz w:val="24"/>
          <w:szCs w:val="24"/>
        </w:rPr>
        <w:t>ne would be remiss to consider this an unusual discovery</w:t>
      </w:r>
      <w:r w:rsidR="009D117D">
        <w:rPr>
          <w:rFonts w:ascii="Times New Roman" w:hAnsi="Times New Roman" w:cs="Times New Roman"/>
          <w:sz w:val="24"/>
          <w:szCs w:val="24"/>
        </w:rPr>
        <w:t>,</w:t>
      </w:r>
      <w:r w:rsidR="005753EC">
        <w:rPr>
          <w:rFonts w:ascii="Times New Roman" w:hAnsi="Times New Roman" w:cs="Times New Roman"/>
          <w:sz w:val="24"/>
          <w:szCs w:val="24"/>
        </w:rPr>
        <w:t xml:space="preserve"> since personal </w:t>
      </w:r>
      <w:r w:rsidR="00B13C4F">
        <w:rPr>
          <w:rFonts w:ascii="Times New Roman" w:hAnsi="Times New Roman" w:cs="Times New Roman"/>
          <w:sz w:val="24"/>
          <w:szCs w:val="24"/>
        </w:rPr>
        <w:t>items</w:t>
      </w:r>
      <w:r w:rsidR="005753EC">
        <w:rPr>
          <w:rFonts w:ascii="Times New Roman" w:hAnsi="Times New Roman" w:cs="Times New Roman"/>
          <w:sz w:val="24"/>
          <w:szCs w:val="24"/>
        </w:rPr>
        <w:t xml:space="preserve">, </w:t>
      </w:r>
      <w:r w:rsidR="00B13C4F">
        <w:rPr>
          <w:rFonts w:ascii="Times New Roman" w:hAnsi="Times New Roman" w:cs="Times New Roman"/>
          <w:sz w:val="24"/>
          <w:szCs w:val="24"/>
        </w:rPr>
        <w:t>especially jewellery,</w:t>
      </w:r>
      <w:r w:rsidR="005753EC">
        <w:rPr>
          <w:rFonts w:ascii="Times New Roman" w:hAnsi="Times New Roman" w:cs="Times New Roman"/>
          <w:sz w:val="24"/>
          <w:szCs w:val="24"/>
        </w:rPr>
        <w:t xml:space="preserve"> have long been found </w:t>
      </w:r>
      <w:r w:rsidR="00B13C4F">
        <w:rPr>
          <w:rFonts w:ascii="Times New Roman" w:hAnsi="Times New Roman" w:cs="Times New Roman"/>
          <w:sz w:val="24"/>
          <w:szCs w:val="24"/>
        </w:rPr>
        <w:t xml:space="preserve">throughout the ancient world buried with their possessors. Despite this, one should also consider that </w:t>
      </w:r>
      <w:r w:rsidR="006445CE">
        <w:rPr>
          <w:rFonts w:ascii="Times New Roman" w:hAnsi="Times New Roman" w:cs="Times New Roman"/>
          <w:sz w:val="24"/>
          <w:szCs w:val="24"/>
        </w:rPr>
        <w:t>torcs themselves have be</w:t>
      </w:r>
      <w:r w:rsidR="009D117D">
        <w:rPr>
          <w:rFonts w:ascii="Times New Roman" w:hAnsi="Times New Roman" w:cs="Times New Roman"/>
          <w:sz w:val="24"/>
          <w:szCs w:val="24"/>
        </w:rPr>
        <w:t>en</w:t>
      </w:r>
      <w:r w:rsidR="006445CE">
        <w:rPr>
          <w:rFonts w:ascii="Times New Roman" w:hAnsi="Times New Roman" w:cs="Times New Roman"/>
          <w:sz w:val="24"/>
          <w:szCs w:val="24"/>
        </w:rPr>
        <w:t xml:space="preserve"> synonymous with both male and female Celts throughout the </w:t>
      </w:r>
      <w:r w:rsidR="003D1ED2">
        <w:rPr>
          <w:rFonts w:ascii="Times New Roman" w:hAnsi="Times New Roman" w:cs="Times New Roman"/>
          <w:sz w:val="24"/>
          <w:szCs w:val="24"/>
        </w:rPr>
        <w:t>I</w:t>
      </w:r>
      <w:r w:rsidR="006445CE">
        <w:rPr>
          <w:rFonts w:ascii="Times New Roman" w:hAnsi="Times New Roman" w:cs="Times New Roman"/>
          <w:sz w:val="24"/>
          <w:szCs w:val="24"/>
        </w:rPr>
        <w:t xml:space="preserve">nsular </w:t>
      </w:r>
      <w:r w:rsidR="00B13C4F">
        <w:rPr>
          <w:rFonts w:ascii="Times New Roman" w:hAnsi="Times New Roman" w:cs="Times New Roman"/>
          <w:sz w:val="24"/>
          <w:szCs w:val="24"/>
        </w:rPr>
        <w:t>and</w:t>
      </w:r>
      <w:r w:rsidR="006445CE">
        <w:rPr>
          <w:rFonts w:ascii="Times New Roman" w:hAnsi="Times New Roman" w:cs="Times New Roman"/>
          <w:sz w:val="24"/>
          <w:szCs w:val="24"/>
        </w:rPr>
        <w:t xml:space="preserve"> the </w:t>
      </w:r>
      <w:r w:rsidR="003D1ED2">
        <w:rPr>
          <w:rFonts w:ascii="Times New Roman" w:hAnsi="Times New Roman" w:cs="Times New Roman"/>
          <w:sz w:val="24"/>
          <w:szCs w:val="24"/>
        </w:rPr>
        <w:t>C</w:t>
      </w:r>
      <w:r w:rsidR="006445CE">
        <w:rPr>
          <w:rFonts w:ascii="Times New Roman" w:hAnsi="Times New Roman" w:cs="Times New Roman"/>
          <w:sz w:val="24"/>
          <w:szCs w:val="24"/>
        </w:rPr>
        <w:t>ontinental Celtic world</w:t>
      </w:r>
      <w:r w:rsidR="003D1ED2">
        <w:rPr>
          <w:rFonts w:ascii="Times New Roman" w:hAnsi="Times New Roman" w:cs="Times New Roman"/>
          <w:sz w:val="24"/>
          <w:szCs w:val="24"/>
        </w:rPr>
        <w:t>,</w:t>
      </w:r>
      <w:r w:rsidR="005753EC">
        <w:rPr>
          <w:rFonts w:ascii="Times New Roman" w:hAnsi="Times New Roman" w:cs="Times New Roman"/>
          <w:sz w:val="24"/>
          <w:szCs w:val="24"/>
        </w:rPr>
        <w:t xml:space="preserve"> and therefore could appeal further to the notion that the sex of the body remains ambiguous.</w:t>
      </w:r>
      <w:r w:rsidR="00EE5565">
        <w:rPr>
          <w:rStyle w:val="FootnoteReference"/>
          <w:rFonts w:ascii="Times New Roman" w:hAnsi="Times New Roman" w:cs="Times New Roman"/>
          <w:sz w:val="24"/>
          <w:szCs w:val="24"/>
        </w:rPr>
        <w:footnoteReference w:id="12"/>
      </w:r>
      <w:r w:rsidR="005753EC">
        <w:rPr>
          <w:rFonts w:ascii="Times New Roman" w:hAnsi="Times New Roman" w:cs="Times New Roman"/>
          <w:sz w:val="24"/>
          <w:szCs w:val="24"/>
        </w:rPr>
        <w:t xml:space="preserve"> </w:t>
      </w:r>
      <w:r w:rsidR="00B13C4F">
        <w:rPr>
          <w:rFonts w:ascii="Times New Roman" w:hAnsi="Times New Roman" w:cs="Times New Roman"/>
          <w:sz w:val="24"/>
          <w:szCs w:val="24"/>
        </w:rPr>
        <w:t>On the other hand, the presence of the seven bracelets, clearly intended for a female wearer, could</w:t>
      </w:r>
      <w:r w:rsidR="005753EC">
        <w:rPr>
          <w:rFonts w:ascii="Times New Roman" w:hAnsi="Times New Roman" w:cs="Times New Roman"/>
          <w:sz w:val="24"/>
          <w:szCs w:val="24"/>
        </w:rPr>
        <w:t xml:space="preserve"> </w:t>
      </w:r>
      <w:r w:rsidR="00B13C4F">
        <w:rPr>
          <w:rFonts w:ascii="Times New Roman" w:hAnsi="Times New Roman" w:cs="Times New Roman"/>
          <w:sz w:val="24"/>
          <w:szCs w:val="24"/>
        </w:rPr>
        <w:t xml:space="preserve">be a </w:t>
      </w:r>
      <w:r w:rsidR="005753EC">
        <w:rPr>
          <w:rFonts w:ascii="Times New Roman" w:hAnsi="Times New Roman" w:cs="Times New Roman"/>
          <w:sz w:val="24"/>
          <w:szCs w:val="24"/>
        </w:rPr>
        <w:t xml:space="preserve">further assertion of the </w:t>
      </w:r>
      <w:r w:rsidR="00B13C4F">
        <w:rPr>
          <w:rFonts w:ascii="Times New Roman" w:hAnsi="Times New Roman" w:cs="Times New Roman"/>
          <w:sz w:val="24"/>
          <w:szCs w:val="24"/>
        </w:rPr>
        <w:t>womanhood of the individual.</w:t>
      </w:r>
    </w:p>
    <w:p w14:paraId="5A747EFF" w14:textId="22ED513E" w:rsidR="003D1ED2" w:rsidRDefault="00B13C4F" w:rsidP="002B4596">
      <w:pPr>
        <w:spacing w:after="0"/>
        <w:rPr>
          <w:rFonts w:ascii="Times New Roman" w:hAnsi="Times New Roman" w:cs="Times New Roman"/>
          <w:sz w:val="24"/>
          <w:szCs w:val="24"/>
        </w:rPr>
      </w:pPr>
      <w:r>
        <w:rPr>
          <w:rFonts w:ascii="Times New Roman" w:hAnsi="Times New Roman" w:cs="Times New Roman"/>
          <w:sz w:val="24"/>
          <w:szCs w:val="24"/>
        </w:rPr>
        <w:t xml:space="preserve">The second </w:t>
      </w:r>
      <w:r w:rsidR="009D117D">
        <w:rPr>
          <w:rFonts w:ascii="Times New Roman" w:hAnsi="Times New Roman" w:cs="Times New Roman"/>
          <w:sz w:val="24"/>
          <w:szCs w:val="24"/>
        </w:rPr>
        <w:t>set</w:t>
      </w:r>
      <w:r>
        <w:rPr>
          <w:rFonts w:ascii="Times New Roman" w:hAnsi="Times New Roman" w:cs="Times New Roman"/>
          <w:sz w:val="24"/>
          <w:szCs w:val="24"/>
        </w:rPr>
        <w:t xml:space="preserve"> of findings </w:t>
      </w:r>
      <w:r w:rsidR="00E531F1">
        <w:rPr>
          <w:rFonts w:ascii="Times New Roman" w:hAnsi="Times New Roman" w:cs="Times New Roman"/>
          <w:sz w:val="24"/>
          <w:szCs w:val="24"/>
        </w:rPr>
        <w:t xml:space="preserve">are those which </w:t>
      </w:r>
      <w:r>
        <w:rPr>
          <w:rFonts w:ascii="Times New Roman" w:hAnsi="Times New Roman" w:cs="Times New Roman"/>
          <w:sz w:val="24"/>
          <w:szCs w:val="24"/>
        </w:rPr>
        <w:t>appear to denote high social status</w:t>
      </w:r>
      <w:r w:rsidR="0034522B">
        <w:rPr>
          <w:rFonts w:ascii="Times New Roman" w:hAnsi="Times New Roman" w:cs="Times New Roman"/>
          <w:sz w:val="24"/>
          <w:szCs w:val="24"/>
        </w:rPr>
        <w:t>, arguably the two most important of which are the Vix grave krater and the four-wheeled wagon. Wagons of this sort are ubiquitous within Iron Age European graves</w:t>
      </w:r>
      <w:r w:rsidR="00171391">
        <w:rPr>
          <w:rFonts w:ascii="Times New Roman" w:hAnsi="Times New Roman" w:cs="Times New Roman"/>
          <w:sz w:val="24"/>
          <w:szCs w:val="24"/>
        </w:rPr>
        <w:t>, the presence of which is generally associated with individuals who held position</w:t>
      </w:r>
      <w:r w:rsidR="00E531F1">
        <w:rPr>
          <w:rFonts w:ascii="Times New Roman" w:hAnsi="Times New Roman" w:cs="Times New Roman"/>
          <w:sz w:val="24"/>
          <w:szCs w:val="24"/>
        </w:rPr>
        <w:t>s</w:t>
      </w:r>
      <w:r w:rsidR="00171391">
        <w:rPr>
          <w:rFonts w:ascii="Times New Roman" w:hAnsi="Times New Roman" w:cs="Times New Roman"/>
          <w:sz w:val="24"/>
          <w:szCs w:val="24"/>
        </w:rPr>
        <w:t xml:space="preserve"> of influence within their respective communities. They were also believed to assist and accompany the deceased on their way to the afterlife. The wagon in the grave of the Vix ‘Princess’ was found with all but the metal components having long since perished by the time of the site’s excavation, and so the complete artifact could not be analysed as one would have hoped. But what seems more telling than the condition of the wagon itself, is the manner and position in which it was unearthed</w:t>
      </w:r>
      <w:r w:rsidR="00BA4C85">
        <w:rPr>
          <w:rFonts w:ascii="Times New Roman" w:hAnsi="Times New Roman" w:cs="Times New Roman"/>
          <w:sz w:val="24"/>
          <w:szCs w:val="24"/>
        </w:rPr>
        <w:t xml:space="preserve">. </w:t>
      </w:r>
      <w:r w:rsidR="003D1ED2">
        <w:rPr>
          <w:rFonts w:ascii="Times New Roman" w:hAnsi="Times New Roman" w:cs="Times New Roman"/>
          <w:sz w:val="24"/>
          <w:szCs w:val="24"/>
        </w:rPr>
        <w:t>Further</w:t>
      </w:r>
      <w:r w:rsidR="00BA4C85">
        <w:rPr>
          <w:rFonts w:ascii="Times New Roman" w:hAnsi="Times New Roman" w:cs="Times New Roman"/>
          <w:sz w:val="24"/>
          <w:szCs w:val="24"/>
        </w:rPr>
        <w:t xml:space="preserve"> eviden</w:t>
      </w:r>
      <w:r w:rsidR="003D1ED2">
        <w:rPr>
          <w:rFonts w:ascii="Times New Roman" w:hAnsi="Times New Roman" w:cs="Times New Roman"/>
          <w:sz w:val="24"/>
          <w:szCs w:val="24"/>
        </w:rPr>
        <w:t>ce of this is visible</w:t>
      </w:r>
      <w:r w:rsidR="00BA4C85">
        <w:rPr>
          <w:rFonts w:ascii="Times New Roman" w:hAnsi="Times New Roman" w:cs="Times New Roman"/>
          <w:sz w:val="24"/>
          <w:szCs w:val="24"/>
        </w:rPr>
        <w:t xml:space="preserve"> upon comparison between the Vix grave and that of the Hochdorf Chieftain</w:t>
      </w:r>
      <w:r w:rsidR="003D1ED2">
        <w:rPr>
          <w:rFonts w:ascii="Times New Roman" w:hAnsi="Times New Roman" w:cs="Times New Roman"/>
          <w:sz w:val="24"/>
          <w:szCs w:val="24"/>
        </w:rPr>
        <w:t xml:space="preserve">. This specific </w:t>
      </w:r>
      <w:r w:rsidR="00BA4C85">
        <w:rPr>
          <w:rFonts w:ascii="Times New Roman" w:hAnsi="Times New Roman" w:cs="Times New Roman"/>
          <w:sz w:val="24"/>
          <w:szCs w:val="24"/>
        </w:rPr>
        <w:t xml:space="preserve">burial site </w:t>
      </w:r>
      <w:r w:rsidR="003D1ED2">
        <w:rPr>
          <w:rFonts w:ascii="Times New Roman" w:hAnsi="Times New Roman" w:cs="Times New Roman"/>
          <w:sz w:val="24"/>
          <w:szCs w:val="24"/>
        </w:rPr>
        <w:t xml:space="preserve">is considered contemporary with the Vix grave as it was </w:t>
      </w:r>
      <w:r w:rsidR="00BA4C85">
        <w:rPr>
          <w:rFonts w:ascii="Times New Roman" w:hAnsi="Times New Roman" w:cs="Times New Roman"/>
          <w:sz w:val="24"/>
          <w:szCs w:val="24"/>
        </w:rPr>
        <w:t xml:space="preserve">discovered some </w:t>
      </w:r>
      <w:r w:rsidR="00A54546">
        <w:rPr>
          <w:rFonts w:ascii="Times New Roman" w:hAnsi="Times New Roman" w:cs="Times New Roman"/>
          <w:sz w:val="24"/>
          <w:szCs w:val="24"/>
        </w:rPr>
        <w:t>466 kilometres from Mont Lassois</w:t>
      </w:r>
      <w:r w:rsidR="003D1ED2">
        <w:rPr>
          <w:rFonts w:ascii="Times New Roman" w:hAnsi="Times New Roman" w:cs="Times New Roman"/>
          <w:sz w:val="24"/>
          <w:szCs w:val="24"/>
        </w:rPr>
        <w:t xml:space="preserve">. Additionally, the </w:t>
      </w:r>
      <w:r w:rsidR="00971B99">
        <w:rPr>
          <w:rFonts w:ascii="Times New Roman" w:hAnsi="Times New Roman" w:cs="Times New Roman"/>
          <w:sz w:val="24"/>
          <w:szCs w:val="24"/>
        </w:rPr>
        <w:t>deceased was buried at around 40 years of age, probably somewhere between 540 and 530 BCE</w:t>
      </w:r>
      <w:r w:rsidR="00A54546">
        <w:rPr>
          <w:rFonts w:ascii="Times New Roman" w:hAnsi="Times New Roman" w:cs="Times New Roman"/>
          <w:sz w:val="24"/>
          <w:szCs w:val="24"/>
        </w:rPr>
        <w:t>. The body at Vix was placed atop the chariot, the wheels of which were detached and placed beside it. The Hochdorf Chieftain, however, was laid to rest in the traditional manner of the time, placed on a couch alongside the chariot itself. It is difficult to determine if this is another instance of the inhabitant of the Vix</w:t>
      </w:r>
      <w:r w:rsidR="00971B99">
        <w:rPr>
          <w:rFonts w:ascii="Times New Roman" w:hAnsi="Times New Roman" w:cs="Times New Roman"/>
          <w:sz w:val="24"/>
          <w:szCs w:val="24"/>
        </w:rPr>
        <w:t xml:space="preserve"> grave </w:t>
      </w:r>
      <w:r w:rsidR="00A54546">
        <w:rPr>
          <w:rFonts w:ascii="Times New Roman" w:hAnsi="Times New Roman" w:cs="Times New Roman"/>
          <w:sz w:val="24"/>
          <w:szCs w:val="24"/>
        </w:rPr>
        <w:t>being singled out due to gender, or instead due to their distinguished healing capabilities.</w:t>
      </w:r>
      <w:r w:rsidR="00EE5565">
        <w:rPr>
          <w:rStyle w:val="FootnoteReference"/>
          <w:rFonts w:ascii="Times New Roman" w:hAnsi="Times New Roman" w:cs="Times New Roman"/>
          <w:sz w:val="24"/>
          <w:szCs w:val="24"/>
        </w:rPr>
        <w:footnoteReference w:id="13"/>
      </w:r>
    </w:p>
    <w:p w14:paraId="5F616A1B" w14:textId="6E15E1E5" w:rsidR="003D1ED2" w:rsidRDefault="00971B99" w:rsidP="002B4596">
      <w:pPr>
        <w:spacing w:after="0"/>
        <w:rPr>
          <w:rFonts w:ascii="Times New Roman" w:hAnsi="Times New Roman" w:cs="Times New Roman"/>
          <w:sz w:val="24"/>
          <w:szCs w:val="24"/>
        </w:rPr>
      </w:pPr>
      <w:r>
        <w:rPr>
          <w:rFonts w:ascii="Times New Roman" w:hAnsi="Times New Roman" w:cs="Times New Roman"/>
          <w:sz w:val="24"/>
          <w:szCs w:val="24"/>
        </w:rPr>
        <w:t xml:space="preserve">As mentioned prior, arguably the most significant of the burial goods, the Vix grave krater, was used to hold probably both wine and water. Other similar material artifacts of this nature were also found at the site, all of which pertain to the production and consumption of wine. </w:t>
      </w:r>
      <w:r w:rsidR="007C4D38">
        <w:rPr>
          <w:rFonts w:ascii="Times New Roman" w:hAnsi="Times New Roman" w:cs="Times New Roman"/>
          <w:sz w:val="24"/>
          <w:szCs w:val="24"/>
        </w:rPr>
        <w:t xml:space="preserve">An Etruscan bronze container with the purpose of </w:t>
      </w:r>
      <w:r w:rsidR="00E531F1">
        <w:rPr>
          <w:rFonts w:ascii="Times New Roman" w:hAnsi="Times New Roman" w:cs="Times New Roman"/>
          <w:sz w:val="24"/>
          <w:szCs w:val="24"/>
        </w:rPr>
        <w:t>both displaying and decanting</w:t>
      </w:r>
      <w:r w:rsidR="007C4D38">
        <w:rPr>
          <w:rFonts w:ascii="Times New Roman" w:hAnsi="Times New Roman" w:cs="Times New Roman"/>
          <w:sz w:val="24"/>
          <w:szCs w:val="24"/>
        </w:rPr>
        <w:t xml:space="preserve"> wine, as well as more than one drinking vessel traced to Etruria and Attica</w:t>
      </w:r>
      <w:r w:rsidR="00E531F1">
        <w:rPr>
          <w:rFonts w:ascii="Times New Roman" w:hAnsi="Times New Roman" w:cs="Times New Roman"/>
          <w:sz w:val="24"/>
          <w:szCs w:val="24"/>
        </w:rPr>
        <w:t>,</w:t>
      </w:r>
      <w:r w:rsidR="007C4D38">
        <w:rPr>
          <w:rFonts w:ascii="Times New Roman" w:hAnsi="Times New Roman" w:cs="Times New Roman"/>
          <w:sz w:val="24"/>
          <w:szCs w:val="24"/>
        </w:rPr>
        <w:t xml:space="preserve"> were unearthed.</w:t>
      </w:r>
      <w:r w:rsidR="00EE5565">
        <w:rPr>
          <w:rStyle w:val="FootnoteReference"/>
          <w:rFonts w:ascii="Times New Roman" w:hAnsi="Times New Roman" w:cs="Times New Roman"/>
          <w:sz w:val="24"/>
          <w:szCs w:val="24"/>
        </w:rPr>
        <w:footnoteReference w:id="14"/>
      </w:r>
      <w:r w:rsidR="007C4D38">
        <w:rPr>
          <w:rFonts w:ascii="Times New Roman" w:hAnsi="Times New Roman" w:cs="Times New Roman"/>
          <w:sz w:val="24"/>
          <w:szCs w:val="24"/>
        </w:rPr>
        <w:t xml:space="preserve"> </w:t>
      </w:r>
      <w:r w:rsidR="007C4D38">
        <w:rPr>
          <w:rFonts w:ascii="Times New Roman" w:hAnsi="Times New Roman" w:cs="Times New Roman"/>
          <w:sz w:val="24"/>
          <w:szCs w:val="24"/>
        </w:rPr>
        <w:t>These are widely believed to be</w:t>
      </w:r>
      <w:r w:rsidR="007C4D38">
        <w:rPr>
          <w:rFonts w:ascii="Times New Roman" w:hAnsi="Times New Roman" w:cs="Times New Roman"/>
          <w:sz w:val="24"/>
          <w:szCs w:val="24"/>
        </w:rPr>
        <w:t xml:space="preserve"> consequential </w:t>
      </w:r>
      <w:r w:rsidR="007C4D38">
        <w:rPr>
          <w:rFonts w:ascii="Times New Roman" w:hAnsi="Times New Roman" w:cs="Times New Roman"/>
          <w:sz w:val="24"/>
          <w:szCs w:val="24"/>
        </w:rPr>
        <w:t xml:space="preserve">of the trade relations between Hallstatt </w:t>
      </w:r>
      <w:r w:rsidR="007C4D38">
        <w:rPr>
          <w:rFonts w:ascii="Times New Roman" w:hAnsi="Times New Roman" w:cs="Times New Roman"/>
          <w:sz w:val="24"/>
          <w:szCs w:val="24"/>
        </w:rPr>
        <w:t xml:space="preserve">and the pre-historic Greek and Italian world. Subsequently, one could attest that </w:t>
      </w:r>
      <w:r w:rsidR="00E531F1">
        <w:rPr>
          <w:rFonts w:ascii="Times New Roman" w:hAnsi="Times New Roman" w:cs="Times New Roman"/>
          <w:sz w:val="24"/>
          <w:szCs w:val="24"/>
        </w:rPr>
        <w:t xml:space="preserve">these findings </w:t>
      </w:r>
      <w:r w:rsidR="007C4D38">
        <w:rPr>
          <w:rFonts w:ascii="Times New Roman" w:hAnsi="Times New Roman" w:cs="Times New Roman"/>
          <w:sz w:val="24"/>
          <w:szCs w:val="24"/>
        </w:rPr>
        <w:t xml:space="preserve">legitimise the departed as a respected member of society. </w:t>
      </w:r>
      <w:r w:rsidR="00E531F1">
        <w:rPr>
          <w:rFonts w:ascii="Times New Roman" w:hAnsi="Times New Roman" w:cs="Times New Roman"/>
          <w:sz w:val="24"/>
          <w:szCs w:val="24"/>
        </w:rPr>
        <w:t>It has been argued</w:t>
      </w:r>
      <w:r w:rsidR="007C4D38">
        <w:rPr>
          <w:rFonts w:ascii="Times New Roman" w:hAnsi="Times New Roman" w:cs="Times New Roman"/>
          <w:sz w:val="24"/>
          <w:szCs w:val="24"/>
        </w:rPr>
        <w:t xml:space="preserve"> that the individual could only have been buried with these if sh</w:t>
      </w:r>
      <w:r w:rsidR="00E531F1">
        <w:rPr>
          <w:rFonts w:ascii="Times New Roman" w:hAnsi="Times New Roman" w:cs="Times New Roman"/>
          <w:sz w:val="24"/>
          <w:szCs w:val="24"/>
        </w:rPr>
        <w:t>e</w:t>
      </w:r>
      <w:r w:rsidR="007C4D38">
        <w:rPr>
          <w:rFonts w:ascii="Times New Roman" w:hAnsi="Times New Roman" w:cs="Times New Roman"/>
          <w:sz w:val="24"/>
          <w:szCs w:val="24"/>
        </w:rPr>
        <w:t xml:space="preserve"> was associated with their use by way of a male relative.</w:t>
      </w:r>
      <w:r w:rsidR="00EE5565">
        <w:rPr>
          <w:rStyle w:val="FootnoteReference"/>
          <w:rFonts w:ascii="Times New Roman" w:hAnsi="Times New Roman" w:cs="Times New Roman"/>
          <w:sz w:val="24"/>
          <w:szCs w:val="24"/>
        </w:rPr>
        <w:footnoteReference w:id="15"/>
      </w:r>
      <w:r w:rsidR="007C4D38">
        <w:rPr>
          <w:rFonts w:ascii="Times New Roman" w:hAnsi="Times New Roman" w:cs="Times New Roman"/>
          <w:sz w:val="24"/>
          <w:szCs w:val="24"/>
        </w:rPr>
        <w:t xml:space="preserve"> That is to say</w:t>
      </w:r>
      <w:r w:rsidR="00E531F1">
        <w:rPr>
          <w:rFonts w:ascii="Times New Roman" w:hAnsi="Times New Roman" w:cs="Times New Roman"/>
          <w:sz w:val="24"/>
          <w:szCs w:val="24"/>
        </w:rPr>
        <w:t xml:space="preserve">, </w:t>
      </w:r>
      <w:r w:rsidR="007C4D38">
        <w:rPr>
          <w:rFonts w:ascii="Times New Roman" w:hAnsi="Times New Roman" w:cs="Times New Roman"/>
          <w:sz w:val="24"/>
          <w:szCs w:val="24"/>
        </w:rPr>
        <w:t xml:space="preserve">she must have been the daughter or sister of </w:t>
      </w:r>
      <w:r w:rsidR="00E531F1">
        <w:rPr>
          <w:rFonts w:ascii="Times New Roman" w:hAnsi="Times New Roman" w:cs="Times New Roman"/>
          <w:sz w:val="24"/>
          <w:szCs w:val="24"/>
        </w:rPr>
        <w:t>some</w:t>
      </w:r>
      <w:r w:rsidR="007C4D38">
        <w:rPr>
          <w:rFonts w:ascii="Times New Roman" w:hAnsi="Times New Roman" w:cs="Times New Roman"/>
          <w:sz w:val="24"/>
          <w:szCs w:val="24"/>
        </w:rPr>
        <w:t xml:space="preserve"> </w:t>
      </w:r>
      <w:r w:rsidR="00793AAD">
        <w:rPr>
          <w:rFonts w:ascii="Times New Roman" w:hAnsi="Times New Roman" w:cs="Times New Roman"/>
          <w:sz w:val="24"/>
          <w:szCs w:val="24"/>
        </w:rPr>
        <w:t>high-ranking</w:t>
      </w:r>
      <w:r w:rsidR="007C4D38">
        <w:rPr>
          <w:rFonts w:ascii="Times New Roman" w:hAnsi="Times New Roman" w:cs="Times New Roman"/>
          <w:sz w:val="24"/>
          <w:szCs w:val="24"/>
        </w:rPr>
        <w:t xml:space="preserve"> male</w:t>
      </w:r>
      <w:r w:rsidR="00E531F1">
        <w:rPr>
          <w:rFonts w:ascii="Times New Roman" w:hAnsi="Times New Roman" w:cs="Times New Roman"/>
          <w:sz w:val="24"/>
          <w:szCs w:val="24"/>
        </w:rPr>
        <w:t>,</w:t>
      </w:r>
      <w:r w:rsidR="007C4D38">
        <w:rPr>
          <w:rFonts w:ascii="Times New Roman" w:hAnsi="Times New Roman" w:cs="Times New Roman"/>
          <w:sz w:val="24"/>
          <w:szCs w:val="24"/>
        </w:rPr>
        <w:t xml:space="preserve"> and therefore </w:t>
      </w:r>
      <w:r w:rsidR="00793AAD">
        <w:rPr>
          <w:rFonts w:ascii="Times New Roman" w:hAnsi="Times New Roman" w:cs="Times New Roman"/>
          <w:sz w:val="24"/>
          <w:szCs w:val="24"/>
        </w:rPr>
        <w:t xml:space="preserve">had no personal familiarity or use for these items. As always, we should </w:t>
      </w:r>
      <w:r w:rsidR="00793AAD">
        <w:rPr>
          <w:rFonts w:ascii="Times New Roman" w:hAnsi="Times New Roman" w:cs="Times New Roman"/>
          <w:sz w:val="24"/>
          <w:szCs w:val="24"/>
        </w:rPr>
        <w:lastRenderedPageBreak/>
        <w:t xml:space="preserve">consider the possible bias within these statements: </w:t>
      </w:r>
      <w:r w:rsidR="00793AAD">
        <w:rPr>
          <w:rFonts w:ascii="Times New Roman" w:hAnsi="Times New Roman" w:cs="Times New Roman"/>
          <w:sz w:val="24"/>
          <w:szCs w:val="24"/>
        </w:rPr>
        <w:t xml:space="preserve">Bruno Chaume </w:t>
      </w:r>
      <w:r w:rsidR="00793AAD">
        <w:rPr>
          <w:rFonts w:ascii="Times New Roman" w:hAnsi="Times New Roman" w:cs="Times New Roman"/>
          <w:sz w:val="24"/>
          <w:szCs w:val="24"/>
        </w:rPr>
        <w:t>argues</w:t>
      </w:r>
      <w:r w:rsidR="00793AAD">
        <w:rPr>
          <w:rFonts w:ascii="Times New Roman" w:hAnsi="Times New Roman" w:cs="Times New Roman"/>
          <w:sz w:val="24"/>
          <w:szCs w:val="24"/>
        </w:rPr>
        <w:t xml:space="preserve"> the existence of a “move towards a matrilineal society around the middle of the 6</w:t>
      </w:r>
      <w:r w:rsidR="00793AAD" w:rsidRPr="00793AAD">
        <w:rPr>
          <w:rFonts w:ascii="Times New Roman" w:hAnsi="Times New Roman" w:cs="Times New Roman"/>
          <w:sz w:val="24"/>
          <w:szCs w:val="24"/>
          <w:vertAlign w:val="superscript"/>
        </w:rPr>
        <w:t>th</w:t>
      </w:r>
      <w:r w:rsidR="00793AAD">
        <w:rPr>
          <w:rFonts w:ascii="Times New Roman" w:hAnsi="Times New Roman" w:cs="Times New Roman"/>
          <w:sz w:val="24"/>
          <w:szCs w:val="24"/>
        </w:rPr>
        <w:t xml:space="preserve"> Century BCE and the attending establishments of lineages with hereditary powers”.</w:t>
      </w:r>
      <w:r w:rsidR="00EE5565">
        <w:rPr>
          <w:rStyle w:val="FootnoteReference"/>
          <w:rFonts w:ascii="Times New Roman" w:hAnsi="Times New Roman" w:cs="Times New Roman"/>
          <w:sz w:val="24"/>
          <w:szCs w:val="24"/>
        </w:rPr>
        <w:footnoteReference w:id="16"/>
      </w:r>
      <w:r w:rsidR="00793AAD">
        <w:rPr>
          <w:rFonts w:ascii="Times New Roman" w:hAnsi="Times New Roman" w:cs="Times New Roman"/>
          <w:sz w:val="24"/>
          <w:szCs w:val="24"/>
        </w:rPr>
        <w:t xml:space="preserve"> More specifically, these assertions fail to acknowledge the fact that Continental Celtic culture at the time was undergoing a significant social and structural development</w:t>
      </w:r>
      <w:r w:rsidR="00E531F1">
        <w:rPr>
          <w:rFonts w:ascii="Times New Roman" w:hAnsi="Times New Roman" w:cs="Times New Roman"/>
          <w:sz w:val="24"/>
          <w:szCs w:val="24"/>
        </w:rPr>
        <w:t xml:space="preserve"> and so the equilibrium of gender conventions may not have been as rigid as they once were.</w:t>
      </w:r>
    </w:p>
    <w:p w14:paraId="5887ED6D" w14:textId="71AC4357" w:rsidR="00427839" w:rsidRDefault="00427839" w:rsidP="002B4596">
      <w:pPr>
        <w:spacing w:after="0"/>
        <w:rPr>
          <w:rFonts w:ascii="Times New Roman" w:hAnsi="Times New Roman" w:cs="Times New Roman"/>
          <w:sz w:val="24"/>
          <w:szCs w:val="24"/>
        </w:rPr>
      </w:pPr>
    </w:p>
    <w:p w14:paraId="78A04B26" w14:textId="35374EB0" w:rsidR="00427839" w:rsidRDefault="00427839" w:rsidP="00427839">
      <w:pPr>
        <w:spacing w:after="0"/>
        <w:rPr>
          <w:rFonts w:ascii="Times New Roman" w:hAnsi="Times New Roman" w:cs="Times New Roman"/>
          <w:sz w:val="28"/>
          <w:szCs w:val="28"/>
          <w:u w:val="single"/>
        </w:rPr>
      </w:pPr>
      <w:r>
        <w:rPr>
          <w:rFonts w:ascii="Times New Roman" w:hAnsi="Times New Roman" w:cs="Times New Roman"/>
          <w:sz w:val="28"/>
          <w:szCs w:val="28"/>
          <w:u w:val="single"/>
        </w:rPr>
        <w:t>Bibliography</w:t>
      </w:r>
    </w:p>
    <w:p w14:paraId="432C26FD" w14:textId="496233A1" w:rsidR="00427839" w:rsidRPr="00427839" w:rsidRDefault="00427839" w:rsidP="00427839">
      <w:pPr>
        <w:pStyle w:val="ListParagraph"/>
        <w:numPr>
          <w:ilvl w:val="0"/>
          <w:numId w:val="2"/>
        </w:numPr>
        <w:spacing w:after="0"/>
        <w:rPr>
          <w:rFonts w:ascii="Times New Roman" w:hAnsi="Times New Roman" w:cs="Times New Roman"/>
          <w:sz w:val="28"/>
          <w:szCs w:val="28"/>
          <w:u w:val="single"/>
        </w:rPr>
      </w:pPr>
      <w:r w:rsidRPr="00427839">
        <w:rPr>
          <w:rFonts w:ascii="Times New Roman" w:hAnsi="Times New Roman" w:cs="Times New Roman"/>
          <w:sz w:val="24"/>
          <w:szCs w:val="24"/>
        </w:rPr>
        <w:t xml:space="preserve">Knusel, </w:t>
      </w:r>
      <w:proofErr w:type="spellStart"/>
      <w:r w:rsidRPr="00427839">
        <w:rPr>
          <w:rFonts w:ascii="Times New Roman" w:hAnsi="Times New Roman" w:cs="Times New Roman"/>
          <w:sz w:val="24"/>
          <w:szCs w:val="24"/>
        </w:rPr>
        <w:t>Christoper</w:t>
      </w:r>
      <w:proofErr w:type="spellEnd"/>
      <w:r w:rsidRPr="00427839">
        <w:rPr>
          <w:rFonts w:ascii="Times New Roman" w:hAnsi="Times New Roman" w:cs="Times New Roman"/>
          <w:sz w:val="24"/>
          <w:szCs w:val="24"/>
        </w:rPr>
        <w:t xml:space="preserve"> J., ‘More Circe Than Cassandra: The Princess </w:t>
      </w:r>
      <w:proofErr w:type="gramStart"/>
      <w:r w:rsidRPr="00427839">
        <w:rPr>
          <w:rFonts w:ascii="Times New Roman" w:hAnsi="Times New Roman" w:cs="Times New Roman"/>
          <w:sz w:val="24"/>
          <w:szCs w:val="24"/>
        </w:rPr>
        <w:t>Of</w:t>
      </w:r>
      <w:proofErr w:type="gramEnd"/>
      <w:r w:rsidRPr="00427839">
        <w:rPr>
          <w:rFonts w:ascii="Times New Roman" w:hAnsi="Times New Roman" w:cs="Times New Roman"/>
          <w:sz w:val="24"/>
          <w:szCs w:val="24"/>
        </w:rPr>
        <w:t xml:space="preserve"> Vix In </w:t>
      </w:r>
    </w:p>
    <w:p w14:paraId="0FE08910" w14:textId="77777777" w:rsidR="00427839" w:rsidRPr="006615DD" w:rsidRDefault="00427839" w:rsidP="00427839">
      <w:pPr>
        <w:spacing w:after="0"/>
        <w:ind w:left="720" w:firstLine="720"/>
        <w:rPr>
          <w:rFonts w:ascii="Times New Roman" w:hAnsi="Times New Roman" w:cs="Times New Roman"/>
          <w:sz w:val="28"/>
          <w:szCs w:val="28"/>
          <w:u w:val="single"/>
        </w:rPr>
      </w:pPr>
      <w:r w:rsidRPr="006615DD">
        <w:rPr>
          <w:rFonts w:ascii="Times New Roman" w:hAnsi="Times New Roman" w:cs="Times New Roman"/>
          <w:sz w:val="24"/>
          <w:szCs w:val="24"/>
        </w:rPr>
        <w:t xml:space="preserve">Ritualized Social Context’, </w:t>
      </w:r>
      <w:r w:rsidRPr="006615DD">
        <w:rPr>
          <w:rFonts w:ascii="Times New Roman" w:hAnsi="Times New Roman" w:cs="Times New Roman"/>
          <w:i/>
          <w:iCs/>
          <w:sz w:val="24"/>
          <w:szCs w:val="24"/>
        </w:rPr>
        <w:t>European Journal of Archaeology</w:t>
      </w:r>
      <w:r w:rsidRPr="006615DD">
        <w:rPr>
          <w:rFonts w:ascii="Times New Roman" w:hAnsi="Times New Roman" w:cs="Times New Roman"/>
          <w:sz w:val="24"/>
          <w:szCs w:val="24"/>
        </w:rPr>
        <w:t>, 5.3, (2002)</w:t>
      </w:r>
    </w:p>
    <w:p w14:paraId="33F6D36D" w14:textId="5618A8BE" w:rsidR="00427839" w:rsidRPr="00427839" w:rsidRDefault="00427839" w:rsidP="00427839">
      <w:pPr>
        <w:pStyle w:val="ListParagraph"/>
        <w:numPr>
          <w:ilvl w:val="0"/>
          <w:numId w:val="2"/>
        </w:numPr>
        <w:spacing w:after="0"/>
        <w:rPr>
          <w:rFonts w:ascii="Times New Roman" w:hAnsi="Times New Roman" w:cs="Times New Roman"/>
          <w:sz w:val="28"/>
          <w:szCs w:val="28"/>
          <w:u w:val="single"/>
        </w:rPr>
      </w:pPr>
      <w:r w:rsidRPr="00427839">
        <w:rPr>
          <w:rFonts w:ascii="Times New Roman" w:hAnsi="Times New Roman" w:cs="Times New Roman"/>
          <w:sz w:val="24"/>
          <w:szCs w:val="24"/>
        </w:rPr>
        <w:t xml:space="preserve">Arnold, Bettina, ‘‘Honorary Males’ </w:t>
      </w:r>
      <w:proofErr w:type="gramStart"/>
      <w:r w:rsidRPr="00427839">
        <w:rPr>
          <w:rFonts w:ascii="Times New Roman" w:hAnsi="Times New Roman" w:cs="Times New Roman"/>
          <w:sz w:val="24"/>
          <w:szCs w:val="24"/>
        </w:rPr>
        <w:t>Or</w:t>
      </w:r>
      <w:proofErr w:type="gramEnd"/>
      <w:r w:rsidRPr="00427839">
        <w:rPr>
          <w:rFonts w:ascii="Times New Roman" w:hAnsi="Times New Roman" w:cs="Times New Roman"/>
          <w:sz w:val="24"/>
          <w:szCs w:val="24"/>
        </w:rPr>
        <w:t xml:space="preserve"> Women Of Substance? Gender, Status And </w:t>
      </w:r>
    </w:p>
    <w:p w14:paraId="1F19C14F" w14:textId="77777777" w:rsidR="00427839" w:rsidRPr="00991B44" w:rsidRDefault="00427839" w:rsidP="00427839">
      <w:pPr>
        <w:pStyle w:val="ListParagraph"/>
        <w:spacing w:after="0"/>
        <w:ind w:firstLine="720"/>
        <w:rPr>
          <w:rFonts w:ascii="Times New Roman" w:hAnsi="Times New Roman" w:cs="Times New Roman"/>
          <w:sz w:val="28"/>
          <w:szCs w:val="28"/>
          <w:u w:val="single"/>
        </w:rPr>
      </w:pPr>
      <w:r>
        <w:rPr>
          <w:rFonts w:ascii="Times New Roman" w:hAnsi="Times New Roman" w:cs="Times New Roman"/>
          <w:sz w:val="24"/>
          <w:szCs w:val="24"/>
        </w:rPr>
        <w:t xml:space="preserve">Power In Iron-Age Europe, </w:t>
      </w:r>
      <w:r>
        <w:rPr>
          <w:rFonts w:ascii="Times New Roman" w:hAnsi="Times New Roman" w:cs="Times New Roman"/>
          <w:i/>
          <w:iCs/>
          <w:sz w:val="24"/>
          <w:szCs w:val="24"/>
        </w:rPr>
        <w:t>European Journal of Archaeology</w:t>
      </w:r>
      <w:r>
        <w:rPr>
          <w:rFonts w:ascii="Times New Roman" w:hAnsi="Times New Roman" w:cs="Times New Roman"/>
          <w:sz w:val="24"/>
          <w:szCs w:val="24"/>
        </w:rPr>
        <w:t>, 3.2, (1995)</w:t>
      </w:r>
    </w:p>
    <w:p w14:paraId="3A19BCD4" w14:textId="10FA2F29" w:rsidR="00427839" w:rsidRPr="00427839" w:rsidRDefault="00427839" w:rsidP="00427839">
      <w:pPr>
        <w:pStyle w:val="ListParagraph"/>
        <w:numPr>
          <w:ilvl w:val="0"/>
          <w:numId w:val="2"/>
        </w:numPr>
        <w:spacing w:after="0"/>
        <w:rPr>
          <w:rFonts w:ascii="Times New Roman" w:hAnsi="Times New Roman" w:cs="Times New Roman"/>
          <w:sz w:val="28"/>
          <w:szCs w:val="28"/>
          <w:u w:val="single"/>
        </w:rPr>
      </w:pPr>
      <w:r w:rsidRPr="00427839">
        <w:rPr>
          <w:rFonts w:ascii="Times New Roman" w:hAnsi="Times New Roman" w:cs="Times New Roman"/>
          <w:sz w:val="24"/>
          <w:szCs w:val="24"/>
        </w:rPr>
        <w:t xml:space="preserve">Nilsson Stutz, Liv, and others, </w:t>
      </w:r>
      <w:r w:rsidRPr="00427839">
        <w:rPr>
          <w:rFonts w:ascii="Times New Roman" w:hAnsi="Times New Roman" w:cs="Times New Roman"/>
          <w:i/>
          <w:iCs/>
          <w:sz w:val="24"/>
          <w:szCs w:val="24"/>
        </w:rPr>
        <w:t xml:space="preserve">The Oxford Handbook </w:t>
      </w:r>
      <w:proofErr w:type="gramStart"/>
      <w:r w:rsidRPr="00427839">
        <w:rPr>
          <w:rFonts w:ascii="Times New Roman" w:hAnsi="Times New Roman" w:cs="Times New Roman"/>
          <w:i/>
          <w:iCs/>
          <w:sz w:val="24"/>
          <w:szCs w:val="24"/>
        </w:rPr>
        <w:t>Of</w:t>
      </w:r>
      <w:proofErr w:type="gramEnd"/>
      <w:r w:rsidRPr="00427839">
        <w:rPr>
          <w:rFonts w:ascii="Times New Roman" w:hAnsi="Times New Roman" w:cs="Times New Roman"/>
          <w:i/>
          <w:iCs/>
          <w:sz w:val="24"/>
          <w:szCs w:val="24"/>
        </w:rPr>
        <w:t xml:space="preserve"> The Archaeology Of Death </w:t>
      </w:r>
    </w:p>
    <w:p w14:paraId="086DF5A6" w14:textId="77777777" w:rsidR="00427839" w:rsidRPr="00B511E4" w:rsidRDefault="00427839" w:rsidP="00427839">
      <w:pPr>
        <w:pStyle w:val="ListParagraph"/>
        <w:spacing w:after="0"/>
        <w:ind w:firstLine="720"/>
        <w:rPr>
          <w:rFonts w:ascii="Times New Roman" w:hAnsi="Times New Roman" w:cs="Times New Roman"/>
          <w:sz w:val="28"/>
          <w:szCs w:val="28"/>
          <w:u w:val="single"/>
        </w:rPr>
      </w:pPr>
      <w:r>
        <w:rPr>
          <w:rFonts w:ascii="Times New Roman" w:hAnsi="Times New Roman" w:cs="Times New Roman"/>
          <w:i/>
          <w:iCs/>
          <w:sz w:val="24"/>
          <w:szCs w:val="24"/>
        </w:rPr>
        <w:t>And Burial</w:t>
      </w:r>
      <w:r>
        <w:rPr>
          <w:rFonts w:ascii="Times New Roman" w:hAnsi="Times New Roman" w:cs="Times New Roman"/>
          <w:sz w:val="24"/>
          <w:szCs w:val="24"/>
        </w:rPr>
        <w:t>, (Oxford: Oxford University Press, 2013)</w:t>
      </w:r>
    </w:p>
    <w:p w14:paraId="7D75929B" w14:textId="3C893864" w:rsidR="00427839" w:rsidRPr="00427839" w:rsidRDefault="00427839" w:rsidP="00427839">
      <w:pPr>
        <w:pStyle w:val="ListParagraph"/>
        <w:numPr>
          <w:ilvl w:val="0"/>
          <w:numId w:val="2"/>
        </w:numPr>
        <w:spacing w:after="0"/>
        <w:rPr>
          <w:rFonts w:ascii="Times New Roman" w:hAnsi="Times New Roman" w:cs="Times New Roman"/>
          <w:sz w:val="28"/>
          <w:szCs w:val="28"/>
          <w:u w:val="single"/>
        </w:rPr>
      </w:pPr>
      <w:r w:rsidRPr="00427839">
        <w:rPr>
          <w:rFonts w:ascii="Times New Roman" w:hAnsi="Times New Roman" w:cs="Times New Roman"/>
          <w:sz w:val="24"/>
          <w:szCs w:val="24"/>
        </w:rPr>
        <w:t xml:space="preserve">Chaume, Bruno, ‘Vix (Cote-d’Or) And </w:t>
      </w:r>
      <w:proofErr w:type="gramStart"/>
      <w:r w:rsidRPr="00427839">
        <w:rPr>
          <w:rFonts w:ascii="Times New Roman" w:hAnsi="Times New Roman" w:cs="Times New Roman"/>
          <w:sz w:val="24"/>
          <w:szCs w:val="24"/>
        </w:rPr>
        <w:t>The</w:t>
      </w:r>
      <w:proofErr w:type="gramEnd"/>
      <w:r w:rsidRPr="00427839">
        <w:rPr>
          <w:rFonts w:ascii="Times New Roman" w:hAnsi="Times New Roman" w:cs="Times New Roman"/>
          <w:sz w:val="24"/>
          <w:szCs w:val="24"/>
        </w:rPr>
        <w:t xml:space="preserve"> Emergence Of The Celtic Principalities: </w:t>
      </w:r>
    </w:p>
    <w:p w14:paraId="22863215" w14:textId="77777777" w:rsidR="00427839" w:rsidRDefault="00427839" w:rsidP="00427839">
      <w:pPr>
        <w:pStyle w:val="ListParagraph"/>
        <w:spacing w:after="0"/>
        <w:ind w:firstLine="720"/>
        <w:rPr>
          <w:rFonts w:ascii="Times New Roman" w:hAnsi="Times New Roman" w:cs="Times New Roman"/>
          <w:sz w:val="24"/>
          <w:szCs w:val="24"/>
        </w:rPr>
      </w:pPr>
      <w:r>
        <w:rPr>
          <w:rFonts w:ascii="Times New Roman" w:hAnsi="Times New Roman" w:cs="Times New Roman"/>
          <w:sz w:val="24"/>
          <w:szCs w:val="24"/>
        </w:rPr>
        <w:t xml:space="preserve">The Port Hypothesis </w:t>
      </w:r>
      <w:proofErr w:type="gramStart"/>
      <w:r>
        <w:rPr>
          <w:rFonts w:ascii="Times New Roman" w:hAnsi="Times New Roman" w:cs="Times New Roman"/>
          <w:sz w:val="24"/>
          <w:szCs w:val="24"/>
        </w:rPr>
        <w:t>And</w:t>
      </w:r>
      <w:proofErr w:type="gramEnd"/>
      <w:r>
        <w:rPr>
          <w:rFonts w:ascii="Times New Roman" w:hAnsi="Times New Roman" w:cs="Times New Roman"/>
          <w:sz w:val="24"/>
          <w:szCs w:val="24"/>
        </w:rPr>
        <w:t xml:space="preserve"> The Concept Of Port Of Trade, </w:t>
      </w:r>
      <w:r>
        <w:rPr>
          <w:rFonts w:ascii="Times New Roman" w:hAnsi="Times New Roman" w:cs="Times New Roman"/>
          <w:i/>
          <w:iCs/>
          <w:sz w:val="24"/>
          <w:szCs w:val="24"/>
        </w:rPr>
        <w:t xml:space="preserve">Gallia, </w:t>
      </w:r>
      <w:r>
        <w:rPr>
          <w:rFonts w:ascii="Times New Roman" w:hAnsi="Times New Roman" w:cs="Times New Roman"/>
          <w:sz w:val="24"/>
          <w:szCs w:val="24"/>
        </w:rPr>
        <w:t>77.1, 2020</w:t>
      </w:r>
    </w:p>
    <w:p w14:paraId="113C0727" w14:textId="3CBC8CAD" w:rsidR="00427839" w:rsidRPr="00427839" w:rsidRDefault="00427839" w:rsidP="00427839">
      <w:pPr>
        <w:pStyle w:val="ListParagraph"/>
        <w:numPr>
          <w:ilvl w:val="0"/>
          <w:numId w:val="2"/>
        </w:numPr>
        <w:spacing w:after="0"/>
        <w:rPr>
          <w:rFonts w:ascii="Times New Roman" w:hAnsi="Times New Roman" w:cs="Times New Roman"/>
          <w:sz w:val="28"/>
          <w:szCs w:val="28"/>
          <w:u w:val="single"/>
        </w:rPr>
      </w:pPr>
      <w:r w:rsidRPr="00427839">
        <w:rPr>
          <w:rFonts w:ascii="Times New Roman" w:hAnsi="Times New Roman" w:cs="Times New Roman"/>
          <w:sz w:val="24"/>
          <w:szCs w:val="24"/>
        </w:rPr>
        <w:t xml:space="preserve">Chaume, Bruno, ‘Tracking Down </w:t>
      </w:r>
      <w:proofErr w:type="gramStart"/>
      <w:r w:rsidRPr="00427839">
        <w:rPr>
          <w:rFonts w:ascii="Times New Roman" w:hAnsi="Times New Roman" w:cs="Times New Roman"/>
          <w:sz w:val="24"/>
          <w:szCs w:val="24"/>
        </w:rPr>
        <w:t>The</w:t>
      </w:r>
      <w:proofErr w:type="gramEnd"/>
      <w:r w:rsidRPr="00427839">
        <w:rPr>
          <w:rFonts w:ascii="Times New Roman" w:hAnsi="Times New Roman" w:cs="Times New Roman"/>
          <w:sz w:val="24"/>
          <w:szCs w:val="24"/>
        </w:rPr>
        <w:t xml:space="preserve"> Story Of The Discovery Of The Vix Princely </w:t>
      </w:r>
    </w:p>
    <w:p w14:paraId="46EB2D7F" w14:textId="77777777" w:rsidR="00427839" w:rsidRPr="00797E2B" w:rsidRDefault="00427839" w:rsidP="00427839">
      <w:pPr>
        <w:pStyle w:val="ListParagraph"/>
        <w:spacing w:after="0"/>
        <w:ind w:firstLine="720"/>
        <w:rPr>
          <w:rFonts w:ascii="Times New Roman" w:hAnsi="Times New Roman" w:cs="Times New Roman"/>
          <w:sz w:val="28"/>
          <w:szCs w:val="28"/>
          <w:u w:val="single"/>
        </w:rPr>
      </w:pPr>
      <w:r>
        <w:rPr>
          <w:rFonts w:ascii="Times New Roman" w:hAnsi="Times New Roman" w:cs="Times New Roman"/>
          <w:sz w:val="24"/>
          <w:szCs w:val="24"/>
        </w:rPr>
        <w:t xml:space="preserve">Burial’, </w:t>
      </w:r>
      <w:r>
        <w:rPr>
          <w:rFonts w:ascii="Times New Roman" w:hAnsi="Times New Roman" w:cs="Times New Roman"/>
          <w:i/>
          <w:iCs/>
          <w:sz w:val="24"/>
          <w:szCs w:val="24"/>
        </w:rPr>
        <w:t>Germania</w:t>
      </w:r>
      <w:r>
        <w:rPr>
          <w:rFonts w:ascii="Times New Roman" w:hAnsi="Times New Roman" w:cs="Times New Roman"/>
          <w:sz w:val="24"/>
          <w:szCs w:val="24"/>
        </w:rPr>
        <w:t>, 96, 2018</w:t>
      </w:r>
    </w:p>
    <w:p w14:paraId="473D422B" w14:textId="0D761F7E" w:rsidR="00427839" w:rsidRPr="00427839" w:rsidRDefault="00427839" w:rsidP="00427839">
      <w:pPr>
        <w:pStyle w:val="ListParagraph"/>
        <w:numPr>
          <w:ilvl w:val="0"/>
          <w:numId w:val="2"/>
        </w:numPr>
        <w:spacing w:after="0"/>
        <w:rPr>
          <w:rFonts w:ascii="Times New Roman" w:hAnsi="Times New Roman" w:cs="Times New Roman"/>
          <w:sz w:val="24"/>
          <w:szCs w:val="24"/>
        </w:rPr>
      </w:pPr>
      <w:r w:rsidRPr="00427839">
        <w:rPr>
          <w:rFonts w:ascii="Times New Roman" w:hAnsi="Times New Roman" w:cs="Times New Roman"/>
          <w:sz w:val="24"/>
          <w:szCs w:val="24"/>
        </w:rPr>
        <w:t xml:space="preserve">Arnold, Bettina, ‘Gender, Temporalities, and Periodization </w:t>
      </w:r>
      <w:proofErr w:type="gramStart"/>
      <w:r w:rsidRPr="00427839">
        <w:rPr>
          <w:rFonts w:ascii="Times New Roman" w:hAnsi="Times New Roman" w:cs="Times New Roman"/>
          <w:sz w:val="24"/>
          <w:szCs w:val="24"/>
        </w:rPr>
        <w:t>In</w:t>
      </w:r>
      <w:proofErr w:type="gramEnd"/>
      <w:r w:rsidRPr="00427839">
        <w:rPr>
          <w:rFonts w:ascii="Times New Roman" w:hAnsi="Times New Roman" w:cs="Times New Roman"/>
          <w:sz w:val="24"/>
          <w:szCs w:val="24"/>
        </w:rPr>
        <w:t xml:space="preserve"> Early Iron Age West-</w:t>
      </w:r>
    </w:p>
    <w:p w14:paraId="14204E14" w14:textId="77777777" w:rsidR="00427839" w:rsidRDefault="00427839" w:rsidP="00427839">
      <w:pPr>
        <w:pStyle w:val="ListParagraph"/>
        <w:spacing w:after="0"/>
        <w:ind w:firstLine="720"/>
        <w:rPr>
          <w:rFonts w:ascii="Times New Roman" w:hAnsi="Times New Roman" w:cs="Times New Roman"/>
          <w:sz w:val="24"/>
          <w:szCs w:val="24"/>
        </w:rPr>
      </w:pPr>
      <w:r>
        <w:rPr>
          <w:rFonts w:ascii="Times New Roman" w:hAnsi="Times New Roman" w:cs="Times New Roman"/>
          <w:sz w:val="24"/>
          <w:szCs w:val="24"/>
        </w:rPr>
        <w:t xml:space="preserve">Central Europe’, </w:t>
      </w:r>
      <w:r>
        <w:rPr>
          <w:rFonts w:ascii="Times New Roman" w:hAnsi="Times New Roman" w:cs="Times New Roman"/>
          <w:i/>
          <w:iCs/>
          <w:sz w:val="24"/>
          <w:szCs w:val="24"/>
        </w:rPr>
        <w:t>Social Science History</w:t>
      </w:r>
      <w:r>
        <w:rPr>
          <w:rFonts w:ascii="Times New Roman" w:hAnsi="Times New Roman" w:cs="Times New Roman"/>
          <w:sz w:val="24"/>
          <w:szCs w:val="24"/>
        </w:rPr>
        <w:t>, 36.1, 2012</w:t>
      </w:r>
    </w:p>
    <w:p w14:paraId="366022AB" w14:textId="396F7BCD" w:rsidR="00427839" w:rsidRPr="00427839" w:rsidRDefault="00427839" w:rsidP="00427839">
      <w:pPr>
        <w:pStyle w:val="ListParagraph"/>
        <w:numPr>
          <w:ilvl w:val="0"/>
          <w:numId w:val="2"/>
        </w:numPr>
        <w:spacing w:after="0"/>
        <w:rPr>
          <w:rFonts w:ascii="Times New Roman" w:hAnsi="Times New Roman" w:cs="Times New Roman"/>
          <w:sz w:val="24"/>
          <w:szCs w:val="24"/>
        </w:rPr>
      </w:pPr>
      <w:proofErr w:type="spellStart"/>
      <w:r w:rsidRPr="00427839">
        <w:rPr>
          <w:rFonts w:ascii="Times New Roman" w:hAnsi="Times New Roman" w:cs="Times New Roman"/>
          <w:sz w:val="24"/>
          <w:szCs w:val="24"/>
        </w:rPr>
        <w:t>Smrcka</w:t>
      </w:r>
      <w:proofErr w:type="spellEnd"/>
      <w:r w:rsidRPr="00427839">
        <w:rPr>
          <w:rFonts w:ascii="Times New Roman" w:hAnsi="Times New Roman" w:cs="Times New Roman"/>
          <w:sz w:val="24"/>
          <w:szCs w:val="24"/>
        </w:rPr>
        <w:t xml:space="preserve">, Vaclav, ‘Social Evolution </w:t>
      </w:r>
      <w:proofErr w:type="gramStart"/>
      <w:r w:rsidRPr="00427839">
        <w:rPr>
          <w:rFonts w:ascii="Times New Roman" w:hAnsi="Times New Roman" w:cs="Times New Roman"/>
          <w:sz w:val="24"/>
          <w:szCs w:val="24"/>
        </w:rPr>
        <w:t>In</w:t>
      </w:r>
      <w:proofErr w:type="gramEnd"/>
      <w:r w:rsidRPr="00427839">
        <w:rPr>
          <w:rFonts w:ascii="Times New Roman" w:hAnsi="Times New Roman" w:cs="Times New Roman"/>
          <w:sz w:val="24"/>
          <w:szCs w:val="24"/>
        </w:rPr>
        <w:t xml:space="preserve"> The Hallstatt—La </w:t>
      </w:r>
      <w:proofErr w:type="spellStart"/>
      <w:r w:rsidRPr="00427839">
        <w:rPr>
          <w:rFonts w:ascii="Times New Roman" w:hAnsi="Times New Roman" w:cs="Times New Roman"/>
          <w:sz w:val="24"/>
          <w:szCs w:val="24"/>
        </w:rPr>
        <w:t>Tene</w:t>
      </w:r>
      <w:proofErr w:type="spellEnd"/>
      <w:r w:rsidRPr="00427839">
        <w:rPr>
          <w:rFonts w:ascii="Times New Roman" w:hAnsi="Times New Roman" w:cs="Times New Roman"/>
          <w:sz w:val="24"/>
          <w:szCs w:val="24"/>
        </w:rPr>
        <w:t xml:space="preserve"> Period’, </w:t>
      </w:r>
      <w:r w:rsidRPr="00427839">
        <w:rPr>
          <w:rFonts w:ascii="Times New Roman" w:hAnsi="Times New Roman" w:cs="Times New Roman"/>
          <w:i/>
          <w:iCs/>
          <w:sz w:val="24"/>
          <w:szCs w:val="24"/>
        </w:rPr>
        <w:t xml:space="preserve">Acta </w:t>
      </w:r>
    </w:p>
    <w:p w14:paraId="211EC5F3" w14:textId="77777777" w:rsidR="00427839" w:rsidRDefault="00427839" w:rsidP="00427839">
      <w:pPr>
        <w:pStyle w:val="ListParagraph"/>
        <w:spacing w:after="0"/>
        <w:ind w:firstLine="720"/>
        <w:rPr>
          <w:rFonts w:ascii="Times New Roman" w:hAnsi="Times New Roman" w:cs="Times New Roman"/>
          <w:sz w:val="24"/>
          <w:szCs w:val="24"/>
        </w:rPr>
      </w:pPr>
      <w:r>
        <w:rPr>
          <w:rFonts w:ascii="Times New Roman" w:hAnsi="Times New Roman" w:cs="Times New Roman"/>
          <w:i/>
          <w:iCs/>
          <w:sz w:val="24"/>
          <w:szCs w:val="24"/>
        </w:rPr>
        <w:t xml:space="preserve">Universitatis </w:t>
      </w:r>
      <w:proofErr w:type="spellStart"/>
      <w:r>
        <w:rPr>
          <w:rFonts w:ascii="Times New Roman" w:hAnsi="Times New Roman" w:cs="Times New Roman"/>
          <w:i/>
          <w:iCs/>
          <w:sz w:val="24"/>
          <w:szCs w:val="24"/>
        </w:rPr>
        <w:t>Carolinae</w:t>
      </w:r>
      <w:proofErr w:type="spellEnd"/>
      <w:r>
        <w:rPr>
          <w:rFonts w:ascii="Times New Roman" w:hAnsi="Times New Roman" w:cs="Times New Roman"/>
          <w:sz w:val="24"/>
          <w:szCs w:val="24"/>
        </w:rPr>
        <w:t>, 156. 2009</w:t>
      </w:r>
    </w:p>
    <w:p w14:paraId="349CCE39" w14:textId="7A5B3893" w:rsidR="00427839" w:rsidRPr="00427839" w:rsidRDefault="00427839" w:rsidP="00427839">
      <w:pPr>
        <w:pStyle w:val="ListParagraph"/>
        <w:numPr>
          <w:ilvl w:val="0"/>
          <w:numId w:val="2"/>
        </w:numPr>
        <w:spacing w:after="0"/>
        <w:rPr>
          <w:rFonts w:ascii="Times New Roman" w:hAnsi="Times New Roman" w:cs="Times New Roman"/>
          <w:sz w:val="24"/>
          <w:szCs w:val="24"/>
        </w:rPr>
      </w:pPr>
      <w:proofErr w:type="spellStart"/>
      <w:r w:rsidRPr="00427839">
        <w:rPr>
          <w:rFonts w:ascii="Times New Roman" w:hAnsi="Times New Roman" w:cs="Times New Roman"/>
          <w:sz w:val="24"/>
          <w:szCs w:val="24"/>
        </w:rPr>
        <w:t>Dobrzanska</w:t>
      </w:r>
      <w:proofErr w:type="spellEnd"/>
      <w:r w:rsidRPr="00427839">
        <w:rPr>
          <w:rFonts w:ascii="Times New Roman" w:hAnsi="Times New Roman" w:cs="Times New Roman"/>
          <w:sz w:val="24"/>
          <w:szCs w:val="24"/>
        </w:rPr>
        <w:t xml:space="preserve">, Halina, </w:t>
      </w:r>
      <w:r w:rsidRPr="00427839">
        <w:rPr>
          <w:rFonts w:ascii="Times New Roman" w:hAnsi="Times New Roman" w:cs="Times New Roman"/>
          <w:i/>
          <w:iCs/>
          <w:sz w:val="24"/>
          <w:szCs w:val="24"/>
        </w:rPr>
        <w:t xml:space="preserve">Celts </w:t>
      </w:r>
      <w:proofErr w:type="gramStart"/>
      <w:r w:rsidRPr="00427839">
        <w:rPr>
          <w:rFonts w:ascii="Times New Roman" w:hAnsi="Times New Roman" w:cs="Times New Roman"/>
          <w:i/>
          <w:iCs/>
          <w:sz w:val="24"/>
          <w:szCs w:val="24"/>
        </w:rPr>
        <w:t>On</w:t>
      </w:r>
      <w:proofErr w:type="gramEnd"/>
      <w:r w:rsidRPr="00427839">
        <w:rPr>
          <w:rFonts w:ascii="Times New Roman" w:hAnsi="Times New Roman" w:cs="Times New Roman"/>
          <w:i/>
          <w:iCs/>
          <w:sz w:val="24"/>
          <w:szCs w:val="24"/>
        </w:rPr>
        <w:t xml:space="preserve"> The Margin</w:t>
      </w:r>
      <w:r w:rsidRPr="00427839">
        <w:rPr>
          <w:rFonts w:ascii="Times New Roman" w:hAnsi="Times New Roman" w:cs="Times New Roman"/>
          <w:sz w:val="24"/>
          <w:szCs w:val="24"/>
        </w:rPr>
        <w:t xml:space="preserve">, (Krakow: Institute of Archaeology and </w:t>
      </w:r>
    </w:p>
    <w:p w14:paraId="7EA03D77" w14:textId="77777777" w:rsidR="00427839" w:rsidRDefault="00427839" w:rsidP="00427839">
      <w:pPr>
        <w:pStyle w:val="ListParagraph"/>
        <w:spacing w:after="0"/>
        <w:ind w:firstLine="720"/>
        <w:rPr>
          <w:rFonts w:ascii="Times New Roman" w:hAnsi="Times New Roman" w:cs="Times New Roman"/>
          <w:sz w:val="24"/>
          <w:szCs w:val="24"/>
        </w:rPr>
      </w:pPr>
      <w:r>
        <w:rPr>
          <w:rFonts w:ascii="Times New Roman" w:hAnsi="Times New Roman" w:cs="Times New Roman"/>
          <w:sz w:val="24"/>
          <w:szCs w:val="24"/>
        </w:rPr>
        <w:t>Ethnology of the Polish Academy of Sciences, 2005)</w:t>
      </w:r>
    </w:p>
    <w:p w14:paraId="3B0D3937" w14:textId="77777777" w:rsidR="00427839" w:rsidRDefault="00427839" w:rsidP="00427839">
      <w:pPr>
        <w:pStyle w:val="ListParagraph"/>
        <w:numPr>
          <w:ilvl w:val="0"/>
          <w:numId w:val="2"/>
        </w:numPr>
        <w:spacing w:after="0"/>
        <w:rPr>
          <w:rFonts w:ascii="Times New Roman" w:hAnsi="Times New Roman" w:cs="Times New Roman"/>
          <w:sz w:val="24"/>
          <w:szCs w:val="24"/>
        </w:rPr>
      </w:pPr>
      <w:proofErr w:type="spellStart"/>
      <w:r w:rsidRPr="00427839">
        <w:rPr>
          <w:rFonts w:ascii="Times New Roman" w:hAnsi="Times New Roman" w:cs="Times New Roman"/>
          <w:sz w:val="24"/>
          <w:szCs w:val="24"/>
        </w:rPr>
        <w:t>Legget</w:t>
      </w:r>
      <w:proofErr w:type="spellEnd"/>
      <w:r w:rsidRPr="00427839">
        <w:rPr>
          <w:rFonts w:ascii="Times New Roman" w:hAnsi="Times New Roman" w:cs="Times New Roman"/>
          <w:sz w:val="24"/>
          <w:szCs w:val="24"/>
        </w:rPr>
        <w:t xml:space="preserve">, Samantha, ‘Celticity: Migration </w:t>
      </w:r>
      <w:proofErr w:type="gramStart"/>
      <w:r w:rsidRPr="00427839">
        <w:rPr>
          <w:rFonts w:ascii="Times New Roman" w:hAnsi="Times New Roman" w:cs="Times New Roman"/>
          <w:sz w:val="24"/>
          <w:szCs w:val="24"/>
        </w:rPr>
        <w:t>Or</w:t>
      </w:r>
      <w:proofErr w:type="gramEnd"/>
      <w:r w:rsidRPr="00427839">
        <w:rPr>
          <w:rFonts w:ascii="Times New Roman" w:hAnsi="Times New Roman" w:cs="Times New Roman"/>
          <w:sz w:val="24"/>
          <w:szCs w:val="24"/>
        </w:rPr>
        <w:t xml:space="preserve"> Fashion?’, </w:t>
      </w:r>
      <w:r w:rsidRPr="00427839">
        <w:rPr>
          <w:rFonts w:ascii="Times New Roman" w:hAnsi="Times New Roman" w:cs="Times New Roman"/>
          <w:i/>
          <w:iCs/>
          <w:sz w:val="24"/>
          <w:szCs w:val="24"/>
        </w:rPr>
        <w:t>Vexillum</w:t>
      </w:r>
      <w:r w:rsidRPr="00427839">
        <w:rPr>
          <w:rFonts w:ascii="Times New Roman" w:hAnsi="Times New Roman" w:cs="Times New Roman"/>
          <w:sz w:val="24"/>
          <w:szCs w:val="24"/>
        </w:rPr>
        <w:t>, 2.9, 2012</w:t>
      </w:r>
    </w:p>
    <w:p w14:paraId="440A029B" w14:textId="35F9610E" w:rsidR="00427839" w:rsidRPr="00427839" w:rsidRDefault="00427839" w:rsidP="00427839">
      <w:pPr>
        <w:pStyle w:val="ListParagraph"/>
        <w:numPr>
          <w:ilvl w:val="0"/>
          <w:numId w:val="2"/>
        </w:numPr>
        <w:spacing w:after="0"/>
        <w:rPr>
          <w:rFonts w:ascii="Times New Roman" w:hAnsi="Times New Roman" w:cs="Times New Roman"/>
          <w:sz w:val="24"/>
          <w:szCs w:val="24"/>
        </w:rPr>
      </w:pPr>
      <w:r w:rsidRPr="00427839">
        <w:rPr>
          <w:rFonts w:ascii="Times New Roman" w:hAnsi="Times New Roman" w:cs="Times New Roman"/>
          <w:sz w:val="24"/>
          <w:szCs w:val="24"/>
        </w:rPr>
        <w:t xml:space="preserve">Joffroy, Rene, </w:t>
      </w:r>
      <w:r w:rsidRPr="00427839">
        <w:rPr>
          <w:rFonts w:ascii="Times New Roman" w:hAnsi="Times New Roman" w:cs="Times New Roman"/>
          <w:i/>
          <w:iCs/>
          <w:sz w:val="24"/>
          <w:szCs w:val="24"/>
        </w:rPr>
        <w:t xml:space="preserve">Le Tresor De Vix (Cote </w:t>
      </w:r>
      <w:proofErr w:type="spellStart"/>
      <w:proofErr w:type="gramStart"/>
      <w:r w:rsidRPr="00427839">
        <w:rPr>
          <w:rFonts w:ascii="Times New Roman" w:hAnsi="Times New Roman" w:cs="Times New Roman"/>
          <w:i/>
          <w:iCs/>
          <w:sz w:val="24"/>
          <w:szCs w:val="24"/>
        </w:rPr>
        <w:t>d,Or</w:t>
      </w:r>
      <w:proofErr w:type="spellEnd"/>
      <w:proofErr w:type="gramEnd"/>
      <w:r w:rsidRPr="00427839">
        <w:rPr>
          <w:rFonts w:ascii="Times New Roman" w:hAnsi="Times New Roman" w:cs="Times New Roman"/>
          <w:i/>
          <w:iCs/>
          <w:sz w:val="24"/>
          <w:szCs w:val="24"/>
        </w:rPr>
        <w:t>)</w:t>
      </w:r>
      <w:r w:rsidRPr="00427839">
        <w:rPr>
          <w:rFonts w:ascii="Times New Roman" w:hAnsi="Times New Roman" w:cs="Times New Roman"/>
          <w:sz w:val="24"/>
          <w:szCs w:val="24"/>
        </w:rPr>
        <w:t xml:space="preserve">, (Paris: Presses </w:t>
      </w:r>
      <w:proofErr w:type="spellStart"/>
      <w:r w:rsidRPr="00427839">
        <w:rPr>
          <w:rFonts w:ascii="Times New Roman" w:hAnsi="Times New Roman" w:cs="Times New Roman"/>
          <w:sz w:val="24"/>
          <w:szCs w:val="24"/>
        </w:rPr>
        <w:t>Universitaires</w:t>
      </w:r>
      <w:proofErr w:type="spellEnd"/>
      <w:r w:rsidRPr="00427839">
        <w:rPr>
          <w:rFonts w:ascii="Times New Roman" w:hAnsi="Times New Roman" w:cs="Times New Roman"/>
          <w:sz w:val="24"/>
          <w:szCs w:val="24"/>
        </w:rPr>
        <w:t xml:space="preserve"> de France, </w:t>
      </w:r>
    </w:p>
    <w:p w14:paraId="7813999A" w14:textId="77777777" w:rsidR="00427839" w:rsidRDefault="00427839" w:rsidP="00427839">
      <w:pPr>
        <w:pStyle w:val="ListParagraph"/>
        <w:spacing w:after="0"/>
        <w:ind w:firstLine="720"/>
        <w:rPr>
          <w:rFonts w:ascii="Times New Roman" w:hAnsi="Times New Roman" w:cs="Times New Roman"/>
          <w:sz w:val="24"/>
          <w:szCs w:val="24"/>
        </w:rPr>
      </w:pPr>
      <w:r>
        <w:rPr>
          <w:rFonts w:ascii="Times New Roman" w:hAnsi="Times New Roman" w:cs="Times New Roman"/>
          <w:sz w:val="24"/>
          <w:szCs w:val="24"/>
        </w:rPr>
        <w:t>1954</w:t>
      </w:r>
      <w:r>
        <w:rPr>
          <w:rFonts w:ascii="Times New Roman" w:hAnsi="Times New Roman" w:cs="Times New Roman"/>
          <w:sz w:val="24"/>
          <w:szCs w:val="24"/>
        </w:rPr>
        <w:t xml:space="preserve">) </w:t>
      </w:r>
    </w:p>
    <w:p w14:paraId="20F9A847" w14:textId="7EFC2CED" w:rsidR="00427839" w:rsidRPr="00427839" w:rsidRDefault="00427839" w:rsidP="00427839">
      <w:pPr>
        <w:pStyle w:val="ListParagraph"/>
        <w:numPr>
          <w:ilvl w:val="0"/>
          <w:numId w:val="2"/>
        </w:numPr>
        <w:spacing w:after="0"/>
        <w:rPr>
          <w:rFonts w:ascii="Times New Roman" w:hAnsi="Times New Roman" w:cs="Times New Roman"/>
          <w:sz w:val="24"/>
          <w:szCs w:val="24"/>
        </w:rPr>
      </w:pPr>
      <w:proofErr w:type="spellStart"/>
      <w:r w:rsidRPr="00427839">
        <w:rPr>
          <w:rFonts w:ascii="Times New Roman" w:hAnsi="Times New Roman" w:cs="Times New Roman"/>
          <w:sz w:val="24"/>
          <w:szCs w:val="24"/>
        </w:rPr>
        <w:t>Rolley</w:t>
      </w:r>
      <w:proofErr w:type="spellEnd"/>
      <w:r w:rsidRPr="00427839">
        <w:rPr>
          <w:rFonts w:ascii="Times New Roman" w:hAnsi="Times New Roman" w:cs="Times New Roman"/>
          <w:sz w:val="24"/>
          <w:szCs w:val="24"/>
        </w:rPr>
        <w:t xml:space="preserve">, </w:t>
      </w:r>
      <w:proofErr w:type="spellStart"/>
      <w:r w:rsidRPr="00427839">
        <w:rPr>
          <w:rFonts w:ascii="Times New Roman" w:hAnsi="Times New Roman" w:cs="Times New Roman"/>
          <w:sz w:val="24"/>
          <w:szCs w:val="24"/>
        </w:rPr>
        <w:t>Calude</w:t>
      </w:r>
      <w:proofErr w:type="spellEnd"/>
      <w:r w:rsidRPr="00427839">
        <w:rPr>
          <w:rFonts w:ascii="Times New Roman" w:hAnsi="Times New Roman" w:cs="Times New Roman"/>
          <w:sz w:val="24"/>
          <w:szCs w:val="24"/>
        </w:rPr>
        <w:t xml:space="preserve">, La </w:t>
      </w:r>
      <w:proofErr w:type="spellStart"/>
      <w:r w:rsidRPr="00427839">
        <w:rPr>
          <w:rFonts w:ascii="Times New Roman" w:hAnsi="Times New Roman" w:cs="Times New Roman"/>
          <w:sz w:val="24"/>
          <w:szCs w:val="24"/>
        </w:rPr>
        <w:t>Tombe</w:t>
      </w:r>
      <w:proofErr w:type="spellEnd"/>
      <w:r w:rsidRPr="00427839">
        <w:rPr>
          <w:rFonts w:ascii="Times New Roman" w:hAnsi="Times New Roman" w:cs="Times New Roman"/>
          <w:sz w:val="24"/>
          <w:szCs w:val="24"/>
        </w:rPr>
        <w:t xml:space="preserve"> </w:t>
      </w:r>
      <w:proofErr w:type="spellStart"/>
      <w:r w:rsidRPr="00427839">
        <w:rPr>
          <w:rFonts w:ascii="Times New Roman" w:hAnsi="Times New Roman" w:cs="Times New Roman"/>
          <w:sz w:val="24"/>
          <w:szCs w:val="24"/>
        </w:rPr>
        <w:t>Princiere</w:t>
      </w:r>
      <w:proofErr w:type="spellEnd"/>
      <w:r w:rsidRPr="00427839">
        <w:rPr>
          <w:rFonts w:ascii="Times New Roman" w:hAnsi="Times New Roman" w:cs="Times New Roman"/>
          <w:sz w:val="24"/>
          <w:szCs w:val="24"/>
        </w:rPr>
        <w:t xml:space="preserve"> De Vix, </w:t>
      </w:r>
      <w:r w:rsidRPr="00427839">
        <w:rPr>
          <w:rFonts w:ascii="Times New Roman" w:hAnsi="Times New Roman" w:cs="Times New Roman"/>
          <w:i/>
          <w:iCs/>
          <w:sz w:val="24"/>
          <w:szCs w:val="24"/>
        </w:rPr>
        <w:t xml:space="preserve">Picard et </w:t>
      </w:r>
      <w:proofErr w:type="spellStart"/>
      <w:r w:rsidRPr="00427839">
        <w:rPr>
          <w:rFonts w:ascii="Times New Roman" w:hAnsi="Times New Roman" w:cs="Times New Roman"/>
          <w:i/>
          <w:iCs/>
          <w:sz w:val="24"/>
          <w:szCs w:val="24"/>
        </w:rPr>
        <w:t>Societe</w:t>
      </w:r>
      <w:proofErr w:type="spellEnd"/>
      <w:r w:rsidRPr="00427839">
        <w:rPr>
          <w:rFonts w:ascii="Times New Roman" w:hAnsi="Times New Roman" w:cs="Times New Roman"/>
          <w:i/>
          <w:iCs/>
          <w:sz w:val="24"/>
          <w:szCs w:val="24"/>
        </w:rPr>
        <w:t xml:space="preserve"> des </w:t>
      </w:r>
      <w:proofErr w:type="spellStart"/>
      <w:r w:rsidRPr="00427839">
        <w:rPr>
          <w:rFonts w:ascii="Times New Roman" w:hAnsi="Times New Roman" w:cs="Times New Roman"/>
          <w:i/>
          <w:iCs/>
          <w:sz w:val="24"/>
          <w:szCs w:val="24"/>
        </w:rPr>
        <w:t>amis</w:t>
      </w:r>
      <w:proofErr w:type="spellEnd"/>
      <w:r w:rsidRPr="00427839">
        <w:rPr>
          <w:rFonts w:ascii="Times New Roman" w:hAnsi="Times New Roman" w:cs="Times New Roman"/>
          <w:i/>
          <w:iCs/>
          <w:sz w:val="24"/>
          <w:szCs w:val="24"/>
        </w:rPr>
        <w:t xml:space="preserve"> du muse du </w:t>
      </w:r>
    </w:p>
    <w:p w14:paraId="24B97A2C" w14:textId="77777777" w:rsidR="00427839" w:rsidRDefault="00427839" w:rsidP="00427839">
      <w:pPr>
        <w:spacing w:after="0"/>
        <w:ind w:left="720" w:firstLine="720"/>
        <w:rPr>
          <w:rFonts w:ascii="Times New Roman" w:hAnsi="Times New Roman" w:cs="Times New Roman"/>
          <w:sz w:val="24"/>
          <w:szCs w:val="24"/>
        </w:rPr>
      </w:pPr>
      <w:proofErr w:type="spellStart"/>
      <w:r w:rsidRPr="006615DD">
        <w:rPr>
          <w:rFonts w:ascii="Times New Roman" w:hAnsi="Times New Roman" w:cs="Times New Roman"/>
          <w:i/>
          <w:iCs/>
          <w:sz w:val="24"/>
          <w:szCs w:val="24"/>
        </w:rPr>
        <w:t>Chatillonais</w:t>
      </w:r>
      <w:proofErr w:type="spellEnd"/>
      <w:r w:rsidRPr="006615DD">
        <w:rPr>
          <w:rFonts w:ascii="Times New Roman" w:hAnsi="Times New Roman" w:cs="Times New Roman"/>
          <w:sz w:val="24"/>
          <w:szCs w:val="24"/>
        </w:rPr>
        <w:t>, 1, 2003</w:t>
      </w:r>
    </w:p>
    <w:p w14:paraId="7A909D4F" w14:textId="77777777" w:rsidR="00427839" w:rsidRDefault="00427839" w:rsidP="00427839">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 xml:space="preserve">Berresford Ellis, Peter, </w:t>
      </w:r>
      <w:r>
        <w:rPr>
          <w:rFonts w:ascii="Times New Roman" w:hAnsi="Times New Roman" w:cs="Times New Roman"/>
          <w:i/>
          <w:iCs/>
          <w:sz w:val="24"/>
          <w:szCs w:val="24"/>
        </w:rPr>
        <w:t xml:space="preserve">The Mammoth Book </w:t>
      </w:r>
      <w:proofErr w:type="gramStart"/>
      <w:r>
        <w:rPr>
          <w:rFonts w:ascii="Times New Roman" w:hAnsi="Times New Roman" w:cs="Times New Roman"/>
          <w:i/>
          <w:iCs/>
          <w:sz w:val="24"/>
          <w:szCs w:val="24"/>
        </w:rPr>
        <w:t>Of</w:t>
      </w:r>
      <w:proofErr w:type="gramEnd"/>
      <w:r>
        <w:rPr>
          <w:rFonts w:ascii="Times New Roman" w:hAnsi="Times New Roman" w:cs="Times New Roman"/>
          <w:i/>
          <w:iCs/>
          <w:sz w:val="24"/>
          <w:szCs w:val="24"/>
        </w:rPr>
        <w:t xml:space="preserve"> Celtic Myths And Legends</w:t>
      </w:r>
      <w:r>
        <w:rPr>
          <w:rFonts w:ascii="Times New Roman" w:hAnsi="Times New Roman" w:cs="Times New Roman"/>
          <w:sz w:val="24"/>
          <w:szCs w:val="24"/>
        </w:rPr>
        <w:t xml:space="preserve">, </w:t>
      </w:r>
    </w:p>
    <w:p w14:paraId="18EFC9CD" w14:textId="77777777" w:rsidR="00427839" w:rsidRPr="006615DD" w:rsidRDefault="00427839" w:rsidP="00427839">
      <w:pPr>
        <w:pStyle w:val="ListParagraph"/>
        <w:spacing w:after="0"/>
        <w:ind w:firstLine="720"/>
        <w:rPr>
          <w:rFonts w:ascii="Times New Roman" w:hAnsi="Times New Roman" w:cs="Times New Roman"/>
          <w:sz w:val="24"/>
          <w:szCs w:val="24"/>
        </w:rPr>
      </w:pPr>
      <w:r>
        <w:rPr>
          <w:rFonts w:ascii="Times New Roman" w:hAnsi="Times New Roman" w:cs="Times New Roman"/>
          <w:sz w:val="24"/>
          <w:szCs w:val="24"/>
        </w:rPr>
        <w:t>(Philadelphia: Running Press, 2008)</w:t>
      </w:r>
    </w:p>
    <w:p w14:paraId="25D280F1" w14:textId="77777777" w:rsidR="00427839" w:rsidRPr="00427839" w:rsidRDefault="00427839" w:rsidP="00427839">
      <w:pPr>
        <w:spacing w:after="0"/>
        <w:rPr>
          <w:rFonts w:ascii="Times New Roman" w:hAnsi="Times New Roman" w:cs="Times New Roman"/>
          <w:sz w:val="28"/>
          <w:szCs w:val="28"/>
          <w:u w:val="single"/>
        </w:rPr>
      </w:pPr>
    </w:p>
    <w:sectPr w:rsidR="00427839" w:rsidRPr="00427839">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6FBB9" w14:textId="77777777" w:rsidR="00A213E5" w:rsidRDefault="00A213E5" w:rsidP="00F81C5F">
      <w:pPr>
        <w:spacing w:after="0" w:line="240" w:lineRule="auto"/>
      </w:pPr>
      <w:r>
        <w:separator/>
      </w:r>
    </w:p>
  </w:endnote>
  <w:endnote w:type="continuationSeparator" w:id="0">
    <w:p w14:paraId="23A31B23" w14:textId="77777777" w:rsidR="00A213E5" w:rsidRDefault="00A213E5" w:rsidP="00F81C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558F2D" w14:textId="77777777" w:rsidR="00A213E5" w:rsidRDefault="00A213E5" w:rsidP="00F81C5F">
      <w:pPr>
        <w:spacing w:after="0" w:line="240" w:lineRule="auto"/>
      </w:pPr>
      <w:r>
        <w:separator/>
      </w:r>
    </w:p>
  </w:footnote>
  <w:footnote w:type="continuationSeparator" w:id="0">
    <w:p w14:paraId="3781D412" w14:textId="77777777" w:rsidR="00A213E5" w:rsidRDefault="00A213E5" w:rsidP="00F81C5F">
      <w:pPr>
        <w:spacing w:after="0" w:line="240" w:lineRule="auto"/>
      </w:pPr>
      <w:r>
        <w:continuationSeparator/>
      </w:r>
    </w:p>
  </w:footnote>
  <w:footnote w:id="1">
    <w:p w14:paraId="0BB18C90" w14:textId="684C2F40" w:rsidR="002569C5" w:rsidRDefault="002569C5">
      <w:pPr>
        <w:pStyle w:val="FootnoteText"/>
      </w:pPr>
      <w:r>
        <w:rPr>
          <w:rStyle w:val="FootnoteReference"/>
        </w:rPr>
        <w:footnoteRef/>
      </w:r>
      <w:r>
        <w:t xml:space="preserve"> </w:t>
      </w:r>
      <w:r w:rsidR="00F81D0D" w:rsidRPr="00F81D0D">
        <w:t xml:space="preserve">Rene Joffroy, Le Tresor De Vix (Cote </w:t>
      </w:r>
      <w:proofErr w:type="spellStart"/>
      <w:proofErr w:type="gramStart"/>
      <w:r w:rsidR="00F81D0D" w:rsidRPr="00F81D0D">
        <w:t>d,Or</w:t>
      </w:r>
      <w:proofErr w:type="spellEnd"/>
      <w:proofErr w:type="gramEnd"/>
      <w:r w:rsidR="00F81D0D" w:rsidRPr="00F81D0D">
        <w:t xml:space="preserve">), (Paris: Presses </w:t>
      </w:r>
      <w:proofErr w:type="spellStart"/>
      <w:r w:rsidR="00F81D0D" w:rsidRPr="00F81D0D">
        <w:t>Universitaires</w:t>
      </w:r>
      <w:proofErr w:type="spellEnd"/>
      <w:r w:rsidR="00F81D0D" w:rsidRPr="00F81D0D">
        <w:t xml:space="preserve"> de France, 1954)</w:t>
      </w:r>
    </w:p>
  </w:footnote>
  <w:footnote w:id="2">
    <w:p w14:paraId="7FEAB9B0" w14:textId="1DBFB832" w:rsidR="00F81D0D" w:rsidRDefault="00F81D0D">
      <w:pPr>
        <w:pStyle w:val="FootnoteText"/>
      </w:pPr>
      <w:r>
        <w:rPr>
          <w:rStyle w:val="FootnoteReference"/>
        </w:rPr>
        <w:footnoteRef/>
      </w:r>
      <w:r>
        <w:t xml:space="preserve"> </w:t>
      </w:r>
      <w:r w:rsidRPr="00F81D0D">
        <w:t xml:space="preserve">Christopher J. Knusel, ‘More Circe Than Cassandra: The Princess </w:t>
      </w:r>
      <w:proofErr w:type="gramStart"/>
      <w:r w:rsidRPr="00F81D0D">
        <w:t>Of</w:t>
      </w:r>
      <w:proofErr w:type="gramEnd"/>
      <w:r w:rsidRPr="00F81D0D">
        <w:t xml:space="preserve"> Vix In Ritualized Social Context’, European Journal of Archaeology, 5.3, (2002)</w:t>
      </w:r>
    </w:p>
  </w:footnote>
  <w:footnote w:id="3">
    <w:p w14:paraId="499F92CE" w14:textId="22F65B14" w:rsidR="00FA1431" w:rsidRDefault="00FA1431">
      <w:pPr>
        <w:pStyle w:val="FootnoteText"/>
      </w:pPr>
      <w:r>
        <w:rPr>
          <w:rStyle w:val="FootnoteReference"/>
        </w:rPr>
        <w:footnoteRef/>
      </w:r>
      <w:r>
        <w:t xml:space="preserve"> </w:t>
      </w:r>
      <w:r w:rsidRPr="00FA1431">
        <w:t xml:space="preserve">Bettina Arnold, ‘‘Honorary Males’ </w:t>
      </w:r>
      <w:proofErr w:type="gramStart"/>
      <w:r w:rsidRPr="00FA1431">
        <w:t>Or</w:t>
      </w:r>
      <w:proofErr w:type="gramEnd"/>
      <w:r w:rsidRPr="00FA1431">
        <w:t xml:space="preserve"> Women Of Substance? Gender, Status </w:t>
      </w:r>
      <w:proofErr w:type="gramStart"/>
      <w:r w:rsidRPr="00FA1431">
        <w:t>And</w:t>
      </w:r>
      <w:proofErr w:type="gramEnd"/>
      <w:r w:rsidRPr="00FA1431">
        <w:t xml:space="preserve"> Power In Iron-Age Europe, European Journal of Archaeology, 3.2, (1995)</w:t>
      </w:r>
    </w:p>
  </w:footnote>
  <w:footnote w:id="4">
    <w:p w14:paraId="2F663B65" w14:textId="2842B79E" w:rsidR="00FA1431" w:rsidRDefault="00FA1431">
      <w:pPr>
        <w:pStyle w:val="FootnoteText"/>
      </w:pPr>
      <w:r>
        <w:rPr>
          <w:rStyle w:val="FootnoteReference"/>
        </w:rPr>
        <w:footnoteRef/>
      </w:r>
      <w:r>
        <w:t xml:space="preserve"> </w:t>
      </w:r>
      <w:r w:rsidRPr="00FA1431">
        <w:t xml:space="preserve">Bettina Arnold, ‘‘Honorary Males’ </w:t>
      </w:r>
      <w:proofErr w:type="gramStart"/>
      <w:r w:rsidRPr="00FA1431">
        <w:t>Or</w:t>
      </w:r>
      <w:proofErr w:type="gramEnd"/>
      <w:r w:rsidRPr="00FA1431">
        <w:t xml:space="preserve"> Women Of Substance? Gender, Status </w:t>
      </w:r>
      <w:proofErr w:type="gramStart"/>
      <w:r w:rsidRPr="00FA1431">
        <w:t>And</w:t>
      </w:r>
      <w:proofErr w:type="gramEnd"/>
      <w:r w:rsidRPr="00FA1431">
        <w:t xml:space="preserve"> Power In Iron-Age Europe, European Journal of Archaeology, 3.2, (1995)</w:t>
      </w:r>
    </w:p>
  </w:footnote>
  <w:footnote w:id="5">
    <w:p w14:paraId="06B4449F" w14:textId="7D35A37C" w:rsidR="00EE5565" w:rsidRDefault="00EE5565">
      <w:pPr>
        <w:pStyle w:val="FootnoteText"/>
      </w:pPr>
      <w:r>
        <w:rPr>
          <w:rStyle w:val="FootnoteReference"/>
        </w:rPr>
        <w:footnoteRef/>
      </w:r>
      <w:r>
        <w:t xml:space="preserve"> </w:t>
      </w:r>
      <w:r w:rsidRPr="00EE5565">
        <w:t xml:space="preserve">Christopher J. Knusel, ‘More Circe Than Cassandra: The Princess </w:t>
      </w:r>
      <w:proofErr w:type="gramStart"/>
      <w:r w:rsidRPr="00EE5565">
        <w:t>Of</w:t>
      </w:r>
      <w:proofErr w:type="gramEnd"/>
      <w:r w:rsidRPr="00EE5565">
        <w:t xml:space="preserve"> Vix In Ritualized Social Context’, European Journal of Archaeology, 5.3, (2002)</w:t>
      </w:r>
    </w:p>
  </w:footnote>
  <w:footnote w:id="6">
    <w:p w14:paraId="37292085" w14:textId="680C25A8" w:rsidR="00F81D0D" w:rsidRDefault="00F81D0D">
      <w:pPr>
        <w:pStyle w:val="FootnoteText"/>
      </w:pPr>
      <w:r>
        <w:rPr>
          <w:rStyle w:val="FootnoteReference"/>
        </w:rPr>
        <w:footnoteRef/>
      </w:r>
      <w:r>
        <w:t xml:space="preserve"> </w:t>
      </w:r>
      <w:r w:rsidRPr="00F81D0D">
        <w:t xml:space="preserve">Christopher J. Knusel, ‘More Circe Than Cassandra: The Princess </w:t>
      </w:r>
      <w:proofErr w:type="gramStart"/>
      <w:r w:rsidRPr="00F81D0D">
        <w:t>Of</w:t>
      </w:r>
      <w:proofErr w:type="gramEnd"/>
      <w:r w:rsidRPr="00F81D0D">
        <w:t xml:space="preserve"> Vix In Ritualized Social Context’, European Journal of Archaeology, 5.3, (2002)</w:t>
      </w:r>
    </w:p>
  </w:footnote>
  <w:footnote w:id="7">
    <w:p w14:paraId="1BCD93B5" w14:textId="5B99F19F" w:rsidR="00F81D0D" w:rsidRDefault="00F81D0D">
      <w:pPr>
        <w:pStyle w:val="FootnoteText"/>
      </w:pPr>
      <w:r>
        <w:rPr>
          <w:rStyle w:val="FootnoteReference"/>
        </w:rPr>
        <w:footnoteRef/>
      </w:r>
      <w:r>
        <w:t xml:space="preserve"> </w:t>
      </w:r>
      <w:r w:rsidRPr="00F81D0D">
        <w:t xml:space="preserve">Liv Nilsson Stutz (ed.), Sarah </w:t>
      </w:r>
      <w:proofErr w:type="spellStart"/>
      <w:r w:rsidRPr="00F81D0D">
        <w:t>Tarlow</w:t>
      </w:r>
      <w:proofErr w:type="spellEnd"/>
      <w:r w:rsidRPr="00F81D0D">
        <w:t xml:space="preserve"> (ed.) and others, The Oxford Handbook </w:t>
      </w:r>
      <w:proofErr w:type="gramStart"/>
      <w:r w:rsidRPr="00F81D0D">
        <w:t>Of</w:t>
      </w:r>
      <w:proofErr w:type="gramEnd"/>
      <w:r w:rsidRPr="00F81D0D">
        <w:t xml:space="preserve"> The Archaeology Of Death And Burial, (Oxford: Oxford University Press, 2013)</w:t>
      </w:r>
    </w:p>
  </w:footnote>
  <w:footnote w:id="8">
    <w:p w14:paraId="37B75DAA" w14:textId="7B805322" w:rsidR="00EE5565" w:rsidRDefault="00EE5565">
      <w:pPr>
        <w:pStyle w:val="FootnoteText"/>
      </w:pPr>
      <w:r>
        <w:rPr>
          <w:rStyle w:val="FootnoteReference"/>
        </w:rPr>
        <w:footnoteRef/>
      </w:r>
      <w:r>
        <w:t xml:space="preserve"> </w:t>
      </w:r>
      <w:r w:rsidRPr="00EE5565">
        <w:t xml:space="preserve">Rene Joffroy, Le Tresor De Vix (Cote </w:t>
      </w:r>
      <w:proofErr w:type="spellStart"/>
      <w:proofErr w:type="gramStart"/>
      <w:r w:rsidRPr="00EE5565">
        <w:t>d,Or</w:t>
      </w:r>
      <w:proofErr w:type="spellEnd"/>
      <w:proofErr w:type="gramEnd"/>
      <w:r w:rsidRPr="00EE5565">
        <w:t xml:space="preserve">), (Paris: Presses </w:t>
      </w:r>
      <w:proofErr w:type="spellStart"/>
      <w:r w:rsidRPr="00EE5565">
        <w:t>Universitaires</w:t>
      </w:r>
      <w:proofErr w:type="spellEnd"/>
      <w:r w:rsidRPr="00EE5565">
        <w:t xml:space="preserve"> de France, 1954)</w:t>
      </w:r>
    </w:p>
  </w:footnote>
  <w:footnote w:id="9">
    <w:p w14:paraId="43808E92" w14:textId="0141F69D" w:rsidR="00EE5565" w:rsidRDefault="00EE5565">
      <w:pPr>
        <w:pStyle w:val="FootnoteText"/>
      </w:pPr>
      <w:r>
        <w:rPr>
          <w:rStyle w:val="FootnoteReference"/>
        </w:rPr>
        <w:footnoteRef/>
      </w:r>
      <w:r>
        <w:t xml:space="preserve"> </w:t>
      </w:r>
      <w:r w:rsidRPr="00EE5565">
        <w:t xml:space="preserve">Peter Berresford Ellis, The Mammoth Book </w:t>
      </w:r>
      <w:proofErr w:type="gramStart"/>
      <w:r w:rsidRPr="00EE5565">
        <w:t>Of</w:t>
      </w:r>
      <w:proofErr w:type="gramEnd"/>
      <w:r w:rsidRPr="00EE5565">
        <w:t xml:space="preserve"> Celtic Myths And Legends, (Philadelphia: Running Press, 2008)</w:t>
      </w:r>
    </w:p>
  </w:footnote>
  <w:footnote w:id="10">
    <w:p w14:paraId="4FF78F56" w14:textId="1FE71565" w:rsidR="00EE5565" w:rsidRDefault="00EE5565">
      <w:pPr>
        <w:pStyle w:val="FootnoteText"/>
      </w:pPr>
      <w:r>
        <w:rPr>
          <w:rStyle w:val="FootnoteReference"/>
        </w:rPr>
        <w:footnoteRef/>
      </w:r>
      <w:r>
        <w:t xml:space="preserve"> </w:t>
      </w:r>
      <w:r w:rsidRPr="00EE5565">
        <w:t xml:space="preserve">Bruno Chaume, ‘Tracking Down </w:t>
      </w:r>
      <w:proofErr w:type="gramStart"/>
      <w:r w:rsidRPr="00EE5565">
        <w:t>The</w:t>
      </w:r>
      <w:proofErr w:type="gramEnd"/>
      <w:r w:rsidRPr="00EE5565">
        <w:t xml:space="preserve"> Story Of The Discovery Of The Vix Princely Burial’, Germania, 96, 2018</w:t>
      </w:r>
    </w:p>
  </w:footnote>
  <w:footnote w:id="11">
    <w:p w14:paraId="1FFD592C" w14:textId="6541A895" w:rsidR="00EE5565" w:rsidRDefault="00EE5565">
      <w:pPr>
        <w:pStyle w:val="FootnoteText"/>
      </w:pPr>
      <w:r>
        <w:rPr>
          <w:rStyle w:val="FootnoteReference"/>
        </w:rPr>
        <w:footnoteRef/>
      </w:r>
      <w:r>
        <w:t xml:space="preserve"> </w:t>
      </w:r>
      <w:r w:rsidRPr="00EE5565">
        <w:t xml:space="preserve">Rene Joffroy, Le Tresor De Vix (Cote </w:t>
      </w:r>
      <w:proofErr w:type="spellStart"/>
      <w:proofErr w:type="gramStart"/>
      <w:r w:rsidRPr="00EE5565">
        <w:t>d,Or</w:t>
      </w:r>
      <w:proofErr w:type="spellEnd"/>
      <w:proofErr w:type="gramEnd"/>
      <w:r w:rsidRPr="00EE5565">
        <w:t xml:space="preserve">), (Paris: Presses </w:t>
      </w:r>
      <w:proofErr w:type="spellStart"/>
      <w:r w:rsidRPr="00EE5565">
        <w:t>Universitaires</w:t>
      </w:r>
      <w:proofErr w:type="spellEnd"/>
      <w:r w:rsidRPr="00EE5565">
        <w:t xml:space="preserve"> de France, 1954)</w:t>
      </w:r>
    </w:p>
  </w:footnote>
  <w:footnote w:id="12">
    <w:p w14:paraId="139094DA" w14:textId="33CA511E" w:rsidR="00EE5565" w:rsidRDefault="00EE5565">
      <w:pPr>
        <w:pStyle w:val="FootnoteText"/>
      </w:pPr>
      <w:r>
        <w:rPr>
          <w:rStyle w:val="FootnoteReference"/>
        </w:rPr>
        <w:footnoteRef/>
      </w:r>
      <w:r>
        <w:t xml:space="preserve"> </w:t>
      </w:r>
      <w:r w:rsidRPr="00EE5565">
        <w:t xml:space="preserve">Bettina Arnold, ‘Gender, Temporalities, and Periodization </w:t>
      </w:r>
      <w:proofErr w:type="gramStart"/>
      <w:r w:rsidRPr="00EE5565">
        <w:t>In</w:t>
      </w:r>
      <w:proofErr w:type="gramEnd"/>
      <w:r w:rsidRPr="00EE5565">
        <w:t xml:space="preserve"> Early Iron Age West-Central Europe’, Social Science History, 36.1, 2012</w:t>
      </w:r>
    </w:p>
  </w:footnote>
  <w:footnote w:id="13">
    <w:p w14:paraId="05528DB2" w14:textId="58289C8C" w:rsidR="00EE5565" w:rsidRDefault="00EE5565">
      <w:pPr>
        <w:pStyle w:val="FootnoteText"/>
      </w:pPr>
      <w:r>
        <w:rPr>
          <w:rStyle w:val="FootnoteReference"/>
        </w:rPr>
        <w:footnoteRef/>
      </w:r>
      <w:r>
        <w:t xml:space="preserve"> </w:t>
      </w:r>
      <w:proofErr w:type="spellStart"/>
      <w:r w:rsidRPr="00EE5565">
        <w:t>Calude</w:t>
      </w:r>
      <w:proofErr w:type="spellEnd"/>
      <w:r w:rsidRPr="00EE5565">
        <w:t xml:space="preserve"> </w:t>
      </w:r>
      <w:proofErr w:type="spellStart"/>
      <w:r w:rsidRPr="00EE5565">
        <w:t>Rolley</w:t>
      </w:r>
      <w:proofErr w:type="spellEnd"/>
      <w:r w:rsidRPr="00EE5565">
        <w:t xml:space="preserve">, La </w:t>
      </w:r>
      <w:proofErr w:type="spellStart"/>
      <w:r w:rsidRPr="00EE5565">
        <w:t>Tombe</w:t>
      </w:r>
      <w:proofErr w:type="spellEnd"/>
      <w:r w:rsidRPr="00EE5565">
        <w:t xml:space="preserve"> </w:t>
      </w:r>
      <w:proofErr w:type="spellStart"/>
      <w:r w:rsidRPr="00EE5565">
        <w:t>Princiere</w:t>
      </w:r>
      <w:proofErr w:type="spellEnd"/>
      <w:r w:rsidRPr="00EE5565">
        <w:t xml:space="preserve"> De Vix, Picard et </w:t>
      </w:r>
      <w:proofErr w:type="spellStart"/>
      <w:r w:rsidRPr="00EE5565">
        <w:t>Societe</w:t>
      </w:r>
      <w:proofErr w:type="spellEnd"/>
      <w:r w:rsidRPr="00EE5565">
        <w:t xml:space="preserve"> des </w:t>
      </w:r>
      <w:proofErr w:type="spellStart"/>
      <w:r w:rsidRPr="00EE5565">
        <w:t>amis</w:t>
      </w:r>
      <w:proofErr w:type="spellEnd"/>
      <w:r w:rsidRPr="00EE5565">
        <w:t xml:space="preserve"> du muse du </w:t>
      </w:r>
      <w:proofErr w:type="spellStart"/>
      <w:r w:rsidRPr="00EE5565">
        <w:t>Chatillonais</w:t>
      </w:r>
      <w:proofErr w:type="spellEnd"/>
      <w:r w:rsidRPr="00EE5565">
        <w:t>, 1, 2003</w:t>
      </w:r>
    </w:p>
  </w:footnote>
  <w:footnote w:id="14">
    <w:p w14:paraId="51DF3B59" w14:textId="1893AF41" w:rsidR="00EE5565" w:rsidRDefault="00EE5565">
      <w:pPr>
        <w:pStyle w:val="FootnoteText"/>
      </w:pPr>
      <w:r>
        <w:rPr>
          <w:rStyle w:val="FootnoteReference"/>
        </w:rPr>
        <w:footnoteRef/>
      </w:r>
      <w:r>
        <w:t xml:space="preserve"> </w:t>
      </w:r>
      <w:r w:rsidRPr="00EE5565">
        <w:t xml:space="preserve">Bruno Chaume, ‘Vix (Cote-d’Or) And </w:t>
      </w:r>
      <w:proofErr w:type="gramStart"/>
      <w:r w:rsidRPr="00EE5565">
        <w:t>The</w:t>
      </w:r>
      <w:proofErr w:type="gramEnd"/>
      <w:r w:rsidRPr="00EE5565">
        <w:t xml:space="preserve"> Emergence Of The Celtic Principalities: The Port Hypothesis And The Concept Of Port Of Trade, Gallia, 77.1, 2020</w:t>
      </w:r>
    </w:p>
  </w:footnote>
  <w:footnote w:id="15">
    <w:p w14:paraId="2B2AA348" w14:textId="1F1941FF" w:rsidR="00EE5565" w:rsidRDefault="00EE5565">
      <w:pPr>
        <w:pStyle w:val="FootnoteText"/>
      </w:pPr>
      <w:r>
        <w:rPr>
          <w:rStyle w:val="FootnoteReference"/>
        </w:rPr>
        <w:footnoteRef/>
      </w:r>
      <w:r>
        <w:t xml:space="preserve"> </w:t>
      </w:r>
      <w:r w:rsidRPr="00EE5565">
        <w:t xml:space="preserve">Peter Berresford Ellis, The Mammoth Book </w:t>
      </w:r>
      <w:proofErr w:type="gramStart"/>
      <w:r w:rsidRPr="00EE5565">
        <w:t>Of</w:t>
      </w:r>
      <w:proofErr w:type="gramEnd"/>
      <w:r w:rsidRPr="00EE5565">
        <w:t xml:space="preserve"> Celtic Myths And Legends, (Philadelphia: Running Press, 2008)</w:t>
      </w:r>
    </w:p>
  </w:footnote>
  <w:footnote w:id="16">
    <w:p w14:paraId="1AE66C28" w14:textId="1350CBDC" w:rsidR="00EE5565" w:rsidRDefault="00EE5565">
      <w:pPr>
        <w:pStyle w:val="FootnoteText"/>
      </w:pPr>
      <w:r>
        <w:rPr>
          <w:rStyle w:val="FootnoteReference"/>
        </w:rPr>
        <w:footnoteRef/>
      </w:r>
      <w:r>
        <w:t xml:space="preserve"> </w:t>
      </w:r>
      <w:r w:rsidRPr="00EE5565">
        <w:t xml:space="preserve">Bruno Chaume, ‘Tracking Down </w:t>
      </w:r>
      <w:proofErr w:type="gramStart"/>
      <w:r w:rsidRPr="00EE5565">
        <w:t>The</w:t>
      </w:r>
      <w:proofErr w:type="gramEnd"/>
      <w:r w:rsidRPr="00EE5565">
        <w:t xml:space="preserve"> Story Of The Discovery Of The Vix Princely Burial’, Germania, 96,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0F5C7" w14:textId="1479AD2E" w:rsidR="005F73A5" w:rsidRDefault="005F73A5">
    <w:pPr>
      <w:pStyle w:val="Header"/>
    </w:pPr>
    <w:r>
      <w:t>Manisha Malley</w:t>
    </w:r>
  </w:p>
  <w:p w14:paraId="1AF567D3" w14:textId="36CB5F00" w:rsidR="005F73A5" w:rsidRDefault="005F73A5">
    <w:pPr>
      <w:pStyle w:val="Header"/>
    </w:pPr>
    <w:r>
      <w:t>Academic Skills: Essay and Source Focus</w:t>
    </w:r>
  </w:p>
  <w:p w14:paraId="33084B02" w14:textId="1A1CB490" w:rsidR="005F73A5" w:rsidRDefault="005F73A5">
    <w:pPr>
      <w:pStyle w:val="Header"/>
    </w:pPr>
    <w:r>
      <w:t>(HPHP4902)</w:t>
    </w:r>
  </w:p>
  <w:p w14:paraId="73CFCA62" w14:textId="19E3AF83" w:rsidR="00F81C5F" w:rsidRDefault="00F81C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6B0B96"/>
    <w:multiLevelType w:val="hybridMultilevel"/>
    <w:tmpl w:val="516036F2"/>
    <w:lvl w:ilvl="0" w:tplc="4FBEC43C">
      <w:start w:val="1954"/>
      <w:numFmt w:val="bullet"/>
      <w:lvlText w:val="-"/>
      <w:lvlJc w:val="left"/>
      <w:pPr>
        <w:ind w:left="720" w:hanging="360"/>
      </w:pPr>
      <w:rPr>
        <w:rFonts w:ascii="Times New Roman" w:eastAsiaTheme="minorHAnsi" w:hAnsi="Times New Roman" w:cs="Times New Roman" w:hint="default"/>
        <w:sz w:val="24"/>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965B0B"/>
    <w:multiLevelType w:val="hybridMultilevel"/>
    <w:tmpl w:val="20FEFE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1631423">
    <w:abstractNumId w:val="1"/>
  </w:num>
  <w:num w:numId="2" w16cid:durableId="460390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832"/>
    <w:rsid w:val="000311A8"/>
    <w:rsid w:val="000E6AF7"/>
    <w:rsid w:val="00164DA6"/>
    <w:rsid w:val="00171391"/>
    <w:rsid w:val="001754BC"/>
    <w:rsid w:val="002438E4"/>
    <w:rsid w:val="00245F40"/>
    <w:rsid w:val="002569C5"/>
    <w:rsid w:val="002A1062"/>
    <w:rsid w:val="002B4596"/>
    <w:rsid w:val="002B7747"/>
    <w:rsid w:val="002E4DEA"/>
    <w:rsid w:val="0034522B"/>
    <w:rsid w:val="003605A1"/>
    <w:rsid w:val="003D1ED2"/>
    <w:rsid w:val="003F1C86"/>
    <w:rsid w:val="00427839"/>
    <w:rsid w:val="00476629"/>
    <w:rsid w:val="00503A99"/>
    <w:rsid w:val="00526CC5"/>
    <w:rsid w:val="00552589"/>
    <w:rsid w:val="005753EC"/>
    <w:rsid w:val="005A2C92"/>
    <w:rsid w:val="005A56F3"/>
    <w:rsid w:val="005E1ABD"/>
    <w:rsid w:val="005F4F9C"/>
    <w:rsid w:val="005F73A5"/>
    <w:rsid w:val="006445CE"/>
    <w:rsid w:val="006F5753"/>
    <w:rsid w:val="00793AAD"/>
    <w:rsid w:val="007944AA"/>
    <w:rsid w:val="007C4D38"/>
    <w:rsid w:val="007E0A9A"/>
    <w:rsid w:val="00805E3B"/>
    <w:rsid w:val="00863F78"/>
    <w:rsid w:val="009176F5"/>
    <w:rsid w:val="00971B99"/>
    <w:rsid w:val="009761F3"/>
    <w:rsid w:val="00982870"/>
    <w:rsid w:val="009D0814"/>
    <w:rsid w:val="009D117D"/>
    <w:rsid w:val="009E694F"/>
    <w:rsid w:val="00A213E5"/>
    <w:rsid w:val="00A54546"/>
    <w:rsid w:val="00A66CBA"/>
    <w:rsid w:val="00AC5542"/>
    <w:rsid w:val="00B13C4F"/>
    <w:rsid w:val="00B172EB"/>
    <w:rsid w:val="00B656B8"/>
    <w:rsid w:val="00BA4C85"/>
    <w:rsid w:val="00BB4569"/>
    <w:rsid w:val="00BC6B99"/>
    <w:rsid w:val="00C07B37"/>
    <w:rsid w:val="00C71832"/>
    <w:rsid w:val="00CD4676"/>
    <w:rsid w:val="00CF19F9"/>
    <w:rsid w:val="00D07806"/>
    <w:rsid w:val="00D15B99"/>
    <w:rsid w:val="00D22346"/>
    <w:rsid w:val="00E21D5F"/>
    <w:rsid w:val="00E41419"/>
    <w:rsid w:val="00E531F1"/>
    <w:rsid w:val="00E91CC3"/>
    <w:rsid w:val="00EE4175"/>
    <w:rsid w:val="00EE5565"/>
    <w:rsid w:val="00EF349B"/>
    <w:rsid w:val="00F26CA4"/>
    <w:rsid w:val="00F81C5F"/>
    <w:rsid w:val="00F81D0D"/>
    <w:rsid w:val="00F90264"/>
    <w:rsid w:val="00F91411"/>
    <w:rsid w:val="00FA1431"/>
    <w:rsid w:val="00FE076E"/>
    <w:rsid w:val="00FE1BD4"/>
    <w:rsid w:val="00FF6B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35347"/>
  <w15:chartTrackingRefBased/>
  <w15:docId w15:val="{A7364FB5-6DCE-4982-90A6-DAA1ED614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1C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1C5F"/>
  </w:style>
  <w:style w:type="paragraph" w:styleId="Footer">
    <w:name w:val="footer"/>
    <w:basedOn w:val="Normal"/>
    <w:link w:val="FooterChar"/>
    <w:uiPriority w:val="99"/>
    <w:unhideWhenUsed/>
    <w:rsid w:val="00F81C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1C5F"/>
  </w:style>
  <w:style w:type="paragraph" w:styleId="FootnoteText">
    <w:name w:val="footnote text"/>
    <w:basedOn w:val="Normal"/>
    <w:link w:val="FootnoteTextChar"/>
    <w:uiPriority w:val="99"/>
    <w:semiHidden/>
    <w:unhideWhenUsed/>
    <w:rsid w:val="002569C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569C5"/>
    <w:rPr>
      <w:sz w:val="20"/>
      <w:szCs w:val="20"/>
    </w:rPr>
  </w:style>
  <w:style w:type="character" w:styleId="FootnoteReference">
    <w:name w:val="footnote reference"/>
    <w:basedOn w:val="DefaultParagraphFont"/>
    <w:uiPriority w:val="99"/>
    <w:semiHidden/>
    <w:unhideWhenUsed/>
    <w:rsid w:val="002569C5"/>
    <w:rPr>
      <w:vertAlign w:val="superscript"/>
    </w:rPr>
  </w:style>
  <w:style w:type="paragraph" w:styleId="ListParagraph">
    <w:name w:val="List Paragraph"/>
    <w:basedOn w:val="Normal"/>
    <w:uiPriority w:val="34"/>
    <w:qFormat/>
    <w:rsid w:val="00F81D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38FB0C-19C6-4A1D-817E-0C372C1B0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922</TotalTime>
  <Pages>4</Pages>
  <Words>1693</Words>
  <Characters>9655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malley</dc:creator>
  <cp:keywords/>
  <dc:description/>
  <cp:lastModifiedBy>tina malley</cp:lastModifiedBy>
  <cp:revision>22</cp:revision>
  <dcterms:created xsi:type="dcterms:W3CDTF">2022-11-24T18:51:00Z</dcterms:created>
  <dcterms:modified xsi:type="dcterms:W3CDTF">2022-11-28T19:08:00Z</dcterms:modified>
</cp:coreProperties>
</file>