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AF5255B" w14:textId="77777777" w:rsidR="00711EC8" w:rsidRDefault="00550CE9">
      <w:pPr>
        <w:widowControl w:val="0"/>
        <w:spacing w:line="212" w:lineRule="auto"/>
        <w:ind w:left="9153" w:right="-13" w:hanging="8434"/>
        <w:jc w:val="left"/>
        <w:rPr>
          <w:rFonts w:ascii="Arial" w:eastAsia="Arial" w:hAnsi="Arial" w:cs="Arial"/>
          <w:b/>
          <w:bCs/>
          <w:sz w:val="32"/>
          <w:szCs w:val="32"/>
        </w:rPr>
      </w:pPr>
      <w:r>
        <w:rPr>
          <w:rFonts w:ascii="Arial" w:eastAsia="Arial" w:hAnsi="Arial" w:cs="Arial"/>
          <w:noProof/>
          <w:sz w:val="22"/>
          <w:szCs w:val="22"/>
          <w:lang w:val="ro-RO" w:eastAsia="ro-RO"/>
        </w:rPr>
        <w:drawing>
          <wp:inline distT="19050" distB="19050" distL="19050" distR="19050" wp14:anchorId="158B5A06" wp14:editId="1E094E94">
            <wp:extent cx="1809750" cy="7239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1809750" cy="723900"/>
                    </a:xfrm>
                    <a:prstGeom prst="rect">
                      <a:avLst/>
                    </a:prstGeom>
                    <a:ln/>
                  </pic:spPr>
                </pic:pic>
              </a:graphicData>
            </a:graphic>
          </wp:inline>
        </w:drawing>
      </w:r>
    </w:p>
    <w:p w14:paraId="19A6E5CF" w14:textId="77777777" w:rsidR="00711EC8" w:rsidRDefault="00711EC8">
      <w:pPr>
        <w:spacing w:before="240" w:after="240"/>
        <w:jc w:val="center"/>
        <w:rPr>
          <w:rFonts w:ascii="Arial" w:eastAsia="Arial" w:hAnsi="Arial" w:cs="Arial"/>
          <w:b/>
          <w:bCs/>
          <w:sz w:val="32"/>
          <w:szCs w:val="32"/>
        </w:rPr>
      </w:pPr>
    </w:p>
    <w:p w14:paraId="32CAF032" w14:textId="77777777" w:rsidR="00711EC8" w:rsidRDefault="00711EC8">
      <w:pPr>
        <w:spacing w:before="240" w:after="240"/>
        <w:jc w:val="center"/>
        <w:rPr>
          <w:rFonts w:ascii="Arial" w:eastAsia="Arial" w:hAnsi="Arial" w:cs="Arial"/>
          <w:b/>
          <w:bCs/>
          <w:sz w:val="32"/>
          <w:szCs w:val="32"/>
        </w:rPr>
      </w:pPr>
    </w:p>
    <w:p w14:paraId="2E6D7845" w14:textId="77777777" w:rsidR="00711EC8" w:rsidRDefault="00711EC8">
      <w:pPr>
        <w:spacing w:before="240" w:after="240"/>
        <w:jc w:val="center"/>
        <w:rPr>
          <w:rFonts w:ascii="Arial" w:eastAsia="Arial" w:hAnsi="Arial" w:cs="Arial"/>
          <w:b/>
          <w:bCs/>
          <w:sz w:val="32"/>
          <w:szCs w:val="32"/>
        </w:rPr>
      </w:pPr>
    </w:p>
    <w:p w14:paraId="38ABBB32" w14:textId="77777777" w:rsidR="00711EC8" w:rsidRDefault="00550CE9">
      <w:pPr>
        <w:spacing w:before="240" w:after="240"/>
        <w:jc w:val="center"/>
        <w:rPr>
          <w:rFonts w:ascii="Arial" w:eastAsia="Arial" w:hAnsi="Arial" w:cs="Arial"/>
          <w:b/>
          <w:bCs/>
          <w:sz w:val="32"/>
          <w:szCs w:val="32"/>
        </w:rPr>
      </w:pPr>
      <w:r>
        <w:rPr>
          <w:rFonts w:ascii="Arial" w:eastAsia="Arial" w:hAnsi="Arial" w:cs="Arial"/>
          <w:b/>
          <w:bCs/>
          <w:sz w:val="32"/>
          <w:szCs w:val="32"/>
        </w:rPr>
        <w:t xml:space="preserve">MODULE TITLE: ACADEMIC SKILLS </w:t>
      </w:r>
    </w:p>
    <w:p w14:paraId="2F39359F" w14:textId="77777777" w:rsidR="00711EC8" w:rsidRDefault="00550CE9">
      <w:pPr>
        <w:spacing w:before="240" w:after="240"/>
        <w:jc w:val="center"/>
        <w:rPr>
          <w:rFonts w:ascii="Arial" w:eastAsia="Arial" w:hAnsi="Arial" w:cs="Arial"/>
          <w:b/>
          <w:bCs/>
          <w:sz w:val="32"/>
          <w:szCs w:val="32"/>
        </w:rPr>
      </w:pPr>
      <w:r>
        <w:rPr>
          <w:rFonts w:ascii="Arial" w:eastAsia="Arial" w:hAnsi="Arial" w:cs="Arial"/>
          <w:b/>
          <w:bCs/>
          <w:sz w:val="32"/>
          <w:szCs w:val="32"/>
        </w:rPr>
        <w:t>MODULE CODE: LCBB4012</w:t>
      </w:r>
    </w:p>
    <w:p w14:paraId="40CAE10A" w14:textId="764FD78A" w:rsidR="00711EC8" w:rsidRDefault="00550CE9">
      <w:pPr>
        <w:spacing w:before="240" w:after="240"/>
        <w:jc w:val="center"/>
        <w:rPr>
          <w:rFonts w:ascii="Arial" w:eastAsia="Arial" w:hAnsi="Arial" w:cs="Arial"/>
          <w:b/>
          <w:bCs/>
          <w:sz w:val="32"/>
          <w:szCs w:val="32"/>
        </w:rPr>
      </w:pPr>
      <w:r>
        <w:rPr>
          <w:rFonts w:ascii="Arial" w:eastAsia="Arial" w:hAnsi="Arial" w:cs="Arial"/>
          <w:b/>
          <w:bCs/>
          <w:sz w:val="32"/>
          <w:szCs w:val="32"/>
        </w:rPr>
        <w:t xml:space="preserve">ASSESSMENT TITLE: COMPONENT 1: </w:t>
      </w:r>
      <w:r w:rsidR="00F5445C">
        <w:rPr>
          <w:rFonts w:ascii="Arial" w:eastAsia="Arial" w:hAnsi="Arial" w:cs="Arial"/>
          <w:b/>
          <w:bCs/>
          <w:sz w:val="32"/>
          <w:szCs w:val="32"/>
        </w:rPr>
        <w:t>COURSEWORK INDIVIDUAL</w:t>
      </w:r>
      <w:r>
        <w:rPr>
          <w:rFonts w:ascii="Arial" w:eastAsia="Arial" w:hAnsi="Arial" w:cs="Arial"/>
          <w:b/>
          <w:bCs/>
          <w:sz w:val="32"/>
          <w:szCs w:val="32"/>
        </w:rPr>
        <w:t xml:space="preserve"> WRITTEN REPORT</w:t>
      </w:r>
    </w:p>
    <w:p w14:paraId="42281306" w14:textId="77777777" w:rsidR="00711EC8" w:rsidRDefault="00550CE9">
      <w:pPr>
        <w:spacing w:before="240" w:after="240"/>
        <w:jc w:val="center"/>
        <w:rPr>
          <w:rFonts w:ascii="Arial" w:eastAsia="Arial" w:hAnsi="Arial" w:cs="Arial"/>
          <w:b/>
          <w:bCs/>
          <w:sz w:val="32"/>
          <w:szCs w:val="32"/>
        </w:rPr>
      </w:pPr>
      <w:r>
        <w:rPr>
          <w:rFonts w:ascii="Arial" w:eastAsia="Arial" w:hAnsi="Arial" w:cs="Arial"/>
          <w:b/>
          <w:bCs/>
          <w:sz w:val="32"/>
          <w:szCs w:val="32"/>
        </w:rPr>
        <w:t>STUDENT NAME: IOANA-ALINA SIMON</w:t>
      </w:r>
    </w:p>
    <w:p w14:paraId="166EB795" w14:textId="316794E6" w:rsidR="00711EC8" w:rsidRDefault="00550CE9">
      <w:pPr>
        <w:spacing w:before="240" w:after="240"/>
        <w:jc w:val="center"/>
        <w:rPr>
          <w:rFonts w:ascii="Arial" w:eastAsia="Arial" w:hAnsi="Arial" w:cs="Arial"/>
          <w:b/>
          <w:bCs/>
          <w:sz w:val="32"/>
          <w:szCs w:val="32"/>
        </w:rPr>
      </w:pPr>
      <w:r>
        <w:rPr>
          <w:rFonts w:ascii="Arial" w:eastAsia="Arial" w:hAnsi="Arial" w:cs="Arial"/>
          <w:b/>
          <w:bCs/>
          <w:sz w:val="32"/>
          <w:szCs w:val="32"/>
        </w:rPr>
        <w:t>STUDENT ID: 2513662</w:t>
      </w:r>
      <w:bookmarkStart w:id="0" w:name="_GoBack"/>
      <w:bookmarkEnd w:id="0"/>
    </w:p>
    <w:p w14:paraId="30857FE9" w14:textId="77777777" w:rsidR="00711EC8" w:rsidRDefault="00550CE9">
      <w:pPr>
        <w:spacing w:before="240" w:after="240"/>
        <w:jc w:val="center"/>
        <w:rPr>
          <w:rFonts w:ascii="Arial" w:eastAsia="Arial" w:hAnsi="Arial" w:cs="Arial"/>
          <w:b/>
          <w:bCs/>
          <w:sz w:val="32"/>
          <w:szCs w:val="32"/>
        </w:rPr>
      </w:pPr>
      <w:r>
        <w:rPr>
          <w:rFonts w:ascii="Arial" w:eastAsia="Arial" w:hAnsi="Arial" w:cs="Arial"/>
          <w:b/>
          <w:bCs/>
          <w:sz w:val="32"/>
          <w:szCs w:val="32"/>
        </w:rPr>
        <w:t xml:space="preserve">LECTURER’S </w:t>
      </w:r>
      <w:r>
        <w:rPr>
          <w:rFonts w:ascii="Arial" w:eastAsia="Arial" w:hAnsi="Arial" w:cs="Arial"/>
          <w:b/>
          <w:bCs/>
          <w:sz w:val="32"/>
          <w:szCs w:val="32"/>
        </w:rPr>
        <w:t>NAME: DR LIZETA DEMETRIOU</w:t>
      </w:r>
    </w:p>
    <w:p w14:paraId="0C88CAA4" w14:textId="31C8BC5F" w:rsidR="00711EC8" w:rsidRDefault="00550CE9">
      <w:pPr>
        <w:spacing w:before="240" w:after="240"/>
        <w:jc w:val="center"/>
        <w:rPr>
          <w:rFonts w:ascii="Arial" w:eastAsia="Arial" w:hAnsi="Arial" w:cs="Arial"/>
          <w:b/>
          <w:bCs/>
          <w:sz w:val="32"/>
          <w:szCs w:val="32"/>
        </w:rPr>
      </w:pPr>
      <w:r>
        <w:rPr>
          <w:rFonts w:ascii="Arial" w:eastAsia="Arial" w:hAnsi="Arial" w:cs="Arial"/>
          <w:b/>
          <w:bCs/>
          <w:sz w:val="32"/>
          <w:szCs w:val="32"/>
        </w:rPr>
        <w:t xml:space="preserve">WORD COUNT: </w:t>
      </w:r>
      <w:r w:rsidR="00D25E50">
        <w:rPr>
          <w:rFonts w:ascii="Arial" w:eastAsia="Arial" w:hAnsi="Arial" w:cs="Arial"/>
          <w:b/>
          <w:bCs/>
          <w:sz w:val="32"/>
          <w:szCs w:val="32"/>
        </w:rPr>
        <w:t>754</w:t>
      </w:r>
      <w:r>
        <w:br w:type="page"/>
      </w:r>
    </w:p>
    <w:p w14:paraId="76D2A382" w14:textId="77777777" w:rsidR="00711EC8" w:rsidRDefault="00550CE9">
      <w:pPr>
        <w:spacing w:before="240" w:after="240"/>
        <w:jc w:val="center"/>
        <w:rPr>
          <w:rFonts w:ascii="Arial" w:eastAsia="Arial" w:hAnsi="Arial" w:cs="Arial"/>
          <w:b/>
          <w:bCs/>
          <w:sz w:val="28"/>
          <w:szCs w:val="28"/>
        </w:rPr>
      </w:pPr>
      <w:r>
        <w:rPr>
          <w:rFonts w:ascii="Arial" w:eastAsia="Arial" w:hAnsi="Arial" w:cs="Arial"/>
          <w:b/>
          <w:bCs/>
          <w:sz w:val="28"/>
          <w:szCs w:val="28"/>
        </w:rPr>
        <w:lastRenderedPageBreak/>
        <w:t>Table of Contents</w:t>
      </w:r>
    </w:p>
    <w:sdt>
      <w:sdtPr>
        <w:id w:val="1555398125"/>
        <w:docPartObj>
          <w:docPartGallery w:val="Table of Contents"/>
          <w:docPartUnique/>
        </w:docPartObj>
      </w:sdtPr>
      <w:sdtEndPr/>
      <w:sdtContent>
        <w:p w14:paraId="09D79955" w14:textId="77777777" w:rsidR="00711EC8" w:rsidRDefault="00711EC8">
          <w:pPr>
            <w:widowControl w:val="0"/>
            <w:tabs>
              <w:tab w:val="right" w:pos="9025"/>
            </w:tabs>
            <w:spacing w:before="60"/>
            <w:rPr>
              <w:rFonts w:ascii="Arial" w:eastAsia="Arial" w:hAnsi="Arial" w:cs="Arial"/>
              <w:color w:val="000000"/>
            </w:rPr>
          </w:pPr>
          <w:r>
            <w:fldChar w:fldCharType="begin"/>
          </w:r>
          <w:r w:rsidR="00550CE9">
            <w:instrText xml:space="preserve"> TOC \h \u \z \t "Heading 1,1,Heading 2,2,Heading 3,3,Heading 4,4,Heading 5,5,Heading 6,6,"</w:instrText>
          </w:r>
          <w:r>
            <w:fldChar w:fldCharType="separate"/>
          </w:r>
          <w:hyperlink w:anchor="_gm56dhhhe1n1">
            <w:r>
              <w:rPr>
                <w:rFonts w:ascii="Arial" w:eastAsia="Arial" w:hAnsi="Arial" w:cs="Arial"/>
                <w:color w:val="000000"/>
              </w:rPr>
              <w:t>1. Introduction</w:t>
            </w:r>
            <w:r>
              <w:rPr>
                <w:rFonts w:ascii="Arial" w:eastAsia="Arial" w:hAnsi="Arial" w:cs="Arial"/>
                <w:color w:val="000000"/>
              </w:rPr>
              <w:tab/>
            </w:r>
          </w:hyperlink>
          <w:r w:rsidR="00550CE9">
            <w:fldChar w:fldCharType="begin"/>
          </w:r>
          <w:r w:rsidR="00550CE9">
            <w:instrText xml:space="preserve"> PAGEREF _gm56dhhhe1n1 \h </w:instrText>
          </w:r>
          <w:r w:rsidR="00550CE9">
            <w:fldChar w:fldCharType="separate"/>
          </w:r>
          <w:r w:rsidR="00550CE9">
            <w:rPr>
              <w:rFonts w:ascii="Arial" w:eastAsia="Arial" w:hAnsi="Arial" w:cs="Arial"/>
            </w:rPr>
            <w:t>3</w:t>
          </w:r>
          <w:r w:rsidR="00550CE9">
            <w:fldChar w:fldCharType="end"/>
          </w:r>
        </w:p>
        <w:p w14:paraId="2F2202F5" w14:textId="77777777" w:rsidR="00711EC8" w:rsidRDefault="00550CE9">
          <w:pPr>
            <w:widowControl w:val="0"/>
            <w:tabs>
              <w:tab w:val="right" w:pos="9025"/>
            </w:tabs>
            <w:spacing w:before="60"/>
            <w:rPr>
              <w:rFonts w:ascii="Arial" w:eastAsia="Arial" w:hAnsi="Arial" w:cs="Arial"/>
              <w:color w:val="000000"/>
            </w:rPr>
          </w:pPr>
          <w:hyperlink w:anchor="_w0mk38lbo0jy">
            <w:r w:rsidR="00711EC8">
              <w:rPr>
                <w:rFonts w:ascii="Arial" w:eastAsia="Arial" w:hAnsi="Arial" w:cs="Arial"/>
                <w:color w:val="000000"/>
              </w:rPr>
              <w:t>2. Definition of Critical Thinking</w:t>
            </w:r>
            <w:r w:rsidR="00711EC8">
              <w:rPr>
                <w:rFonts w:ascii="Arial" w:eastAsia="Arial" w:hAnsi="Arial" w:cs="Arial"/>
                <w:color w:val="000000"/>
              </w:rPr>
              <w:tab/>
            </w:r>
          </w:hyperlink>
          <w:r w:rsidR="00711EC8">
            <w:fldChar w:fldCharType="begin"/>
          </w:r>
          <w:r w:rsidR="00711EC8">
            <w:instrText xml:space="preserve"> PAGEREF _w0mk38lbo0jy \h </w:instrText>
          </w:r>
          <w:r w:rsidR="00711EC8">
            <w:fldChar w:fldCharType="separate"/>
          </w:r>
          <w:r w:rsidR="00711EC8">
            <w:rPr>
              <w:rFonts w:ascii="Arial" w:eastAsia="Arial" w:hAnsi="Arial" w:cs="Arial"/>
            </w:rPr>
            <w:t>3</w:t>
          </w:r>
          <w:r w:rsidR="00711EC8">
            <w:fldChar w:fldCharType="end"/>
          </w:r>
        </w:p>
        <w:p w14:paraId="46D849DE" w14:textId="77777777" w:rsidR="00711EC8" w:rsidRDefault="00550CE9">
          <w:pPr>
            <w:widowControl w:val="0"/>
            <w:tabs>
              <w:tab w:val="right" w:pos="9025"/>
            </w:tabs>
            <w:spacing w:before="60"/>
            <w:rPr>
              <w:rFonts w:ascii="Arial" w:eastAsia="Arial" w:hAnsi="Arial" w:cs="Arial"/>
              <w:color w:val="000000"/>
            </w:rPr>
          </w:pPr>
          <w:hyperlink w:anchor="_9f1eqv28ehvp">
            <w:r w:rsidR="00711EC8">
              <w:rPr>
                <w:rFonts w:ascii="Arial" w:eastAsia="Arial" w:hAnsi="Arial" w:cs="Arial"/>
                <w:color w:val="000000"/>
              </w:rPr>
              <w:t>3. Importance of Critical Thinking</w:t>
            </w:r>
            <w:r w:rsidR="00711EC8">
              <w:rPr>
                <w:rFonts w:ascii="Arial" w:eastAsia="Arial" w:hAnsi="Arial" w:cs="Arial"/>
                <w:color w:val="000000"/>
              </w:rPr>
              <w:tab/>
            </w:r>
          </w:hyperlink>
          <w:r w:rsidR="00711EC8">
            <w:fldChar w:fldCharType="begin"/>
          </w:r>
          <w:r w:rsidR="00711EC8">
            <w:instrText xml:space="preserve"> PAGEREF _9f1eqv28ehvp \h </w:instrText>
          </w:r>
          <w:r w:rsidR="00711EC8">
            <w:fldChar w:fldCharType="separate"/>
          </w:r>
          <w:r w:rsidR="00711EC8">
            <w:rPr>
              <w:rFonts w:ascii="Arial" w:eastAsia="Arial" w:hAnsi="Arial" w:cs="Arial"/>
            </w:rPr>
            <w:t>3</w:t>
          </w:r>
          <w:r w:rsidR="00711EC8">
            <w:fldChar w:fldCharType="end"/>
          </w:r>
        </w:p>
        <w:p w14:paraId="7296B3D2" w14:textId="77777777" w:rsidR="00711EC8" w:rsidRDefault="00550CE9">
          <w:pPr>
            <w:widowControl w:val="0"/>
            <w:tabs>
              <w:tab w:val="right" w:pos="9025"/>
            </w:tabs>
            <w:spacing w:before="60"/>
            <w:rPr>
              <w:rFonts w:ascii="Arial" w:eastAsia="Arial" w:hAnsi="Arial" w:cs="Arial"/>
              <w:color w:val="000000"/>
            </w:rPr>
          </w:pPr>
          <w:hyperlink w:anchor="_jgko3o9a81zi">
            <w:r w:rsidR="00711EC8">
              <w:rPr>
                <w:rFonts w:ascii="Arial" w:eastAsia="Arial" w:hAnsi="Arial" w:cs="Arial"/>
                <w:color w:val="000000"/>
              </w:rPr>
              <w:t>4. Critical Thinking Strategies</w:t>
            </w:r>
            <w:r w:rsidR="00711EC8">
              <w:rPr>
                <w:rFonts w:ascii="Arial" w:eastAsia="Arial" w:hAnsi="Arial" w:cs="Arial"/>
                <w:color w:val="000000"/>
              </w:rPr>
              <w:tab/>
            </w:r>
          </w:hyperlink>
          <w:r w:rsidR="00711EC8">
            <w:fldChar w:fldCharType="begin"/>
          </w:r>
          <w:r w:rsidR="00711EC8">
            <w:instrText xml:space="preserve"> PAGEREF _jgko3o9a81zi \h </w:instrText>
          </w:r>
          <w:r w:rsidR="00711EC8">
            <w:fldChar w:fldCharType="separate"/>
          </w:r>
          <w:r w:rsidR="00711EC8">
            <w:rPr>
              <w:rFonts w:ascii="Arial" w:eastAsia="Arial" w:hAnsi="Arial" w:cs="Arial"/>
            </w:rPr>
            <w:t>5</w:t>
          </w:r>
          <w:r w:rsidR="00711EC8">
            <w:fldChar w:fldCharType="end"/>
          </w:r>
        </w:p>
        <w:p w14:paraId="1A7D67E4" w14:textId="77777777" w:rsidR="00711EC8" w:rsidRDefault="00550CE9">
          <w:pPr>
            <w:widowControl w:val="0"/>
            <w:tabs>
              <w:tab w:val="right" w:pos="9025"/>
            </w:tabs>
            <w:spacing w:before="60"/>
            <w:rPr>
              <w:rFonts w:ascii="Arial" w:eastAsia="Arial" w:hAnsi="Arial" w:cs="Arial"/>
              <w:color w:val="000000"/>
            </w:rPr>
          </w:pPr>
          <w:hyperlink w:anchor="_w5sd0yb8989x">
            <w:r w:rsidR="00711EC8">
              <w:rPr>
                <w:rFonts w:ascii="Arial" w:eastAsia="Arial" w:hAnsi="Arial" w:cs="Arial"/>
                <w:color w:val="000000"/>
              </w:rPr>
              <w:t>5. Conclusion</w:t>
            </w:r>
            <w:r w:rsidR="00711EC8">
              <w:rPr>
                <w:rFonts w:ascii="Arial" w:eastAsia="Arial" w:hAnsi="Arial" w:cs="Arial"/>
                <w:color w:val="000000"/>
              </w:rPr>
              <w:tab/>
            </w:r>
          </w:hyperlink>
          <w:r w:rsidR="00711EC8">
            <w:fldChar w:fldCharType="begin"/>
          </w:r>
          <w:r w:rsidR="00711EC8">
            <w:instrText xml:space="preserve"> PAGEREF _w5sd0yb8989x \h </w:instrText>
          </w:r>
          <w:r w:rsidR="00711EC8">
            <w:fldChar w:fldCharType="separate"/>
          </w:r>
          <w:r w:rsidR="00711EC8">
            <w:rPr>
              <w:rFonts w:ascii="Arial" w:eastAsia="Arial" w:hAnsi="Arial" w:cs="Arial"/>
            </w:rPr>
            <w:t>5</w:t>
          </w:r>
          <w:r w:rsidR="00711EC8">
            <w:fldChar w:fldCharType="end"/>
          </w:r>
        </w:p>
        <w:p w14:paraId="58075F2F" w14:textId="77777777" w:rsidR="00711EC8" w:rsidRDefault="00550CE9">
          <w:pPr>
            <w:widowControl w:val="0"/>
            <w:tabs>
              <w:tab w:val="right" w:pos="9025"/>
            </w:tabs>
            <w:spacing w:before="60"/>
            <w:rPr>
              <w:rFonts w:ascii="Arial" w:eastAsia="Arial" w:hAnsi="Arial" w:cs="Arial"/>
              <w:color w:val="000000"/>
            </w:rPr>
          </w:pPr>
          <w:hyperlink w:anchor="_l4znf272kdry">
            <w:r w:rsidR="00711EC8">
              <w:rPr>
                <w:rFonts w:ascii="Arial" w:eastAsia="Arial" w:hAnsi="Arial" w:cs="Arial"/>
                <w:color w:val="000000"/>
              </w:rPr>
              <w:t>Reference List</w:t>
            </w:r>
            <w:r w:rsidR="00711EC8">
              <w:rPr>
                <w:rFonts w:ascii="Arial" w:eastAsia="Arial" w:hAnsi="Arial" w:cs="Arial"/>
                <w:color w:val="000000"/>
              </w:rPr>
              <w:tab/>
            </w:r>
          </w:hyperlink>
          <w:r w:rsidR="00711EC8">
            <w:fldChar w:fldCharType="begin"/>
          </w:r>
          <w:r w:rsidR="00711EC8">
            <w:instrText xml:space="preserve"> PAGEREF _l4znf272kdry \h </w:instrText>
          </w:r>
          <w:r w:rsidR="00711EC8">
            <w:fldChar w:fldCharType="separate"/>
          </w:r>
          <w:r w:rsidR="00711EC8">
            <w:rPr>
              <w:rFonts w:ascii="Arial" w:eastAsia="Arial" w:hAnsi="Arial" w:cs="Arial"/>
            </w:rPr>
            <w:t>6</w:t>
          </w:r>
          <w:r w:rsidR="00711EC8">
            <w:fldChar w:fldCharType="end"/>
          </w:r>
          <w:r w:rsidR="00711EC8">
            <w:fldChar w:fldCharType="end"/>
          </w:r>
        </w:p>
      </w:sdtContent>
    </w:sdt>
    <w:p w14:paraId="2DDB613F" w14:textId="77777777" w:rsidR="00711EC8" w:rsidRDefault="00550CE9">
      <w:pPr>
        <w:spacing w:before="240" w:after="240"/>
        <w:jc w:val="center"/>
        <w:rPr>
          <w:rFonts w:ascii="Arial" w:eastAsia="Arial" w:hAnsi="Arial" w:cs="Arial"/>
          <w:b/>
          <w:bCs/>
          <w:sz w:val="28"/>
          <w:szCs w:val="28"/>
        </w:rPr>
      </w:pPr>
      <w:r>
        <w:br w:type="page"/>
      </w:r>
    </w:p>
    <w:p w14:paraId="542E7930" w14:textId="77777777" w:rsidR="00711EC8" w:rsidRDefault="00550CE9">
      <w:pPr>
        <w:pStyle w:val="Heading1"/>
        <w:rPr>
          <w:rFonts w:ascii="Arial" w:eastAsia="Arial" w:hAnsi="Arial" w:cs="Arial"/>
        </w:rPr>
      </w:pPr>
      <w:bookmarkStart w:id="1" w:name="_gm56dhhhe1n1" w:colFirst="0" w:colLast="0"/>
      <w:bookmarkEnd w:id="1"/>
      <w:r>
        <w:rPr>
          <w:rFonts w:ascii="Arial" w:eastAsia="Arial" w:hAnsi="Arial" w:cs="Arial"/>
        </w:rPr>
        <w:lastRenderedPageBreak/>
        <w:t>1. Introduction</w:t>
      </w:r>
    </w:p>
    <w:p w14:paraId="15EC1556" w14:textId="36AE2ADE" w:rsidR="00711EC8" w:rsidRDefault="00550CE9">
      <w:pPr>
        <w:rPr>
          <w:rFonts w:ascii="Arial" w:eastAsia="Arial" w:hAnsi="Arial" w:cs="Arial"/>
        </w:rPr>
      </w:pPr>
      <w:r>
        <w:rPr>
          <w:rFonts w:ascii="Arial" w:eastAsia="Arial" w:hAnsi="Arial" w:cs="Arial"/>
        </w:rPr>
        <w:t>In the university, the development of critical thinking (CT) capabilities can help students from different departments to procure better academic scores during semester examinations and assignments. This report is going to provide suitable real-world examp</w:t>
      </w:r>
      <w:r>
        <w:rPr>
          <w:rFonts w:ascii="Arial" w:eastAsia="Arial" w:hAnsi="Arial" w:cs="Arial"/>
        </w:rPr>
        <w:t xml:space="preserve">les of CT skill usage among students among various global educational institutions including in the </w:t>
      </w:r>
      <w:r w:rsidR="001A7531">
        <w:rPr>
          <w:rFonts w:ascii="Arial" w:eastAsia="Arial" w:hAnsi="Arial" w:cs="Arial"/>
        </w:rPr>
        <w:t>United Kingdom</w:t>
      </w:r>
      <w:r>
        <w:rPr>
          <w:rFonts w:ascii="Arial" w:eastAsia="Arial" w:hAnsi="Arial" w:cs="Arial"/>
        </w:rPr>
        <w:t xml:space="preserve"> for elevating group presentation standards</w:t>
      </w:r>
    </w:p>
    <w:p w14:paraId="1CFB3120" w14:textId="77777777" w:rsidR="00711EC8" w:rsidRDefault="00550CE9">
      <w:pPr>
        <w:pStyle w:val="Heading1"/>
        <w:rPr>
          <w:rFonts w:ascii="Arial" w:eastAsia="Arial" w:hAnsi="Arial" w:cs="Arial"/>
        </w:rPr>
      </w:pPr>
      <w:bookmarkStart w:id="2" w:name="_w0mk38lbo0jy" w:colFirst="0" w:colLast="0"/>
      <w:bookmarkEnd w:id="2"/>
      <w:r>
        <w:rPr>
          <w:rFonts w:ascii="Arial" w:eastAsia="Arial" w:hAnsi="Arial" w:cs="Arial"/>
        </w:rPr>
        <w:t>2. Definition of Critical Thinking</w:t>
      </w:r>
    </w:p>
    <w:p w14:paraId="6B986AE5" w14:textId="77777777" w:rsidR="00711EC8" w:rsidRDefault="00550CE9">
      <w:pPr>
        <w:rPr>
          <w:rFonts w:ascii="Arial" w:eastAsia="Arial" w:hAnsi="Arial" w:cs="Arial"/>
        </w:rPr>
      </w:pPr>
      <w:r>
        <w:rPr>
          <w:rFonts w:ascii="Arial" w:eastAsia="Arial" w:hAnsi="Arial" w:cs="Arial"/>
        </w:rPr>
        <w:t>The ability of scrutinising information regarding different top</w:t>
      </w:r>
      <w:r>
        <w:rPr>
          <w:rFonts w:ascii="Arial" w:eastAsia="Arial" w:hAnsi="Arial" w:cs="Arial"/>
        </w:rPr>
        <w:t>ics can be referred as CT skills that can help students to perform reasonable arguments regarding academic topics. For instance, almost 55% of the university students agreed to the fact that procurement of English language knowledge has helped them towards</w:t>
      </w:r>
      <w:r>
        <w:rPr>
          <w:rFonts w:ascii="Arial" w:eastAsia="Arial" w:hAnsi="Arial" w:cs="Arial"/>
        </w:rPr>
        <w:t xml:space="preserve"> gaining optimal CT skills for performing valid discussions (</w:t>
      </w:r>
      <w:r>
        <w:rPr>
          <w:rFonts w:ascii="Arial" w:eastAsia="Arial" w:hAnsi="Arial" w:cs="Arial"/>
          <w:color w:val="222222"/>
          <w:highlight w:val="white"/>
        </w:rPr>
        <w:t xml:space="preserve">Muthmainnah </w:t>
      </w:r>
      <w:r>
        <w:rPr>
          <w:rFonts w:ascii="Arial" w:eastAsia="Arial" w:hAnsi="Arial" w:cs="Arial"/>
          <w:i/>
          <w:iCs/>
          <w:color w:val="222222"/>
          <w:highlight w:val="white"/>
        </w:rPr>
        <w:t xml:space="preserve">et al. </w:t>
      </w:r>
      <w:r>
        <w:rPr>
          <w:rFonts w:ascii="Arial" w:eastAsia="Arial" w:hAnsi="Arial" w:cs="Arial"/>
          <w:color w:val="222222"/>
          <w:highlight w:val="white"/>
        </w:rPr>
        <w:t>2022)</w:t>
      </w:r>
      <w:r>
        <w:rPr>
          <w:rFonts w:ascii="Arial" w:eastAsia="Arial" w:hAnsi="Arial" w:cs="Arial"/>
        </w:rPr>
        <w:t xml:space="preserve">. Around 60% of students currently operational in global educational institutions have also mentioned the usefulness of CT abilities for solving major issues presented in </w:t>
      </w:r>
      <w:r>
        <w:rPr>
          <w:rFonts w:ascii="Arial" w:eastAsia="Arial" w:hAnsi="Arial" w:cs="Arial"/>
        </w:rPr>
        <w:t>the university coursework (</w:t>
      </w:r>
      <w:r>
        <w:rPr>
          <w:rFonts w:ascii="Arial" w:eastAsia="Arial" w:hAnsi="Arial" w:cs="Arial"/>
          <w:color w:val="222222"/>
          <w:highlight w:val="white"/>
        </w:rPr>
        <w:t xml:space="preserve">Muthmainnah </w:t>
      </w:r>
      <w:r>
        <w:rPr>
          <w:rFonts w:ascii="Arial" w:eastAsia="Arial" w:hAnsi="Arial" w:cs="Arial"/>
          <w:i/>
          <w:iCs/>
          <w:color w:val="222222"/>
          <w:highlight w:val="white"/>
        </w:rPr>
        <w:t xml:space="preserve">et al. </w:t>
      </w:r>
      <w:r>
        <w:rPr>
          <w:rFonts w:ascii="Arial" w:eastAsia="Arial" w:hAnsi="Arial" w:cs="Arial"/>
          <w:color w:val="222222"/>
          <w:highlight w:val="white"/>
        </w:rPr>
        <w:t>2022)</w:t>
      </w:r>
      <w:r>
        <w:rPr>
          <w:rFonts w:ascii="Arial" w:eastAsia="Arial" w:hAnsi="Arial" w:cs="Arial"/>
        </w:rPr>
        <w:t xml:space="preserve">. It can also be seen that the procurement of English language knowledge can prove to be instrumental for students for partaking in university discussions with classmates and their respective teachers. As </w:t>
      </w:r>
      <w:r>
        <w:rPr>
          <w:rFonts w:ascii="Arial" w:eastAsia="Arial" w:hAnsi="Arial" w:cs="Arial"/>
        </w:rPr>
        <w:t xml:space="preserve">a result, the delivery of suitable solutions to university tasks and enhancement of verbal abilities are key gestures among students that can be cultivated with the help of individual CT skills for elevating future grades. </w:t>
      </w:r>
    </w:p>
    <w:p w14:paraId="5149BDF7" w14:textId="77777777" w:rsidR="00711EC8" w:rsidRDefault="00550CE9">
      <w:pPr>
        <w:pStyle w:val="Heading1"/>
        <w:rPr>
          <w:rFonts w:ascii="Arial" w:eastAsia="Arial" w:hAnsi="Arial" w:cs="Arial"/>
        </w:rPr>
      </w:pPr>
      <w:bookmarkStart w:id="3" w:name="_9f1eqv28ehvp" w:colFirst="0" w:colLast="0"/>
      <w:bookmarkEnd w:id="3"/>
      <w:r>
        <w:rPr>
          <w:rFonts w:ascii="Arial" w:eastAsia="Arial" w:hAnsi="Arial" w:cs="Arial"/>
        </w:rPr>
        <w:t>3. Importance of Critical Thinki</w:t>
      </w:r>
      <w:r>
        <w:rPr>
          <w:rFonts w:ascii="Arial" w:eastAsia="Arial" w:hAnsi="Arial" w:cs="Arial"/>
        </w:rPr>
        <w:t>ng</w:t>
      </w:r>
    </w:p>
    <w:p w14:paraId="1509806E" w14:textId="77777777" w:rsidR="00711EC8" w:rsidRDefault="00550CE9">
      <w:pPr>
        <w:rPr>
          <w:rFonts w:ascii="Arial" w:eastAsia="Arial" w:hAnsi="Arial" w:cs="Arial"/>
        </w:rPr>
      </w:pPr>
      <w:r>
        <w:rPr>
          <w:rFonts w:ascii="Arial" w:eastAsia="Arial" w:hAnsi="Arial" w:cs="Arial"/>
        </w:rPr>
        <w:t>In the current workplace setting, the use of CT capabilities can help business officials to cultivate innovative solutions to complex market issues for maintaining organisational brand relevance. For instance, in 2016, almost 63,924 organisational manag</w:t>
      </w:r>
      <w:r>
        <w:rPr>
          <w:rFonts w:ascii="Arial" w:eastAsia="Arial" w:hAnsi="Arial" w:cs="Arial"/>
        </w:rPr>
        <w:t>ers have also mentioned their opinions regarding CT capabilities to be adequate managerial functions that can improve individual contribution levels (</w:t>
      </w:r>
      <w:r>
        <w:rPr>
          <w:rFonts w:ascii="Arial" w:eastAsia="Arial" w:hAnsi="Arial" w:cs="Arial"/>
          <w:color w:val="222222"/>
          <w:highlight w:val="white"/>
        </w:rPr>
        <w:t>Hester, 2021)</w:t>
      </w:r>
      <w:r>
        <w:rPr>
          <w:rFonts w:ascii="Arial" w:eastAsia="Arial" w:hAnsi="Arial" w:cs="Arial"/>
        </w:rPr>
        <w:t>. Nearly 60% of corporate managers have also employed CT skills for effectively resolving maj</w:t>
      </w:r>
      <w:r>
        <w:rPr>
          <w:rFonts w:ascii="Arial" w:eastAsia="Arial" w:hAnsi="Arial" w:cs="Arial"/>
        </w:rPr>
        <w:t>or workplace conflicts through delivering innovative solutions to both parties (</w:t>
      </w:r>
      <w:r>
        <w:rPr>
          <w:rFonts w:ascii="Arial" w:eastAsia="Arial" w:hAnsi="Arial" w:cs="Arial"/>
          <w:color w:val="222222"/>
          <w:highlight w:val="white"/>
        </w:rPr>
        <w:t>Hester, 2021)</w:t>
      </w:r>
      <w:r>
        <w:rPr>
          <w:rFonts w:ascii="Arial" w:eastAsia="Arial" w:hAnsi="Arial" w:cs="Arial"/>
        </w:rPr>
        <w:t xml:space="preserve">. It can be addressed that business managers operating in the 21st century UK market can also employ CT skills for maintaining an inclusive work </w:t>
      </w:r>
      <w:r>
        <w:rPr>
          <w:rFonts w:ascii="Arial" w:eastAsia="Arial" w:hAnsi="Arial" w:cs="Arial"/>
        </w:rPr>
        <w:lastRenderedPageBreak/>
        <w:t>environment betwee</w:t>
      </w:r>
      <w:r>
        <w:rPr>
          <w:rFonts w:ascii="Arial" w:eastAsia="Arial" w:hAnsi="Arial" w:cs="Arial"/>
        </w:rPr>
        <w:t xml:space="preserve">n diverse employees through conflict resolution. Hence, the improvement of managerial contributions and conflict mitigation are some of the vital importance of CT skill procurement among British managers for ensuring staff cohesion. </w:t>
      </w:r>
    </w:p>
    <w:p w14:paraId="2890AB51" w14:textId="77777777" w:rsidR="00711EC8" w:rsidRDefault="00550CE9">
      <w:pPr>
        <w:jc w:val="center"/>
        <w:rPr>
          <w:rFonts w:ascii="Arial" w:eastAsia="Arial" w:hAnsi="Arial" w:cs="Arial"/>
          <w:b/>
          <w:bCs/>
        </w:rPr>
      </w:pPr>
      <w:r>
        <w:rPr>
          <w:rFonts w:ascii="Arial" w:eastAsia="Arial" w:hAnsi="Arial" w:cs="Arial"/>
          <w:b/>
          <w:bCs/>
          <w:noProof/>
          <w:lang w:val="ro-RO" w:eastAsia="ro-RO"/>
        </w:rPr>
        <w:drawing>
          <wp:inline distT="114300" distB="114300" distL="114300" distR="114300" wp14:anchorId="661858A8" wp14:editId="4F0E1D84">
            <wp:extent cx="5731200" cy="3340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3340100"/>
                    </a:xfrm>
                    <a:prstGeom prst="rect">
                      <a:avLst/>
                    </a:prstGeom>
                    <a:ln/>
                  </pic:spPr>
                </pic:pic>
              </a:graphicData>
            </a:graphic>
          </wp:inline>
        </w:drawing>
      </w:r>
    </w:p>
    <w:p w14:paraId="51091479" w14:textId="77777777" w:rsidR="00711EC8" w:rsidRDefault="00550CE9">
      <w:pPr>
        <w:jc w:val="center"/>
        <w:rPr>
          <w:rFonts w:ascii="Arial" w:eastAsia="Arial" w:hAnsi="Arial" w:cs="Arial"/>
          <w:b/>
          <w:bCs/>
        </w:rPr>
      </w:pPr>
      <w:r>
        <w:rPr>
          <w:rFonts w:ascii="Arial" w:eastAsia="Arial" w:hAnsi="Arial" w:cs="Arial"/>
          <w:b/>
          <w:bCs/>
        </w:rPr>
        <w:t>Figure 1: The differ</w:t>
      </w:r>
      <w:r>
        <w:rPr>
          <w:rFonts w:ascii="Arial" w:eastAsia="Arial" w:hAnsi="Arial" w:cs="Arial"/>
          <w:b/>
          <w:bCs/>
        </w:rPr>
        <w:t>ent benefits of developing CT skills among university students</w:t>
      </w:r>
    </w:p>
    <w:p w14:paraId="64633BD3" w14:textId="77777777" w:rsidR="00711EC8" w:rsidRDefault="00550CE9">
      <w:pPr>
        <w:rPr>
          <w:rFonts w:ascii="Arial" w:eastAsia="Arial" w:hAnsi="Arial" w:cs="Arial"/>
        </w:rPr>
      </w:pPr>
      <w:r>
        <w:rPr>
          <w:rFonts w:ascii="Arial" w:eastAsia="Arial" w:hAnsi="Arial" w:cs="Arial"/>
        </w:rPr>
        <w:t>For university students, the manifestation of CT capabilities can be highly impactful for actively listening to class lectures for increasing participation during group discussion sessions. For</w:t>
      </w:r>
      <w:r>
        <w:rPr>
          <w:rFonts w:ascii="Arial" w:eastAsia="Arial" w:hAnsi="Arial" w:cs="Arial"/>
        </w:rPr>
        <w:t xml:space="preserve"> example, almost 40% of the students in Chinese universities have employed the metacognitive processes for performing argumentative examination and verbal reasoning with peers regarding different topics (</w:t>
      </w:r>
      <w:r>
        <w:rPr>
          <w:rFonts w:ascii="Arial" w:eastAsia="Arial" w:hAnsi="Arial" w:cs="Arial"/>
          <w:color w:val="222222"/>
          <w:highlight w:val="white"/>
        </w:rPr>
        <w:t>Teng and Yue, 2023)</w:t>
      </w:r>
      <w:r>
        <w:rPr>
          <w:rFonts w:ascii="Arial" w:eastAsia="Arial" w:hAnsi="Arial" w:cs="Arial"/>
        </w:rPr>
        <w:t>. It has also helped Chinese stud</w:t>
      </w:r>
      <w:r>
        <w:rPr>
          <w:rFonts w:ascii="Arial" w:eastAsia="Arial" w:hAnsi="Arial" w:cs="Arial"/>
        </w:rPr>
        <w:t>ents to slowly develop CT skills in the Hong Kong University coursework for improving semester scores. On the other hand, 25% of Chinese students have also showcased the benefits of controlling and monitoring individual thought patterns for developing adeq</w:t>
      </w:r>
      <w:r>
        <w:rPr>
          <w:rFonts w:ascii="Arial" w:eastAsia="Arial" w:hAnsi="Arial" w:cs="Arial"/>
        </w:rPr>
        <w:t>uate solutions to educational problems (</w:t>
      </w:r>
      <w:r>
        <w:rPr>
          <w:rFonts w:ascii="Arial" w:eastAsia="Arial" w:hAnsi="Arial" w:cs="Arial"/>
          <w:color w:val="222222"/>
          <w:highlight w:val="white"/>
        </w:rPr>
        <w:t>Teng and Yue, 2023)</w:t>
      </w:r>
      <w:r>
        <w:rPr>
          <w:rFonts w:ascii="Arial" w:eastAsia="Arial" w:hAnsi="Arial" w:cs="Arial"/>
        </w:rPr>
        <w:t>. Therefore, the deployment of the metacognitive process also needs to be incorporated by the rest of global institutions including the ones in the UK for better optimising CT skills among its dive</w:t>
      </w:r>
      <w:r>
        <w:rPr>
          <w:rFonts w:ascii="Arial" w:eastAsia="Arial" w:hAnsi="Arial" w:cs="Arial"/>
        </w:rPr>
        <w:t xml:space="preserve">rse group of students. </w:t>
      </w:r>
    </w:p>
    <w:p w14:paraId="4DFAEDA3" w14:textId="77777777" w:rsidR="00711EC8" w:rsidRDefault="00550CE9">
      <w:pPr>
        <w:pStyle w:val="Heading1"/>
        <w:rPr>
          <w:rFonts w:ascii="Arial" w:eastAsia="Arial" w:hAnsi="Arial" w:cs="Arial"/>
        </w:rPr>
      </w:pPr>
      <w:bookmarkStart w:id="4" w:name="_jgko3o9a81zi" w:colFirst="0" w:colLast="0"/>
      <w:bookmarkEnd w:id="4"/>
      <w:r>
        <w:rPr>
          <w:rFonts w:ascii="Arial" w:eastAsia="Arial" w:hAnsi="Arial" w:cs="Arial"/>
        </w:rPr>
        <w:lastRenderedPageBreak/>
        <w:t>4. Critical Thinking Strategies</w:t>
      </w:r>
    </w:p>
    <w:p w14:paraId="2E7B53D8" w14:textId="77777777" w:rsidR="00711EC8" w:rsidRDefault="00550CE9">
      <w:pPr>
        <w:rPr>
          <w:rFonts w:ascii="Arial" w:eastAsia="Arial" w:hAnsi="Arial" w:cs="Arial"/>
        </w:rPr>
      </w:pPr>
      <w:r>
        <w:rPr>
          <w:rFonts w:ascii="Arial" w:eastAsia="Arial" w:hAnsi="Arial" w:cs="Arial"/>
        </w:rPr>
        <w:t>The development of active listening capabilities among students is the fundamental stepping stones towards developing CT skills for motivating future graduates to ask relevant questions on subjects. F</w:t>
      </w:r>
      <w:r>
        <w:rPr>
          <w:rFonts w:ascii="Arial" w:eastAsia="Arial" w:hAnsi="Arial" w:cs="Arial"/>
        </w:rPr>
        <w:t>or instance, almost 38.4% of Indonesian students have also showcased the benefits of AI-powered learning technologies that assisted them towards developing CT skills at the university level (</w:t>
      </w:r>
      <w:r>
        <w:rPr>
          <w:rFonts w:ascii="Arial" w:eastAsia="Arial" w:hAnsi="Arial" w:cs="Arial"/>
          <w:color w:val="222222"/>
          <w:highlight w:val="white"/>
        </w:rPr>
        <w:t xml:space="preserve">Malik </w:t>
      </w:r>
      <w:r>
        <w:rPr>
          <w:rFonts w:ascii="Arial" w:eastAsia="Arial" w:hAnsi="Arial" w:cs="Arial"/>
          <w:i/>
          <w:iCs/>
          <w:color w:val="222222"/>
          <w:highlight w:val="white"/>
        </w:rPr>
        <w:t>et al.</w:t>
      </w:r>
      <w:r>
        <w:rPr>
          <w:rFonts w:ascii="Arial" w:eastAsia="Arial" w:hAnsi="Arial" w:cs="Arial"/>
          <w:i/>
          <w:iCs/>
        </w:rPr>
        <w:t xml:space="preserve"> </w:t>
      </w:r>
      <w:r>
        <w:rPr>
          <w:rFonts w:ascii="Arial" w:eastAsia="Arial" w:hAnsi="Arial" w:cs="Arial"/>
        </w:rPr>
        <w:t xml:space="preserve">2023). Almost 27.4% of university students from </w:t>
      </w:r>
      <w:r>
        <w:rPr>
          <w:rFonts w:ascii="Arial" w:eastAsia="Arial" w:hAnsi="Arial" w:cs="Arial"/>
        </w:rPr>
        <w:t>Indonesia have also partaken in AI-powered learning processes for including adequate critical reasoning their academic essay writings (</w:t>
      </w:r>
      <w:r>
        <w:rPr>
          <w:rFonts w:ascii="Arial" w:eastAsia="Arial" w:hAnsi="Arial" w:cs="Arial"/>
          <w:color w:val="222222"/>
          <w:highlight w:val="white"/>
        </w:rPr>
        <w:t xml:space="preserve">Malik </w:t>
      </w:r>
      <w:r>
        <w:rPr>
          <w:rFonts w:ascii="Arial" w:eastAsia="Arial" w:hAnsi="Arial" w:cs="Arial"/>
          <w:i/>
          <w:iCs/>
          <w:color w:val="222222"/>
          <w:highlight w:val="white"/>
        </w:rPr>
        <w:t>et al.</w:t>
      </w:r>
      <w:r>
        <w:rPr>
          <w:rFonts w:ascii="Arial" w:eastAsia="Arial" w:hAnsi="Arial" w:cs="Arial"/>
          <w:i/>
          <w:iCs/>
        </w:rPr>
        <w:t xml:space="preserve"> </w:t>
      </w:r>
      <w:r>
        <w:rPr>
          <w:rFonts w:ascii="Arial" w:eastAsia="Arial" w:hAnsi="Arial" w:cs="Arial"/>
        </w:rPr>
        <w:t>2023). It can be seen that the UK higher education (HE) system needs to consider using AI-powered learning s</w:t>
      </w:r>
      <w:r>
        <w:rPr>
          <w:rFonts w:ascii="Arial" w:eastAsia="Arial" w:hAnsi="Arial" w:cs="Arial"/>
        </w:rPr>
        <w:t>trategies for manifesting CT and quality writing abilities in future semesters. Apart from that, around 111 students from various Jordanian universities have highlighted the use of project-based learning techniques to be a viable strategy towards developin</w:t>
      </w:r>
      <w:r>
        <w:rPr>
          <w:rFonts w:ascii="Arial" w:eastAsia="Arial" w:hAnsi="Arial" w:cs="Arial"/>
        </w:rPr>
        <w:t>g CT competency in HE courses (</w:t>
      </w:r>
      <w:r>
        <w:rPr>
          <w:rFonts w:ascii="Arial" w:eastAsia="Arial" w:hAnsi="Arial" w:cs="Arial"/>
          <w:color w:val="222222"/>
          <w:highlight w:val="white"/>
        </w:rPr>
        <w:t>Issa and Khataibeh, 2021)</w:t>
      </w:r>
      <w:r>
        <w:rPr>
          <w:rFonts w:ascii="Arial" w:eastAsia="Arial" w:hAnsi="Arial" w:cs="Arial"/>
        </w:rPr>
        <w:t>. As a result, the deployment of AI-based learning infrastructure and project-based learning are effective educational strategies that can help UK educators to gradually develop CT skills during semes</w:t>
      </w:r>
      <w:r>
        <w:rPr>
          <w:rFonts w:ascii="Arial" w:eastAsia="Arial" w:hAnsi="Arial" w:cs="Arial"/>
        </w:rPr>
        <w:t xml:space="preserve">ter years. </w:t>
      </w:r>
    </w:p>
    <w:p w14:paraId="4C4C3FD6" w14:textId="77777777" w:rsidR="00711EC8" w:rsidRDefault="00550CE9">
      <w:pPr>
        <w:pStyle w:val="Heading1"/>
        <w:rPr>
          <w:rFonts w:ascii="Arial" w:eastAsia="Arial" w:hAnsi="Arial" w:cs="Arial"/>
        </w:rPr>
      </w:pPr>
      <w:bookmarkStart w:id="5" w:name="_w5sd0yb8989x" w:colFirst="0" w:colLast="0"/>
      <w:bookmarkEnd w:id="5"/>
      <w:r>
        <w:rPr>
          <w:rFonts w:ascii="Arial" w:eastAsia="Arial" w:hAnsi="Arial" w:cs="Arial"/>
        </w:rPr>
        <w:t>5. Conclusion</w:t>
      </w:r>
    </w:p>
    <w:p w14:paraId="2439E1B1" w14:textId="77777777" w:rsidR="00711EC8" w:rsidRDefault="00550CE9">
      <w:pPr>
        <w:rPr>
          <w:rFonts w:ascii="Arial" w:eastAsia="Arial" w:hAnsi="Arial" w:cs="Arial"/>
        </w:rPr>
      </w:pPr>
      <w:r>
        <w:rPr>
          <w:rFonts w:ascii="Arial" w:eastAsia="Arial" w:hAnsi="Arial" w:cs="Arial"/>
        </w:rPr>
        <w:t>Based on the above findings, it can be concluded that the 21st century educational institutions highly value students with relevant CT capabilities for providing unique solutions to management issues. The report also underscores t</w:t>
      </w:r>
      <w:r>
        <w:rPr>
          <w:rFonts w:ascii="Arial" w:eastAsia="Arial" w:hAnsi="Arial" w:cs="Arial"/>
        </w:rPr>
        <w:t>he opinions of students from various countries such as Jordan, Indonesia and Chian regarding the development of CT skill among HE candidates.</w:t>
      </w:r>
      <w:r>
        <w:br w:type="page"/>
      </w:r>
    </w:p>
    <w:p w14:paraId="5B93FAD2" w14:textId="77777777" w:rsidR="00711EC8" w:rsidRDefault="00550CE9">
      <w:pPr>
        <w:pStyle w:val="Heading1"/>
        <w:rPr>
          <w:rFonts w:ascii="Arial" w:eastAsia="Arial" w:hAnsi="Arial" w:cs="Arial"/>
        </w:rPr>
      </w:pPr>
      <w:bookmarkStart w:id="6" w:name="_l4znf272kdry" w:colFirst="0" w:colLast="0"/>
      <w:bookmarkEnd w:id="6"/>
      <w:r>
        <w:rPr>
          <w:rFonts w:ascii="Arial" w:eastAsia="Arial" w:hAnsi="Arial" w:cs="Arial"/>
        </w:rPr>
        <w:lastRenderedPageBreak/>
        <w:t>Reference List</w:t>
      </w:r>
    </w:p>
    <w:p w14:paraId="28AA7FA3" w14:textId="77777777" w:rsidR="00D25E50" w:rsidRDefault="00D25E50">
      <w:pPr>
        <w:spacing w:before="200"/>
        <w:rPr>
          <w:rFonts w:ascii="Arial" w:eastAsia="Arial" w:hAnsi="Arial" w:cs="Arial"/>
          <w:color w:val="222222"/>
          <w:highlight w:val="white"/>
        </w:rPr>
      </w:pPr>
      <w:r>
        <w:rPr>
          <w:rFonts w:ascii="Arial" w:eastAsia="Arial" w:hAnsi="Arial" w:cs="Arial"/>
          <w:color w:val="222222"/>
          <w:highlight w:val="white"/>
        </w:rPr>
        <w:t xml:space="preserve">Hester, J.P., (2021) ‘Building relationships and resolving conflicts: Infusing critical thinking into workplace practices’. </w:t>
      </w:r>
      <w:r>
        <w:rPr>
          <w:rFonts w:ascii="Arial" w:eastAsia="Arial" w:hAnsi="Arial" w:cs="Arial"/>
          <w:i/>
          <w:iCs/>
          <w:color w:val="222222"/>
          <w:highlight w:val="white"/>
        </w:rPr>
        <w:t>The Journal of Values-Based Leadership</w:t>
      </w:r>
      <w:r>
        <w:rPr>
          <w:rFonts w:ascii="Arial" w:eastAsia="Arial" w:hAnsi="Arial" w:cs="Arial"/>
          <w:color w:val="222222"/>
          <w:highlight w:val="white"/>
        </w:rPr>
        <w:t xml:space="preserve">, </w:t>
      </w:r>
      <w:r>
        <w:rPr>
          <w:rFonts w:ascii="Arial" w:eastAsia="Arial" w:hAnsi="Arial" w:cs="Arial"/>
          <w:i/>
          <w:iCs/>
          <w:color w:val="222222"/>
          <w:highlight w:val="white"/>
        </w:rPr>
        <w:t>14</w:t>
      </w:r>
      <w:r>
        <w:rPr>
          <w:rFonts w:ascii="Arial" w:eastAsia="Arial" w:hAnsi="Arial" w:cs="Arial"/>
          <w:color w:val="222222"/>
          <w:highlight w:val="white"/>
        </w:rPr>
        <w:t>(1), p.7.</w:t>
      </w:r>
    </w:p>
    <w:p w14:paraId="2FEF5FB7" w14:textId="77777777" w:rsidR="00D25E50" w:rsidRDefault="00D25E50">
      <w:pPr>
        <w:spacing w:before="200"/>
        <w:rPr>
          <w:rFonts w:ascii="Arial" w:eastAsia="Arial" w:hAnsi="Arial" w:cs="Arial"/>
          <w:color w:val="222222"/>
          <w:highlight w:val="white"/>
        </w:rPr>
      </w:pPr>
      <w:r>
        <w:rPr>
          <w:rFonts w:ascii="Arial" w:eastAsia="Arial" w:hAnsi="Arial" w:cs="Arial"/>
          <w:color w:val="222222"/>
          <w:highlight w:val="white"/>
        </w:rPr>
        <w:t xml:space="preserve">Issa, H.B. and Khataibeh, A., (2021) ‘The Effect of Using Project Based Learning on Improving the Critical Thinking among Upper Basic Students from Teachers' Perspectives’. </w:t>
      </w:r>
      <w:r>
        <w:rPr>
          <w:rFonts w:ascii="Arial" w:eastAsia="Arial" w:hAnsi="Arial" w:cs="Arial"/>
          <w:i/>
          <w:iCs/>
          <w:color w:val="222222"/>
          <w:highlight w:val="white"/>
        </w:rPr>
        <w:t>Pegem Journal of Education and Instruction</w:t>
      </w:r>
      <w:r>
        <w:rPr>
          <w:rFonts w:ascii="Arial" w:eastAsia="Arial" w:hAnsi="Arial" w:cs="Arial"/>
          <w:color w:val="222222"/>
          <w:highlight w:val="white"/>
        </w:rPr>
        <w:t xml:space="preserve">, </w:t>
      </w:r>
      <w:r>
        <w:rPr>
          <w:rFonts w:ascii="Arial" w:eastAsia="Arial" w:hAnsi="Arial" w:cs="Arial"/>
          <w:i/>
          <w:iCs/>
          <w:color w:val="222222"/>
          <w:highlight w:val="white"/>
        </w:rPr>
        <w:t>11</w:t>
      </w:r>
      <w:r>
        <w:rPr>
          <w:rFonts w:ascii="Arial" w:eastAsia="Arial" w:hAnsi="Arial" w:cs="Arial"/>
          <w:color w:val="222222"/>
          <w:highlight w:val="white"/>
        </w:rPr>
        <w:t>(2), pp.52-57.</w:t>
      </w:r>
    </w:p>
    <w:p w14:paraId="0D37CA1C" w14:textId="77777777" w:rsidR="00D25E50" w:rsidRDefault="00D25E50">
      <w:pPr>
        <w:spacing w:before="200"/>
        <w:rPr>
          <w:rFonts w:ascii="Arial" w:eastAsia="Arial" w:hAnsi="Arial" w:cs="Arial"/>
          <w:color w:val="222222"/>
          <w:highlight w:val="white"/>
        </w:rPr>
      </w:pPr>
      <w:r>
        <w:rPr>
          <w:rFonts w:ascii="Arial" w:eastAsia="Arial" w:hAnsi="Arial" w:cs="Arial"/>
          <w:color w:val="222222"/>
          <w:highlight w:val="white"/>
        </w:rPr>
        <w:t xml:space="preserve">Malik, A.R., Pratiwi, Y., Andajani, K., Numertayasa, I.W., Suharti, S. and Darwis, A., (2023) ‘Exploring artificial intelligence in academic essay: higher education student's perspective’. </w:t>
      </w:r>
      <w:r>
        <w:rPr>
          <w:rFonts w:ascii="Arial" w:eastAsia="Arial" w:hAnsi="Arial" w:cs="Arial"/>
          <w:i/>
          <w:iCs/>
          <w:color w:val="222222"/>
          <w:highlight w:val="white"/>
        </w:rPr>
        <w:t>International Journal of Educational Research Open</w:t>
      </w:r>
      <w:r>
        <w:rPr>
          <w:rFonts w:ascii="Arial" w:eastAsia="Arial" w:hAnsi="Arial" w:cs="Arial"/>
          <w:color w:val="222222"/>
          <w:highlight w:val="white"/>
        </w:rPr>
        <w:t xml:space="preserve">, </w:t>
      </w:r>
      <w:r>
        <w:rPr>
          <w:rFonts w:ascii="Arial" w:eastAsia="Arial" w:hAnsi="Arial" w:cs="Arial"/>
          <w:i/>
          <w:iCs/>
          <w:color w:val="222222"/>
          <w:highlight w:val="white"/>
        </w:rPr>
        <w:t>5</w:t>
      </w:r>
      <w:r>
        <w:rPr>
          <w:rFonts w:ascii="Arial" w:eastAsia="Arial" w:hAnsi="Arial" w:cs="Arial"/>
          <w:color w:val="222222"/>
          <w:highlight w:val="white"/>
        </w:rPr>
        <w:t>, p.100296.</w:t>
      </w:r>
    </w:p>
    <w:p w14:paraId="30514F1B" w14:textId="77777777" w:rsidR="00D25E50" w:rsidRDefault="00D25E50">
      <w:pPr>
        <w:spacing w:before="200"/>
        <w:rPr>
          <w:rFonts w:ascii="Arial" w:eastAsia="Arial" w:hAnsi="Arial" w:cs="Arial"/>
          <w:color w:val="222222"/>
          <w:highlight w:val="white"/>
        </w:rPr>
      </w:pPr>
      <w:r>
        <w:rPr>
          <w:rFonts w:ascii="Arial" w:eastAsia="Arial" w:hAnsi="Arial" w:cs="Arial"/>
          <w:color w:val="222222"/>
          <w:highlight w:val="white"/>
        </w:rPr>
        <w:t xml:space="preserve">Muthmainnah, Ibna Seraj, P.M. and Oteir, I., (2022) ‘Playing with AI to investigate human‐computer interaction technology and improving critical thinking skills to pursue 21st century age’. </w:t>
      </w:r>
      <w:r>
        <w:rPr>
          <w:rFonts w:ascii="Arial" w:eastAsia="Arial" w:hAnsi="Arial" w:cs="Arial"/>
          <w:i/>
          <w:iCs/>
          <w:color w:val="222222"/>
          <w:highlight w:val="white"/>
        </w:rPr>
        <w:t>Education Research International</w:t>
      </w:r>
      <w:r>
        <w:rPr>
          <w:rFonts w:ascii="Arial" w:eastAsia="Arial" w:hAnsi="Arial" w:cs="Arial"/>
          <w:color w:val="222222"/>
          <w:highlight w:val="white"/>
        </w:rPr>
        <w:t xml:space="preserve">, </w:t>
      </w:r>
      <w:r>
        <w:rPr>
          <w:rFonts w:ascii="Arial" w:eastAsia="Arial" w:hAnsi="Arial" w:cs="Arial"/>
          <w:i/>
          <w:iCs/>
          <w:color w:val="222222"/>
          <w:highlight w:val="white"/>
        </w:rPr>
        <w:t>2022</w:t>
      </w:r>
      <w:r>
        <w:rPr>
          <w:rFonts w:ascii="Arial" w:eastAsia="Arial" w:hAnsi="Arial" w:cs="Arial"/>
          <w:color w:val="222222"/>
          <w:highlight w:val="white"/>
        </w:rPr>
        <w:t>(1), p.6468995.</w:t>
      </w:r>
    </w:p>
    <w:p w14:paraId="3A54801C" w14:textId="77777777" w:rsidR="00D25E50" w:rsidRDefault="00D25E50">
      <w:pPr>
        <w:spacing w:before="200"/>
        <w:rPr>
          <w:rFonts w:ascii="Arial" w:eastAsia="Arial" w:hAnsi="Arial" w:cs="Arial"/>
          <w:color w:val="222222"/>
          <w:highlight w:val="white"/>
        </w:rPr>
      </w:pPr>
      <w:r>
        <w:rPr>
          <w:rFonts w:ascii="Arial" w:eastAsia="Arial" w:hAnsi="Arial" w:cs="Arial"/>
          <w:color w:val="222222"/>
          <w:highlight w:val="white"/>
        </w:rPr>
        <w:t xml:space="preserve">Teng, M.F. and Yue, M., (2023) ‘Metacognitive writing strategies, critical thinking skills, and academic writing performance: A structural equation modeling approach’. </w:t>
      </w:r>
      <w:r>
        <w:rPr>
          <w:rFonts w:ascii="Arial" w:eastAsia="Arial" w:hAnsi="Arial" w:cs="Arial"/>
          <w:i/>
          <w:iCs/>
          <w:color w:val="222222"/>
          <w:highlight w:val="white"/>
        </w:rPr>
        <w:t>Metacognition and Learning</w:t>
      </w:r>
      <w:r>
        <w:rPr>
          <w:rFonts w:ascii="Arial" w:eastAsia="Arial" w:hAnsi="Arial" w:cs="Arial"/>
          <w:color w:val="222222"/>
          <w:highlight w:val="white"/>
        </w:rPr>
        <w:t xml:space="preserve">, </w:t>
      </w:r>
      <w:r>
        <w:rPr>
          <w:rFonts w:ascii="Arial" w:eastAsia="Arial" w:hAnsi="Arial" w:cs="Arial"/>
          <w:i/>
          <w:iCs/>
          <w:color w:val="222222"/>
          <w:highlight w:val="white"/>
        </w:rPr>
        <w:t>18</w:t>
      </w:r>
      <w:r>
        <w:rPr>
          <w:rFonts w:ascii="Arial" w:eastAsia="Arial" w:hAnsi="Arial" w:cs="Arial"/>
          <w:color w:val="222222"/>
          <w:highlight w:val="white"/>
        </w:rPr>
        <w:t>(1), pp.237-260.</w:t>
      </w:r>
    </w:p>
    <w:sectPr w:rsidR="00D25E50">
      <w:footerReference w:type="default" r:id="rId8"/>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27E2A6" w14:textId="77777777" w:rsidR="00F459C6" w:rsidRDefault="00F459C6">
      <w:pPr>
        <w:spacing w:line="240" w:lineRule="auto"/>
      </w:pPr>
      <w:r>
        <w:separator/>
      </w:r>
    </w:p>
  </w:endnote>
  <w:endnote w:type="continuationSeparator" w:id="0">
    <w:p w14:paraId="36826429" w14:textId="77777777" w:rsidR="00F459C6" w:rsidRDefault="00F459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embedRegular r:id="rId1" w:fontKey="{EF5FEC56-18F1-4638-B80F-7AA9444ED7EF}"/>
  </w:font>
  <w:font w:name="Cambria">
    <w:panose1 w:val="02040503050406030204"/>
    <w:charset w:val="EE"/>
    <w:family w:val="roman"/>
    <w:pitch w:val="variable"/>
    <w:sig w:usb0="E00006FF" w:usb1="420024FF" w:usb2="02000000" w:usb3="00000000" w:csb0="0000019F" w:csb1="00000000"/>
    <w:embedRegular r:id="rId2" w:fontKey="{149A5AD7-9A5B-452C-B9B8-BE8311D69A1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F3CED1" w14:textId="692971B7" w:rsidR="00711EC8" w:rsidRDefault="00550CE9">
    <w:pPr>
      <w:jc w:val="right"/>
      <w:rPr>
        <w:rFonts w:ascii="Arial" w:eastAsia="Arial" w:hAnsi="Arial" w:cs="Arial"/>
      </w:rPr>
    </w:pPr>
    <w:r>
      <w:rPr>
        <w:rFonts w:ascii="Arial" w:eastAsia="Arial" w:hAnsi="Arial" w:cs="Arial"/>
      </w:rPr>
      <w:fldChar w:fldCharType="begin"/>
    </w:r>
    <w:r>
      <w:rPr>
        <w:rFonts w:ascii="Arial" w:eastAsia="Arial" w:hAnsi="Arial" w:cs="Arial"/>
      </w:rPr>
      <w:instrText>PAGE</w:instrText>
    </w:r>
    <w:r>
      <w:rPr>
        <w:rFonts w:ascii="Arial" w:eastAsia="Arial" w:hAnsi="Arial" w:cs="Arial"/>
      </w:rPr>
      <w:fldChar w:fldCharType="separate"/>
    </w:r>
    <w:r>
      <w:rPr>
        <w:rFonts w:ascii="Arial" w:eastAsia="Arial" w:hAnsi="Arial" w:cs="Arial"/>
        <w:noProof/>
      </w:rPr>
      <w:t>0</w:t>
    </w:r>
    <w:r>
      <w:rPr>
        <w:rFonts w:ascii="Arial" w:eastAsia="Arial" w:hAnsi="Arial" w:cs="Arial"/>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AAF787" w14:textId="77777777" w:rsidR="00F459C6" w:rsidRDefault="00F459C6">
      <w:pPr>
        <w:spacing w:line="240" w:lineRule="auto"/>
      </w:pPr>
      <w:r>
        <w:separator/>
      </w:r>
    </w:p>
  </w:footnote>
  <w:footnote w:type="continuationSeparator" w:id="0">
    <w:p w14:paraId="6D4C0813" w14:textId="77777777" w:rsidR="00F459C6" w:rsidRDefault="00F459C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embedTrueTypeFonts/>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1EC8"/>
    <w:rsid w:val="001A7531"/>
    <w:rsid w:val="00231220"/>
    <w:rsid w:val="00426EB9"/>
    <w:rsid w:val="00550CE9"/>
    <w:rsid w:val="006E7BFB"/>
    <w:rsid w:val="00711EC8"/>
    <w:rsid w:val="00D25E50"/>
    <w:rsid w:val="00F459C6"/>
    <w:rsid w:val="00F5445C"/>
    <w:rsid w:val="00F72983"/>
    <w:rsid w:val="00FC38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0EB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240" w:after="240"/>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426EB9"/>
    <w:pPr>
      <w:tabs>
        <w:tab w:val="center" w:pos="4513"/>
        <w:tab w:val="right" w:pos="9026"/>
      </w:tabs>
      <w:spacing w:line="240" w:lineRule="auto"/>
    </w:pPr>
  </w:style>
  <w:style w:type="character" w:customStyle="1" w:styleId="HeaderChar">
    <w:name w:val="Header Char"/>
    <w:basedOn w:val="DefaultParagraphFont"/>
    <w:link w:val="Header"/>
    <w:uiPriority w:val="99"/>
    <w:rsid w:val="00426EB9"/>
  </w:style>
  <w:style w:type="paragraph" w:styleId="Footer">
    <w:name w:val="footer"/>
    <w:basedOn w:val="Normal"/>
    <w:link w:val="FooterChar"/>
    <w:uiPriority w:val="99"/>
    <w:unhideWhenUsed/>
    <w:rsid w:val="00426EB9"/>
    <w:pPr>
      <w:tabs>
        <w:tab w:val="center" w:pos="4513"/>
        <w:tab w:val="right" w:pos="9026"/>
      </w:tabs>
      <w:spacing w:line="240" w:lineRule="auto"/>
    </w:pPr>
  </w:style>
  <w:style w:type="character" w:customStyle="1" w:styleId="FooterChar">
    <w:name w:val="Footer Char"/>
    <w:basedOn w:val="DefaultParagraphFont"/>
    <w:link w:val="Footer"/>
    <w:uiPriority w:val="99"/>
    <w:rsid w:val="00426E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1075</Words>
  <Characters>6241</Characters>
  <Application>Microsoft Office Word</Application>
  <DocSecurity>0</DocSecurity>
  <Lines>52</Lines>
  <Paragraphs>14</Paragraphs>
  <ScaleCrop>false</ScaleCrop>
  <Company/>
  <LinksUpToDate>false</LinksUpToDate>
  <CharactersWithSpaces>7302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2025-11-10T18:34:00Z</dcterms:created>
  <dcterms:modified xsi:type="dcterms:W3CDTF">2025-11-13T21:08:00Z</dcterms:modified>
</cp:coreProperties>
</file>