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3E03FF0" w14:textId="528CBF2D" w:rsidR="008A185F" w:rsidRDefault="006248FE" w:rsidP="009C28AD">
      <w:pPr>
        <w:rPr>
          <w:b/>
          <w:i/>
          <w:color w:val="auto"/>
          <w:sz w:val="54"/>
          <w:szCs w:val="54"/>
        </w:rPr>
      </w:pPr>
      <w:r>
        <w:rPr>
          <w:b/>
          <w:i/>
          <w:color w:val="auto"/>
          <w:sz w:val="54"/>
          <w:szCs w:val="54"/>
        </w:rPr>
        <w:t>Florin Sirb 22376</w:t>
      </w:r>
      <w:r w:rsidR="00EC72E1">
        <w:rPr>
          <w:b/>
          <w:i/>
          <w:color w:val="auto"/>
          <w:sz w:val="54"/>
          <w:szCs w:val="54"/>
        </w:rPr>
        <w:t>14</w:t>
      </w:r>
    </w:p>
    <w:p w14:paraId="21C6674F" w14:textId="0BBAE6C9" w:rsidR="006248FE" w:rsidRPr="00B6062D" w:rsidRDefault="006248FE" w:rsidP="009C28AD">
      <w:pPr>
        <w:rPr>
          <w:b/>
          <w:i/>
          <w:color w:val="auto"/>
          <w:sz w:val="54"/>
          <w:szCs w:val="54"/>
        </w:rPr>
      </w:pPr>
      <w:r>
        <w:rPr>
          <w:b/>
          <w:i/>
          <w:color w:val="auto"/>
          <w:sz w:val="54"/>
          <w:szCs w:val="54"/>
        </w:rPr>
        <w:t>Lecturer:</w:t>
      </w:r>
      <w:r w:rsidR="00792893">
        <w:rPr>
          <w:b/>
          <w:i/>
          <w:color w:val="auto"/>
          <w:sz w:val="54"/>
          <w:szCs w:val="54"/>
        </w:rPr>
        <w:t xml:space="preserve"> Richard </w:t>
      </w:r>
    </w:p>
    <w:p w14:paraId="1D018DF7" w14:textId="77777777" w:rsidR="009C28AD" w:rsidRDefault="009C28AD" w:rsidP="009C28AD">
      <w:pPr>
        <w:rPr>
          <w:b/>
          <w:i/>
          <w:color w:val="auto"/>
          <w:sz w:val="88"/>
          <w:szCs w:val="88"/>
        </w:rPr>
      </w:pPr>
    </w:p>
    <w:p w14:paraId="5FB003E9" w14:textId="77777777" w:rsidR="009C28AD" w:rsidRDefault="009C28AD" w:rsidP="009C28AD">
      <w:pPr>
        <w:rPr>
          <w:b/>
          <w:i/>
          <w:color w:val="auto"/>
          <w:sz w:val="88"/>
          <w:szCs w:val="88"/>
        </w:rPr>
      </w:pPr>
    </w:p>
    <w:p w14:paraId="7E92F0E9" w14:textId="77777777" w:rsidR="009C28AD" w:rsidRDefault="009C28AD" w:rsidP="009C28AD">
      <w:pPr>
        <w:rPr>
          <w:b/>
          <w:i/>
          <w:color w:val="auto"/>
          <w:sz w:val="88"/>
          <w:szCs w:val="88"/>
        </w:rPr>
      </w:pPr>
    </w:p>
    <w:p w14:paraId="663110BB" w14:textId="77777777" w:rsidR="009C28AD" w:rsidRPr="009C28AD" w:rsidRDefault="009C28AD" w:rsidP="009C28AD">
      <w:pPr>
        <w:jc w:val="center"/>
        <w:rPr>
          <w:b/>
          <w:i/>
          <w:color w:val="333333"/>
          <w:sz w:val="72"/>
          <w:szCs w:val="72"/>
          <w:shd w:val="clear" w:color="auto" w:fill="FFFFFF"/>
        </w:rPr>
      </w:pPr>
      <w:r w:rsidRPr="009C28AD">
        <w:rPr>
          <w:b/>
          <w:i/>
          <w:color w:val="333333"/>
          <w:sz w:val="72"/>
          <w:szCs w:val="72"/>
          <w:shd w:val="clear" w:color="auto" w:fill="FFFFFF"/>
        </w:rPr>
        <w:t xml:space="preserve">LCLM 5005 </w:t>
      </w:r>
    </w:p>
    <w:p w14:paraId="035BB9F8" w14:textId="77777777" w:rsidR="008A185F" w:rsidRPr="009C28AD" w:rsidRDefault="009C28AD" w:rsidP="009C28AD">
      <w:pPr>
        <w:jc w:val="center"/>
        <w:rPr>
          <w:b/>
          <w:i/>
          <w:color w:val="auto"/>
          <w:sz w:val="72"/>
          <w:szCs w:val="72"/>
        </w:rPr>
      </w:pPr>
      <w:r w:rsidRPr="009C28AD">
        <w:rPr>
          <w:b/>
          <w:i/>
          <w:color w:val="333333"/>
          <w:sz w:val="72"/>
          <w:szCs w:val="72"/>
          <w:shd w:val="clear" w:color="auto" w:fill="FFFFFF"/>
        </w:rPr>
        <w:t>Organisational Culture</w:t>
      </w:r>
    </w:p>
    <w:p w14:paraId="70F9FF03" w14:textId="77777777" w:rsidR="008A185F" w:rsidRDefault="008A185F" w:rsidP="009C28AD">
      <w:pPr>
        <w:pStyle w:val="ContentsHeading"/>
        <w:pageBreakBefore/>
      </w:pPr>
      <w:r>
        <w:rPr>
          <w:color w:val="auto"/>
        </w:rPr>
        <w:lastRenderedPageBreak/>
        <w:t>Table of Contents</w:t>
      </w:r>
    </w:p>
    <w:p w14:paraId="41B8FE77" w14:textId="77777777" w:rsidR="009C28AD" w:rsidRPr="00D62981" w:rsidRDefault="008A185F">
      <w:pPr>
        <w:pStyle w:val="TOC1"/>
        <w:rPr>
          <w:rFonts w:ascii="Calibri" w:eastAsia="Times New Roman" w:hAnsi="Calibri" w:cs="Times New Roman"/>
          <w:noProof/>
          <w:color w:val="auto"/>
          <w:sz w:val="22"/>
          <w:lang w:val="en-US" w:eastAsia="en-US"/>
        </w:rPr>
      </w:pPr>
      <w:r>
        <w:fldChar w:fldCharType="begin"/>
      </w:r>
      <w:r>
        <w:instrText xml:space="preserve"> TOC \f \o "1-9" \o "1-9" </w:instrText>
      </w:r>
      <w:r>
        <w:fldChar w:fldCharType="separate"/>
      </w:r>
      <w:r w:rsidR="009C28AD">
        <w:rPr>
          <w:noProof/>
        </w:rPr>
        <w:t>Introduction</w:t>
      </w:r>
      <w:r w:rsidR="009C28AD">
        <w:rPr>
          <w:noProof/>
        </w:rPr>
        <w:tab/>
      </w:r>
      <w:r w:rsidR="009C28AD">
        <w:rPr>
          <w:noProof/>
        </w:rPr>
        <w:fldChar w:fldCharType="begin"/>
      </w:r>
      <w:r w:rsidR="009C28AD">
        <w:rPr>
          <w:noProof/>
        </w:rPr>
        <w:instrText xml:space="preserve"> PAGEREF _Toc214898213 \h </w:instrText>
      </w:r>
      <w:r w:rsidR="009C28AD">
        <w:rPr>
          <w:noProof/>
        </w:rPr>
      </w:r>
      <w:r w:rsidR="009C28AD">
        <w:rPr>
          <w:noProof/>
        </w:rPr>
        <w:fldChar w:fldCharType="separate"/>
      </w:r>
      <w:r w:rsidR="009C28AD">
        <w:rPr>
          <w:noProof/>
        </w:rPr>
        <w:t>3</w:t>
      </w:r>
      <w:r w:rsidR="009C28AD">
        <w:rPr>
          <w:noProof/>
        </w:rPr>
        <w:fldChar w:fldCharType="end"/>
      </w:r>
    </w:p>
    <w:p w14:paraId="7106F61E" w14:textId="77777777" w:rsidR="009C28AD" w:rsidRPr="00D62981" w:rsidRDefault="009C28AD">
      <w:pPr>
        <w:pStyle w:val="TOC1"/>
        <w:rPr>
          <w:rFonts w:ascii="Calibri" w:eastAsia="Times New Roman" w:hAnsi="Calibri" w:cs="Times New Roman"/>
          <w:noProof/>
          <w:color w:val="auto"/>
          <w:sz w:val="22"/>
          <w:lang w:val="en-US" w:eastAsia="en-US"/>
        </w:rPr>
      </w:pPr>
      <w:r>
        <w:rPr>
          <w:noProof/>
        </w:rPr>
        <w:t>Main Body</w:t>
      </w:r>
      <w:r>
        <w:rPr>
          <w:noProof/>
        </w:rPr>
        <w:tab/>
      </w:r>
      <w:r>
        <w:rPr>
          <w:noProof/>
        </w:rPr>
        <w:fldChar w:fldCharType="begin"/>
      </w:r>
      <w:r>
        <w:rPr>
          <w:noProof/>
        </w:rPr>
        <w:instrText xml:space="preserve"> PAGEREF _Toc214898214 \h </w:instrText>
      </w:r>
      <w:r>
        <w:rPr>
          <w:noProof/>
        </w:rPr>
      </w:r>
      <w:r>
        <w:rPr>
          <w:noProof/>
        </w:rPr>
        <w:fldChar w:fldCharType="separate"/>
      </w:r>
      <w:r>
        <w:rPr>
          <w:noProof/>
        </w:rPr>
        <w:t>3</w:t>
      </w:r>
      <w:r>
        <w:rPr>
          <w:noProof/>
        </w:rPr>
        <w:fldChar w:fldCharType="end"/>
      </w:r>
    </w:p>
    <w:p w14:paraId="331CC367" w14:textId="77777777" w:rsidR="009C28AD" w:rsidRPr="00D62981" w:rsidRDefault="009C28AD">
      <w:pPr>
        <w:pStyle w:val="TOC2"/>
        <w:rPr>
          <w:rFonts w:ascii="Calibri" w:eastAsia="Times New Roman" w:hAnsi="Calibri" w:cs="Times New Roman"/>
          <w:noProof/>
          <w:color w:val="auto"/>
          <w:sz w:val="22"/>
          <w:lang w:val="en-US" w:eastAsia="en-US"/>
        </w:rPr>
      </w:pPr>
      <w:r w:rsidRPr="0028559F">
        <w:rPr>
          <w:b/>
          <w:noProof/>
        </w:rPr>
        <w:t>Organisational Culture at Walmart</w:t>
      </w:r>
      <w:r>
        <w:rPr>
          <w:noProof/>
        </w:rPr>
        <w:tab/>
      </w:r>
      <w:r>
        <w:rPr>
          <w:noProof/>
        </w:rPr>
        <w:fldChar w:fldCharType="begin"/>
      </w:r>
      <w:r>
        <w:rPr>
          <w:noProof/>
        </w:rPr>
        <w:instrText xml:space="preserve"> PAGEREF _Toc214898215 \h </w:instrText>
      </w:r>
      <w:r>
        <w:rPr>
          <w:noProof/>
        </w:rPr>
      </w:r>
      <w:r>
        <w:rPr>
          <w:noProof/>
        </w:rPr>
        <w:fldChar w:fldCharType="separate"/>
      </w:r>
      <w:r>
        <w:rPr>
          <w:noProof/>
        </w:rPr>
        <w:t>3</w:t>
      </w:r>
      <w:r>
        <w:rPr>
          <w:noProof/>
        </w:rPr>
        <w:fldChar w:fldCharType="end"/>
      </w:r>
    </w:p>
    <w:p w14:paraId="71810C79" w14:textId="77777777" w:rsidR="009C28AD" w:rsidRPr="00D62981" w:rsidRDefault="009C28AD">
      <w:pPr>
        <w:pStyle w:val="TOC2"/>
        <w:rPr>
          <w:rFonts w:ascii="Calibri" w:eastAsia="Times New Roman" w:hAnsi="Calibri" w:cs="Times New Roman"/>
          <w:noProof/>
          <w:color w:val="auto"/>
          <w:sz w:val="22"/>
          <w:lang w:val="en-US" w:eastAsia="en-US"/>
        </w:rPr>
      </w:pPr>
      <w:r w:rsidRPr="0028559F">
        <w:rPr>
          <w:b/>
          <w:noProof/>
        </w:rPr>
        <w:t>Leadership, Team Communication, and Decision-Making</w:t>
      </w:r>
      <w:r>
        <w:rPr>
          <w:noProof/>
        </w:rPr>
        <w:tab/>
      </w:r>
      <w:r>
        <w:rPr>
          <w:noProof/>
        </w:rPr>
        <w:fldChar w:fldCharType="begin"/>
      </w:r>
      <w:r>
        <w:rPr>
          <w:noProof/>
        </w:rPr>
        <w:instrText xml:space="preserve"> PAGEREF _Toc214898216 \h </w:instrText>
      </w:r>
      <w:r>
        <w:rPr>
          <w:noProof/>
        </w:rPr>
      </w:r>
      <w:r>
        <w:rPr>
          <w:noProof/>
        </w:rPr>
        <w:fldChar w:fldCharType="separate"/>
      </w:r>
      <w:r>
        <w:rPr>
          <w:noProof/>
        </w:rPr>
        <w:t>4</w:t>
      </w:r>
      <w:r>
        <w:rPr>
          <w:noProof/>
        </w:rPr>
        <w:fldChar w:fldCharType="end"/>
      </w:r>
    </w:p>
    <w:p w14:paraId="7EC877C9" w14:textId="77777777" w:rsidR="009C28AD" w:rsidRPr="00D62981" w:rsidRDefault="009C28AD">
      <w:pPr>
        <w:pStyle w:val="TOC2"/>
        <w:rPr>
          <w:rFonts w:ascii="Calibri" w:eastAsia="Times New Roman" w:hAnsi="Calibri" w:cs="Times New Roman"/>
          <w:noProof/>
          <w:color w:val="auto"/>
          <w:sz w:val="22"/>
          <w:lang w:val="en-US" w:eastAsia="en-US"/>
        </w:rPr>
      </w:pPr>
      <w:r w:rsidRPr="0028559F">
        <w:rPr>
          <w:b/>
          <w:noProof/>
        </w:rPr>
        <w:t>Application of Organisational Culture Theories and Models</w:t>
      </w:r>
      <w:r>
        <w:rPr>
          <w:noProof/>
        </w:rPr>
        <w:tab/>
      </w:r>
      <w:r>
        <w:rPr>
          <w:noProof/>
        </w:rPr>
        <w:fldChar w:fldCharType="begin"/>
      </w:r>
      <w:r>
        <w:rPr>
          <w:noProof/>
        </w:rPr>
        <w:instrText xml:space="preserve"> PAGEREF _Toc214898217 \h </w:instrText>
      </w:r>
      <w:r>
        <w:rPr>
          <w:noProof/>
        </w:rPr>
      </w:r>
      <w:r>
        <w:rPr>
          <w:noProof/>
        </w:rPr>
        <w:fldChar w:fldCharType="separate"/>
      </w:r>
      <w:r>
        <w:rPr>
          <w:noProof/>
        </w:rPr>
        <w:t>5</w:t>
      </w:r>
      <w:r>
        <w:rPr>
          <w:noProof/>
        </w:rPr>
        <w:fldChar w:fldCharType="end"/>
      </w:r>
    </w:p>
    <w:p w14:paraId="6BA8678F" w14:textId="77777777" w:rsidR="009C28AD" w:rsidRPr="00D62981" w:rsidRDefault="009C28AD">
      <w:pPr>
        <w:pStyle w:val="TOC2"/>
        <w:rPr>
          <w:rFonts w:ascii="Calibri" w:eastAsia="Times New Roman" w:hAnsi="Calibri" w:cs="Times New Roman"/>
          <w:noProof/>
          <w:color w:val="auto"/>
          <w:sz w:val="22"/>
          <w:lang w:val="en-US" w:eastAsia="en-US"/>
        </w:rPr>
      </w:pPr>
      <w:r w:rsidRPr="0028559F">
        <w:rPr>
          <w:b/>
          <w:noProof/>
        </w:rPr>
        <w:t>Adapting to External Environmental Forces</w:t>
      </w:r>
      <w:r>
        <w:rPr>
          <w:noProof/>
        </w:rPr>
        <w:tab/>
      </w:r>
      <w:r>
        <w:rPr>
          <w:noProof/>
        </w:rPr>
        <w:fldChar w:fldCharType="begin"/>
      </w:r>
      <w:r>
        <w:rPr>
          <w:noProof/>
        </w:rPr>
        <w:instrText xml:space="preserve"> PAGEREF _Toc214898218 \h </w:instrText>
      </w:r>
      <w:r>
        <w:rPr>
          <w:noProof/>
        </w:rPr>
      </w:r>
      <w:r>
        <w:rPr>
          <w:noProof/>
        </w:rPr>
        <w:fldChar w:fldCharType="separate"/>
      </w:r>
      <w:r>
        <w:rPr>
          <w:noProof/>
        </w:rPr>
        <w:t>6</w:t>
      </w:r>
      <w:r>
        <w:rPr>
          <w:noProof/>
        </w:rPr>
        <w:fldChar w:fldCharType="end"/>
      </w:r>
    </w:p>
    <w:p w14:paraId="3699B76F" w14:textId="77777777" w:rsidR="009C28AD" w:rsidRPr="00D62981" w:rsidRDefault="009C28AD">
      <w:pPr>
        <w:pStyle w:val="TOC2"/>
        <w:rPr>
          <w:rFonts w:ascii="Calibri" w:eastAsia="Times New Roman" w:hAnsi="Calibri" w:cs="Times New Roman"/>
          <w:noProof/>
          <w:color w:val="auto"/>
          <w:sz w:val="22"/>
          <w:lang w:val="en-US" w:eastAsia="en-US"/>
        </w:rPr>
      </w:pPr>
      <w:r w:rsidRPr="0028559F">
        <w:rPr>
          <w:b/>
          <w:noProof/>
        </w:rPr>
        <w:t>Cultural Challenges and Hindrances</w:t>
      </w:r>
      <w:r>
        <w:rPr>
          <w:noProof/>
        </w:rPr>
        <w:tab/>
      </w:r>
      <w:r>
        <w:rPr>
          <w:noProof/>
        </w:rPr>
        <w:fldChar w:fldCharType="begin"/>
      </w:r>
      <w:r>
        <w:rPr>
          <w:noProof/>
        </w:rPr>
        <w:instrText xml:space="preserve"> PAGEREF _Toc214898219 \h </w:instrText>
      </w:r>
      <w:r>
        <w:rPr>
          <w:noProof/>
        </w:rPr>
      </w:r>
      <w:r>
        <w:rPr>
          <w:noProof/>
        </w:rPr>
        <w:fldChar w:fldCharType="separate"/>
      </w:r>
      <w:r>
        <w:rPr>
          <w:noProof/>
        </w:rPr>
        <w:t>6</w:t>
      </w:r>
      <w:r>
        <w:rPr>
          <w:noProof/>
        </w:rPr>
        <w:fldChar w:fldCharType="end"/>
      </w:r>
    </w:p>
    <w:p w14:paraId="421EF91D" w14:textId="77777777" w:rsidR="009C28AD" w:rsidRPr="00D62981" w:rsidRDefault="009C28AD">
      <w:pPr>
        <w:pStyle w:val="TOC2"/>
        <w:rPr>
          <w:rFonts w:ascii="Calibri" w:eastAsia="Times New Roman" w:hAnsi="Calibri" w:cs="Times New Roman"/>
          <w:noProof/>
          <w:color w:val="auto"/>
          <w:sz w:val="22"/>
          <w:lang w:val="en-US" w:eastAsia="en-US"/>
        </w:rPr>
      </w:pPr>
      <w:r w:rsidRPr="0028559F">
        <w:rPr>
          <w:b/>
          <w:noProof/>
        </w:rPr>
        <w:t>Impact on Organisational Performance and Recommendations</w:t>
      </w:r>
      <w:r>
        <w:rPr>
          <w:noProof/>
        </w:rPr>
        <w:tab/>
      </w:r>
      <w:r>
        <w:rPr>
          <w:noProof/>
        </w:rPr>
        <w:fldChar w:fldCharType="begin"/>
      </w:r>
      <w:r>
        <w:rPr>
          <w:noProof/>
        </w:rPr>
        <w:instrText xml:space="preserve"> PAGEREF _Toc214898220 \h </w:instrText>
      </w:r>
      <w:r>
        <w:rPr>
          <w:noProof/>
        </w:rPr>
      </w:r>
      <w:r>
        <w:rPr>
          <w:noProof/>
        </w:rPr>
        <w:fldChar w:fldCharType="separate"/>
      </w:r>
      <w:r>
        <w:rPr>
          <w:noProof/>
        </w:rPr>
        <w:t>7</w:t>
      </w:r>
      <w:r>
        <w:rPr>
          <w:noProof/>
        </w:rPr>
        <w:fldChar w:fldCharType="end"/>
      </w:r>
    </w:p>
    <w:p w14:paraId="39479491" w14:textId="77777777" w:rsidR="009C28AD" w:rsidRPr="00D62981" w:rsidRDefault="009C28AD">
      <w:pPr>
        <w:pStyle w:val="TOC1"/>
        <w:rPr>
          <w:rFonts w:ascii="Calibri" w:eastAsia="Times New Roman" w:hAnsi="Calibri" w:cs="Times New Roman"/>
          <w:noProof/>
          <w:color w:val="auto"/>
          <w:sz w:val="22"/>
          <w:lang w:val="en-US" w:eastAsia="en-US"/>
        </w:rPr>
      </w:pPr>
      <w:r>
        <w:rPr>
          <w:noProof/>
        </w:rPr>
        <w:t>Conclusion</w:t>
      </w:r>
      <w:r>
        <w:rPr>
          <w:noProof/>
        </w:rPr>
        <w:tab/>
      </w:r>
      <w:r>
        <w:rPr>
          <w:noProof/>
        </w:rPr>
        <w:fldChar w:fldCharType="begin"/>
      </w:r>
      <w:r>
        <w:rPr>
          <w:noProof/>
        </w:rPr>
        <w:instrText xml:space="preserve"> PAGEREF _Toc214898221 \h </w:instrText>
      </w:r>
      <w:r>
        <w:rPr>
          <w:noProof/>
        </w:rPr>
      </w:r>
      <w:r>
        <w:rPr>
          <w:noProof/>
        </w:rPr>
        <w:fldChar w:fldCharType="separate"/>
      </w:r>
      <w:r>
        <w:rPr>
          <w:noProof/>
        </w:rPr>
        <w:t>8</w:t>
      </w:r>
      <w:r>
        <w:rPr>
          <w:noProof/>
        </w:rPr>
        <w:fldChar w:fldCharType="end"/>
      </w:r>
    </w:p>
    <w:p w14:paraId="0A1B6003" w14:textId="77777777" w:rsidR="009C28AD" w:rsidRPr="00D62981" w:rsidRDefault="009C28AD">
      <w:pPr>
        <w:pStyle w:val="TOC1"/>
        <w:rPr>
          <w:rFonts w:ascii="Calibri" w:eastAsia="Times New Roman" w:hAnsi="Calibri" w:cs="Times New Roman"/>
          <w:noProof/>
          <w:color w:val="auto"/>
          <w:sz w:val="22"/>
          <w:lang w:val="en-US" w:eastAsia="en-US"/>
        </w:rPr>
      </w:pPr>
      <w:r>
        <w:rPr>
          <w:noProof/>
        </w:rPr>
        <w:t>References</w:t>
      </w:r>
      <w:r>
        <w:rPr>
          <w:noProof/>
        </w:rPr>
        <w:tab/>
      </w:r>
      <w:r>
        <w:rPr>
          <w:noProof/>
        </w:rPr>
        <w:fldChar w:fldCharType="begin"/>
      </w:r>
      <w:r>
        <w:rPr>
          <w:noProof/>
        </w:rPr>
        <w:instrText xml:space="preserve"> PAGEREF _Toc214898222 \h </w:instrText>
      </w:r>
      <w:r>
        <w:rPr>
          <w:noProof/>
        </w:rPr>
      </w:r>
      <w:r>
        <w:rPr>
          <w:noProof/>
        </w:rPr>
        <w:fldChar w:fldCharType="separate"/>
      </w:r>
      <w:r>
        <w:rPr>
          <w:noProof/>
        </w:rPr>
        <w:t>9</w:t>
      </w:r>
      <w:r>
        <w:rPr>
          <w:noProof/>
        </w:rPr>
        <w:fldChar w:fldCharType="end"/>
      </w:r>
    </w:p>
    <w:p w14:paraId="573F04B1" w14:textId="77777777" w:rsidR="008A185F" w:rsidRDefault="008A185F" w:rsidP="009C28AD">
      <w:pPr>
        <w:pStyle w:val="TOC1"/>
        <w:rPr>
          <w:color w:val="auto"/>
          <w:szCs w:val="24"/>
        </w:rPr>
      </w:pPr>
      <w:r>
        <w:fldChar w:fldCharType="end"/>
      </w:r>
    </w:p>
    <w:p w14:paraId="27A3DD95" w14:textId="77777777" w:rsidR="008A185F" w:rsidRDefault="008A185F" w:rsidP="009C28AD">
      <w:pPr>
        <w:rPr>
          <w:color w:val="auto"/>
          <w:szCs w:val="24"/>
        </w:rPr>
      </w:pPr>
    </w:p>
    <w:p w14:paraId="54786A74" w14:textId="77777777" w:rsidR="008A185F" w:rsidRDefault="008A185F" w:rsidP="009C28AD">
      <w:pPr>
        <w:rPr>
          <w:color w:val="auto"/>
          <w:szCs w:val="24"/>
        </w:rPr>
      </w:pPr>
    </w:p>
    <w:p w14:paraId="2A98CF5D" w14:textId="77777777" w:rsidR="008A185F" w:rsidRDefault="008A185F" w:rsidP="009C28AD">
      <w:pPr>
        <w:rPr>
          <w:color w:val="auto"/>
          <w:szCs w:val="24"/>
        </w:rPr>
      </w:pPr>
    </w:p>
    <w:p w14:paraId="4357F9DA" w14:textId="77777777" w:rsidR="008A185F" w:rsidRDefault="008A185F" w:rsidP="009C28AD">
      <w:pPr>
        <w:pStyle w:val="Heading1"/>
        <w:pageBreakBefore/>
      </w:pPr>
      <w:bookmarkStart w:id="0" w:name="_Toc214898213"/>
      <w:r>
        <w:lastRenderedPageBreak/>
        <w:t>Introduction</w:t>
      </w:r>
      <w:bookmarkEnd w:id="0"/>
    </w:p>
    <w:p w14:paraId="2118FC96" w14:textId="77777777" w:rsidR="003D2DAF" w:rsidRPr="00155155" w:rsidRDefault="003D2DAF" w:rsidP="009C28AD">
      <w:pPr>
        <w:suppressAutoHyphens w:val="0"/>
        <w:rPr>
          <w:rFonts w:eastAsia="Times New Roman"/>
          <w:color w:val="auto"/>
          <w:szCs w:val="24"/>
          <w:lang w:val="en-US" w:eastAsia="en-US"/>
        </w:rPr>
      </w:pPr>
      <w:r>
        <w:t>Organisational culture can be described as a collection of shared values, beliefs and behavioural norms that influence the way employees behave and relate to each other as well as to organisational performance</w:t>
      </w:r>
      <w:r w:rsidR="00AB54EA">
        <w:t xml:space="preserve"> </w:t>
      </w:r>
      <w:r w:rsidR="00155155" w:rsidRPr="00155155">
        <w:rPr>
          <w:rFonts w:eastAsia="Times New Roman"/>
          <w:color w:val="auto"/>
          <w:szCs w:val="24"/>
          <w:lang w:val="en-US" w:eastAsia="en-US"/>
        </w:rPr>
        <w:t>(Williams, 2022)</w:t>
      </w:r>
      <w:r>
        <w:t xml:space="preserve">. It also affects decision making process, pattern of communication, leadership behaviour and their response to environmental pressures. Good organisational culture helps in strategic alignment and employee motivation whereas a weak or poorly aligned culture may inhibit innovation and effectiveness of operation. Walmart is a multinational retail company with a presence in the world markets where it conducts its business involving brick-and-mortar stores and online retail stores. The retail giant has gained a good image of offering cheap products under an incredibly efficient operation model based on cost leadership and customer focus principles. This interview is informed by written report that has examined the organisational culture of Walmart. </w:t>
      </w:r>
      <w:proofErr w:type="spellStart"/>
      <w:r>
        <w:t>Analyzing</w:t>
      </w:r>
      <w:proofErr w:type="spellEnd"/>
      <w:r>
        <w:t xml:space="preserve"> the impact of cultural beliefs on its organizational structure, management style, and communication, strategies, and external flexibility. It is a critical application of theoretical frameworks of organisational culture and evaluates the strengths and weaknesses and then proposes recommendations to improve the cultural performance and the long term competitiveness.</w:t>
      </w:r>
    </w:p>
    <w:p w14:paraId="569EB88B" w14:textId="77777777" w:rsidR="003D2DAF" w:rsidRPr="003D2DAF" w:rsidRDefault="003D2DAF" w:rsidP="009C28AD"/>
    <w:p w14:paraId="221A933A" w14:textId="77777777" w:rsidR="00C331BC" w:rsidRDefault="008A185F" w:rsidP="009C28AD">
      <w:pPr>
        <w:pStyle w:val="Heading1"/>
      </w:pPr>
      <w:bookmarkStart w:id="1" w:name="_Toc214898214"/>
      <w:r>
        <w:t>Main Body</w:t>
      </w:r>
      <w:bookmarkEnd w:id="1"/>
    </w:p>
    <w:p w14:paraId="708ECCAB" w14:textId="77777777" w:rsidR="003D2DAF" w:rsidRPr="003D2DAF" w:rsidRDefault="003D2DAF" w:rsidP="009C28AD">
      <w:pPr>
        <w:pStyle w:val="Heading2"/>
        <w:rPr>
          <w:b/>
        </w:rPr>
      </w:pPr>
      <w:bookmarkStart w:id="2" w:name="_Toc214898215"/>
      <w:r w:rsidRPr="003D2DAF">
        <w:rPr>
          <w:b/>
        </w:rPr>
        <w:t>Organisational Culture at Walmart</w:t>
      </w:r>
      <w:bookmarkEnd w:id="2"/>
    </w:p>
    <w:p w14:paraId="314EA998" w14:textId="77777777" w:rsidR="003D2DAF" w:rsidRPr="00AC778B" w:rsidRDefault="003D2DAF" w:rsidP="009C28AD">
      <w:pPr>
        <w:suppressAutoHyphens w:val="0"/>
        <w:rPr>
          <w:rFonts w:eastAsia="Times New Roman"/>
          <w:color w:val="auto"/>
          <w:szCs w:val="24"/>
          <w:lang w:val="en-US" w:eastAsia="en-US"/>
        </w:rPr>
      </w:pPr>
      <w:r>
        <w:t>The organisational culture of Walmart is strongly involved in influence of the internal behaviours, strategic decisions, and the overall effectiveness in operation</w:t>
      </w:r>
      <w:r w:rsidR="00AC778B" w:rsidRPr="00AC778B">
        <w:rPr>
          <w:rFonts w:eastAsia="Times New Roman"/>
          <w:color w:val="auto"/>
          <w:szCs w:val="24"/>
          <w:lang w:val="en-US" w:eastAsia="en-US"/>
        </w:rPr>
        <w:t xml:space="preserve">(Martínez-Caro, </w:t>
      </w:r>
      <w:proofErr w:type="spellStart"/>
      <w:r w:rsidR="00AC778B" w:rsidRPr="00AC778B">
        <w:rPr>
          <w:rFonts w:eastAsia="Times New Roman"/>
          <w:color w:val="auto"/>
          <w:szCs w:val="24"/>
          <w:lang w:val="en-US" w:eastAsia="en-US"/>
        </w:rPr>
        <w:t>Cegarra-Navarro</w:t>
      </w:r>
      <w:proofErr w:type="spellEnd"/>
      <w:r w:rsidR="00AC778B" w:rsidRPr="00AC778B">
        <w:rPr>
          <w:rFonts w:eastAsia="Times New Roman"/>
          <w:color w:val="auto"/>
          <w:szCs w:val="24"/>
          <w:lang w:val="en-US" w:eastAsia="en-US"/>
        </w:rPr>
        <w:t xml:space="preserve"> and Alfonso-Ruiz, 2020)</w:t>
      </w:r>
      <w:r>
        <w:t xml:space="preserve">. The overall organisational culture has been rooted in the satisfaction of customers, low-cost leadership and operational efficiency, as this has helped cement the long-held brand reputation of the company to offer low prices every day. The cultural values promote waste reduction behaviours that promote the existence of a supply chain culture which ensures that actions focus on quality of service in all customer facing interactions. The performance of the employees is supposed to be aligned with these cultural expectations and this strengthens high performance, cost-consciousness and resourcefulness within the entire organisation. </w:t>
      </w:r>
    </w:p>
    <w:p w14:paraId="31CCEE3B" w14:textId="77777777" w:rsidR="003D2DAF" w:rsidRDefault="003D2DAF" w:rsidP="009C28AD">
      <w:pPr>
        <w:ind w:firstLine="720"/>
      </w:pPr>
      <w:r>
        <w:t xml:space="preserve">The culture and structure correspondence at Walmart is especially remarkable. The organisation is a centralised hierarchical structure where the strategies are mainly determined at </w:t>
      </w:r>
      <w:r>
        <w:lastRenderedPageBreak/>
        <w:t xml:space="preserve">the corporate level and passed down to the regional and store operations. This hierarchy assures that there are consistency, control and coordination of Walmart corporate functions across the thousands of stores around the world and it also helps in the cost-leadership strategy of Walmart, through consistency, control, and coordination of operations by the corporate. Even though this strategy allows a quick execution of solutions made at the executive level, it may inhibit independence as well as sensitivity to the local conditions. </w:t>
      </w:r>
    </w:p>
    <w:p w14:paraId="1DDC2840" w14:textId="77777777" w:rsidR="003D2DAF" w:rsidRDefault="003D2DAF" w:rsidP="009C28AD">
      <w:pPr>
        <w:ind w:firstLine="720"/>
      </w:pPr>
      <w:r>
        <w:t>The organisational structure of Walmart that is functional as employees in stores and departments strive towards common department goals is a sign of the culture of organisation that values task orientation and performance outcomes measurability. The aim of the store managers is to meet the goals like inventory turnover, customer satisfaction ratings, and efficiency indicators to discuss the fact that the role expectations and operational responsibility are defined directly by the organisational culture.</w:t>
      </w:r>
    </w:p>
    <w:p w14:paraId="2200D86C" w14:textId="77777777" w:rsidR="003D2DAF" w:rsidRDefault="003D2DAF" w:rsidP="009C28AD"/>
    <w:p w14:paraId="157B716B" w14:textId="77777777" w:rsidR="003D2DAF" w:rsidRPr="003D2DAF" w:rsidRDefault="003D2DAF" w:rsidP="009C28AD">
      <w:pPr>
        <w:pStyle w:val="Heading2"/>
        <w:rPr>
          <w:b/>
        </w:rPr>
      </w:pPr>
      <w:bookmarkStart w:id="3" w:name="_Toc214898216"/>
      <w:r w:rsidRPr="003D2DAF">
        <w:rPr>
          <w:b/>
        </w:rPr>
        <w:t>Leadership, Team Communication, and Decision-Making</w:t>
      </w:r>
      <w:bookmarkEnd w:id="3"/>
    </w:p>
    <w:p w14:paraId="3BBAC29B" w14:textId="77777777" w:rsidR="003D2DAF" w:rsidRPr="00920E68" w:rsidRDefault="003D2DAF" w:rsidP="009C28AD">
      <w:pPr>
        <w:suppressAutoHyphens w:val="0"/>
        <w:rPr>
          <w:rFonts w:eastAsia="Times New Roman"/>
          <w:color w:val="auto"/>
          <w:szCs w:val="24"/>
          <w:lang w:val="en-US" w:eastAsia="en-US"/>
        </w:rPr>
      </w:pPr>
      <w:r>
        <w:t>Walmart leadership is mostly top-down and this is a performance-oriented-based performance-driven culture that ensures accountability. Top executives are supposed to spearhead organisational beliefs and exhibit actions that support the belief of economies, frugality, customer centricity, and operational discipline. Decision-making is very information based and strategic decisions are informing on the basis of financial metrics and operation results particularly in places where cost saving and process improvement opportunities are available</w:t>
      </w:r>
      <w:r w:rsidR="00920E68" w:rsidRPr="00920E68">
        <w:t xml:space="preserve"> </w:t>
      </w:r>
      <w:r w:rsidR="00920E68" w:rsidRPr="00920E68">
        <w:rPr>
          <w:rFonts w:eastAsia="Times New Roman"/>
          <w:color w:val="auto"/>
          <w:szCs w:val="24"/>
          <w:lang w:val="en-US" w:eastAsia="en-US"/>
        </w:rPr>
        <w:t xml:space="preserve">(Eisenberg, Post and </w:t>
      </w:r>
      <w:proofErr w:type="spellStart"/>
      <w:r w:rsidR="00920E68" w:rsidRPr="00920E68">
        <w:rPr>
          <w:rFonts w:eastAsia="Times New Roman"/>
          <w:color w:val="auto"/>
          <w:szCs w:val="24"/>
          <w:lang w:val="en-US" w:eastAsia="en-US"/>
        </w:rPr>
        <w:t>DiTomaso</w:t>
      </w:r>
      <w:proofErr w:type="spellEnd"/>
      <w:r w:rsidR="00920E68" w:rsidRPr="00920E68">
        <w:rPr>
          <w:rFonts w:eastAsia="Times New Roman"/>
          <w:color w:val="auto"/>
          <w:szCs w:val="24"/>
          <w:lang w:val="en-US" w:eastAsia="en-US"/>
        </w:rPr>
        <w:t>, 2019)</w:t>
      </w:r>
      <w:r>
        <w:t xml:space="preserve">. </w:t>
      </w:r>
    </w:p>
    <w:p w14:paraId="06C878A6" w14:textId="77777777" w:rsidR="003D2DAF" w:rsidRDefault="003D2DAF" w:rsidP="009C28AD">
      <w:pPr>
        <w:ind w:firstLine="720"/>
      </w:pPr>
      <w:r>
        <w:t xml:space="preserve">The communication within the organisation is formal and structure based whereby the corporate-level-based approaches, policies, and operating guidelines are down-flowed to the store managers and frontline employees. This technique makes sure that it follows centrally stipulated goals but it lacks the flexibility in changing practices to local requirements. There is a small upward communication channel and as such, employee input in terms of information and feedback might fail to penetrate the strategic decision making processes. </w:t>
      </w:r>
    </w:p>
    <w:p w14:paraId="53C91E98" w14:textId="77777777" w:rsidR="003D2DAF" w:rsidRDefault="003D2DAF" w:rsidP="009C28AD">
      <w:pPr>
        <w:ind w:firstLine="720"/>
      </w:pPr>
      <w:r>
        <w:t xml:space="preserve">Teamwork at Walmart normally has the results-based orientation where a cross functional team work is geared towards attainment of specific productivity goals rather than acceptance of innovation and/or knowledge sharing. Although this aids efficiency, it can be a limitation to creativity. This has led to conflicts between operational goals and employee wellbeing as workers </w:t>
      </w:r>
      <w:r>
        <w:lastRenderedPageBreak/>
        <w:t>tend to focus on short operational activities at the expense of long term development or process improvement.</w:t>
      </w:r>
    </w:p>
    <w:p w14:paraId="65A78016" w14:textId="77777777" w:rsidR="003D2DAF" w:rsidRDefault="003D2DAF" w:rsidP="009C28AD"/>
    <w:p w14:paraId="65E9C825" w14:textId="77777777" w:rsidR="003D2DAF" w:rsidRPr="003D2DAF" w:rsidRDefault="003D2DAF" w:rsidP="009C28AD">
      <w:pPr>
        <w:pStyle w:val="Heading2"/>
        <w:rPr>
          <w:b/>
        </w:rPr>
      </w:pPr>
      <w:bookmarkStart w:id="4" w:name="_Toc214898217"/>
      <w:r w:rsidRPr="003D2DAF">
        <w:rPr>
          <w:b/>
        </w:rPr>
        <w:t>Application of Organisational Culture Theories and Models</w:t>
      </w:r>
      <w:bookmarkEnd w:id="4"/>
    </w:p>
    <w:p w14:paraId="54B032D2" w14:textId="77777777" w:rsidR="00AC778B" w:rsidRDefault="003D2DAF" w:rsidP="009C28AD">
      <w:r>
        <w:t>Schein views of three levels of Organisational Culture offers a critical understanding of the organisational culture of Walmart. At the artefact level, cultural elements are observable in their store plans, which maximize efficiency of their stores, using technology in their checkouts and their branding messages that help them to sustain their everyday low prices. These open characteristics support the line of cost-leadership and operational control at Walmart. Some of the espoused values in the organisation are customer satisfaction, respect to people, and commitment to low-priced goods. Such values are incorporated into behaviours and are the foundation of the employee expectations and performance standards.</w:t>
      </w:r>
    </w:p>
    <w:p w14:paraId="069A740A" w14:textId="77777777" w:rsidR="003D2DAF" w:rsidRDefault="003D2DAF" w:rsidP="009C28AD">
      <w:pPr>
        <w:ind w:firstLine="720"/>
      </w:pPr>
      <w:r>
        <w:t xml:space="preserve"> On the lowest level, the fundamental underlying assumptions of Walmart are a belief that the competitive advantage is obtained based on minimising costs, maximising efficiency and optimising large scale operations. These assumptions inform decision making at any organisational level, and are subliminal in nature and determine how the culture is resistant to alternatives.</w:t>
      </w:r>
    </w:p>
    <w:p w14:paraId="6E625DA0" w14:textId="77777777" w:rsidR="003D2DAF" w:rsidRPr="00920E68" w:rsidRDefault="003D2DAF" w:rsidP="009C28AD">
      <w:pPr>
        <w:suppressAutoHyphens w:val="0"/>
        <w:rPr>
          <w:rFonts w:eastAsia="Times New Roman"/>
          <w:color w:val="auto"/>
          <w:szCs w:val="24"/>
          <w:lang w:val="en-US" w:eastAsia="en-US"/>
        </w:rPr>
      </w:pPr>
      <w:r>
        <w:t>Cultural dimensions by Hofstede also explain behavioural trends in Walmart</w:t>
      </w:r>
      <w:r w:rsidR="00920E68" w:rsidRPr="00920E68">
        <w:t xml:space="preserve"> </w:t>
      </w:r>
      <w:r w:rsidR="00920E68" w:rsidRPr="00920E68">
        <w:rPr>
          <w:rFonts w:eastAsia="Times New Roman"/>
          <w:color w:val="auto"/>
          <w:szCs w:val="24"/>
          <w:lang w:val="en-US" w:eastAsia="en-US"/>
        </w:rPr>
        <w:t>(</w:t>
      </w:r>
      <w:proofErr w:type="spellStart"/>
      <w:r w:rsidR="00920E68" w:rsidRPr="00920E68">
        <w:rPr>
          <w:rFonts w:eastAsia="Times New Roman"/>
          <w:color w:val="auto"/>
          <w:szCs w:val="24"/>
          <w:lang w:val="en-US" w:eastAsia="en-US"/>
        </w:rPr>
        <w:t>Favaretto</w:t>
      </w:r>
      <w:proofErr w:type="spellEnd"/>
      <w:r w:rsidR="00920E68" w:rsidRPr="00920E68">
        <w:rPr>
          <w:rFonts w:eastAsia="Times New Roman"/>
          <w:color w:val="auto"/>
          <w:szCs w:val="24"/>
          <w:lang w:val="en-US" w:eastAsia="en-US"/>
        </w:rPr>
        <w:t>, Musse and Costa, 2019)</w:t>
      </w:r>
      <w:r>
        <w:t>. The organisation is characterised by high level of individualism especially in the United States where performance is determined by individual responsibility and compensation that depends on the quantifiable results. Hierarchical structuring has created power distance, but leadership is friendly. But although efforts are made to promote free communication, the power of the decision is still centralized. This gives a conflict between the centralisation and empowerment aims.</w:t>
      </w:r>
    </w:p>
    <w:p w14:paraId="4EAEB398" w14:textId="77777777" w:rsidR="003D2DAF" w:rsidRDefault="003D2DAF" w:rsidP="009C28AD">
      <w:pPr>
        <w:ind w:firstLine="720"/>
      </w:pPr>
      <w:r>
        <w:t>The cultural typology developed by Handy places Walmart in the category of a task-focused culture that is focused on point responsibilities, goal accomplishment, and performance standards. This enhances consistency and efficiency at the expense of innovation and learning amongst organisations.</w:t>
      </w:r>
    </w:p>
    <w:p w14:paraId="1F2C9A6C" w14:textId="77777777" w:rsidR="003D2DAF" w:rsidRDefault="003D2DAF" w:rsidP="009C28AD">
      <w:pPr>
        <w:ind w:firstLine="720"/>
      </w:pPr>
      <w:r>
        <w:t xml:space="preserve">The theoretical models have advantages to the analysis of culture. Schein offers a profound understanding of the unaware cultural motivation whereas Hofstede elucidates how the national culture influences organisational value and behaviour. However, the shortcomings of both models </w:t>
      </w:r>
      <w:r>
        <w:lastRenderedPageBreak/>
        <w:t>are that subconscious constituents of Schein are hard to quantify, and the generalisation of Hofstede might fail to record variations among various markets of Walmart.</w:t>
      </w:r>
    </w:p>
    <w:p w14:paraId="0D2CF0A9" w14:textId="77777777" w:rsidR="003D2DAF" w:rsidRDefault="003D2DAF" w:rsidP="009C28AD"/>
    <w:p w14:paraId="10194B8E" w14:textId="77777777" w:rsidR="003D2DAF" w:rsidRPr="003D2DAF" w:rsidRDefault="003D2DAF" w:rsidP="009C28AD">
      <w:pPr>
        <w:pStyle w:val="Heading2"/>
        <w:rPr>
          <w:b/>
        </w:rPr>
      </w:pPr>
      <w:bookmarkStart w:id="5" w:name="_Toc214898218"/>
      <w:r w:rsidRPr="003D2DAF">
        <w:rPr>
          <w:b/>
        </w:rPr>
        <w:t>Adapting to External Environmental Forces</w:t>
      </w:r>
      <w:bookmarkEnd w:id="5"/>
    </w:p>
    <w:p w14:paraId="357436FE" w14:textId="77777777" w:rsidR="003D2DAF" w:rsidRPr="00D00694" w:rsidRDefault="003D2DAF" w:rsidP="009C28AD">
      <w:pPr>
        <w:suppressAutoHyphens w:val="0"/>
        <w:rPr>
          <w:rFonts w:eastAsia="Times New Roman"/>
          <w:color w:val="auto"/>
          <w:szCs w:val="24"/>
          <w:lang w:val="en-US" w:eastAsia="en-US"/>
        </w:rPr>
      </w:pPr>
      <w:r>
        <w:t>The responsiveness to globalisation, changes in technology and rising competition is an availability of strong cultural alignment in Walmart with the external environmental demands</w:t>
      </w:r>
      <w:r w:rsidR="00D00694" w:rsidRPr="00D00694">
        <w:t xml:space="preserve"> </w:t>
      </w:r>
      <w:r w:rsidR="00D00694" w:rsidRPr="00D00694">
        <w:rPr>
          <w:rFonts w:eastAsia="Times New Roman"/>
          <w:color w:val="auto"/>
          <w:szCs w:val="24"/>
          <w:lang w:val="en-US" w:eastAsia="en-US"/>
        </w:rPr>
        <w:t>(</w:t>
      </w:r>
      <w:proofErr w:type="spellStart"/>
      <w:r w:rsidR="00D00694" w:rsidRPr="00D00694">
        <w:rPr>
          <w:rFonts w:eastAsia="Times New Roman"/>
          <w:color w:val="auto"/>
          <w:szCs w:val="24"/>
          <w:lang w:val="en-US" w:eastAsia="en-US"/>
        </w:rPr>
        <w:t>Alawwad</w:t>
      </w:r>
      <w:proofErr w:type="spellEnd"/>
      <w:r w:rsidR="00D00694" w:rsidRPr="00D00694">
        <w:rPr>
          <w:rFonts w:eastAsia="Times New Roman"/>
          <w:color w:val="auto"/>
          <w:szCs w:val="24"/>
          <w:lang w:val="en-US" w:eastAsia="en-US"/>
        </w:rPr>
        <w:t>, 2024)</w:t>
      </w:r>
      <w:r>
        <w:t xml:space="preserve">. The culture of the organisation based on efficiency allows adapting quickly to evolving retail conditions, and this allows the corporation to penetrate foreign markets and diversify the principles of operations. The powerful base of cost-leadership has enabled Walmart to harmonise operations in all markets around the world and provide low prices of goods. </w:t>
      </w:r>
    </w:p>
    <w:p w14:paraId="466E6EC9" w14:textId="77777777" w:rsidR="003D2DAF" w:rsidRDefault="003D2DAF" w:rsidP="009C28AD">
      <w:pPr>
        <w:ind w:firstLine="720"/>
      </w:pPr>
      <w:r>
        <w:t xml:space="preserve">The cultural change of Walmart has rapidly increased with the increase in the adoption of e-commerce, especially the introduction of digitalization and the expansion of </w:t>
      </w:r>
      <w:proofErr w:type="spellStart"/>
      <w:r>
        <w:t>omnichannel</w:t>
      </w:r>
      <w:proofErr w:type="spellEnd"/>
      <w:r>
        <w:t xml:space="preserve"> retailing. The acquisitions of Jet.com as well as the strategic alliance with Flipkart in India are some of the examples of investing in a culture that helps Walmart to adjust to the digital markets. Likewise, such innovations as self-checkout systems and trial works with drone delivery are some of the efforts to use technology to improve the customer experience. Efficiency and innovation within the cultural value trends facilitate this change, but it is sometimes slowed down by a fixed set of practices.</w:t>
      </w:r>
    </w:p>
    <w:p w14:paraId="159CFDEC" w14:textId="77777777" w:rsidR="003D2DAF" w:rsidRPr="00BD2735" w:rsidRDefault="003D2DAF" w:rsidP="009C28AD">
      <w:pPr>
        <w:suppressAutoHyphens w:val="0"/>
        <w:rPr>
          <w:rFonts w:eastAsia="Times New Roman"/>
          <w:color w:val="auto"/>
          <w:szCs w:val="24"/>
          <w:lang w:val="en-US" w:eastAsia="en-US"/>
        </w:rPr>
      </w:pPr>
      <w:r>
        <w:t>The looming aggressive competition, which is mainly that of Amazon, has made Walmart focus on the customer experience innovation, thus resulting in strategic digital expansion and modernisation efforts</w:t>
      </w:r>
      <w:r w:rsidR="00BD2735" w:rsidRPr="00BD2735">
        <w:t xml:space="preserve"> </w:t>
      </w:r>
      <w:r w:rsidR="00BD2735" w:rsidRPr="00BD2735">
        <w:rPr>
          <w:rFonts w:eastAsia="Times New Roman"/>
          <w:color w:val="auto"/>
          <w:szCs w:val="24"/>
          <w:lang w:val="en-US" w:eastAsia="en-US"/>
        </w:rPr>
        <w:t>(Bolton et al., 2018)</w:t>
      </w:r>
      <w:r>
        <w:t>. These changes underline the need to be culturally agile in order to remain competitive.</w:t>
      </w:r>
    </w:p>
    <w:p w14:paraId="42C60599" w14:textId="77777777" w:rsidR="003D2DAF" w:rsidRDefault="003D2DAF" w:rsidP="009C28AD"/>
    <w:p w14:paraId="41D1A7A2" w14:textId="77777777" w:rsidR="003D2DAF" w:rsidRPr="003D2DAF" w:rsidRDefault="003D2DAF" w:rsidP="009C28AD">
      <w:pPr>
        <w:pStyle w:val="Heading2"/>
        <w:rPr>
          <w:b/>
        </w:rPr>
      </w:pPr>
      <w:bookmarkStart w:id="6" w:name="_Toc214898219"/>
      <w:r w:rsidRPr="003D2DAF">
        <w:rPr>
          <w:b/>
        </w:rPr>
        <w:t>Cultural Challenges and Hindrances</w:t>
      </w:r>
      <w:bookmarkEnd w:id="6"/>
    </w:p>
    <w:p w14:paraId="2318BEA8" w14:textId="77777777" w:rsidR="0039529C" w:rsidRPr="00C07B83" w:rsidRDefault="003D2DAF" w:rsidP="009C28AD">
      <w:pPr>
        <w:suppressAutoHyphens w:val="0"/>
        <w:rPr>
          <w:rFonts w:eastAsia="Times New Roman"/>
          <w:color w:val="auto"/>
          <w:szCs w:val="24"/>
          <w:lang w:val="en-US" w:eastAsia="en-US"/>
        </w:rPr>
      </w:pPr>
      <w:r>
        <w:t>Irrespective of its powers, the organisational culture of Walmart poses few operational constraints that impact innovation, communication, and flexibility</w:t>
      </w:r>
      <w:r w:rsidR="00C07B83" w:rsidRPr="00C07B83">
        <w:t xml:space="preserve"> </w:t>
      </w:r>
      <w:r w:rsidR="00C07B83" w:rsidRPr="00C07B83">
        <w:rPr>
          <w:rFonts w:eastAsia="Times New Roman"/>
          <w:color w:val="auto"/>
          <w:szCs w:val="24"/>
          <w:lang w:val="en-US" w:eastAsia="en-US"/>
        </w:rPr>
        <w:t>(Horan et al., 2020)</w:t>
      </w:r>
      <w:r>
        <w:t xml:space="preserve">. Singular embedded cost-efficiency values create change resistance especially when the strategic changes demand heavy investments. As an illustration, initial difficulties in adoption of e-commerce were caused by the kind of tensions between the traditional store systems and </w:t>
      </w:r>
      <w:r w:rsidR="0039529C">
        <w:t xml:space="preserve">new digital retailing systems. </w:t>
      </w:r>
      <w:r>
        <w:t>Top-down decision making has also led to narrowed business functions, which have reduced cross-functional working and slowness in responding internally to market feedbacks.</w:t>
      </w:r>
    </w:p>
    <w:p w14:paraId="0756ED7B" w14:textId="77777777" w:rsidR="003D2DAF" w:rsidRDefault="003D2DAF" w:rsidP="009C28AD">
      <w:pPr>
        <w:ind w:firstLine="720"/>
      </w:pPr>
      <w:r>
        <w:t xml:space="preserve"> Power hierarchies are supported by communication barriers, which undermine employee engagement and limit bottom-up innovation opportunities. These problems have effects on customer experience, organisation learning and transformational development.</w:t>
      </w:r>
      <w:r w:rsidR="0039529C">
        <w:t xml:space="preserve"> </w:t>
      </w:r>
      <w:r>
        <w:t>These cultural constraints bring out the necessity to have a balance between control and creativity. The organisation can easily be overtaken by more agile organisations unless there is cultural reform.</w:t>
      </w:r>
    </w:p>
    <w:p w14:paraId="2CE12EDF" w14:textId="77777777" w:rsidR="003D2DAF" w:rsidRDefault="003D2DAF" w:rsidP="009C28AD"/>
    <w:p w14:paraId="55CFFAC6" w14:textId="77777777" w:rsidR="003D2DAF" w:rsidRPr="0039529C" w:rsidRDefault="003D2DAF" w:rsidP="009C28AD">
      <w:pPr>
        <w:pStyle w:val="Heading2"/>
        <w:rPr>
          <w:b/>
        </w:rPr>
      </w:pPr>
      <w:bookmarkStart w:id="7" w:name="_Toc214898220"/>
      <w:r w:rsidRPr="0039529C">
        <w:rPr>
          <w:b/>
        </w:rPr>
        <w:t>Impact on Organisational Performance and Recommendations</w:t>
      </w:r>
      <w:bookmarkEnd w:id="7"/>
    </w:p>
    <w:p w14:paraId="26D46F00" w14:textId="77777777" w:rsidR="003D2DAF" w:rsidRDefault="003D2DAF" w:rsidP="009C28AD">
      <w:r>
        <w:t xml:space="preserve">Walmart culture plays a major role in organisational performance, which creates high productivity, effective utilisation of resources, and proper supply chain management. The culture of strong cost-leadership enables competitive pricing mechanism to promote the dominance of the market and customer loyalty. Performance based practices encourage workers to work towards attainable outputs. </w:t>
      </w:r>
    </w:p>
    <w:p w14:paraId="3EB30A26" w14:textId="77777777" w:rsidR="003D2DAF" w:rsidRDefault="003D2DAF" w:rsidP="009C28AD">
      <w:pPr>
        <w:ind w:firstLine="720"/>
      </w:pPr>
      <w:r>
        <w:t>But the same culture has negative effects of employee burnout, low job satisfaction and staff turnover at lower levels. The emphasis on performance measures results in transactional work relations and reduces chances of self-development. Moreover, too much focus on efficiency may limit risk-taking, decrease the possibility of innovation, and decrease differentiation in an extremely competitive digital retail industry.</w:t>
      </w:r>
    </w:p>
    <w:p w14:paraId="759921A7" w14:textId="77777777" w:rsidR="003D2DAF" w:rsidRPr="00400960" w:rsidRDefault="003D2DAF" w:rsidP="009C28AD">
      <w:pPr>
        <w:suppressAutoHyphens w:val="0"/>
        <w:rPr>
          <w:rFonts w:eastAsia="Times New Roman"/>
          <w:color w:val="auto"/>
          <w:szCs w:val="24"/>
          <w:lang w:val="en-US" w:eastAsia="en-US"/>
        </w:rPr>
      </w:pPr>
      <w:r>
        <w:t>Suggestions will involve a culture of innovation whereby experimentation and employee empowerment will be encouraged to bring ideas on board. The teamwork and responsiveness would be enhanced by improving the communication networks and minimizing the departmental boundaries. Culture and digital transformation strategies would serve long-term organisational sustainability, as well as investing in employee wellbeing facilitated by development programs and work-life balance programs</w:t>
      </w:r>
      <w:r w:rsidR="00400960" w:rsidRPr="00400960">
        <w:t xml:space="preserve"> </w:t>
      </w:r>
      <w:r w:rsidR="00400960" w:rsidRPr="00400960">
        <w:rPr>
          <w:rFonts w:eastAsia="Times New Roman"/>
          <w:color w:val="auto"/>
          <w:szCs w:val="24"/>
          <w:lang w:val="en-US" w:eastAsia="en-US"/>
        </w:rPr>
        <w:t>(Nene and Pillay, 2019)</w:t>
      </w:r>
      <w:r>
        <w:t>.</w:t>
      </w:r>
    </w:p>
    <w:p w14:paraId="0EACF94F" w14:textId="77777777" w:rsidR="003D2DAF" w:rsidRDefault="003D2DAF" w:rsidP="009C28AD"/>
    <w:p w14:paraId="1CE505EC" w14:textId="77777777" w:rsidR="003D2DAF" w:rsidRPr="003D2DAF" w:rsidRDefault="003D2DAF" w:rsidP="009C28AD"/>
    <w:p w14:paraId="1920E762" w14:textId="77777777" w:rsidR="008A185F" w:rsidRDefault="0039529C" w:rsidP="009C28AD">
      <w:pPr>
        <w:pStyle w:val="Heading1"/>
      </w:pPr>
      <w:r>
        <w:br w:type="page"/>
      </w:r>
      <w:bookmarkStart w:id="8" w:name="_Toc214898221"/>
      <w:r w:rsidR="008A185F">
        <w:t>Conclusion</w:t>
      </w:r>
      <w:bookmarkEnd w:id="8"/>
    </w:p>
    <w:p w14:paraId="1E595A5E" w14:textId="77777777" w:rsidR="003D2DAF" w:rsidRPr="003D2DAF" w:rsidRDefault="003D2DAF" w:rsidP="009C28AD">
      <w:r w:rsidRPr="003D2DAF">
        <w:t>Walmart has a strong organisational culture which is a key contributor to operational success in terms of organisational structure, the leadership behaviour, decision making and adapting with changes. The global competitiveness is supported by cultural strengths such as efficiency, cost control and customer focus. Nevertheless, the absence of innovations and staff satisfaction are complicated by culture barriers, including resistance to change, operations and communication restrictions within silos. In order to remain successful in a fast-paced retail landscape, Walmart has to develop the culture of adaption, which will help foster innovation, cooperation, and employee involvement. Planned cultural development will make the organisation stronger, competitive, and at the same time improve its internal work and external sensitivity.</w:t>
      </w:r>
    </w:p>
    <w:p w14:paraId="64EC91BA" w14:textId="77777777" w:rsidR="008A185F" w:rsidRDefault="008A185F" w:rsidP="009C28AD">
      <w:pPr>
        <w:pStyle w:val="Heading1"/>
        <w:pageBreakBefore/>
        <w:rPr>
          <w:color w:val="auto"/>
          <w:szCs w:val="24"/>
          <w:u w:val="single"/>
        </w:rPr>
      </w:pPr>
      <w:bookmarkStart w:id="9" w:name="_Toc214898222"/>
      <w:r>
        <w:t>References</w:t>
      </w:r>
      <w:bookmarkEnd w:id="9"/>
      <w:r>
        <w:t xml:space="preserve"> </w:t>
      </w:r>
    </w:p>
    <w:p w14:paraId="629F74A5" w14:textId="77777777" w:rsidR="009C28AD" w:rsidRPr="009C28AD" w:rsidRDefault="009C28AD" w:rsidP="009C28AD">
      <w:pPr>
        <w:numPr>
          <w:ilvl w:val="0"/>
          <w:numId w:val="1"/>
        </w:numPr>
        <w:suppressAutoHyphens w:val="0"/>
        <w:spacing w:after="240" w:line="240" w:lineRule="auto"/>
        <w:ind w:left="720" w:hanging="720"/>
        <w:rPr>
          <w:rFonts w:eastAsia="Times New Roman"/>
          <w:color w:val="auto"/>
          <w:szCs w:val="24"/>
          <w:lang w:val="en-US" w:eastAsia="en-US"/>
        </w:rPr>
      </w:pPr>
      <w:proofErr w:type="spellStart"/>
      <w:r w:rsidRPr="009C28AD">
        <w:rPr>
          <w:rFonts w:eastAsia="Times New Roman"/>
          <w:color w:val="auto"/>
          <w:szCs w:val="24"/>
          <w:lang w:val="en-US" w:eastAsia="en-US"/>
        </w:rPr>
        <w:t>Alawwad</w:t>
      </w:r>
      <w:proofErr w:type="spellEnd"/>
      <w:r w:rsidRPr="009C28AD">
        <w:rPr>
          <w:rFonts w:eastAsia="Times New Roman"/>
          <w:color w:val="auto"/>
          <w:szCs w:val="24"/>
          <w:lang w:val="en-US" w:eastAsia="en-US"/>
        </w:rPr>
        <w:t xml:space="preserve">, A. (2024). The influence of external factors on corporate strategy and strategies for adaptation in light of the global challenges. </w:t>
      </w:r>
      <w:r w:rsidRPr="009C28AD">
        <w:rPr>
          <w:rFonts w:eastAsia="Times New Roman"/>
          <w:i/>
          <w:iCs/>
          <w:color w:val="auto"/>
          <w:szCs w:val="24"/>
          <w:lang w:val="en-US" w:eastAsia="en-US"/>
        </w:rPr>
        <w:t>International Journal of Financial, Administrative, and Economic Sciences</w:t>
      </w:r>
      <w:r w:rsidRPr="009C28AD">
        <w:rPr>
          <w:rFonts w:eastAsia="Times New Roman"/>
          <w:color w:val="auto"/>
          <w:szCs w:val="24"/>
          <w:lang w:val="en-US" w:eastAsia="en-US"/>
        </w:rPr>
        <w:t xml:space="preserve">, 3(10), pp.91–125. </w:t>
      </w:r>
      <w:proofErr w:type="spellStart"/>
      <w:r w:rsidRPr="009C28AD">
        <w:rPr>
          <w:rFonts w:eastAsia="Times New Roman"/>
          <w:color w:val="auto"/>
          <w:szCs w:val="24"/>
          <w:lang w:val="en-US" w:eastAsia="en-US"/>
        </w:rPr>
        <w:t>doi</w:t>
      </w:r>
      <w:proofErr w:type="spellEnd"/>
      <w:r w:rsidRPr="009C28AD">
        <w:rPr>
          <w:rFonts w:eastAsia="Times New Roman"/>
          <w:color w:val="auto"/>
          <w:szCs w:val="24"/>
          <w:lang w:val="en-US" w:eastAsia="en-US"/>
        </w:rPr>
        <w:t>:</w:t>
      </w:r>
      <w:r>
        <w:rPr>
          <w:rFonts w:eastAsia="Times New Roman"/>
          <w:color w:val="auto"/>
          <w:szCs w:val="24"/>
          <w:lang w:val="en-US" w:eastAsia="en-US"/>
        </w:rPr>
        <w:t xml:space="preserve"> </w:t>
      </w:r>
      <w:hyperlink r:id="rId7" w:history="1">
        <w:r w:rsidRPr="00BF55A1">
          <w:rPr>
            <w:rStyle w:val="Hyperlink"/>
            <w:rFonts w:eastAsia="Times New Roman"/>
            <w:szCs w:val="24"/>
            <w:lang w:val="en-US" w:eastAsia="en-US"/>
          </w:rPr>
          <w:t>https://doi.org/10.59992/ijfaes.2024.v3n10p3</w:t>
        </w:r>
      </w:hyperlink>
      <w:r w:rsidRPr="009C28AD">
        <w:rPr>
          <w:rFonts w:eastAsia="Times New Roman"/>
          <w:color w:val="auto"/>
          <w:szCs w:val="24"/>
          <w:lang w:val="en-US" w:eastAsia="en-US"/>
        </w:rPr>
        <w:t>.</w:t>
      </w:r>
      <w:r>
        <w:rPr>
          <w:rFonts w:eastAsia="Times New Roman"/>
          <w:color w:val="auto"/>
          <w:szCs w:val="24"/>
          <w:lang w:val="en-US" w:eastAsia="en-US"/>
        </w:rPr>
        <w:t xml:space="preserve"> </w:t>
      </w:r>
    </w:p>
    <w:p w14:paraId="1A4AC33F" w14:textId="77777777" w:rsidR="009C28AD" w:rsidRPr="009C28AD" w:rsidRDefault="009C28AD" w:rsidP="009C28AD">
      <w:pPr>
        <w:numPr>
          <w:ilvl w:val="0"/>
          <w:numId w:val="1"/>
        </w:numPr>
        <w:suppressAutoHyphens w:val="0"/>
        <w:spacing w:after="240" w:line="240" w:lineRule="auto"/>
        <w:ind w:left="720" w:hanging="720"/>
        <w:rPr>
          <w:rFonts w:eastAsia="Times New Roman"/>
          <w:color w:val="auto"/>
          <w:szCs w:val="24"/>
          <w:lang w:val="en-US" w:eastAsia="en-US"/>
        </w:rPr>
      </w:pPr>
      <w:r w:rsidRPr="009C28AD">
        <w:rPr>
          <w:rFonts w:eastAsia="Times New Roman"/>
          <w:color w:val="auto"/>
          <w:szCs w:val="24"/>
          <w:lang w:val="en-US" w:eastAsia="en-US"/>
        </w:rPr>
        <w:t xml:space="preserve">Bolton, R.N., McColl-Kennedy, J.R., Cheung, L., </w:t>
      </w:r>
      <w:proofErr w:type="spellStart"/>
      <w:r w:rsidRPr="009C28AD">
        <w:rPr>
          <w:rFonts w:eastAsia="Times New Roman"/>
          <w:color w:val="auto"/>
          <w:szCs w:val="24"/>
          <w:lang w:val="en-US" w:eastAsia="en-US"/>
        </w:rPr>
        <w:t>Gallan</w:t>
      </w:r>
      <w:proofErr w:type="spellEnd"/>
      <w:r w:rsidRPr="009C28AD">
        <w:rPr>
          <w:rFonts w:eastAsia="Times New Roman"/>
          <w:color w:val="auto"/>
          <w:szCs w:val="24"/>
          <w:lang w:val="en-US" w:eastAsia="en-US"/>
        </w:rPr>
        <w:t xml:space="preserve">, A., </w:t>
      </w:r>
      <w:proofErr w:type="spellStart"/>
      <w:r w:rsidRPr="009C28AD">
        <w:rPr>
          <w:rFonts w:eastAsia="Times New Roman"/>
          <w:color w:val="auto"/>
          <w:szCs w:val="24"/>
          <w:lang w:val="en-US" w:eastAsia="en-US"/>
        </w:rPr>
        <w:t>Orsingher</w:t>
      </w:r>
      <w:proofErr w:type="spellEnd"/>
      <w:r w:rsidRPr="009C28AD">
        <w:rPr>
          <w:rFonts w:eastAsia="Times New Roman"/>
          <w:color w:val="auto"/>
          <w:szCs w:val="24"/>
          <w:lang w:val="en-US" w:eastAsia="en-US"/>
        </w:rPr>
        <w:t xml:space="preserve">, C., </w:t>
      </w:r>
      <w:proofErr w:type="spellStart"/>
      <w:r w:rsidRPr="009C28AD">
        <w:rPr>
          <w:rFonts w:eastAsia="Times New Roman"/>
          <w:color w:val="auto"/>
          <w:szCs w:val="24"/>
          <w:lang w:val="en-US" w:eastAsia="en-US"/>
        </w:rPr>
        <w:t>Witell</w:t>
      </w:r>
      <w:proofErr w:type="spellEnd"/>
      <w:r w:rsidRPr="009C28AD">
        <w:rPr>
          <w:rFonts w:eastAsia="Times New Roman"/>
          <w:color w:val="auto"/>
          <w:szCs w:val="24"/>
          <w:lang w:val="en-US" w:eastAsia="en-US"/>
        </w:rPr>
        <w:t xml:space="preserve">, L. and </w:t>
      </w:r>
      <w:proofErr w:type="spellStart"/>
      <w:r w:rsidRPr="009C28AD">
        <w:rPr>
          <w:rFonts w:eastAsia="Times New Roman"/>
          <w:color w:val="auto"/>
          <w:szCs w:val="24"/>
          <w:lang w:val="en-US" w:eastAsia="en-US"/>
        </w:rPr>
        <w:t>Zaki</w:t>
      </w:r>
      <w:proofErr w:type="spellEnd"/>
      <w:r w:rsidRPr="009C28AD">
        <w:rPr>
          <w:rFonts w:eastAsia="Times New Roman"/>
          <w:color w:val="auto"/>
          <w:szCs w:val="24"/>
          <w:lang w:val="en-US" w:eastAsia="en-US"/>
        </w:rPr>
        <w:t xml:space="preserve">, M. (2018). Customer experience challenges: bringing together digital, physical and social realms. </w:t>
      </w:r>
      <w:r w:rsidRPr="009C28AD">
        <w:rPr>
          <w:rFonts w:eastAsia="Times New Roman"/>
          <w:i/>
          <w:iCs/>
          <w:color w:val="auto"/>
          <w:szCs w:val="24"/>
          <w:lang w:val="en-US" w:eastAsia="en-US"/>
        </w:rPr>
        <w:t>Journal of Service Management</w:t>
      </w:r>
      <w:r w:rsidRPr="009C28AD">
        <w:rPr>
          <w:rFonts w:eastAsia="Times New Roman"/>
          <w:color w:val="auto"/>
          <w:szCs w:val="24"/>
          <w:lang w:val="en-US" w:eastAsia="en-US"/>
        </w:rPr>
        <w:t xml:space="preserve">, [online] 29(5), pp.776–808. </w:t>
      </w:r>
      <w:proofErr w:type="spellStart"/>
      <w:r w:rsidRPr="009C28AD">
        <w:rPr>
          <w:rFonts w:eastAsia="Times New Roman"/>
          <w:color w:val="auto"/>
          <w:szCs w:val="24"/>
          <w:lang w:val="en-US" w:eastAsia="en-US"/>
        </w:rPr>
        <w:t>doi</w:t>
      </w:r>
      <w:proofErr w:type="spellEnd"/>
      <w:r w:rsidRPr="009C28AD">
        <w:rPr>
          <w:rFonts w:eastAsia="Times New Roman"/>
          <w:color w:val="auto"/>
          <w:szCs w:val="24"/>
          <w:lang w:val="en-US" w:eastAsia="en-US"/>
        </w:rPr>
        <w:t>:</w:t>
      </w:r>
      <w:r>
        <w:rPr>
          <w:rFonts w:eastAsia="Times New Roman"/>
          <w:color w:val="auto"/>
          <w:szCs w:val="24"/>
          <w:lang w:val="en-US" w:eastAsia="en-US"/>
        </w:rPr>
        <w:t xml:space="preserve"> </w:t>
      </w:r>
      <w:hyperlink r:id="rId8" w:history="1">
        <w:r w:rsidRPr="00BF55A1">
          <w:rPr>
            <w:rStyle w:val="Hyperlink"/>
            <w:rFonts w:eastAsia="Times New Roman"/>
            <w:szCs w:val="24"/>
            <w:lang w:val="en-US" w:eastAsia="en-US"/>
          </w:rPr>
          <w:t>https://doi.org/10.1108/JOSM-04-2018-0113</w:t>
        </w:r>
      </w:hyperlink>
      <w:r w:rsidRPr="009C28AD">
        <w:rPr>
          <w:rFonts w:eastAsia="Times New Roman"/>
          <w:color w:val="auto"/>
          <w:szCs w:val="24"/>
          <w:lang w:val="en-US" w:eastAsia="en-US"/>
        </w:rPr>
        <w:t>.</w:t>
      </w:r>
      <w:r>
        <w:rPr>
          <w:rFonts w:eastAsia="Times New Roman"/>
          <w:color w:val="auto"/>
          <w:szCs w:val="24"/>
          <w:lang w:val="en-US" w:eastAsia="en-US"/>
        </w:rPr>
        <w:t xml:space="preserve"> </w:t>
      </w:r>
    </w:p>
    <w:p w14:paraId="4131118B" w14:textId="77777777" w:rsidR="009C28AD" w:rsidRPr="009C28AD" w:rsidRDefault="009C28AD" w:rsidP="009C28AD">
      <w:pPr>
        <w:numPr>
          <w:ilvl w:val="0"/>
          <w:numId w:val="1"/>
        </w:numPr>
        <w:suppressAutoHyphens w:val="0"/>
        <w:spacing w:after="240" w:line="240" w:lineRule="auto"/>
        <w:ind w:left="720" w:hanging="720"/>
        <w:rPr>
          <w:rFonts w:eastAsia="Times New Roman"/>
          <w:color w:val="auto"/>
          <w:szCs w:val="24"/>
          <w:lang w:val="en-US" w:eastAsia="en-US"/>
        </w:rPr>
      </w:pPr>
      <w:r w:rsidRPr="009C28AD">
        <w:rPr>
          <w:rFonts w:eastAsia="Times New Roman"/>
          <w:color w:val="auto"/>
          <w:szCs w:val="24"/>
          <w:lang w:val="en-US" w:eastAsia="en-US"/>
        </w:rPr>
        <w:t xml:space="preserve">Eisenberg, J., Post, C. and </w:t>
      </w:r>
      <w:proofErr w:type="spellStart"/>
      <w:r w:rsidRPr="009C28AD">
        <w:rPr>
          <w:rFonts w:eastAsia="Times New Roman"/>
          <w:color w:val="auto"/>
          <w:szCs w:val="24"/>
          <w:lang w:val="en-US" w:eastAsia="en-US"/>
        </w:rPr>
        <w:t>DiTomaso</w:t>
      </w:r>
      <w:proofErr w:type="spellEnd"/>
      <w:r w:rsidRPr="009C28AD">
        <w:rPr>
          <w:rFonts w:eastAsia="Times New Roman"/>
          <w:color w:val="auto"/>
          <w:szCs w:val="24"/>
          <w:lang w:val="en-US" w:eastAsia="en-US"/>
        </w:rPr>
        <w:t xml:space="preserve">, N. (2019). Team Dispersion and Performance: the Role of Team Communication and Transformational Leadership. </w:t>
      </w:r>
      <w:r w:rsidRPr="009C28AD">
        <w:rPr>
          <w:rFonts w:eastAsia="Times New Roman"/>
          <w:i/>
          <w:iCs/>
          <w:color w:val="auto"/>
          <w:szCs w:val="24"/>
          <w:lang w:val="en-US" w:eastAsia="en-US"/>
        </w:rPr>
        <w:t>Small Group Research</w:t>
      </w:r>
      <w:r w:rsidRPr="009C28AD">
        <w:rPr>
          <w:rFonts w:eastAsia="Times New Roman"/>
          <w:color w:val="auto"/>
          <w:szCs w:val="24"/>
          <w:lang w:val="en-US" w:eastAsia="en-US"/>
        </w:rPr>
        <w:t xml:space="preserve">, [online] 50(3). </w:t>
      </w:r>
      <w:proofErr w:type="spellStart"/>
      <w:r w:rsidRPr="009C28AD">
        <w:rPr>
          <w:rFonts w:eastAsia="Times New Roman"/>
          <w:color w:val="auto"/>
          <w:szCs w:val="24"/>
          <w:lang w:val="en-US" w:eastAsia="en-US"/>
        </w:rPr>
        <w:t>doi</w:t>
      </w:r>
      <w:proofErr w:type="spellEnd"/>
      <w:r w:rsidRPr="009C28AD">
        <w:rPr>
          <w:rFonts w:eastAsia="Times New Roman"/>
          <w:color w:val="auto"/>
          <w:szCs w:val="24"/>
          <w:lang w:val="en-US" w:eastAsia="en-US"/>
        </w:rPr>
        <w:t>:</w:t>
      </w:r>
      <w:r>
        <w:rPr>
          <w:rFonts w:eastAsia="Times New Roman"/>
          <w:color w:val="auto"/>
          <w:szCs w:val="24"/>
          <w:lang w:val="en-US" w:eastAsia="en-US"/>
        </w:rPr>
        <w:t xml:space="preserve"> </w:t>
      </w:r>
      <w:hyperlink r:id="rId9" w:history="1">
        <w:r w:rsidRPr="00BF55A1">
          <w:rPr>
            <w:rStyle w:val="Hyperlink"/>
            <w:rFonts w:eastAsia="Times New Roman"/>
            <w:szCs w:val="24"/>
            <w:lang w:val="en-US" w:eastAsia="en-US"/>
          </w:rPr>
          <w:t>https://doi.org/10.1177/1046496419827376</w:t>
        </w:r>
      </w:hyperlink>
      <w:r w:rsidRPr="009C28AD">
        <w:rPr>
          <w:rFonts w:eastAsia="Times New Roman"/>
          <w:color w:val="auto"/>
          <w:szCs w:val="24"/>
          <w:lang w:val="en-US" w:eastAsia="en-US"/>
        </w:rPr>
        <w:t>.</w:t>
      </w:r>
      <w:r>
        <w:rPr>
          <w:rFonts w:eastAsia="Times New Roman"/>
          <w:color w:val="auto"/>
          <w:szCs w:val="24"/>
          <w:lang w:val="en-US" w:eastAsia="en-US"/>
        </w:rPr>
        <w:t xml:space="preserve"> </w:t>
      </w:r>
    </w:p>
    <w:p w14:paraId="127ACA2E" w14:textId="77777777" w:rsidR="009C28AD" w:rsidRPr="009C28AD" w:rsidRDefault="009C28AD" w:rsidP="009C28AD">
      <w:pPr>
        <w:numPr>
          <w:ilvl w:val="0"/>
          <w:numId w:val="1"/>
        </w:numPr>
        <w:suppressAutoHyphens w:val="0"/>
        <w:spacing w:after="240" w:line="240" w:lineRule="auto"/>
        <w:ind w:left="720" w:hanging="720"/>
        <w:rPr>
          <w:rFonts w:eastAsia="Times New Roman"/>
          <w:color w:val="auto"/>
          <w:szCs w:val="24"/>
          <w:lang w:val="en-US" w:eastAsia="en-US"/>
        </w:rPr>
      </w:pPr>
      <w:proofErr w:type="spellStart"/>
      <w:r w:rsidRPr="009C28AD">
        <w:rPr>
          <w:rFonts w:eastAsia="Times New Roman"/>
          <w:color w:val="auto"/>
          <w:szCs w:val="24"/>
          <w:lang w:val="en-US" w:eastAsia="en-US"/>
        </w:rPr>
        <w:t>Favaretto</w:t>
      </w:r>
      <w:proofErr w:type="spellEnd"/>
      <w:r w:rsidRPr="009C28AD">
        <w:rPr>
          <w:rFonts w:eastAsia="Times New Roman"/>
          <w:color w:val="auto"/>
          <w:szCs w:val="24"/>
          <w:lang w:val="en-US" w:eastAsia="en-US"/>
        </w:rPr>
        <w:t xml:space="preserve">, R.M., Musse, S.R. and Costa, A.B. (2019). Detecting Hofstede Cultural Dimensions. </w:t>
      </w:r>
      <w:r w:rsidRPr="009C28AD">
        <w:rPr>
          <w:rFonts w:eastAsia="Times New Roman"/>
          <w:i/>
          <w:iCs/>
          <w:color w:val="auto"/>
          <w:szCs w:val="24"/>
          <w:lang w:val="en-US" w:eastAsia="en-US"/>
        </w:rPr>
        <w:t>Emotion, Personality and Cultural Aspects in Crowds</w:t>
      </w:r>
      <w:r w:rsidRPr="009C28AD">
        <w:rPr>
          <w:rFonts w:eastAsia="Times New Roman"/>
          <w:color w:val="auto"/>
          <w:szCs w:val="24"/>
          <w:lang w:val="en-US" w:eastAsia="en-US"/>
        </w:rPr>
        <w:t xml:space="preserve">, pp.93–103. </w:t>
      </w:r>
      <w:proofErr w:type="spellStart"/>
      <w:r w:rsidRPr="009C28AD">
        <w:rPr>
          <w:rFonts w:eastAsia="Times New Roman"/>
          <w:color w:val="auto"/>
          <w:szCs w:val="24"/>
          <w:lang w:val="en-US" w:eastAsia="en-US"/>
        </w:rPr>
        <w:t>doi</w:t>
      </w:r>
      <w:proofErr w:type="spellEnd"/>
      <w:r w:rsidRPr="009C28AD">
        <w:rPr>
          <w:rFonts w:eastAsia="Times New Roman"/>
          <w:color w:val="auto"/>
          <w:szCs w:val="24"/>
          <w:lang w:val="en-US" w:eastAsia="en-US"/>
        </w:rPr>
        <w:t>:</w:t>
      </w:r>
      <w:r>
        <w:rPr>
          <w:rFonts w:eastAsia="Times New Roman"/>
          <w:color w:val="auto"/>
          <w:szCs w:val="24"/>
          <w:lang w:val="en-US" w:eastAsia="en-US"/>
        </w:rPr>
        <w:t xml:space="preserve"> </w:t>
      </w:r>
      <w:hyperlink r:id="rId10" w:history="1">
        <w:r w:rsidRPr="00BF55A1">
          <w:rPr>
            <w:rStyle w:val="Hyperlink"/>
            <w:rFonts w:eastAsia="Times New Roman"/>
            <w:szCs w:val="24"/>
            <w:lang w:val="en-US" w:eastAsia="en-US"/>
          </w:rPr>
          <w:t>https://doi.org/10.1007/978-3-030-22078-5_8</w:t>
        </w:r>
      </w:hyperlink>
      <w:r w:rsidRPr="009C28AD">
        <w:rPr>
          <w:rFonts w:eastAsia="Times New Roman"/>
          <w:color w:val="auto"/>
          <w:szCs w:val="24"/>
          <w:lang w:val="en-US" w:eastAsia="en-US"/>
        </w:rPr>
        <w:t>.</w:t>
      </w:r>
      <w:r>
        <w:rPr>
          <w:rFonts w:eastAsia="Times New Roman"/>
          <w:color w:val="auto"/>
          <w:szCs w:val="24"/>
          <w:lang w:val="en-US" w:eastAsia="en-US"/>
        </w:rPr>
        <w:t xml:space="preserve"> </w:t>
      </w:r>
    </w:p>
    <w:p w14:paraId="0BAB0188" w14:textId="77777777" w:rsidR="009C28AD" w:rsidRPr="009C28AD" w:rsidRDefault="009C28AD" w:rsidP="009C28AD">
      <w:pPr>
        <w:numPr>
          <w:ilvl w:val="0"/>
          <w:numId w:val="1"/>
        </w:numPr>
        <w:suppressAutoHyphens w:val="0"/>
        <w:spacing w:after="240" w:line="240" w:lineRule="auto"/>
        <w:ind w:left="720" w:hanging="720"/>
        <w:rPr>
          <w:rFonts w:eastAsia="Times New Roman"/>
          <w:color w:val="auto"/>
          <w:szCs w:val="24"/>
          <w:lang w:val="en-US" w:eastAsia="en-US"/>
        </w:rPr>
      </w:pPr>
      <w:r w:rsidRPr="009C28AD">
        <w:rPr>
          <w:rFonts w:eastAsia="Times New Roman"/>
          <w:color w:val="auto"/>
          <w:szCs w:val="24"/>
          <w:lang w:val="en-US" w:eastAsia="en-US"/>
        </w:rPr>
        <w:t xml:space="preserve">Horan, K.A., </w:t>
      </w:r>
      <w:proofErr w:type="spellStart"/>
      <w:r w:rsidRPr="009C28AD">
        <w:rPr>
          <w:rFonts w:eastAsia="Times New Roman"/>
          <w:color w:val="auto"/>
          <w:szCs w:val="24"/>
          <w:lang w:val="en-US" w:eastAsia="en-US"/>
        </w:rPr>
        <w:t>Nakahara</w:t>
      </w:r>
      <w:proofErr w:type="spellEnd"/>
      <w:r w:rsidRPr="009C28AD">
        <w:rPr>
          <w:rFonts w:eastAsia="Times New Roman"/>
          <w:color w:val="auto"/>
          <w:szCs w:val="24"/>
          <w:lang w:val="en-US" w:eastAsia="en-US"/>
        </w:rPr>
        <w:t xml:space="preserve">, W.H., </w:t>
      </w:r>
      <w:proofErr w:type="spellStart"/>
      <w:r w:rsidRPr="009C28AD">
        <w:rPr>
          <w:rFonts w:eastAsia="Times New Roman"/>
          <w:color w:val="auto"/>
          <w:szCs w:val="24"/>
          <w:lang w:val="en-US" w:eastAsia="en-US"/>
        </w:rPr>
        <w:t>DiStaso</w:t>
      </w:r>
      <w:proofErr w:type="spellEnd"/>
      <w:r w:rsidRPr="009C28AD">
        <w:rPr>
          <w:rFonts w:eastAsia="Times New Roman"/>
          <w:color w:val="auto"/>
          <w:szCs w:val="24"/>
          <w:lang w:val="en-US" w:eastAsia="en-US"/>
        </w:rPr>
        <w:t xml:space="preserve">, M.J. and </w:t>
      </w:r>
      <w:proofErr w:type="spellStart"/>
      <w:r w:rsidRPr="009C28AD">
        <w:rPr>
          <w:rFonts w:eastAsia="Times New Roman"/>
          <w:color w:val="auto"/>
          <w:szCs w:val="24"/>
          <w:lang w:val="en-US" w:eastAsia="en-US"/>
        </w:rPr>
        <w:t>Jex</w:t>
      </w:r>
      <w:proofErr w:type="spellEnd"/>
      <w:r w:rsidRPr="009C28AD">
        <w:rPr>
          <w:rFonts w:eastAsia="Times New Roman"/>
          <w:color w:val="auto"/>
          <w:szCs w:val="24"/>
          <w:lang w:val="en-US" w:eastAsia="en-US"/>
        </w:rPr>
        <w:t xml:space="preserve">, S.M. (2020). A Review of the Challenge-Hindrance Stress Model: Recent Advances, Expanded Paradigms, and Recommendations for Future Research. </w:t>
      </w:r>
      <w:r w:rsidRPr="009C28AD">
        <w:rPr>
          <w:rFonts w:eastAsia="Times New Roman"/>
          <w:i/>
          <w:iCs/>
          <w:color w:val="auto"/>
          <w:szCs w:val="24"/>
          <w:lang w:val="en-US" w:eastAsia="en-US"/>
        </w:rPr>
        <w:t>Frontiers in Psychology</w:t>
      </w:r>
      <w:r w:rsidRPr="009C28AD">
        <w:rPr>
          <w:rFonts w:eastAsia="Times New Roman"/>
          <w:color w:val="auto"/>
          <w:szCs w:val="24"/>
          <w:lang w:val="en-US" w:eastAsia="en-US"/>
        </w:rPr>
        <w:t xml:space="preserve">, 11(11). </w:t>
      </w:r>
      <w:proofErr w:type="spellStart"/>
      <w:r w:rsidRPr="009C28AD">
        <w:rPr>
          <w:rFonts w:eastAsia="Times New Roman"/>
          <w:color w:val="auto"/>
          <w:szCs w:val="24"/>
          <w:lang w:val="en-US" w:eastAsia="en-US"/>
        </w:rPr>
        <w:t>doi</w:t>
      </w:r>
      <w:proofErr w:type="spellEnd"/>
      <w:r w:rsidRPr="009C28AD">
        <w:rPr>
          <w:rFonts w:eastAsia="Times New Roman"/>
          <w:color w:val="auto"/>
          <w:szCs w:val="24"/>
          <w:lang w:val="en-US" w:eastAsia="en-US"/>
        </w:rPr>
        <w:t>:</w:t>
      </w:r>
      <w:r>
        <w:rPr>
          <w:rFonts w:eastAsia="Times New Roman"/>
          <w:color w:val="auto"/>
          <w:szCs w:val="24"/>
          <w:lang w:val="en-US" w:eastAsia="en-US"/>
        </w:rPr>
        <w:t xml:space="preserve"> </w:t>
      </w:r>
      <w:hyperlink r:id="rId11" w:history="1">
        <w:r w:rsidRPr="00BF55A1">
          <w:rPr>
            <w:rStyle w:val="Hyperlink"/>
            <w:rFonts w:eastAsia="Times New Roman"/>
            <w:szCs w:val="24"/>
            <w:lang w:val="en-US" w:eastAsia="en-US"/>
          </w:rPr>
          <w:t>https://doi.org/10.3389/fpsyg.2020.560346</w:t>
        </w:r>
      </w:hyperlink>
      <w:r w:rsidRPr="009C28AD">
        <w:rPr>
          <w:rFonts w:eastAsia="Times New Roman"/>
          <w:color w:val="auto"/>
          <w:szCs w:val="24"/>
          <w:lang w:val="en-US" w:eastAsia="en-US"/>
        </w:rPr>
        <w:t>.</w:t>
      </w:r>
      <w:r>
        <w:rPr>
          <w:rFonts w:eastAsia="Times New Roman"/>
          <w:color w:val="auto"/>
          <w:szCs w:val="24"/>
          <w:lang w:val="en-US" w:eastAsia="en-US"/>
        </w:rPr>
        <w:t xml:space="preserve"> </w:t>
      </w:r>
    </w:p>
    <w:p w14:paraId="3A668870" w14:textId="77777777" w:rsidR="009C28AD" w:rsidRPr="009C28AD" w:rsidRDefault="009C28AD" w:rsidP="009C28AD">
      <w:pPr>
        <w:numPr>
          <w:ilvl w:val="0"/>
          <w:numId w:val="1"/>
        </w:numPr>
        <w:suppressAutoHyphens w:val="0"/>
        <w:spacing w:after="240" w:line="240" w:lineRule="auto"/>
        <w:ind w:left="720" w:hanging="720"/>
        <w:rPr>
          <w:rFonts w:eastAsia="Times New Roman"/>
          <w:color w:val="auto"/>
          <w:szCs w:val="24"/>
          <w:lang w:val="en-US" w:eastAsia="en-US"/>
        </w:rPr>
      </w:pPr>
      <w:r w:rsidRPr="009C28AD">
        <w:rPr>
          <w:rFonts w:eastAsia="Times New Roman"/>
          <w:color w:val="auto"/>
          <w:szCs w:val="24"/>
          <w:lang w:val="en-US" w:eastAsia="en-US"/>
        </w:rPr>
        <w:t xml:space="preserve">Martínez-Caro, E., </w:t>
      </w:r>
      <w:proofErr w:type="spellStart"/>
      <w:r w:rsidRPr="009C28AD">
        <w:rPr>
          <w:rFonts w:eastAsia="Times New Roman"/>
          <w:color w:val="auto"/>
          <w:szCs w:val="24"/>
          <w:lang w:val="en-US" w:eastAsia="en-US"/>
        </w:rPr>
        <w:t>Cegarra-Navarro</w:t>
      </w:r>
      <w:proofErr w:type="spellEnd"/>
      <w:r w:rsidRPr="009C28AD">
        <w:rPr>
          <w:rFonts w:eastAsia="Times New Roman"/>
          <w:color w:val="auto"/>
          <w:szCs w:val="24"/>
          <w:lang w:val="en-US" w:eastAsia="en-US"/>
        </w:rPr>
        <w:t xml:space="preserve">, J.G. and Alfonso-Ruiz, F.J. (2020). Digital Technologies and Firm performance: the Role of Digital Organisational Culture. </w:t>
      </w:r>
      <w:r w:rsidRPr="009C28AD">
        <w:rPr>
          <w:rFonts w:eastAsia="Times New Roman"/>
          <w:i/>
          <w:iCs/>
          <w:color w:val="auto"/>
          <w:szCs w:val="24"/>
          <w:lang w:val="en-US" w:eastAsia="en-US"/>
        </w:rPr>
        <w:t>Technological Forecasting and Social Change</w:t>
      </w:r>
      <w:r w:rsidRPr="009C28AD">
        <w:rPr>
          <w:rFonts w:eastAsia="Times New Roman"/>
          <w:color w:val="auto"/>
          <w:szCs w:val="24"/>
          <w:lang w:val="en-US" w:eastAsia="en-US"/>
        </w:rPr>
        <w:t>, 154(154), p.119962.</w:t>
      </w:r>
    </w:p>
    <w:p w14:paraId="0A8CF5DA" w14:textId="77777777" w:rsidR="009C28AD" w:rsidRPr="009C28AD" w:rsidRDefault="009C28AD" w:rsidP="009C28AD">
      <w:pPr>
        <w:numPr>
          <w:ilvl w:val="0"/>
          <w:numId w:val="1"/>
        </w:numPr>
        <w:suppressAutoHyphens w:val="0"/>
        <w:spacing w:after="240" w:line="240" w:lineRule="auto"/>
        <w:ind w:left="720" w:hanging="720"/>
        <w:rPr>
          <w:rFonts w:eastAsia="Times New Roman"/>
          <w:color w:val="auto"/>
          <w:szCs w:val="24"/>
          <w:lang w:val="en-US" w:eastAsia="en-US"/>
        </w:rPr>
      </w:pPr>
      <w:r w:rsidRPr="009C28AD">
        <w:rPr>
          <w:rFonts w:eastAsia="Times New Roman"/>
          <w:color w:val="auto"/>
          <w:szCs w:val="24"/>
          <w:lang w:val="en-US" w:eastAsia="en-US"/>
        </w:rPr>
        <w:t xml:space="preserve">Nene, S.W. and Pillay, A.S. (2019). An Investigation of the Impact of Organisational Structure on Organisational Performance. </w:t>
      </w:r>
      <w:r w:rsidRPr="009C28AD">
        <w:rPr>
          <w:rFonts w:eastAsia="Times New Roman"/>
          <w:i/>
          <w:iCs/>
          <w:color w:val="auto"/>
          <w:szCs w:val="24"/>
          <w:lang w:val="en-US" w:eastAsia="en-US"/>
        </w:rPr>
        <w:t>Financial Risk and Management Reviews</w:t>
      </w:r>
      <w:r w:rsidRPr="009C28AD">
        <w:rPr>
          <w:rFonts w:eastAsia="Times New Roman"/>
          <w:color w:val="auto"/>
          <w:szCs w:val="24"/>
          <w:lang w:val="en-US" w:eastAsia="en-US"/>
        </w:rPr>
        <w:t xml:space="preserve">, [online] 5(1). </w:t>
      </w:r>
      <w:proofErr w:type="spellStart"/>
      <w:r w:rsidRPr="009C28AD">
        <w:rPr>
          <w:rFonts w:eastAsia="Times New Roman"/>
          <w:color w:val="auto"/>
          <w:szCs w:val="24"/>
          <w:lang w:val="en-US" w:eastAsia="en-US"/>
        </w:rPr>
        <w:t>doi</w:t>
      </w:r>
      <w:proofErr w:type="spellEnd"/>
      <w:r w:rsidRPr="009C28AD">
        <w:rPr>
          <w:rFonts w:eastAsia="Times New Roman"/>
          <w:color w:val="auto"/>
          <w:szCs w:val="24"/>
          <w:lang w:val="en-US" w:eastAsia="en-US"/>
        </w:rPr>
        <w:t>:</w:t>
      </w:r>
      <w:r>
        <w:rPr>
          <w:rFonts w:eastAsia="Times New Roman"/>
          <w:color w:val="auto"/>
          <w:szCs w:val="24"/>
          <w:lang w:val="en-US" w:eastAsia="en-US"/>
        </w:rPr>
        <w:t xml:space="preserve"> </w:t>
      </w:r>
      <w:hyperlink r:id="rId12" w:history="1">
        <w:r w:rsidRPr="00BF55A1">
          <w:rPr>
            <w:rStyle w:val="Hyperlink"/>
            <w:rFonts w:eastAsia="Times New Roman"/>
            <w:szCs w:val="24"/>
            <w:lang w:val="en-US" w:eastAsia="en-US"/>
          </w:rPr>
          <w:t>https://doi.org/10.18488/journal.89.2019.51.10.24</w:t>
        </w:r>
      </w:hyperlink>
      <w:r w:rsidRPr="009C28AD">
        <w:rPr>
          <w:rFonts w:eastAsia="Times New Roman"/>
          <w:color w:val="auto"/>
          <w:szCs w:val="24"/>
          <w:lang w:val="en-US" w:eastAsia="en-US"/>
        </w:rPr>
        <w:t>.</w:t>
      </w:r>
      <w:r>
        <w:rPr>
          <w:rFonts w:eastAsia="Times New Roman"/>
          <w:color w:val="auto"/>
          <w:szCs w:val="24"/>
          <w:lang w:val="en-US" w:eastAsia="en-US"/>
        </w:rPr>
        <w:t xml:space="preserve"> </w:t>
      </w:r>
    </w:p>
    <w:p w14:paraId="5CC05268" w14:textId="77777777" w:rsidR="009C28AD" w:rsidRPr="009C28AD" w:rsidRDefault="009C28AD" w:rsidP="009C28AD">
      <w:pPr>
        <w:numPr>
          <w:ilvl w:val="0"/>
          <w:numId w:val="1"/>
        </w:numPr>
        <w:suppressAutoHyphens w:val="0"/>
        <w:spacing w:after="240" w:line="240" w:lineRule="auto"/>
        <w:ind w:left="720" w:hanging="720"/>
        <w:rPr>
          <w:rFonts w:eastAsia="Times New Roman"/>
          <w:color w:val="auto"/>
          <w:szCs w:val="24"/>
          <w:lang w:val="en-US" w:eastAsia="en-US"/>
        </w:rPr>
      </w:pPr>
      <w:r w:rsidRPr="009C28AD">
        <w:rPr>
          <w:rFonts w:eastAsia="Times New Roman"/>
          <w:color w:val="auto"/>
          <w:szCs w:val="24"/>
          <w:lang w:val="en-US" w:eastAsia="en-US"/>
        </w:rPr>
        <w:t xml:space="preserve">Williams, P. (2022). </w:t>
      </w:r>
      <w:r w:rsidRPr="009C28AD">
        <w:rPr>
          <w:rFonts w:eastAsia="Times New Roman"/>
          <w:i/>
          <w:iCs/>
          <w:color w:val="auto"/>
          <w:szCs w:val="24"/>
          <w:lang w:val="en-US" w:eastAsia="en-US"/>
        </w:rPr>
        <w:t>Organisational culture: definitions, distinctions and functions</w:t>
      </w:r>
      <w:r w:rsidRPr="009C28AD">
        <w:rPr>
          <w:rFonts w:eastAsia="Times New Roman"/>
          <w:color w:val="auto"/>
          <w:szCs w:val="24"/>
          <w:lang w:val="en-US" w:eastAsia="en-US"/>
        </w:rPr>
        <w:t xml:space="preserve">. [online] www.elgaronline.com. Available at: </w:t>
      </w:r>
      <w:hyperlink r:id="rId13" w:history="1">
        <w:r w:rsidRPr="00BF55A1">
          <w:rPr>
            <w:rStyle w:val="Hyperlink"/>
            <w:rFonts w:eastAsia="Times New Roman"/>
            <w:szCs w:val="24"/>
            <w:lang w:val="en-US" w:eastAsia="en-US"/>
          </w:rPr>
          <w:t>https://www.elgaronline.com/edcollchap/edcoll/9781788976251/9781788976251.00008.xml</w:t>
        </w:r>
      </w:hyperlink>
      <w:r>
        <w:rPr>
          <w:rFonts w:eastAsia="Times New Roman"/>
          <w:color w:val="auto"/>
          <w:szCs w:val="24"/>
          <w:lang w:val="en-US" w:eastAsia="en-US"/>
        </w:rPr>
        <w:t xml:space="preserve"> </w:t>
      </w:r>
      <w:r w:rsidRPr="009C28AD">
        <w:rPr>
          <w:rFonts w:eastAsia="Times New Roman"/>
          <w:color w:val="auto"/>
          <w:szCs w:val="24"/>
          <w:lang w:val="en-US" w:eastAsia="en-US"/>
        </w:rPr>
        <w:t>.</w:t>
      </w:r>
    </w:p>
    <w:p w14:paraId="5926520C" w14:textId="77777777" w:rsidR="008A185F" w:rsidRDefault="008A185F" w:rsidP="009C28AD">
      <w:pPr>
        <w:ind w:left="720" w:hanging="720"/>
        <w:rPr>
          <w:color w:val="auto"/>
          <w:szCs w:val="24"/>
          <w:shd w:val="clear" w:color="auto" w:fill="FFFFFF"/>
        </w:rPr>
      </w:pPr>
    </w:p>
    <w:p w14:paraId="2E267046" w14:textId="77777777" w:rsidR="008A185F" w:rsidRDefault="008A185F" w:rsidP="009C28AD"/>
    <w:p w14:paraId="13AE0613" w14:textId="77777777" w:rsidR="008A185F" w:rsidRDefault="008A185F" w:rsidP="009C28AD">
      <w:pPr>
        <w:ind w:left="720" w:hanging="720"/>
        <w:rPr>
          <w:color w:val="auto"/>
          <w:szCs w:val="24"/>
          <w:shd w:val="clear" w:color="auto" w:fill="FFFFFF"/>
        </w:rPr>
      </w:pPr>
      <w:r>
        <w:rPr>
          <w:color w:val="auto"/>
          <w:szCs w:val="24"/>
          <w:shd w:val="clear" w:color="auto" w:fill="FFFFFF"/>
        </w:rPr>
        <w:tab/>
      </w:r>
    </w:p>
    <w:p w14:paraId="162BB5CF" w14:textId="77777777" w:rsidR="008A185F" w:rsidRDefault="008A185F" w:rsidP="009C28AD">
      <w:pPr>
        <w:ind w:left="720" w:hanging="720"/>
        <w:rPr>
          <w:color w:val="auto"/>
          <w:szCs w:val="24"/>
          <w:shd w:val="clear" w:color="auto" w:fill="FFFFFF"/>
        </w:rPr>
      </w:pPr>
    </w:p>
    <w:p w14:paraId="25EA94CD" w14:textId="77777777" w:rsidR="008A185F" w:rsidRDefault="008A185F" w:rsidP="009C28AD">
      <w:pPr>
        <w:ind w:left="720" w:hanging="720"/>
        <w:rPr>
          <w:lang w:val="en-IN"/>
        </w:rPr>
      </w:pPr>
    </w:p>
    <w:p w14:paraId="335B44B4" w14:textId="77777777" w:rsidR="008A185F" w:rsidRDefault="008A185F" w:rsidP="009C28AD">
      <w:pPr>
        <w:ind w:left="720" w:hanging="720"/>
      </w:pPr>
    </w:p>
    <w:p w14:paraId="4F678B20" w14:textId="77777777" w:rsidR="008A185F" w:rsidRDefault="008A185F" w:rsidP="009C28AD">
      <w:pPr>
        <w:rPr>
          <w:lang w:val="en-IN"/>
        </w:rPr>
      </w:pPr>
    </w:p>
    <w:p w14:paraId="52512D61" w14:textId="77777777" w:rsidR="008A185F" w:rsidRDefault="008A185F" w:rsidP="009C28AD"/>
    <w:p w14:paraId="0F46CB84" w14:textId="77777777" w:rsidR="008A185F" w:rsidRDefault="008A185F" w:rsidP="009C28AD"/>
    <w:p w14:paraId="29FA424C" w14:textId="77777777" w:rsidR="008A185F" w:rsidRDefault="008A185F" w:rsidP="009C28AD">
      <w:pPr>
        <w:rPr>
          <w:lang w:val="en-IN"/>
        </w:rPr>
      </w:pPr>
    </w:p>
    <w:p w14:paraId="00CE320F" w14:textId="77777777" w:rsidR="008A185F" w:rsidRDefault="008A185F" w:rsidP="009C28AD"/>
    <w:p w14:paraId="016311C4" w14:textId="77777777" w:rsidR="008A185F" w:rsidRDefault="008A185F" w:rsidP="009C28AD">
      <w:pPr>
        <w:rPr>
          <w:b/>
          <w:bCs/>
        </w:rPr>
      </w:pPr>
    </w:p>
    <w:p w14:paraId="50AD350A" w14:textId="77777777" w:rsidR="008A185F" w:rsidRDefault="008A185F" w:rsidP="009C28AD">
      <w:pPr>
        <w:ind w:left="720" w:hanging="720"/>
        <w:rPr>
          <w:color w:val="auto"/>
          <w:szCs w:val="24"/>
          <w:shd w:val="clear" w:color="auto" w:fill="FFFFFF"/>
        </w:rPr>
      </w:pPr>
    </w:p>
    <w:p w14:paraId="1FD8A5C0" w14:textId="77777777" w:rsidR="008A185F" w:rsidRDefault="008A185F" w:rsidP="009C28AD">
      <w:pPr>
        <w:ind w:left="720" w:hanging="720"/>
        <w:rPr>
          <w:color w:val="auto"/>
          <w:szCs w:val="24"/>
          <w:shd w:val="clear" w:color="auto" w:fill="FFFFFF"/>
        </w:rPr>
      </w:pPr>
    </w:p>
    <w:p w14:paraId="555B6B33" w14:textId="77777777" w:rsidR="008A185F" w:rsidRDefault="008A185F" w:rsidP="009C28AD"/>
    <w:p w14:paraId="2F2C6310" w14:textId="77777777" w:rsidR="008A185F" w:rsidRDefault="008A185F" w:rsidP="009C28AD"/>
    <w:sectPr w:rsidR="008A185F">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7B655B" w14:textId="77777777" w:rsidR="00584092" w:rsidRDefault="00584092" w:rsidP="00437807">
      <w:pPr>
        <w:spacing w:line="240" w:lineRule="auto"/>
      </w:pPr>
      <w:r>
        <w:separator/>
      </w:r>
    </w:p>
  </w:endnote>
  <w:endnote w:type="continuationSeparator" w:id="0">
    <w:p w14:paraId="191EA374" w14:textId="77777777" w:rsidR="00584092" w:rsidRDefault="00584092" w:rsidP="004378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Droid Sans">
    <w:altName w:val="Times New Roman"/>
    <w:panose1 w:val="020B0604020202020204"/>
    <w:charset w:val="00"/>
    <w:family w:val="auto"/>
    <w:pitch w:val="default"/>
  </w:font>
  <w:font w:name="OpenSymbol">
    <w:altName w:val="Segoe Print"/>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Yu Gothic"/>
    <w:panose1 w:val="020B0604020202020204"/>
    <w:charset w:val="80"/>
    <w:family w:val="roman"/>
    <w:pitch w:val="default"/>
  </w:font>
  <w:font w:name="DejaVu Sans Mono">
    <w:panose1 w:val="020B0604020202020204"/>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0812C" w14:textId="77777777" w:rsidR="008A1CC9" w:rsidRDefault="008A1C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C4DD07" w14:textId="77777777" w:rsidR="00437807" w:rsidRDefault="00437807">
    <w:pPr>
      <w:pStyle w:val="Footer"/>
      <w:jc w:val="center"/>
    </w:pPr>
    <w:r>
      <w:fldChar w:fldCharType="begin"/>
    </w:r>
    <w:r>
      <w:instrText xml:space="preserve"> PAGE   \* MERGEFORMAT </w:instrText>
    </w:r>
    <w:r>
      <w:fldChar w:fldCharType="separate"/>
    </w:r>
    <w:r w:rsidR="00F5362B">
      <w:rPr>
        <w:noProof/>
      </w:rPr>
      <w:t>4</w:t>
    </w:r>
    <w:r>
      <w:rPr>
        <w:noProof/>
      </w:rPr>
      <w:fldChar w:fldCharType="end"/>
    </w:r>
  </w:p>
  <w:p w14:paraId="42603FCB" w14:textId="77777777" w:rsidR="00437807" w:rsidRDefault="004378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C3B504" w14:textId="77777777" w:rsidR="008A1CC9" w:rsidRDefault="008A1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72570F" w14:textId="77777777" w:rsidR="00584092" w:rsidRDefault="00584092" w:rsidP="00437807">
      <w:pPr>
        <w:spacing w:line="240" w:lineRule="auto"/>
      </w:pPr>
      <w:r>
        <w:separator/>
      </w:r>
    </w:p>
  </w:footnote>
  <w:footnote w:type="continuationSeparator" w:id="0">
    <w:p w14:paraId="3F30EB30" w14:textId="77777777" w:rsidR="00584092" w:rsidRDefault="00584092" w:rsidP="0043780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C0676B" w14:textId="77777777" w:rsidR="008A1CC9" w:rsidRDefault="008A1C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C7025" w14:textId="77777777" w:rsidR="008A1CC9" w:rsidRDefault="008A1C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AFB0E1" w14:textId="77777777" w:rsidR="008A1CC9" w:rsidRDefault="008A1C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2F175CE"/>
    <w:multiLevelType w:val="hybridMultilevel"/>
    <w:tmpl w:val="88D27C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CBE1694"/>
    <w:multiLevelType w:val="hybridMultilevel"/>
    <w:tmpl w:val="18D06B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D5703FE"/>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8B2CFA"/>
    <w:multiLevelType w:val="hybridMultilevel"/>
    <w:tmpl w:val="45D68A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2043723"/>
    <w:multiLevelType w:val="multilevel"/>
    <w:tmpl w:val="E1E82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B6581C"/>
    <w:multiLevelType w:val="multilevel"/>
    <w:tmpl w:val="01EC1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B2A324D"/>
    <w:multiLevelType w:val="hybridMultilevel"/>
    <w:tmpl w:val="7D5462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CFA14F0"/>
    <w:multiLevelType w:val="multilevel"/>
    <w:tmpl w:val="C9DA5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E803F4"/>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52C744A"/>
    <w:multiLevelType w:val="hybridMultilevel"/>
    <w:tmpl w:val="0CAA42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C924B3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2E6F30"/>
    <w:multiLevelType w:val="multilevel"/>
    <w:tmpl w:val="86060E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6F6419"/>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B8D6963"/>
    <w:multiLevelType w:val="multilevel"/>
    <w:tmpl w:val="9A0E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A671F0"/>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DE4291"/>
    <w:multiLevelType w:val="hybridMultilevel"/>
    <w:tmpl w:val="CDF006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CDE536D"/>
    <w:multiLevelType w:val="hybridMultilevel"/>
    <w:tmpl w:val="6E5AED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D396FBC"/>
    <w:multiLevelType w:val="multilevel"/>
    <w:tmpl w:val="653E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AF526F"/>
    <w:multiLevelType w:val="multilevel"/>
    <w:tmpl w:val="57606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5C43A4"/>
    <w:multiLevelType w:val="hybridMultilevel"/>
    <w:tmpl w:val="556806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781B08AA"/>
    <w:multiLevelType w:val="multilevel"/>
    <w:tmpl w:val="27C28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9E2DF2"/>
    <w:multiLevelType w:val="hybridMultilevel"/>
    <w:tmpl w:val="900824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6268440">
    <w:abstractNumId w:val="0"/>
  </w:num>
  <w:num w:numId="2" w16cid:durableId="474838882">
    <w:abstractNumId w:val="1"/>
  </w:num>
  <w:num w:numId="3" w16cid:durableId="1135608773">
    <w:abstractNumId w:val="22"/>
  </w:num>
  <w:num w:numId="4" w16cid:durableId="1072461031">
    <w:abstractNumId w:val="6"/>
  </w:num>
  <w:num w:numId="5" w16cid:durableId="147019872">
    <w:abstractNumId w:val="20"/>
  </w:num>
  <w:num w:numId="6" w16cid:durableId="521360839">
    <w:abstractNumId w:val="15"/>
  </w:num>
  <w:num w:numId="7" w16cid:durableId="2097091769">
    <w:abstractNumId w:val="9"/>
  </w:num>
  <w:num w:numId="8" w16cid:durableId="1018119207">
    <w:abstractNumId w:val="13"/>
  </w:num>
  <w:num w:numId="9" w16cid:durableId="1371033735">
    <w:abstractNumId w:val="7"/>
  </w:num>
  <w:num w:numId="10" w16cid:durableId="286660949">
    <w:abstractNumId w:val="8"/>
  </w:num>
  <w:num w:numId="11" w16cid:durableId="47150909">
    <w:abstractNumId w:val="23"/>
  </w:num>
  <w:num w:numId="12" w16cid:durableId="712966195">
    <w:abstractNumId w:val="17"/>
  </w:num>
  <w:num w:numId="13" w16cid:durableId="1362240866">
    <w:abstractNumId w:val="2"/>
  </w:num>
  <w:num w:numId="14" w16cid:durableId="1545604066">
    <w:abstractNumId w:val="14"/>
  </w:num>
  <w:num w:numId="15" w16cid:durableId="167598010">
    <w:abstractNumId w:val="19"/>
  </w:num>
  <w:num w:numId="16" w16cid:durableId="1311208905">
    <w:abstractNumId w:val="16"/>
  </w:num>
  <w:num w:numId="17" w16cid:durableId="1717269453">
    <w:abstractNumId w:val="10"/>
  </w:num>
  <w:num w:numId="18" w16cid:durableId="1055009491">
    <w:abstractNumId w:val="12"/>
  </w:num>
  <w:num w:numId="19" w16cid:durableId="383912654">
    <w:abstractNumId w:val="4"/>
  </w:num>
  <w:num w:numId="20" w16cid:durableId="872184460">
    <w:abstractNumId w:val="3"/>
  </w:num>
  <w:num w:numId="21" w16cid:durableId="323165111">
    <w:abstractNumId w:val="21"/>
  </w:num>
  <w:num w:numId="22" w16cid:durableId="1903711826">
    <w:abstractNumId w:val="5"/>
  </w:num>
  <w:num w:numId="23" w16cid:durableId="1546023008">
    <w:abstractNumId w:val="18"/>
  </w:num>
  <w:num w:numId="24" w16cid:durableId="159910197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070"/>
    <w:rsid w:val="000D2FCE"/>
    <w:rsid w:val="00155155"/>
    <w:rsid w:val="001913B4"/>
    <w:rsid w:val="002D4A20"/>
    <w:rsid w:val="0039529C"/>
    <w:rsid w:val="003D2DAF"/>
    <w:rsid w:val="00400960"/>
    <w:rsid w:val="00437807"/>
    <w:rsid w:val="00584092"/>
    <w:rsid w:val="006248FE"/>
    <w:rsid w:val="006C461B"/>
    <w:rsid w:val="007115D5"/>
    <w:rsid w:val="00792893"/>
    <w:rsid w:val="0082561F"/>
    <w:rsid w:val="008A185F"/>
    <w:rsid w:val="008A1CC9"/>
    <w:rsid w:val="00920E68"/>
    <w:rsid w:val="00923AED"/>
    <w:rsid w:val="009C28AD"/>
    <w:rsid w:val="00A57088"/>
    <w:rsid w:val="00A86FC2"/>
    <w:rsid w:val="00AA1824"/>
    <w:rsid w:val="00AB54EA"/>
    <w:rsid w:val="00AC778B"/>
    <w:rsid w:val="00B6062D"/>
    <w:rsid w:val="00BD2735"/>
    <w:rsid w:val="00BE3D37"/>
    <w:rsid w:val="00C07B83"/>
    <w:rsid w:val="00C27281"/>
    <w:rsid w:val="00C331BC"/>
    <w:rsid w:val="00D00694"/>
    <w:rsid w:val="00D12A42"/>
    <w:rsid w:val="00D31FE1"/>
    <w:rsid w:val="00D62981"/>
    <w:rsid w:val="00EC72E1"/>
    <w:rsid w:val="00F5362B"/>
    <w:rsid w:val="00F87070"/>
    <w:rsid w:val="00FB3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F6648C3"/>
  <w15:chartTrackingRefBased/>
  <w15:docId w15:val="{CBC7BD48-4632-5346-BAA6-776447188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3D2DAF"/>
    <w:pPr>
      <w:keepNext/>
      <w:keepLines/>
      <w:numPr>
        <w:numId w:val="1"/>
      </w:numPr>
      <w:spacing w:before="113"/>
      <w:outlineLvl w:val="0"/>
    </w:pPr>
    <w:rPr>
      <w:rFonts w:eastAsia="Times New Roman"/>
      <w:b/>
      <w:bCs/>
      <w:color w:val="2E74B5"/>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4z2">
    <w:name w:val="WW8Num4z2"/>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hint="default"/>
    </w:rPr>
  </w:style>
  <w:style w:type="character" w:customStyle="1" w:styleId="WW8Num5z3">
    <w:name w:val="WW8Num5z3"/>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8Num12z3">
    <w:name w:val="WW8Num12z3"/>
  </w:style>
  <w:style w:type="character" w:customStyle="1" w:styleId="WW8Num12z4">
    <w:name w:val="WW8Num12z4"/>
  </w:style>
  <w:style w:type="character" w:customStyle="1" w:styleId="WW8Num12z5">
    <w:name w:val="WW8Num12z5"/>
  </w:style>
  <w:style w:type="character" w:customStyle="1" w:styleId="WW8Num12z6">
    <w:name w:val="WW8Num12z6"/>
  </w:style>
  <w:style w:type="character" w:customStyle="1" w:styleId="WW8Num12z7">
    <w:name w:val="WW8Num12z7"/>
  </w:style>
  <w:style w:type="character" w:customStyle="1" w:styleId="WW8Num12z8">
    <w:name w:val="WW8Num12z8"/>
  </w:style>
  <w:style w:type="character" w:customStyle="1" w:styleId="WW8Num13z0">
    <w:name w:val="WW8Num13z0"/>
    <w:rPr>
      <w:rFonts w:ascii="Symbol" w:hAnsi="Symbol" w:cs="Symbol" w:hint="default"/>
    </w:rPr>
  </w:style>
  <w:style w:type="character" w:customStyle="1" w:styleId="WW8Num13z1">
    <w:name w:val="WW8Num13z1"/>
    <w:rPr>
      <w:rFonts w:ascii="Courier New" w:hAnsi="Courier New" w:cs="Courier New" w:hint="default"/>
    </w:rPr>
  </w:style>
  <w:style w:type="character" w:customStyle="1" w:styleId="WW8Num13z2">
    <w:name w:val="WW8Num13z2"/>
    <w:rPr>
      <w:rFonts w:ascii="Wingdings" w:hAnsi="Wingdings" w:cs="Wingdings" w:hint="default"/>
    </w:rPr>
  </w:style>
  <w:style w:type="character" w:customStyle="1" w:styleId="WW8Num14z0">
    <w:name w:val="WW8Num14z0"/>
    <w:rPr>
      <w:rFonts w:ascii="Symbol" w:hAnsi="Symbol" w:cs="Symbol" w:hint="default"/>
    </w:rPr>
  </w:style>
  <w:style w:type="character" w:customStyle="1" w:styleId="WW8Num14z1">
    <w:name w:val="WW8Num14z1"/>
    <w:rPr>
      <w:rFonts w:ascii="Courier New" w:hAnsi="Courier New" w:cs="Courier New" w:hint="default"/>
    </w:rPr>
  </w:style>
  <w:style w:type="character" w:customStyle="1" w:styleId="WW8Num14z2">
    <w:name w:val="WW8Num14z2"/>
    <w:rPr>
      <w:rFonts w:ascii="Wingdings" w:hAnsi="Wingdings" w:cs="Wingdings" w:hint="default"/>
    </w:rPr>
  </w:style>
  <w:style w:type="character" w:customStyle="1" w:styleId="WW8Num15z0">
    <w:name w:val="WW8Num15z0"/>
    <w:rPr>
      <w:rFonts w:ascii="Symbol" w:hAnsi="Symbol" w:cs="Symbol" w:hint="default"/>
    </w:rPr>
  </w:style>
  <w:style w:type="character" w:customStyle="1" w:styleId="WW8Num15z1">
    <w:name w:val="WW8Num15z1"/>
    <w:rPr>
      <w:rFonts w:ascii="Courier New" w:hAnsi="Courier New" w:cs="Courier New" w:hint="default"/>
    </w:rPr>
  </w:style>
  <w:style w:type="character" w:customStyle="1" w:styleId="WW8Num15z2">
    <w:name w:val="WW8Num15z2"/>
    <w:rPr>
      <w:rFonts w:ascii="Wingdings" w:hAnsi="Wingdings" w:cs="Wingdings" w:hint="default"/>
    </w:rPr>
  </w:style>
  <w:style w:type="character" w:customStyle="1" w:styleId="WW8Num16z0">
    <w:name w:val="WW8Num16z0"/>
    <w:rPr>
      <w:rFonts w:ascii="Symbol" w:hAnsi="Symbol" w:cs="Symbol" w:hint="default"/>
    </w:rPr>
  </w:style>
  <w:style w:type="character" w:customStyle="1" w:styleId="WW8Num16z1">
    <w:name w:val="WW8Num16z1"/>
    <w:rPr>
      <w:rFonts w:ascii="Courier New" w:hAnsi="Courier New" w:cs="Courier New" w:hint="default"/>
    </w:rPr>
  </w:style>
  <w:style w:type="character" w:customStyle="1" w:styleId="WW8Num16z2">
    <w:name w:val="WW8Num16z2"/>
    <w:rPr>
      <w:rFonts w:ascii="Wingdings" w:hAnsi="Wingdings" w:cs="Wingdings" w:hint="default"/>
    </w:rPr>
  </w:style>
  <w:style w:type="character" w:customStyle="1" w:styleId="WW8Num17z0">
    <w:name w:val="WW8Num17z0"/>
    <w:rPr>
      <w:rFonts w:ascii="Symbol" w:hAnsi="Symbol" w:cs="Symbol" w:hint="default"/>
    </w:rPr>
  </w:style>
  <w:style w:type="character" w:customStyle="1" w:styleId="WW8Num17z1">
    <w:name w:val="WW8Num17z1"/>
    <w:rPr>
      <w:rFonts w:ascii="Courier New" w:hAnsi="Courier New" w:cs="Courier New" w:hint="default"/>
    </w:rPr>
  </w:style>
  <w:style w:type="character" w:customStyle="1" w:styleId="WW8Num17z2">
    <w:name w:val="WW8Num17z2"/>
    <w:rPr>
      <w:rFonts w:ascii="Wingdings" w:hAnsi="Wingdings" w:cs="Wingdings" w:hint="default"/>
    </w:rPr>
  </w:style>
  <w:style w:type="character" w:customStyle="1" w:styleId="WW8Num18z0">
    <w:name w:val="WW8Num18z0"/>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Arial" w:hAnsi="Arial" w:cs="Arial" w:hint="default"/>
    </w:rPr>
  </w:style>
  <w:style w:type="character" w:customStyle="1" w:styleId="WW8Num22z0">
    <w:name w:val="WW8Num22z0"/>
    <w:rPr>
      <w:rFonts w:hint="default"/>
    </w:rPr>
  </w:style>
  <w:style w:type="character" w:customStyle="1" w:styleId="WW8Num22z1">
    <w:name w:val="WW8Num22z1"/>
  </w:style>
  <w:style w:type="character" w:customStyle="1" w:styleId="WW8Num22z2">
    <w:name w:val="WW8Num22z2"/>
  </w:style>
  <w:style w:type="character" w:customStyle="1" w:styleId="WW8Num22z3">
    <w:name w:val="WW8Num22z3"/>
  </w:style>
  <w:style w:type="character" w:customStyle="1" w:styleId="WW8Num22z4">
    <w:name w:val="WW8Num22z4"/>
  </w:style>
  <w:style w:type="character" w:customStyle="1" w:styleId="WW8Num22z5">
    <w:name w:val="WW8Num22z5"/>
  </w:style>
  <w:style w:type="character" w:customStyle="1" w:styleId="WW8Num22z6">
    <w:name w:val="WW8Num22z6"/>
  </w:style>
  <w:style w:type="character" w:customStyle="1" w:styleId="WW8Num22z7">
    <w:name w:val="WW8Num22z7"/>
  </w:style>
  <w:style w:type="character" w:customStyle="1" w:styleId="WW8Num22z8">
    <w:name w:val="WW8Num22z8"/>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rPr>
      <w:rFonts w:ascii="Symbol" w:hAnsi="Symbol" w:cs="Symbol" w:hint="default"/>
    </w:rPr>
  </w:style>
  <w:style w:type="character" w:customStyle="1" w:styleId="WW8Num25z1">
    <w:name w:val="WW8Num25z1"/>
    <w:rPr>
      <w:rFonts w:ascii="Courier New" w:hAnsi="Courier New" w:cs="Courier New" w:hint="default"/>
    </w:rPr>
  </w:style>
  <w:style w:type="character" w:customStyle="1" w:styleId="WW8Num25z2">
    <w:name w:val="WW8Num25z2"/>
    <w:rPr>
      <w:rFonts w:ascii="Wingdings" w:hAnsi="Wingdings" w:cs="Wingdings" w:hint="default"/>
    </w:rPr>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rPr>
      <w:rFonts w:ascii="Symbol" w:hAnsi="Symbol" w:cs="Symbol" w:hint="default"/>
    </w:rPr>
  </w:style>
  <w:style w:type="character" w:customStyle="1" w:styleId="WW8Num27z1">
    <w:name w:val="WW8Num27z1"/>
    <w:rPr>
      <w:rFonts w:ascii="Courier New" w:hAnsi="Courier New" w:cs="Courier New" w:hint="default"/>
    </w:rPr>
  </w:style>
  <w:style w:type="character" w:customStyle="1" w:styleId="WW8Num27z2">
    <w:name w:val="WW8Num27z2"/>
    <w:rPr>
      <w:rFonts w:ascii="Wingdings" w:hAnsi="Wingdings" w:cs="Wingdings" w:hint="default"/>
    </w:rPr>
  </w:style>
  <w:style w:type="character" w:customStyle="1" w:styleId="WW8Num28z0">
    <w:name w:val="WW8Num28z0"/>
    <w:rPr>
      <w:rFonts w:ascii="Symbol" w:hAnsi="Symbol" w:cs="Symbol" w:hint="default"/>
      <w:sz w:val="20"/>
    </w:rPr>
  </w:style>
  <w:style w:type="character" w:customStyle="1" w:styleId="WW8Num28z1">
    <w:name w:val="WW8Num28z1"/>
    <w:rPr>
      <w:rFonts w:ascii="Courier New" w:hAnsi="Courier New" w:cs="Courier New" w:hint="default"/>
      <w:sz w:val="20"/>
    </w:rPr>
  </w:style>
  <w:style w:type="character" w:customStyle="1" w:styleId="WW8Num28z2">
    <w:name w:val="WW8Num28z2"/>
    <w:rPr>
      <w:rFonts w:ascii="Wingdings" w:hAnsi="Wingdings" w:cs="Wingdings" w:hint="default"/>
      <w:sz w:val="20"/>
    </w:rPr>
  </w:style>
  <w:style w:type="character" w:customStyle="1" w:styleId="WW-DefaultParagraphFont">
    <w:name w:val="WW-Default Paragraph Font"/>
  </w:style>
  <w:style w:type="character" w:customStyle="1" w:styleId="WW-DefaultParagraphFont1">
    <w:name w:val="WW-Default Paragraph Font1"/>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WW-DefaultParagraphFont1111">
    <w:name w:val="WW-Default Paragraph Font1111"/>
  </w:style>
  <w:style w:type="character" w:customStyle="1" w:styleId="HeaderChar">
    <w:name w:val="Header Char"/>
    <w:basedOn w:val="WW-DefaultParagraphFont1111"/>
  </w:style>
  <w:style w:type="character" w:customStyle="1" w:styleId="FooterChar">
    <w:name w:val="Footer Char"/>
    <w:basedOn w:val="WW-DefaultParagraphFont1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character" w:styleId="Emphasis">
    <w:name w:val="Emphasis"/>
    <w:uiPriority w:val="20"/>
    <w:qFormat/>
    <w:rPr>
      <w:i/>
      <w:iCs/>
    </w:rPr>
  </w:style>
  <w:style w:type="character" w:styleId="UnresolvedMention">
    <w:name w:val="Unresolved Mention"/>
    <w:rPr>
      <w:color w:val="605E5C"/>
      <w:shd w:val="clear" w:color="auto" w:fill="E1DFDD"/>
    </w:rPr>
  </w:style>
  <w:style w:type="character" w:styleId="FollowedHyperlink">
    <w:name w:val="FollowedHyperlink"/>
    <w:rPr>
      <w:color w:val="954F72"/>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paragraph" w:customStyle="1" w:styleId="WW-Default">
    <w:name w:val="WW-Default"/>
    <w:pPr>
      <w:suppressAutoHyphens/>
      <w:autoSpaceDE w:val="0"/>
    </w:pPr>
    <w:rPr>
      <w:rFonts w:ascii="Arial" w:hAnsi="Arial" w:cs="Arial"/>
      <w:color w:val="000000"/>
      <w:sz w:val="24"/>
      <w:szCs w:val="24"/>
      <w:lang w:val="en-IN" w:eastAsia="ar-SA"/>
    </w:rPr>
  </w:style>
  <w:style w:type="paragraph" w:styleId="TableofFigures">
    <w:name w:val="table of figures"/>
    <w:basedOn w:val="Normal"/>
    <w:next w:val="Normal"/>
  </w:style>
  <w:style w:type="table" w:styleId="TableGrid">
    <w:name w:val="Table Grid"/>
    <w:basedOn w:val="TableNormal"/>
    <w:uiPriority w:val="39"/>
    <w:rsid w:val="008256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345754">
      <w:bodyDiv w:val="1"/>
      <w:marLeft w:val="0"/>
      <w:marRight w:val="0"/>
      <w:marTop w:val="0"/>
      <w:marBottom w:val="0"/>
      <w:divBdr>
        <w:top w:val="none" w:sz="0" w:space="0" w:color="auto"/>
        <w:left w:val="none" w:sz="0" w:space="0" w:color="auto"/>
        <w:bottom w:val="none" w:sz="0" w:space="0" w:color="auto"/>
        <w:right w:val="none" w:sz="0" w:space="0" w:color="auto"/>
      </w:divBdr>
      <w:divsChild>
        <w:div w:id="875387280">
          <w:marLeft w:val="0"/>
          <w:marRight w:val="0"/>
          <w:marTop w:val="0"/>
          <w:marBottom w:val="0"/>
          <w:divBdr>
            <w:top w:val="none" w:sz="0" w:space="0" w:color="auto"/>
            <w:left w:val="none" w:sz="0" w:space="0" w:color="auto"/>
            <w:bottom w:val="none" w:sz="0" w:space="0" w:color="auto"/>
            <w:right w:val="none" w:sz="0" w:space="0" w:color="auto"/>
          </w:divBdr>
        </w:div>
      </w:divsChild>
    </w:div>
    <w:div w:id="415399459">
      <w:bodyDiv w:val="1"/>
      <w:marLeft w:val="0"/>
      <w:marRight w:val="0"/>
      <w:marTop w:val="0"/>
      <w:marBottom w:val="0"/>
      <w:divBdr>
        <w:top w:val="none" w:sz="0" w:space="0" w:color="auto"/>
        <w:left w:val="none" w:sz="0" w:space="0" w:color="auto"/>
        <w:bottom w:val="none" w:sz="0" w:space="0" w:color="auto"/>
        <w:right w:val="none" w:sz="0" w:space="0" w:color="auto"/>
      </w:divBdr>
    </w:div>
    <w:div w:id="710376176">
      <w:bodyDiv w:val="1"/>
      <w:marLeft w:val="0"/>
      <w:marRight w:val="0"/>
      <w:marTop w:val="0"/>
      <w:marBottom w:val="0"/>
      <w:divBdr>
        <w:top w:val="none" w:sz="0" w:space="0" w:color="auto"/>
        <w:left w:val="none" w:sz="0" w:space="0" w:color="auto"/>
        <w:bottom w:val="none" w:sz="0" w:space="0" w:color="auto"/>
        <w:right w:val="none" w:sz="0" w:space="0" w:color="auto"/>
      </w:divBdr>
    </w:div>
    <w:div w:id="1401172429">
      <w:bodyDiv w:val="1"/>
      <w:marLeft w:val="0"/>
      <w:marRight w:val="0"/>
      <w:marTop w:val="0"/>
      <w:marBottom w:val="0"/>
      <w:divBdr>
        <w:top w:val="none" w:sz="0" w:space="0" w:color="auto"/>
        <w:left w:val="none" w:sz="0" w:space="0" w:color="auto"/>
        <w:bottom w:val="none" w:sz="0" w:space="0" w:color="auto"/>
        <w:right w:val="none" w:sz="0" w:space="0" w:color="auto"/>
      </w:divBdr>
    </w:div>
    <w:div w:id="1429080711">
      <w:bodyDiv w:val="1"/>
      <w:marLeft w:val="0"/>
      <w:marRight w:val="0"/>
      <w:marTop w:val="0"/>
      <w:marBottom w:val="0"/>
      <w:divBdr>
        <w:top w:val="none" w:sz="0" w:space="0" w:color="auto"/>
        <w:left w:val="none" w:sz="0" w:space="0" w:color="auto"/>
        <w:bottom w:val="none" w:sz="0" w:space="0" w:color="auto"/>
        <w:right w:val="none" w:sz="0" w:space="0" w:color="auto"/>
      </w:divBdr>
    </w:div>
    <w:div w:id="1558937059">
      <w:bodyDiv w:val="1"/>
      <w:marLeft w:val="0"/>
      <w:marRight w:val="0"/>
      <w:marTop w:val="0"/>
      <w:marBottom w:val="0"/>
      <w:divBdr>
        <w:top w:val="none" w:sz="0" w:space="0" w:color="auto"/>
        <w:left w:val="none" w:sz="0" w:space="0" w:color="auto"/>
        <w:bottom w:val="none" w:sz="0" w:space="0" w:color="auto"/>
        <w:right w:val="none" w:sz="0" w:space="0" w:color="auto"/>
      </w:divBdr>
    </w:div>
    <w:div w:id="1585721040">
      <w:bodyDiv w:val="1"/>
      <w:marLeft w:val="0"/>
      <w:marRight w:val="0"/>
      <w:marTop w:val="0"/>
      <w:marBottom w:val="0"/>
      <w:divBdr>
        <w:top w:val="none" w:sz="0" w:space="0" w:color="auto"/>
        <w:left w:val="none" w:sz="0" w:space="0" w:color="auto"/>
        <w:bottom w:val="none" w:sz="0" w:space="0" w:color="auto"/>
        <w:right w:val="none" w:sz="0" w:space="0" w:color="auto"/>
      </w:divBdr>
    </w:div>
    <w:div w:id="1661470619">
      <w:bodyDiv w:val="1"/>
      <w:marLeft w:val="0"/>
      <w:marRight w:val="0"/>
      <w:marTop w:val="0"/>
      <w:marBottom w:val="0"/>
      <w:divBdr>
        <w:top w:val="none" w:sz="0" w:space="0" w:color="auto"/>
        <w:left w:val="none" w:sz="0" w:space="0" w:color="auto"/>
        <w:bottom w:val="none" w:sz="0" w:space="0" w:color="auto"/>
        <w:right w:val="none" w:sz="0" w:space="0" w:color="auto"/>
      </w:divBdr>
    </w:div>
    <w:div w:id="1685741780">
      <w:bodyDiv w:val="1"/>
      <w:marLeft w:val="0"/>
      <w:marRight w:val="0"/>
      <w:marTop w:val="0"/>
      <w:marBottom w:val="0"/>
      <w:divBdr>
        <w:top w:val="none" w:sz="0" w:space="0" w:color="auto"/>
        <w:left w:val="none" w:sz="0" w:space="0" w:color="auto"/>
        <w:bottom w:val="none" w:sz="0" w:space="0" w:color="auto"/>
        <w:right w:val="none" w:sz="0" w:space="0" w:color="auto"/>
      </w:divBdr>
    </w:div>
    <w:div w:id="1745445531">
      <w:bodyDiv w:val="1"/>
      <w:marLeft w:val="0"/>
      <w:marRight w:val="0"/>
      <w:marTop w:val="0"/>
      <w:marBottom w:val="0"/>
      <w:divBdr>
        <w:top w:val="none" w:sz="0" w:space="0" w:color="auto"/>
        <w:left w:val="none" w:sz="0" w:space="0" w:color="auto"/>
        <w:bottom w:val="none" w:sz="0" w:space="0" w:color="auto"/>
        <w:right w:val="none" w:sz="0" w:space="0" w:color="auto"/>
      </w:divBdr>
    </w:div>
    <w:div w:id="1808669713">
      <w:bodyDiv w:val="1"/>
      <w:marLeft w:val="0"/>
      <w:marRight w:val="0"/>
      <w:marTop w:val="0"/>
      <w:marBottom w:val="0"/>
      <w:divBdr>
        <w:top w:val="none" w:sz="0" w:space="0" w:color="auto"/>
        <w:left w:val="none" w:sz="0" w:space="0" w:color="auto"/>
        <w:bottom w:val="none" w:sz="0" w:space="0" w:color="auto"/>
        <w:right w:val="none" w:sz="0" w:space="0" w:color="auto"/>
      </w:divBdr>
    </w:div>
    <w:div w:id="1878814480">
      <w:bodyDiv w:val="1"/>
      <w:marLeft w:val="0"/>
      <w:marRight w:val="0"/>
      <w:marTop w:val="0"/>
      <w:marBottom w:val="0"/>
      <w:divBdr>
        <w:top w:val="none" w:sz="0" w:space="0" w:color="auto"/>
        <w:left w:val="none" w:sz="0" w:space="0" w:color="auto"/>
        <w:bottom w:val="none" w:sz="0" w:space="0" w:color="auto"/>
        <w:right w:val="none" w:sz="0" w:space="0" w:color="auto"/>
      </w:divBdr>
    </w:div>
    <w:div w:id="1888878938">
      <w:bodyDiv w:val="1"/>
      <w:marLeft w:val="0"/>
      <w:marRight w:val="0"/>
      <w:marTop w:val="0"/>
      <w:marBottom w:val="0"/>
      <w:divBdr>
        <w:top w:val="none" w:sz="0" w:space="0" w:color="auto"/>
        <w:left w:val="none" w:sz="0" w:space="0" w:color="auto"/>
        <w:bottom w:val="none" w:sz="0" w:space="0" w:color="auto"/>
        <w:right w:val="none" w:sz="0" w:space="0" w:color="auto"/>
      </w:divBdr>
    </w:div>
    <w:div w:id="1928953600">
      <w:bodyDiv w:val="1"/>
      <w:marLeft w:val="0"/>
      <w:marRight w:val="0"/>
      <w:marTop w:val="0"/>
      <w:marBottom w:val="0"/>
      <w:divBdr>
        <w:top w:val="none" w:sz="0" w:space="0" w:color="auto"/>
        <w:left w:val="none" w:sz="0" w:space="0" w:color="auto"/>
        <w:bottom w:val="none" w:sz="0" w:space="0" w:color="auto"/>
        <w:right w:val="none" w:sz="0" w:space="0" w:color="auto"/>
      </w:divBdr>
    </w:div>
    <w:div w:id="1960255851">
      <w:bodyDiv w:val="1"/>
      <w:marLeft w:val="0"/>
      <w:marRight w:val="0"/>
      <w:marTop w:val="0"/>
      <w:marBottom w:val="0"/>
      <w:divBdr>
        <w:top w:val="none" w:sz="0" w:space="0" w:color="auto"/>
        <w:left w:val="none" w:sz="0" w:space="0" w:color="auto"/>
        <w:bottom w:val="none" w:sz="0" w:space="0" w:color="auto"/>
        <w:right w:val="none" w:sz="0" w:space="0" w:color="auto"/>
      </w:divBdr>
    </w:div>
    <w:div w:id="1962564755">
      <w:bodyDiv w:val="1"/>
      <w:marLeft w:val="0"/>
      <w:marRight w:val="0"/>
      <w:marTop w:val="0"/>
      <w:marBottom w:val="0"/>
      <w:divBdr>
        <w:top w:val="none" w:sz="0" w:space="0" w:color="auto"/>
        <w:left w:val="none" w:sz="0" w:space="0" w:color="auto"/>
        <w:bottom w:val="none" w:sz="0" w:space="0" w:color="auto"/>
        <w:right w:val="none" w:sz="0" w:space="0" w:color="auto"/>
      </w:divBdr>
    </w:div>
    <w:div w:id="203734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JOSM-04-2018-0113" TargetMode="External"/><Relationship Id="rId13" Type="http://schemas.openxmlformats.org/officeDocument/2006/relationships/hyperlink" Target="https://www.elgaronline.com/edcollchap/edcoll/9781788976251/9781788976251.00008.xml"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59992/ijfaes.2024.v3n10p3" TargetMode="External"/><Relationship Id="rId12" Type="http://schemas.openxmlformats.org/officeDocument/2006/relationships/hyperlink" Target="https://doi.org/10.18488/journal.89.2019.51.10.24"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psyg.2020.560346"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doi.org/10.1007/978-3-030-22078-5_8"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doi.org/10.1177/1046496419827376"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2369</Words>
  <Characters>13506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15844</CharactersWithSpaces>
  <SharedDoc>false</SharedDoc>
  <HLinks>
    <vt:vector size="42" baseType="variant">
      <vt:variant>
        <vt:i4>4063292</vt:i4>
      </vt:variant>
      <vt:variant>
        <vt:i4>51</vt:i4>
      </vt:variant>
      <vt:variant>
        <vt:i4>0</vt:i4>
      </vt:variant>
      <vt:variant>
        <vt:i4>5</vt:i4>
      </vt:variant>
      <vt:variant>
        <vt:lpwstr>https://www.elgaronline.com/edcollchap/edcoll/9781788976251/9781788976251.00008.xml</vt:lpwstr>
      </vt:variant>
      <vt:variant>
        <vt:lpwstr/>
      </vt:variant>
      <vt:variant>
        <vt:i4>1769501</vt:i4>
      </vt:variant>
      <vt:variant>
        <vt:i4>48</vt:i4>
      </vt:variant>
      <vt:variant>
        <vt:i4>0</vt:i4>
      </vt:variant>
      <vt:variant>
        <vt:i4>5</vt:i4>
      </vt:variant>
      <vt:variant>
        <vt:lpwstr>https://doi.org/10.18488/journal.89.2019.51.10.24</vt:lpwstr>
      </vt:variant>
      <vt:variant>
        <vt:lpwstr/>
      </vt:variant>
      <vt:variant>
        <vt:i4>983049</vt:i4>
      </vt:variant>
      <vt:variant>
        <vt:i4>45</vt:i4>
      </vt:variant>
      <vt:variant>
        <vt:i4>0</vt:i4>
      </vt:variant>
      <vt:variant>
        <vt:i4>5</vt:i4>
      </vt:variant>
      <vt:variant>
        <vt:lpwstr>https://doi.org/10.3389/fpsyg.2020.560346</vt:lpwstr>
      </vt:variant>
      <vt:variant>
        <vt:lpwstr/>
      </vt:variant>
      <vt:variant>
        <vt:i4>5046368</vt:i4>
      </vt:variant>
      <vt:variant>
        <vt:i4>42</vt:i4>
      </vt:variant>
      <vt:variant>
        <vt:i4>0</vt:i4>
      </vt:variant>
      <vt:variant>
        <vt:i4>5</vt:i4>
      </vt:variant>
      <vt:variant>
        <vt:lpwstr>https://doi.org/10.1007/978-3-030-22078-5_8</vt:lpwstr>
      </vt:variant>
      <vt:variant>
        <vt:lpwstr/>
      </vt:variant>
      <vt:variant>
        <vt:i4>1114194</vt:i4>
      </vt:variant>
      <vt:variant>
        <vt:i4>39</vt:i4>
      </vt:variant>
      <vt:variant>
        <vt:i4>0</vt:i4>
      </vt:variant>
      <vt:variant>
        <vt:i4>5</vt:i4>
      </vt:variant>
      <vt:variant>
        <vt:lpwstr>https://doi.org/10.1177/1046496419827376</vt:lpwstr>
      </vt:variant>
      <vt:variant>
        <vt:lpwstr/>
      </vt:variant>
      <vt:variant>
        <vt:i4>327756</vt:i4>
      </vt:variant>
      <vt:variant>
        <vt:i4>36</vt:i4>
      </vt:variant>
      <vt:variant>
        <vt:i4>0</vt:i4>
      </vt:variant>
      <vt:variant>
        <vt:i4>5</vt:i4>
      </vt:variant>
      <vt:variant>
        <vt:lpwstr>https://doi.org/10.1108/JOSM-04-2018-0113</vt:lpwstr>
      </vt:variant>
      <vt:variant>
        <vt:lpwstr/>
      </vt:variant>
      <vt:variant>
        <vt:i4>5767249</vt:i4>
      </vt:variant>
      <vt:variant>
        <vt:i4>33</vt:i4>
      </vt:variant>
      <vt:variant>
        <vt:i4>0</vt:i4>
      </vt:variant>
      <vt:variant>
        <vt:i4>5</vt:i4>
      </vt:variant>
      <vt:variant>
        <vt:lpwstr>https://doi.org/10.59992/ijfaes.2024.v3n10p3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Florin Sirb (2237614)</cp:lastModifiedBy>
  <cp:revision>6</cp:revision>
  <cp:lastPrinted>1900-01-01T00:00:00Z</cp:lastPrinted>
  <dcterms:created xsi:type="dcterms:W3CDTF">2025-12-07T10:12:00Z</dcterms:created>
  <dcterms:modified xsi:type="dcterms:W3CDTF">2025-12-07T10:14:00Z</dcterms:modified>
</cp:coreProperties>
</file>