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both"/>
        <w:rPr>
          <w:rFonts w:ascii="Times New Roman" w:hAnsi="Times New Roman"/>
          <w:b w:val="1"/>
          <w:bCs w:val="1"/>
          <w:sz w:val="24"/>
          <w:szCs w:val="24"/>
          <w:lang w:val="en-US"/>
        </w:rPr>
      </w:pPr>
    </w:p>
    <w:p>
      <w:pPr>
        <w:pStyle w:val="Body"/>
        <w:jc w:val="both"/>
        <w:rPr>
          <w:rFonts w:ascii="Times New Roman" w:hAnsi="Times New Roman"/>
          <w:b w:val="1"/>
          <w:bCs w:val="1"/>
          <w:sz w:val="24"/>
          <w:szCs w:val="24"/>
          <w:lang w:val="en-US"/>
        </w:rPr>
      </w:pPr>
    </w:p>
    <w:p>
      <w:pPr>
        <w:pStyle w:val="Body"/>
        <w:jc w:val="both"/>
        <w:rPr>
          <w:rFonts w:ascii="Times New Roman" w:cs="Times New Roman" w:hAnsi="Times New Roman" w:eastAsia="Times New Roman"/>
          <w:b w:val="1"/>
          <w:bCs w:val="1"/>
          <w:sz w:val="24"/>
          <w:szCs w:val="24"/>
          <w:lang w:val="en-US"/>
        </w:rPr>
      </w:pPr>
      <w:r>
        <w:rPr>
          <w:rFonts w:ascii="Times New Roman" w:hAnsi="Times New Roman"/>
          <w:b w:val="1"/>
          <w:bCs w:val="1"/>
          <w:sz w:val="24"/>
          <w:szCs w:val="24"/>
          <w:rtl w:val="0"/>
          <w:lang w:val="en-US"/>
        </w:rPr>
        <w:t xml:space="preserve">Chitoiu Vasile Daniel </w:t>
      </w:r>
    </w:p>
    <w:p>
      <w:pPr>
        <w:pStyle w:val="Body"/>
        <w:jc w:val="both"/>
        <w:rPr>
          <w:rFonts w:ascii="Times New Roman" w:cs="Times New Roman" w:hAnsi="Times New Roman" w:eastAsia="Times New Roman"/>
          <w:b w:val="1"/>
          <w:bCs w:val="1"/>
          <w:sz w:val="24"/>
          <w:szCs w:val="24"/>
          <w:lang w:val="en-US"/>
        </w:rPr>
      </w:pPr>
    </w:p>
    <w:p>
      <w:pPr>
        <w:pStyle w:val="Body"/>
        <w:jc w:val="both"/>
        <w:rPr>
          <w:rFonts w:ascii="Times New Roman" w:cs="Times New Roman" w:hAnsi="Times New Roman" w:eastAsia="Times New Roman"/>
          <w:b w:val="1"/>
          <w:bCs w:val="1"/>
          <w:sz w:val="24"/>
          <w:szCs w:val="24"/>
          <w:lang w:val="en-US"/>
        </w:rPr>
      </w:pPr>
    </w:p>
    <w:p>
      <w:pPr>
        <w:pStyle w:val="Body"/>
        <w:jc w:val="both"/>
        <w:rPr>
          <w:rFonts w:ascii="Times New Roman" w:cs="Times New Roman" w:hAnsi="Times New Roman" w:eastAsia="Times New Roman"/>
          <w:b w:val="1"/>
          <w:bCs w:val="1"/>
          <w:sz w:val="24"/>
          <w:szCs w:val="24"/>
          <w:lang w:val="en-US"/>
        </w:rPr>
      </w:pPr>
    </w:p>
    <w:p>
      <w:pPr>
        <w:pStyle w:val="Body"/>
        <w:jc w:val="both"/>
        <w:rPr>
          <w:rFonts w:ascii="Times New Roman" w:cs="Times New Roman" w:hAnsi="Times New Roman" w:eastAsia="Times New Roman"/>
          <w:b w:val="1"/>
          <w:bCs w:val="1"/>
          <w:sz w:val="24"/>
          <w:szCs w:val="24"/>
          <w:lang w:val="en-US"/>
        </w:rPr>
      </w:pPr>
    </w:p>
    <w:p>
      <w:pPr>
        <w:pStyle w:val="Body"/>
        <w:jc w:val="both"/>
        <w:rPr>
          <w:rFonts w:ascii="Times New Roman" w:cs="Times New Roman" w:hAnsi="Times New Roman" w:eastAsia="Times New Roman"/>
          <w:b w:val="1"/>
          <w:bCs w:val="1"/>
          <w:sz w:val="24"/>
          <w:szCs w:val="24"/>
          <w:lang w:val="en-US"/>
        </w:rPr>
      </w:pPr>
    </w:p>
    <w:p>
      <w:pPr>
        <w:pStyle w:val="Body"/>
        <w:jc w:val="both"/>
        <w:rPr>
          <w:rFonts w:ascii="Times New Roman" w:cs="Times New Roman" w:hAnsi="Times New Roman" w:eastAsia="Times New Roman"/>
          <w:b w:val="1"/>
          <w:bCs w:val="1"/>
          <w:sz w:val="24"/>
          <w:szCs w:val="24"/>
          <w:lang w:val="en-US"/>
        </w:rPr>
      </w:pPr>
    </w:p>
    <w:p>
      <w:pPr>
        <w:pStyle w:val="Body"/>
        <w:jc w:val="both"/>
        <w:rPr>
          <w:rFonts w:ascii="Times New Roman" w:cs="Times New Roman" w:hAnsi="Times New Roman" w:eastAsia="Times New Roman"/>
          <w:b w:val="1"/>
          <w:bCs w:val="1"/>
          <w:sz w:val="24"/>
          <w:szCs w:val="24"/>
          <w:lang w:val="en-US"/>
        </w:rPr>
      </w:pPr>
    </w:p>
    <w:p>
      <w:pPr>
        <w:pStyle w:val="Body"/>
        <w:jc w:val="center"/>
        <w:rPr>
          <w:rFonts w:ascii="Times New Roman" w:cs="Times New Roman" w:hAnsi="Times New Roman" w:eastAsia="Times New Roman"/>
          <w:b w:val="1"/>
          <w:bCs w:val="1"/>
          <w:sz w:val="24"/>
          <w:szCs w:val="24"/>
        </w:rPr>
      </w:pPr>
      <w:r>
        <w:rPr>
          <w:rFonts w:ascii="Times New Roman" w:hAnsi="Times New Roman"/>
          <w:b w:val="1"/>
          <w:bCs w:val="1"/>
          <w:sz w:val="24"/>
          <w:szCs w:val="24"/>
          <w:rtl w:val="0"/>
          <w:lang w:val="en-US"/>
        </w:rPr>
        <w:t>Impact of Virtual Learning Environment (VLE)-Moodle on Student</w:t>
      </w:r>
      <w:r>
        <w:rPr>
          <w:rFonts w:ascii="Times New Roman" w:hAnsi="Times New Roman" w:hint="default"/>
          <w:b w:val="1"/>
          <w:bCs w:val="1"/>
          <w:sz w:val="24"/>
          <w:szCs w:val="24"/>
          <w:rtl w:val="0"/>
          <w:lang w:val="en-US"/>
        </w:rPr>
        <w:t>’</w:t>
      </w:r>
      <w:r>
        <w:rPr>
          <w:rFonts w:ascii="Times New Roman" w:hAnsi="Times New Roman"/>
          <w:b w:val="1"/>
          <w:bCs w:val="1"/>
          <w:sz w:val="24"/>
          <w:szCs w:val="24"/>
          <w:rtl w:val="0"/>
          <w:lang w:val="en-US"/>
        </w:rPr>
        <w:t>s learning experience at the University of Wales Trinity Saints David London Campus</w:t>
      </w:r>
    </w:p>
    <w:p>
      <w:pPr>
        <w:pStyle w:val="Body"/>
      </w:pPr>
      <w:r>
        <w:rPr>
          <w:rFonts w:ascii="Arial Unicode MS" w:cs="Arial Unicode MS" w:hAnsi="Arial Unicode MS" w:eastAsia="Arial Unicode MS"/>
          <w:b w:val="0"/>
          <w:bCs w:val="0"/>
          <w:i w:val="0"/>
          <w:iCs w:val="0"/>
          <w:sz w:val="24"/>
          <w:szCs w:val="24"/>
          <w:lang w:val="en-US"/>
        </w:rPr>
        <w:br w:type="page"/>
      </w:r>
    </w:p>
    <w:p>
      <w:pPr>
        <w:pStyle w:val="TOC Heading"/>
      </w:pPr>
      <w:r>
        <w:rPr>
          <w:rtl w:val="0"/>
          <w:lang w:val="en-US"/>
        </w:rPr>
        <w:t>Contents</w:t>
      </w:r>
    </w:p>
    <w:p>
      <w:pPr>
        <w:pStyle w:val="Body"/>
      </w:pPr>
      <w:r>
        <w:rPr/>
        <w:fldChar w:fldCharType="begin" w:fldLock="0"/>
      </w:r>
      <w:r>
        <w:instrText xml:space="preserve"> TOC \o 1-2 </w:instrText>
      </w:r>
      <w:r>
        <w:rPr/>
        <w:fldChar w:fldCharType="separate" w:fldLock="0"/>
      </w:r>
    </w:p>
    <w:p>
      <w:pPr>
        <w:pStyle w:val="TOC 1"/>
      </w:pPr>
      <w:r>
        <w:rPr>
          <w:rFonts w:cs="Arial Unicode MS" w:eastAsia="Arial Unicode MS"/>
          <w:rtl w:val="0"/>
        </w:rPr>
        <w:t>Section 1 Introduction</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Introduction</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Research Background</w:t>
        <w:tab/>
      </w:r>
      <w:r>
        <w:rPr/>
        <w:fldChar w:fldCharType="begin" w:fldLock="0"/>
      </w:r>
      <w:r>
        <w:instrText xml:space="preserve"> PAGEREF _Toc2 \h </w:instrText>
      </w:r>
      <w:r>
        <w:rPr/>
        <w:fldChar w:fldCharType="separate" w:fldLock="0"/>
      </w:r>
      <w:r>
        <w:rPr>
          <w:rFonts w:cs="Arial Unicode MS" w:eastAsia="Arial Unicode MS"/>
          <w:rtl w:val="0"/>
        </w:rPr>
        <w:t>3</w:t>
      </w:r>
      <w:r>
        <w:rPr/>
        <w:fldChar w:fldCharType="end" w:fldLock="0"/>
      </w:r>
    </w:p>
    <w:p>
      <w:pPr>
        <w:pStyle w:val="TOC 2"/>
      </w:pPr>
      <w:r>
        <w:rPr>
          <w:rFonts w:cs="Arial Unicode MS" w:eastAsia="Arial Unicode MS"/>
          <w:rtl w:val="0"/>
        </w:rPr>
        <w:t>Research Question</w:t>
        <w:tab/>
      </w:r>
      <w:r>
        <w:rPr/>
        <w:fldChar w:fldCharType="begin" w:fldLock="0"/>
      </w:r>
      <w:r>
        <w:instrText xml:space="preserve"> PAGEREF _Toc3 \h </w:instrText>
      </w:r>
      <w:r>
        <w:rPr/>
        <w:fldChar w:fldCharType="separate" w:fldLock="0"/>
      </w:r>
      <w:r>
        <w:rPr>
          <w:rFonts w:cs="Arial Unicode MS" w:eastAsia="Arial Unicode MS"/>
          <w:rtl w:val="0"/>
        </w:rPr>
        <w:t>4</w:t>
      </w:r>
      <w:r>
        <w:rPr/>
        <w:fldChar w:fldCharType="end" w:fldLock="0"/>
      </w:r>
    </w:p>
    <w:p>
      <w:pPr>
        <w:pStyle w:val="TOC 2"/>
      </w:pPr>
      <w:r>
        <w:rPr>
          <w:rFonts w:cs="Arial Unicode MS" w:eastAsia="Arial Unicode MS"/>
          <w:rtl w:val="0"/>
        </w:rPr>
        <w:t>Aim and Objectives</w:t>
        <w:tab/>
      </w:r>
      <w:r>
        <w:rPr/>
        <w:fldChar w:fldCharType="begin" w:fldLock="0"/>
      </w:r>
      <w:r>
        <w:instrText xml:space="preserve"> PAGEREF _Toc4 \h </w:instrText>
      </w:r>
      <w:r>
        <w:rPr/>
        <w:fldChar w:fldCharType="separate" w:fldLock="0"/>
      </w:r>
      <w:r>
        <w:rPr>
          <w:rFonts w:cs="Arial Unicode MS" w:eastAsia="Arial Unicode MS"/>
          <w:rtl w:val="0"/>
        </w:rPr>
        <w:t>4</w:t>
      </w:r>
      <w:r>
        <w:rPr/>
        <w:fldChar w:fldCharType="end" w:fldLock="0"/>
      </w:r>
    </w:p>
    <w:p>
      <w:pPr>
        <w:pStyle w:val="TOC 1"/>
      </w:pPr>
      <w:r>
        <w:rPr>
          <w:rFonts w:cs="Arial Unicode MS" w:eastAsia="Arial Unicode MS"/>
          <w:rtl w:val="0"/>
        </w:rPr>
        <w:t>Section 2 Literature Review</w:t>
        <w:tab/>
      </w:r>
      <w:r>
        <w:rPr/>
        <w:fldChar w:fldCharType="begin" w:fldLock="0"/>
      </w:r>
      <w:r>
        <w:instrText xml:space="preserve"> PAGEREF _Toc5 \h </w:instrText>
      </w:r>
      <w:r>
        <w:rPr/>
        <w:fldChar w:fldCharType="separate" w:fldLock="0"/>
      </w:r>
      <w:r>
        <w:rPr>
          <w:rFonts w:cs="Arial Unicode MS" w:eastAsia="Arial Unicode MS"/>
          <w:rtl w:val="0"/>
        </w:rPr>
        <w:t>5</w:t>
      </w:r>
      <w:r>
        <w:rPr/>
        <w:fldChar w:fldCharType="end" w:fldLock="0"/>
      </w:r>
    </w:p>
    <w:p>
      <w:pPr>
        <w:pStyle w:val="TOC 1"/>
      </w:pPr>
      <w:r>
        <w:rPr>
          <w:rFonts w:cs="Arial Unicode MS" w:eastAsia="Arial Unicode MS"/>
          <w:rtl w:val="0"/>
        </w:rPr>
        <w:t>Section 3 Research Methods</w:t>
        <w:tab/>
      </w:r>
      <w:r>
        <w:rPr/>
        <w:fldChar w:fldCharType="begin" w:fldLock="0"/>
      </w:r>
      <w:r>
        <w:instrText xml:space="preserve"> PAGEREF _Toc6 \h </w:instrText>
      </w:r>
      <w:r>
        <w:rPr/>
        <w:fldChar w:fldCharType="separate" w:fldLock="0"/>
      </w:r>
      <w:r>
        <w:rPr>
          <w:rFonts w:cs="Arial Unicode MS" w:eastAsia="Arial Unicode MS"/>
          <w:rtl w:val="0"/>
        </w:rPr>
        <w:t>7</w:t>
      </w:r>
      <w:r>
        <w:rPr/>
        <w:fldChar w:fldCharType="end" w:fldLock="0"/>
      </w:r>
    </w:p>
    <w:p>
      <w:pPr>
        <w:pStyle w:val="TOC 1"/>
      </w:pPr>
      <w:r>
        <w:rPr>
          <w:rFonts w:cs="Arial Unicode MS" w:eastAsia="Arial Unicode MS"/>
          <w:rtl w:val="0"/>
        </w:rPr>
        <w:t>Section 4 Findings and Analysis</w:t>
        <w:tab/>
      </w:r>
      <w:r>
        <w:rPr/>
        <w:fldChar w:fldCharType="begin" w:fldLock="0"/>
      </w:r>
      <w:r>
        <w:instrText xml:space="preserve"> PAGEREF _Toc7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Findings of Primary Data</w:t>
        <w:tab/>
      </w:r>
      <w:r>
        <w:rPr/>
        <w:fldChar w:fldCharType="begin" w:fldLock="0"/>
      </w:r>
      <w:r>
        <w:instrText xml:space="preserve"> PAGEREF _Toc8 \h </w:instrText>
      </w:r>
      <w:r>
        <w:rPr/>
        <w:fldChar w:fldCharType="separate" w:fldLock="0"/>
      </w:r>
      <w:r>
        <w:rPr>
          <w:rFonts w:cs="Arial Unicode MS" w:eastAsia="Arial Unicode MS"/>
          <w:rtl w:val="0"/>
        </w:rPr>
        <w:t>8</w:t>
      </w:r>
      <w:r>
        <w:rPr/>
        <w:fldChar w:fldCharType="end" w:fldLock="0"/>
      </w:r>
    </w:p>
    <w:p>
      <w:pPr>
        <w:pStyle w:val="TOC 2"/>
      </w:pPr>
      <w:r>
        <w:rPr>
          <w:rFonts w:cs="Arial Unicode MS" w:eastAsia="Arial Unicode MS"/>
          <w:rtl w:val="0"/>
        </w:rPr>
        <w:t>Findings of Secondary Data</w:t>
        <w:tab/>
      </w:r>
      <w:r>
        <w:rPr/>
        <w:fldChar w:fldCharType="begin" w:fldLock="0"/>
      </w:r>
      <w:r>
        <w:instrText xml:space="preserve"> PAGEREF _Toc9 \h </w:instrText>
      </w:r>
      <w:r>
        <w:rPr/>
        <w:fldChar w:fldCharType="separate" w:fldLock="0"/>
      </w:r>
      <w:r>
        <w:rPr>
          <w:rFonts w:cs="Arial Unicode MS" w:eastAsia="Arial Unicode MS"/>
          <w:rtl w:val="0"/>
        </w:rPr>
        <w:t>10</w:t>
      </w:r>
      <w:r>
        <w:rPr/>
        <w:fldChar w:fldCharType="end" w:fldLock="0"/>
      </w:r>
    </w:p>
    <w:p>
      <w:pPr>
        <w:pStyle w:val="TOC 1"/>
      </w:pPr>
      <w:r>
        <w:rPr>
          <w:rFonts w:cs="Arial Unicode MS" w:eastAsia="Arial Unicode MS"/>
          <w:rtl w:val="0"/>
        </w:rPr>
        <w:t>Section 5 Conclusion</w:t>
        <w:tab/>
      </w:r>
      <w:r>
        <w:rPr/>
        <w:fldChar w:fldCharType="begin" w:fldLock="0"/>
      </w:r>
      <w:r>
        <w:instrText xml:space="preserve"> PAGEREF _Toc10 \h </w:instrText>
      </w:r>
      <w:r>
        <w:rPr/>
        <w:fldChar w:fldCharType="separate" w:fldLock="0"/>
      </w:r>
      <w:r>
        <w:rPr>
          <w:rFonts w:cs="Arial Unicode MS" w:eastAsia="Arial Unicode MS"/>
          <w:rtl w:val="0"/>
        </w:rPr>
        <w:t>11</w:t>
      </w:r>
      <w:r>
        <w:rPr/>
        <w:fldChar w:fldCharType="end" w:fldLock="0"/>
      </w:r>
    </w:p>
    <w:p>
      <w:pPr>
        <w:pStyle w:val="TOC 1"/>
      </w:pPr>
      <w:r>
        <w:rPr>
          <w:rFonts w:cs="Arial Unicode MS" w:eastAsia="Arial Unicode MS"/>
          <w:rtl w:val="0"/>
        </w:rPr>
        <w:t>References</w:t>
        <w:tab/>
      </w:r>
      <w:r>
        <w:rPr/>
        <w:fldChar w:fldCharType="begin" w:fldLock="0"/>
      </w:r>
      <w:r>
        <w:instrText xml:space="preserve"> PAGEREF _Toc11 \h </w:instrText>
      </w:r>
      <w:r>
        <w:rPr/>
        <w:fldChar w:fldCharType="separate" w:fldLock="0"/>
      </w:r>
      <w:r>
        <w:rPr>
          <w:rFonts w:cs="Arial Unicode MS" w:eastAsia="Arial Unicode MS"/>
          <w:rtl w:val="0"/>
        </w:rPr>
        <w:t>12</w:t>
      </w:r>
      <w:r>
        <w:rPr/>
        <w:fldChar w:fldCharType="end" w:fldLock="0"/>
      </w:r>
    </w:p>
    <w:p>
      <w:pPr>
        <w:pStyle w:val="Body"/>
        <w:rPr>
          <w:rFonts w:ascii="Times New Roman" w:cs="Times New Roman" w:hAnsi="Times New Roman" w:eastAsia="Times New Roman"/>
          <w:sz w:val="24"/>
          <w:szCs w:val="24"/>
        </w:rPr>
      </w:pPr>
      <w:r>
        <w:rPr/>
        <w:fldChar w:fldCharType="end" w:fldLock="0"/>
      </w:r>
    </w:p>
    <w:p>
      <w:pPr>
        <w:pStyle w:val="Body"/>
        <w:jc w:val="center"/>
        <w:rPr>
          <w:rFonts w:ascii="Times New Roman" w:cs="Times New Roman" w:hAnsi="Times New Roman" w:eastAsia="Times New Roman"/>
          <w:b w:val="1"/>
          <w:bCs w:val="1"/>
          <w:sz w:val="24"/>
          <w:szCs w:val="24"/>
          <w:lang w:val="en-US"/>
        </w:rPr>
      </w:pPr>
    </w:p>
    <w:p>
      <w:pPr>
        <w:pStyle w:val="Body"/>
        <w:spacing w:after="0" w:line="480" w:lineRule="auto"/>
      </w:pPr>
      <w:r>
        <w:rPr>
          <w:rFonts w:ascii="Arial Unicode MS" w:cs="Arial Unicode MS" w:hAnsi="Arial Unicode MS" w:eastAsia="Arial Unicode MS"/>
          <w:b w:val="0"/>
          <w:bCs w:val="0"/>
          <w:i w:val="0"/>
          <w:iCs w:val="0"/>
          <w:sz w:val="24"/>
          <w:szCs w:val="24"/>
          <w:lang w:val="en-US"/>
        </w:rPr>
        <w:br w:type="page"/>
      </w:r>
    </w:p>
    <w:p>
      <w:pPr>
        <w:pStyle w:val="Heading"/>
        <w:rPr>
          <w:rFonts w:ascii="Times New Roman" w:cs="Times New Roman" w:hAnsi="Times New Roman" w:eastAsia="Times New Roman"/>
          <w:b w:val="1"/>
          <w:bCs w:val="1"/>
          <w:sz w:val="24"/>
          <w:szCs w:val="24"/>
        </w:rPr>
      </w:pPr>
      <w:bookmarkStart w:name="_Toc" w:id="0"/>
      <w:r>
        <w:rPr>
          <w:rFonts w:ascii="Times New Roman" w:hAnsi="Times New Roman"/>
          <w:b w:val="1"/>
          <w:bCs w:val="1"/>
          <w:sz w:val="24"/>
          <w:szCs w:val="24"/>
          <w:rtl w:val="0"/>
          <w:lang w:val="en-US"/>
        </w:rPr>
        <w:t xml:space="preserve">Section 1 </w:t>
      </w:r>
      <w:r>
        <w:rPr>
          <w:rFonts w:ascii="Times New Roman" w:hAnsi="Times New Roman"/>
          <w:b w:val="1"/>
          <w:bCs w:val="1"/>
          <w:sz w:val="24"/>
          <w:szCs w:val="24"/>
          <w:rtl w:val="0"/>
          <w:lang w:val="fr-FR"/>
        </w:rPr>
        <w:t>Introduction</w:t>
      </w:r>
      <w:bookmarkEnd w:id="0"/>
    </w:p>
    <w:p>
      <w:pPr>
        <w:pStyle w:val="Heading 2"/>
        <w:rPr>
          <w:rFonts w:ascii="Times New Roman" w:cs="Times New Roman" w:hAnsi="Times New Roman" w:eastAsia="Times New Roman"/>
          <w:b w:val="1"/>
          <w:bCs w:val="1"/>
          <w:sz w:val="24"/>
          <w:szCs w:val="24"/>
        </w:rPr>
      </w:pPr>
      <w:bookmarkStart w:name="_Toc1" w:id="1"/>
      <w:r>
        <w:rPr>
          <w:rFonts w:ascii="Times New Roman" w:hAnsi="Times New Roman"/>
          <w:b w:val="1"/>
          <w:bCs w:val="1"/>
          <w:sz w:val="24"/>
          <w:szCs w:val="24"/>
          <w:rtl w:val="0"/>
          <w:lang w:val="fr-FR"/>
        </w:rPr>
        <w:t xml:space="preserve">Introduction </w:t>
      </w:r>
      <w:bookmarkEnd w:id="1"/>
    </w:p>
    <w:p>
      <w:pPr>
        <w:pStyle w:val="Body"/>
        <w:spacing w:after="0" w:line="48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In the educational and learning processing advent of the new technology have brought significant transformation. The introduction of the Virtual Learning Environment (VLE) is a technology based system that is supportive for delivering the learning material to the students with the help of web (</w:t>
      </w:r>
      <w:r>
        <w:rPr>
          <w:rFonts w:ascii="Times New Roman" w:hAnsi="Times New Roman"/>
          <w:sz w:val="24"/>
          <w:szCs w:val="24"/>
          <w:rtl w:val="0"/>
        </w:rPr>
        <w:t xml:space="preserve">Hramiak </w:t>
      </w:r>
      <w:r>
        <w:rPr>
          <w:rFonts w:ascii="Times New Roman" w:hAnsi="Times New Roman"/>
          <w:i w:val="1"/>
          <w:iCs w:val="1"/>
          <w:sz w:val="24"/>
          <w:szCs w:val="24"/>
          <w:rtl w:val="0"/>
          <w:lang w:val="nl-NL"/>
        </w:rPr>
        <w:t>et al.,</w:t>
      </w:r>
      <w:r>
        <w:rPr>
          <w:rFonts w:ascii="Times New Roman" w:hAnsi="Times New Roman"/>
          <w:sz w:val="24"/>
          <w:szCs w:val="24"/>
          <w:rtl w:val="0"/>
        </w:rPr>
        <w:t xml:space="preserve"> 2007</w:t>
      </w:r>
      <w:r>
        <w:rPr>
          <w:rFonts w:ascii="Times New Roman" w:hAnsi="Times New Roman"/>
          <w:sz w:val="24"/>
          <w:szCs w:val="24"/>
          <w:rtl w:val="0"/>
          <w:lang w:val="en-US"/>
        </w:rPr>
        <w:t>). The VLE system include the process of assessment of the students, tracking their performance, collaborating with him with the use of significant communication tools. Virtual learning environment is supportive for giving better learning experience to the students because with the help of this teachers gets proper lesson planning and track the performance of each student individually. The virtual learning environment increase the engagement level of the students in the classroom sessions (</w:t>
      </w:r>
      <w:r>
        <w:rPr>
          <w:rFonts w:ascii="Times New Roman" w:hAnsi="Times New Roman"/>
          <w:sz w:val="24"/>
          <w:szCs w:val="24"/>
          <w:rtl w:val="0"/>
          <w:lang w:val="en-US"/>
        </w:rPr>
        <w:t>Hamilton,</w:t>
      </w:r>
      <w:r>
        <w:rPr>
          <w:rFonts w:ascii="Times New Roman" w:hAnsi="Times New Roman" w:hint="default"/>
          <w:sz w:val="24"/>
          <w:szCs w:val="24"/>
          <w:rtl w:val="0"/>
          <w:lang w:val="en-US"/>
        </w:rPr>
        <w:t> </w:t>
      </w:r>
      <w:r>
        <w:rPr>
          <w:rFonts w:ascii="Times New Roman" w:hAnsi="Times New Roman"/>
          <w:sz w:val="24"/>
          <w:szCs w:val="24"/>
          <w:rtl w:val="0"/>
        </w:rPr>
        <w:t>2013</w:t>
      </w:r>
      <w:r>
        <w:rPr>
          <w:rFonts w:ascii="Times New Roman" w:hAnsi="Times New Roman"/>
          <w:sz w:val="24"/>
          <w:szCs w:val="24"/>
          <w:rtl w:val="0"/>
          <w:lang w:val="en-US"/>
        </w:rPr>
        <w:t xml:space="preserve">). In relation the implication of virtual learning environment for students learning, the present research study is focused to examine the impact of virtual Learning Environment (VLE) Moodle on the learning experience of the students at the university of Wales Trinity Saints David London Campus.       </w:t>
      </w:r>
    </w:p>
    <w:p>
      <w:pPr>
        <w:pStyle w:val="Heading 2"/>
        <w:rPr>
          <w:rFonts w:ascii="Times New Roman" w:cs="Times New Roman" w:hAnsi="Times New Roman" w:eastAsia="Times New Roman"/>
          <w:b w:val="1"/>
          <w:bCs w:val="1"/>
          <w:sz w:val="24"/>
          <w:szCs w:val="24"/>
        </w:rPr>
      </w:pPr>
      <w:bookmarkStart w:name="_Toc2" w:id="2"/>
      <w:r>
        <w:rPr>
          <w:rFonts w:ascii="Times New Roman" w:hAnsi="Times New Roman"/>
          <w:b w:val="1"/>
          <w:bCs w:val="1"/>
          <w:sz w:val="24"/>
          <w:szCs w:val="24"/>
          <w:rtl w:val="0"/>
          <w:lang w:val="en-US"/>
        </w:rPr>
        <w:t>Research</w:t>
      </w:r>
      <w:r>
        <w:rPr>
          <w:rFonts w:ascii="Times New Roman" w:hAnsi="Times New Roman"/>
          <w:b w:val="1"/>
          <w:bCs w:val="1"/>
          <w:sz w:val="24"/>
          <w:szCs w:val="24"/>
          <w:rtl w:val="0"/>
          <w:lang w:val="en-US"/>
        </w:rPr>
        <w:t xml:space="preserve"> Background</w:t>
      </w:r>
      <w:bookmarkEnd w:id="2"/>
    </w:p>
    <w:p>
      <w:pPr>
        <w:pStyle w:val="Body"/>
        <w:spacing w:after="0"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Like many other sectors, the educational sector has also undergoing rapid internationalisation. This has made an increased number of students from transitional and developing economies to enrol in Western universities, or they to internationally qualified and accredited educational institutions in their home countries. The internationalisation of education has increased distance learning programmes which is being supported by internet-based e-learning systems (Van Raaij and Schepers, 2008). The e-learning system allows and assists educational programmes to happen successfully across the border of time and space. Virtual Learning Environments (VLE) is one such technology which has been designed specifically for improving and supporting the study process of students. The technology does so by providing students with a source for course documents, chat boxes, etcetera, mass communication options and discussion forum. It is found to be highly important technology which stores, process and disseminate support communication as well as educational material associated with learning and teaching which in turn help students in improving their learning experience (Van Raaij and Schepers, 2008).</w:t>
      </w:r>
      <w:r>
        <w:rPr>
          <w:rFonts w:ascii="Times New Roman" w:hAnsi="Times New Roman" w:hint="default"/>
          <w:sz w:val="24"/>
          <w:szCs w:val="24"/>
          <w:rtl w:val="0"/>
          <w:lang w:val="en-US"/>
        </w:rPr>
        <w:t> </w:t>
      </w:r>
    </w:p>
    <w:p>
      <w:pPr>
        <w:pStyle w:val="Heading 2"/>
        <w:rPr>
          <w:rFonts w:ascii="Times New Roman" w:cs="Times New Roman" w:hAnsi="Times New Roman" w:eastAsia="Times New Roman"/>
          <w:b w:val="1"/>
          <w:bCs w:val="1"/>
          <w:sz w:val="24"/>
          <w:szCs w:val="24"/>
        </w:rPr>
      </w:pPr>
      <w:bookmarkStart w:name="_Toc3" w:id="3"/>
      <w:r>
        <w:rPr>
          <w:rFonts w:ascii="Times New Roman" w:hAnsi="Times New Roman"/>
          <w:b w:val="1"/>
          <w:bCs w:val="1"/>
          <w:sz w:val="24"/>
          <w:szCs w:val="24"/>
          <w:rtl w:val="0"/>
          <w:lang w:val="it-IT"/>
        </w:rPr>
        <w:t xml:space="preserve">Research Question </w:t>
      </w:r>
      <w:bookmarkEnd w:id="3"/>
    </w:p>
    <w:p>
      <w:pPr>
        <w:pStyle w:val="Body"/>
        <w:spacing w:after="0" w:line="480" w:lineRule="auto"/>
        <w:jc w:val="both"/>
        <w:rPr>
          <w:rFonts w:ascii="Times New Roman" w:cs="Times New Roman" w:hAnsi="Times New Roman" w:eastAsia="Times New Roman"/>
          <w:i w:val="1"/>
          <w:iCs w:val="1"/>
          <w:sz w:val="24"/>
          <w:szCs w:val="24"/>
        </w:rPr>
      </w:pPr>
      <w:r>
        <w:rPr>
          <w:rFonts w:ascii="Times New Roman" w:hAnsi="Times New Roman"/>
          <w:sz w:val="24"/>
          <w:szCs w:val="24"/>
          <w:rtl w:val="0"/>
          <w:lang w:val="en-US"/>
        </w:rPr>
        <w:t xml:space="preserve">The key research question that has been developed for this research study is: </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What is the Impact of Virtual Learning Environment (VLE)-Moodle on Student</w:t>
      </w:r>
      <w:r>
        <w:rPr>
          <w:rFonts w:ascii="Times New Roman" w:hAnsi="Times New Roman" w:hint="default"/>
          <w:i w:val="1"/>
          <w:iCs w:val="1"/>
          <w:sz w:val="24"/>
          <w:szCs w:val="24"/>
          <w:rtl w:val="0"/>
          <w:lang w:val="en-US"/>
        </w:rPr>
        <w:t>’</w:t>
      </w:r>
      <w:r>
        <w:rPr>
          <w:rFonts w:ascii="Times New Roman" w:hAnsi="Times New Roman"/>
          <w:i w:val="1"/>
          <w:iCs w:val="1"/>
          <w:sz w:val="24"/>
          <w:szCs w:val="24"/>
          <w:rtl w:val="0"/>
          <w:lang w:val="en-US"/>
        </w:rPr>
        <w:t>s learning experience at the University of Wales Trinity Saints David London Campus?</w:t>
      </w:r>
      <w:r>
        <w:rPr>
          <w:rFonts w:ascii="Times New Roman" w:hAnsi="Times New Roman" w:hint="default"/>
          <w:i w:val="1"/>
          <w:iCs w:val="1"/>
          <w:sz w:val="24"/>
          <w:szCs w:val="24"/>
          <w:rtl w:val="0"/>
          <w:lang w:val="en-US"/>
        </w:rPr>
        <w:t>”</w:t>
      </w:r>
    </w:p>
    <w:p>
      <w:pPr>
        <w:pStyle w:val="Heading 2"/>
        <w:rPr>
          <w:rFonts w:ascii="Times New Roman" w:cs="Times New Roman" w:hAnsi="Times New Roman" w:eastAsia="Times New Roman"/>
          <w:b w:val="1"/>
          <w:bCs w:val="1"/>
          <w:sz w:val="24"/>
          <w:szCs w:val="24"/>
        </w:rPr>
      </w:pPr>
      <w:bookmarkStart w:name="_Toc4" w:id="4"/>
      <w:r>
        <w:rPr>
          <w:rFonts w:ascii="Times New Roman" w:hAnsi="Times New Roman"/>
          <w:b w:val="1"/>
          <w:bCs w:val="1"/>
          <w:sz w:val="24"/>
          <w:szCs w:val="24"/>
          <w:rtl w:val="0"/>
          <w:lang w:val="en-US"/>
        </w:rPr>
        <w:t>Aim and Objectives</w:t>
      </w:r>
      <w:bookmarkEnd w:id="4"/>
    </w:p>
    <w:p>
      <w:pPr>
        <w:pStyle w:val="Body"/>
        <w:spacing w:after="0" w:line="48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The keyaim of the research study is to examine the impact of the virtual learning environment Moodle on the learning experience of the students. The research study has been conducted in specific context to the student of University of Wales Trinity Saints David London Campus. In the light of this aim, the research study is focuses to examine the conceptual of virtual learning environment and the key feature of the VLE Moodle that are supportive for fostering good learning among  the studentsof the university. The research study has been focused to examine the contribution of this Moodle in fostering enhancement of the overall student learning experience. The objectives of the research study that are framed in alignment of the research aim are presented below:</w:t>
      </w:r>
    </w:p>
    <w:p>
      <w:pPr>
        <w:pStyle w:val="List Paragraph"/>
        <w:numPr>
          <w:ilvl w:val="0"/>
          <w:numId w:val="2"/>
        </w:numPr>
        <w:bidi w:val="0"/>
        <w:spacing w:after="0" w:line="480" w:lineRule="auto"/>
        <w:ind w:right="0"/>
        <w:jc w:val="both"/>
        <w:rPr>
          <w:rFonts w:ascii="Times New Roman" w:hAnsi="Times New Roman"/>
          <w:sz w:val="24"/>
          <w:szCs w:val="24"/>
          <w:rtl w:val="0"/>
          <w:lang w:val="en-US"/>
        </w:rPr>
      </w:pPr>
      <w:r>
        <w:rPr>
          <w:rFonts w:ascii="Times New Roman" w:hAnsi="Times New Roman"/>
          <w:sz w:val="24"/>
          <w:szCs w:val="24"/>
          <w:rtl w:val="0"/>
          <w:lang w:val="en-US"/>
        </w:rPr>
        <w:t>To examine the concept of virtual learning environment and key significance in the educational practices both teaching and learning</w:t>
      </w:r>
    </w:p>
    <w:p>
      <w:pPr>
        <w:pStyle w:val="List Paragraph"/>
        <w:numPr>
          <w:ilvl w:val="0"/>
          <w:numId w:val="2"/>
        </w:numPr>
        <w:bidi w:val="0"/>
        <w:spacing w:after="0" w:line="480" w:lineRule="auto"/>
        <w:ind w:right="0"/>
        <w:jc w:val="both"/>
        <w:rPr>
          <w:rFonts w:ascii="Times New Roman" w:hAnsi="Times New Roman"/>
          <w:sz w:val="24"/>
          <w:szCs w:val="24"/>
          <w:rtl w:val="0"/>
          <w:lang w:val="en-US"/>
        </w:rPr>
      </w:pPr>
      <w:r>
        <w:rPr>
          <w:rFonts w:ascii="Times New Roman" w:hAnsi="Times New Roman"/>
          <w:sz w:val="24"/>
          <w:szCs w:val="24"/>
          <w:rtl w:val="0"/>
          <w:lang w:val="en-US"/>
        </w:rPr>
        <w:t>To evaluate the key features of the Virtual Learning Environment (VLE) Moodle for the students to improve their  learning practices</w:t>
      </w:r>
    </w:p>
    <w:p>
      <w:pPr>
        <w:pStyle w:val="List Paragraph"/>
        <w:numPr>
          <w:ilvl w:val="0"/>
          <w:numId w:val="2"/>
        </w:numPr>
        <w:bidi w:val="0"/>
        <w:spacing w:after="0" w:line="480" w:lineRule="auto"/>
        <w:ind w:right="0"/>
        <w:jc w:val="both"/>
        <w:rPr>
          <w:rFonts w:ascii="Times New Roman" w:hAnsi="Times New Roman"/>
          <w:b w:val="1"/>
          <w:bCs w:val="1"/>
          <w:sz w:val="24"/>
          <w:szCs w:val="24"/>
          <w:rtl w:val="0"/>
          <w:lang w:val="en-US"/>
        </w:rPr>
      </w:pPr>
      <w:r>
        <w:rPr>
          <w:rFonts w:ascii="Times New Roman" w:hAnsi="Times New Roman"/>
          <w:b w:val="0"/>
          <w:bCs w:val="0"/>
          <w:sz w:val="24"/>
          <w:szCs w:val="24"/>
          <w:rtl w:val="0"/>
          <w:lang w:val="en-US"/>
        </w:rPr>
        <w:t>To determine the impact of virtual learning environment Moodle on students</w:t>
      </w:r>
      <w:r>
        <w:rPr>
          <w:rFonts w:ascii="Times New Roman" w:hAnsi="Times New Roman" w:hint="default"/>
          <w:b w:val="0"/>
          <w:bCs w:val="0"/>
          <w:sz w:val="24"/>
          <w:szCs w:val="24"/>
          <w:rtl w:val="0"/>
          <w:lang w:val="en-US"/>
        </w:rPr>
        <w:t xml:space="preserve">’ </w:t>
      </w:r>
      <w:r>
        <w:rPr>
          <w:rFonts w:ascii="Times New Roman" w:hAnsi="Times New Roman"/>
          <w:b w:val="0"/>
          <w:bCs w:val="0"/>
          <w:sz w:val="24"/>
          <w:szCs w:val="24"/>
          <w:rtl w:val="0"/>
          <w:lang w:val="en-US"/>
        </w:rPr>
        <w:t>learning experience at the University of Wales Trinity Saints David London Campus</w:t>
      </w:r>
    </w:p>
    <w:p>
      <w:pPr>
        <w:pStyle w:val="Heading"/>
        <w:rPr>
          <w:rFonts w:ascii="Times New Roman" w:cs="Times New Roman" w:hAnsi="Times New Roman" w:eastAsia="Times New Roman"/>
          <w:b w:val="1"/>
          <w:bCs w:val="1"/>
          <w:sz w:val="24"/>
          <w:szCs w:val="24"/>
        </w:rPr>
      </w:pPr>
      <w:bookmarkStart w:name="_Toc5" w:id="5"/>
      <w:r>
        <w:rPr>
          <w:rFonts w:ascii="Times New Roman" w:hAnsi="Times New Roman"/>
          <w:b w:val="1"/>
          <w:bCs w:val="1"/>
          <w:sz w:val="24"/>
          <w:szCs w:val="24"/>
          <w:rtl w:val="0"/>
          <w:lang w:val="en-US"/>
        </w:rPr>
        <w:t>Section 2 Literature Review</w:t>
      </w:r>
      <w:bookmarkEnd w:id="5"/>
    </w:p>
    <w:p>
      <w:pPr>
        <w:pStyle w:val="Body"/>
        <w:spacing w:after="0"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In the perspective of Alves, Miranda and Morais (2017), Virtual Learning Environment (VLE) is primarily associated with formal learning as well as establishing an improved relationship between students, teachers and universities. It has gained significant interest supported by the internet among students, teachers and educational institutions. The concept of VLC is identified to be dynamic in nature because of rapid and consistent development in digital technologies along with its personalities, features and benefits that it provides within the learning processes. At a present significant number of universities, companies and schools are using the web not only for integrating web technology within their courses rather than to improve their conventional face-to-face courses. The technology gathers a significant amount of educational data and information which is found to be valuable for analysing student</w:t>
      </w:r>
      <w:r>
        <w:rPr>
          <w:rFonts w:ascii="Times New Roman" w:hAnsi="Times New Roman" w:hint="default"/>
          <w:sz w:val="24"/>
          <w:szCs w:val="24"/>
          <w:rtl w:val="0"/>
          <w:lang w:val="en-US"/>
        </w:rPr>
        <w:t>’</w:t>
      </w:r>
      <w:r>
        <w:rPr>
          <w:rFonts w:ascii="Times New Roman" w:hAnsi="Times New Roman"/>
          <w:sz w:val="24"/>
          <w:szCs w:val="24"/>
          <w:rtl w:val="0"/>
          <w:lang w:val="en-US"/>
        </w:rPr>
        <w:t>s use and course content (Alves, Miranda and Morais, 2017).</w:t>
      </w:r>
    </w:p>
    <w:p>
      <w:pPr>
        <w:pStyle w:val="Body"/>
        <w:spacing w:after="0"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 On the other hand, Maltby and Mackie (2009) has opined that learning environment which is found to depend on using digital resources and technology such as webinars, interactive web conferencing, web pages and lecture capture act as a mediator in the process of learning in higher education because of the functions they provide. They are found to be highly beneficial in improving students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learning process because of the fact that they support interrelation and interaction within consistent educational communication process and hence improve reconstruction and construction of knowledge and meanings; along with this, they also facilitate in forming attitudes and habits within a framework which is found to be common for all including students and teachers involved in the process of education (Maltby and Mackie, 2009).</w:t>
      </w:r>
    </w:p>
    <w:p>
      <w:pPr>
        <w:pStyle w:val="Body"/>
        <w:spacing w:after="0"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Moreover, it has been asserted by Agudo Hern</w:t>
      </w:r>
      <w:r>
        <w:rPr>
          <w:rFonts w:ascii="Times New Roman" w:hAnsi="Times New Roman" w:hint="default"/>
          <w:sz w:val="24"/>
          <w:szCs w:val="24"/>
          <w:rtl w:val="0"/>
          <w:lang w:val="en-US"/>
        </w:rPr>
        <w:t>á</w:t>
      </w:r>
      <w:r>
        <w:rPr>
          <w:rFonts w:ascii="Times New Roman" w:hAnsi="Times New Roman"/>
          <w:sz w:val="24"/>
          <w:szCs w:val="24"/>
          <w:rtl w:val="0"/>
          <w:lang w:val="en-US"/>
        </w:rPr>
        <w:t>ndez and Pradas (2012) that VLE positively impacts the distance learning experience of students in universities by facilitating student-student interaction, student-teacher interaction and student-content interaction. Technology-based learning systems allow student to establish asynchronous or synchronous communication with other students at a convenient place and time which in turn make students</w:t>
      </w:r>
      <w:r>
        <w:rPr>
          <w:rFonts w:ascii="Times New Roman" w:hAnsi="Times New Roman" w:hint="default"/>
          <w:sz w:val="24"/>
          <w:szCs w:val="24"/>
          <w:rtl w:val="0"/>
          <w:lang w:val="en-US"/>
        </w:rPr>
        <w:t xml:space="preserve">’ </w:t>
      </w:r>
      <w:r>
        <w:rPr>
          <w:rFonts w:ascii="Times New Roman" w:hAnsi="Times New Roman"/>
          <w:sz w:val="24"/>
          <w:szCs w:val="24"/>
          <w:rtl w:val="0"/>
          <w:lang w:val="en-US"/>
        </w:rPr>
        <w:t>learning more socially and cooperative activity instead of isolated and solitary work. In a similar manner, it allows students to interact with teachers anytime by making an online presence and allows them to easily exchange their queries with teachers about a particular course topic. Besides this, the VLE also provides students to access and browse different content over the internet rather than using traditional content resources like research materials, textbooks or any other learning materials (Agudo Hern</w:t>
      </w:r>
      <w:r>
        <w:rPr>
          <w:rFonts w:ascii="Times New Roman" w:hAnsi="Times New Roman" w:hint="default"/>
          <w:sz w:val="24"/>
          <w:szCs w:val="24"/>
          <w:rtl w:val="0"/>
          <w:lang w:val="en-US"/>
        </w:rPr>
        <w:t>á</w:t>
      </w:r>
      <w:r>
        <w:rPr>
          <w:rFonts w:ascii="Times New Roman" w:hAnsi="Times New Roman"/>
          <w:sz w:val="24"/>
          <w:szCs w:val="24"/>
          <w:rtl w:val="0"/>
          <w:lang w:val="en-US"/>
        </w:rPr>
        <w:t xml:space="preserve">ndez and Pradas, 2012). </w:t>
      </w:r>
    </w:p>
    <w:p>
      <w:pPr>
        <w:pStyle w:val="Body"/>
        <w:spacing w:after="0" w:line="480" w:lineRule="auto"/>
        <w:ind w:firstLine="720"/>
        <w:jc w:val="both"/>
        <w:rPr>
          <w:rFonts w:ascii="Times New Roman" w:cs="Times New Roman" w:hAnsi="Times New Roman" w:eastAsia="Times New Roman"/>
          <w:sz w:val="24"/>
          <w:szCs w:val="24"/>
        </w:rPr>
      </w:pPr>
      <w:r>
        <w:rPr>
          <w:rFonts w:ascii="Times New Roman" w:hAnsi="Times New Roman"/>
          <w:sz w:val="24"/>
          <w:szCs w:val="24"/>
          <w:rtl w:val="0"/>
          <w:lang w:val="en-US"/>
        </w:rPr>
        <w:t>It have been evaluated that VLE have provided students to interact easily with other students, teachers and contents over the internet and has made them not to wait for attending college lectures for asking their queries which in turn helps them in enhancing their overall learning experience. As per the report published by the University of Wales Trinity Saint David (2020), the university provide various graduation and post-graduation courses online in a supportive, flexible and rigorous environment to students. The university make use of VLE to provide an opportunity for students learning remotely without being physically present in the classroom and contacting face-to-face with teachers. The major benefits provided by university</w:t>
      </w:r>
      <w:r>
        <w:rPr>
          <w:rFonts w:ascii="Times New Roman" w:hAnsi="Times New Roman" w:hint="default"/>
          <w:sz w:val="24"/>
          <w:szCs w:val="24"/>
          <w:rtl w:val="0"/>
          <w:lang w:val="en-US"/>
        </w:rPr>
        <w:t>’</w:t>
      </w:r>
      <w:r>
        <w:rPr>
          <w:rFonts w:ascii="Times New Roman" w:hAnsi="Times New Roman"/>
          <w:sz w:val="24"/>
          <w:szCs w:val="24"/>
          <w:rtl w:val="0"/>
          <w:lang w:val="en-US"/>
        </w:rPr>
        <w:t xml:space="preserve">s distance learning and online courses are that it provides students with the opportunity to enhance learning across their personal and professional life and assist them in achieving their full potential. </w:t>
      </w:r>
    </w:p>
    <w:p>
      <w:pPr>
        <w:pStyle w:val="Heading"/>
        <w:rPr>
          <w:rFonts w:ascii="Times New Roman" w:cs="Times New Roman" w:hAnsi="Times New Roman" w:eastAsia="Times New Roman"/>
          <w:b w:val="1"/>
          <w:bCs w:val="1"/>
          <w:sz w:val="24"/>
          <w:szCs w:val="24"/>
        </w:rPr>
      </w:pPr>
      <w:bookmarkStart w:name="_Toc6" w:id="6"/>
      <w:r>
        <w:rPr>
          <w:rFonts w:ascii="Times New Roman" w:hAnsi="Times New Roman"/>
          <w:b w:val="1"/>
          <w:bCs w:val="1"/>
          <w:sz w:val="24"/>
          <w:szCs w:val="24"/>
          <w:rtl w:val="0"/>
          <w:lang w:val="en-US"/>
        </w:rPr>
        <w:t xml:space="preserve">Section 3 Research Methods </w:t>
      </w:r>
      <w:bookmarkEnd w:id="6"/>
    </w:p>
    <w:p>
      <w:pPr>
        <w:pStyle w:val="Body"/>
        <w:spacing w:after="0" w:line="480" w:lineRule="auto"/>
        <w:jc w:val="both"/>
        <w:rPr>
          <w:rFonts w:ascii="Times New Roman" w:cs="Times New Roman" w:hAnsi="Times New Roman" w:eastAsia="Times New Roman"/>
          <w:sz w:val="24"/>
          <w:szCs w:val="24"/>
        </w:rPr>
      </w:pPr>
      <w:r>
        <w:rPr>
          <w:rFonts w:ascii="Times New Roman" w:cs="Times New Roman" w:hAnsi="Times New Roman" w:eastAsia="Times New Roman"/>
          <w:b w:val="1"/>
          <w:bCs w:val="1"/>
          <w:sz w:val="24"/>
          <w:szCs w:val="24"/>
          <w:lang w:val="en-US"/>
        </w:rPr>
        <w:tab/>
      </w:r>
      <w:r>
        <w:rPr>
          <w:rFonts w:ascii="Times New Roman" w:hAnsi="Times New Roman"/>
          <w:sz w:val="24"/>
          <w:szCs w:val="24"/>
          <w:rtl w:val="0"/>
          <w:lang w:val="en-US"/>
        </w:rPr>
        <w:t>The research method framework has a significant role in the research studies (</w:t>
      </w:r>
      <w:r>
        <w:rPr>
          <w:rFonts w:ascii="Times New Roman" w:hAnsi="Times New Roman"/>
          <w:sz w:val="24"/>
          <w:szCs w:val="24"/>
          <w:rtl w:val="0"/>
          <w:lang w:val="en-US"/>
        </w:rPr>
        <w:t>Jonker and Pennink, 2010</w:t>
      </w:r>
      <w:r>
        <w:rPr>
          <w:rFonts w:ascii="Times New Roman" w:hAnsi="Times New Roman"/>
          <w:sz w:val="24"/>
          <w:szCs w:val="24"/>
          <w:rtl w:val="0"/>
          <w:lang w:val="en-US"/>
        </w:rPr>
        <w:t>). In the research studies, the data collection purpose, either primary or secondary or both research methods can be used in amalgamation. In the present research study mixed method have been applied where both primary and secondary data collection methods are used in combination. The use of both these methods has been supported with the implication of the exploratory research design (</w:t>
      </w:r>
      <w:r>
        <w:rPr>
          <w:rFonts w:ascii="Times New Roman" w:hAnsi="Times New Roman"/>
          <w:sz w:val="24"/>
          <w:szCs w:val="24"/>
          <w:rtl w:val="0"/>
          <w:lang w:val="en-US"/>
        </w:rPr>
        <w:t>Mallinson, Childs and  Herk, 2013</w:t>
      </w:r>
      <w:r>
        <w:rPr>
          <w:rFonts w:ascii="Times New Roman" w:hAnsi="Times New Roman"/>
          <w:sz w:val="24"/>
          <w:szCs w:val="24"/>
          <w:rtl w:val="0"/>
          <w:lang w:val="en-US"/>
        </w:rPr>
        <w:t>). In the light of the exploratory research design the research study has implied the primary data collection method of survey and secondary data collection method of library research. The survey has been conducted with the students who are pursuing higher education degree courses from the University of Wales Trinity Saints David London Campus. The sample selection have been done with the help of random sampling strategy that has supported the selection of the sample without any biasness and discriminations in the sample selection (</w:t>
      </w:r>
      <w:r>
        <w:rPr>
          <w:rFonts w:ascii="Times New Roman" w:hAnsi="Times New Roman"/>
          <w:sz w:val="24"/>
          <w:szCs w:val="24"/>
          <w:rtl w:val="0"/>
          <w:lang w:val="en-US"/>
        </w:rPr>
        <w:t>Supino  and Borer, 2012</w:t>
      </w:r>
      <w:r>
        <w:rPr>
          <w:rFonts w:ascii="Times New Roman" w:hAnsi="Times New Roman"/>
          <w:sz w:val="24"/>
          <w:szCs w:val="24"/>
          <w:rtl w:val="0"/>
          <w:lang w:val="en-US"/>
        </w:rPr>
        <w:t xml:space="preserve">). The sample selected for this study is 40 students because this is a much smaller research. The secondary data with the help of library research method has been done with the help of exploration of wider range of literature sources.   </w:t>
      </w:r>
    </w:p>
    <w:p>
      <w:pPr>
        <w:pStyle w:val="Body"/>
        <w:spacing w:after="0" w:line="480" w:lineRule="auto"/>
        <w:jc w:val="both"/>
        <w:rPr>
          <w:rFonts w:ascii="Times New Roman" w:cs="Times New Roman" w:hAnsi="Times New Roman" w:eastAsia="Times New Roman"/>
          <w:b w:val="1"/>
          <w:bCs w:val="1"/>
          <w:sz w:val="24"/>
          <w:szCs w:val="24"/>
        </w:rPr>
      </w:pPr>
      <w:r>
        <w:rPr>
          <w:rFonts w:ascii="Times New Roman" w:cs="Times New Roman" w:hAnsi="Times New Roman" w:eastAsia="Times New Roman"/>
          <w:sz w:val="24"/>
          <w:szCs w:val="24"/>
          <w:rtl w:val="0"/>
          <w:lang w:val="en-US"/>
        </w:rPr>
        <w:tab/>
        <w:t>The data collected with the help of survey is quantitative in nature and hence it has been analysed with the help of graphical data presentation method where analysis of the data been done in the forms of percentage which have analysed the data for showing with the viewpoint of majority of the responses. The analysis of the literature data has been done in qualitative forms (</w:t>
      </w:r>
      <w:r>
        <w:rPr>
          <w:rFonts w:ascii="Times New Roman" w:hAnsi="Times New Roman"/>
          <w:sz w:val="24"/>
          <w:szCs w:val="24"/>
          <w:rtl w:val="0"/>
          <w:lang w:val="en-US"/>
        </w:rPr>
        <w:t>Thomas, Nelson and Silverman, 2011</w:t>
      </w:r>
      <w:r>
        <w:rPr>
          <w:rFonts w:ascii="Times New Roman" w:hAnsi="Times New Roman"/>
          <w:sz w:val="24"/>
          <w:szCs w:val="24"/>
          <w:rtl w:val="0"/>
          <w:lang w:val="en-US"/>
        </w:rPr>
        <w:t xml:space="preserve">). Ethical consideration of data confidentialty and anonymity of the repondetns has also been ensured in the research study data collection process.    </w:t>
      </w:r>
    </w:p>
    <w:p>
      <w:pPr>
        <w:pStyle w:val="Heading"/>
        <w:rPr>
          <w:rFonts w:ascii="Times New Roman" w:cs="Times New Roman" w:hAnsi="Times New Roman" w:eastAsia="Times New Roman"/>
          <w:b w:val="1"/>
          <w:bCs w:val="1"/>
          <w:sz w:val="24"/>
          <w:szCs w:val="24"/>
        </w:rPr>
      </w:pPr>
      <w:bookmarkStart w:name="_Toc7" w:id="7"/>
      <w:r>
        <w:rPr>
          <w:rFonts w:ascii="Times New Roman" w:hAnsi="Times New Roman"/>
          <w:b w:val="1"/>
          <w:bCs w:val="1"/>
          <w:sz w:val="24"/>
          <w:szCs w:val="24"/>
          <w:rtl w:val="0"/>
          <w:lang w:val="en-US"/>
        </w:rPr>
        <w:t xml:space="preserve">Section 4 Findings and Analysis </w:t>
      </w:r>
      <w:bookmarkEnd w:id="7"/>
    </w:p>
    <w:p>
      <w:pPr>
        <w:pStyle w:val="Heading 2"/>
        <w:rPr>
          <w:rFonts w:ascii="Times New Roman" w:cs="Times New Roman" w:hAnsi="Times New Roman" w:eastAsia="Times New Roman"/>
          <w:b w:val="1"/>
          <w:bCs w:val="1"/>
          <w:sz w:val="24"/>
          <w:szCs w:val="24"/>
        </w:rPr>
      </w:pPr>
      <w:bookmarkStart w:name="_Toc8" w:id="8"/>
      <w:r>
        <w:rPr>
          <w:rFonts w:ascii="Times New Roman" w:hAnsi="Times New Roman"/>
          <w:b w:val="1"/>
          <w:bCs w:val="1"/>
          <w:sz w:val="24"/>
          <w:szCs w:val="24"/>
          <w:rtl w:val="0"/>
          <w:lang w:val="en-US"/>
        </w:rPr>
        <w:t>Findings of Primary Data</w:t>
      </w:r>
      <w:bookmarkEnd w:id="8"/>
    </w:p>
    <w:p>
      <w:pPr>
        <w:pStyle w:val="Body"/>
        <w:spacing w:after="0" w:line="480" w:lineRule="auto"/>
        <w:jc w:val="both"/>
        <w:rPr>
          <w:rFonts w:ascii="Times New Roman" w:cs="Times New Roman" w:hAnsi="Times New Roman" w:eastAsia="Times New Roman"/>
          <w:i w:val="1"/>
          <w:iCs w:val="1"/>
          <w:sz w:val="24"/>
          <w:szCs w:val="24"/>
        </w:rPr>
      </w:pPr>
      <w:r>
        <w:rPr>
          <w:rFonts w:ascii="Times New Roman" w:hAnsi="Times New Roman"/>
          <w:i w:val="1"/>
          <w:iCs w:val="1"/>
          <w:sz w:val="24"/>
          <w:szCs w:val="24"/>
          <w:rtl w:val="0"/>
          <w:lang w:val="en-US"/>
        </w:rPr>
        <w:t xml:space="preserve">Degree Course: </w:t>
      </w:r>
    </w:p>
    <w:p>
      <w:pPr>
        <w:pStyle w:val="Body"/>
        <w:spacing w:after="0" w:line="480" w:lineRule="auto"/>
        <w:jc w:val="center"/>
        <w:rPr>
          <w:rFonts w:ascii="Times New Roman" w:cs="Times New Roman" w:hAnsi="Times New Roman" w:eastAsia="Times New Roman"/>
          <w:b w:val="1"/>
          <w:bCs w:val="1"/>
          <w:sz w:val="24"/>
          <w:szCs w:val="24"/>
        </w:rPr>
      </w:pPr>
      <w:r>
        <w:drawing xmlns:a="http://schemas.openxmlformats.org/drawingml/2006/main">
          <wp:inline distT="0" distB="0" distL="0" distR="0">
            <wp:extent cx="2581577" cy="1689551"/>
            <wp:effectExtent l="0" t="0" r="0" b="0"/>
            <wp:docPr id="1073741825" name="officeArt object"/>
            <wp:cNvGraphicFramePr/>
            <a:graphic xmlns:a="http://schemas.openxmlformats.org/drawingml/2006/main">
              <a:graphicData uri="http://schemas.openxmlformats.org/drawingml/2006/chart">
                <c:chart xmlns:c="http://schemas.openxmlformats.org/drawingml/2006/chart" r:id="rId4"/>
              </a:graphicData>
            </a:graphic>
          </wp:inline>
        </w:drawing>
      </w:r>
    </w:p>
    <w:p>
      <w:pPr>
        <w:pStyle w:val="Body"/>
        <w:spacing w:after="0" w:line="48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above graph represented that from the total numbers respondents 55% were graduate students, 30% were Post Graduate students and remaining 15 % were doing other courses in University of Wales Trinity Saints David London Campus.</w:t>
      </w:r>
    </w:p>
    <w:p>
      <w:pPr>
        <w:pStyle w:val="Body"/>
        <w:spacing w:after="0" w:line="480" w:lineRule="auto"/>
        <w:jc w:val="both"/>
        <w:rPr>
          <w:rFonts w:ascii="Times New Roman" w:cs="Times New Roman" w:hAnsi="Times New Roman" w:eastAsia="Times New Roman"/>
          <w:i w:val="1"/>
          <w:iCs w:val="1"/>
          <w:sz w:val="24"/>
          <w:szCs w:val="24"/>
        </w:rPr>
      </w:pPr>
      <w:r>
        <w:rPr>
          <w:rFonts w:ascii="Times New Roman" w:hAnsi="Times New Roman"/>
          <w:i w:val="1"/>
          <w:iCs w:val="1"/>
          <w:sz w:val="24"/>
          <w:szCs w:val="24"/>
          <w:rtl w:val="0"/>
          <w:lang w:val="en-US"/>
        </w:rPr>
        <w:t>Virtual learning environment provide you better learning experience</w:t>
      </w:r>
    </w:p>
    <w:p>
      <w:pPr>
        <w:pStyle w:val="Body"/>
        <w:spacing w:after="0" w:line="480" w:lineRule="auto"/>
        <w:jc w:val="center"/>
        <w:rPr>
          <w:rFonts w:ascii="Times New Roman" w:cs="Times New Roman" w:hAnsi="Times New Roman" w:eastAsia="Times New Roman"/>
          <w:b w:val="1"/>
          <w:bCs w:val="1"/>
          <w:sz w:val="24"/>
          <w:szCs w:val="24"/>
        </w:rPr>
      </w:pPr>
      <w:r>
        <w:drawing xmlns:a="http://schemas.openxmlformats.org/drawingml/2006/main">
          <wp:inline distT="0" distB="0" distL="0" distR="0">
            <wp:extent cx="4290385" cy="1824572"/>
            <wp:effectExtent l="0" t="0" r="0" b="0"/>
            <wp:docPr id="1073741826" name="officeArt object"/>
            <wp:cNvGraphicFramePr/>
            <a:graphic xmlns:a="http://schemas.openxmlformats.org/drawingml/2006/main">
              <a:graphicData uri="http://schemas.openxmlformats.org/drawingml/2006/chart">
                <c:chart xmlns:c="http://schemas.openxmlformats.org/drawingml/2006/chart" r:id="rId5"/>
              </a:graphicData>
            </a:graphic>
          </wp:inline>
        </w:drawing>
      </w:r>
    </w:p>
    <w:p>
      <w:pPr>
        <w:pStyle w:val="Body"/>
        <w:spacing w:after="0" w:line="480" w:lineRule="auto"/>
        <w:jc w:val="both"/>
        <w:rPr>
          <w:rFonts w:ascii="Times New Roman" w:cs="Times New Roman" w:hAnsi="Times New Roman" w:eastAsia="Times New Roman"/>
          <w:sz w:val="24"/>
          <w:szCs w:val="24"/>
          <w:lang w:val="en-US"/>
        </w:rPr>
      </w:pPr>
    </w:p>
    <w:p>
      <w:pPr>
        <w:pStyle w:val="Body"/>
        <w:spacing w:after="0" w:line="48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When the respondents were asked about </w:t>
      </w:r>
      <w:r>
        <w:rPr>
          <w:rFonts w:ascii="Times New Roman" w:hAnsi="Times New Roman"/>
          <w:sz w:val="24"/>
          <w:szCs w:val="24"/>
          <w:rtl w:val="0"/>
          <w:lang w:val="en-US"/>
        </w:rPr>
        <w:t xml:space="preserve">virtual learning environment provide you better learning experience 40% of the respondents were strongly agree and 38% were agree that virtual learning environment provide them a good learning experience. 10% were Strongly Disagree, 7% were Neutral and 5% were Disagree on the same point. </w:t>
      </w:r>
    </w:p>
    <w:p>
      <w:pPr>
        <w:pStyle w:val="Body"/>
        <w:spacing w:after="0" w:line="480" w:lineRule="auto"/>
        <w:jc w:val="both"/>
        <w:rPr>
          <w:rFonts w:ascii="Times New Roman" w:cs="Times New Roman" w:hAnsi="Times New Roman" w:eastAsia="Times New Roman"/>
          <w:b w:val="1"/>
          <w:bCs w:val="1"/>
          <w:i w:val="1"/>
          <w:iCs w:val="1"/>
          <w:sz w:val="24"/>
          <w:szCs w:val="24"/>
        </w:rPr>
      </w:pPr>
      <w:r>
        <w:rPr>
          <w:rFonts w:ascii="Times New Roman" w:hAnsi="Times New Roman"/>
          <w:i w:val="1"/>
          <w:iCs w:val="1"/>
          <w:sz w:val="24"/>
          <w:szCs w:val="24"/>
          <w:rtl w:val="0"/>
          <w:lang w:val="en-US"/>
        </w:rPr>
        <w:t>VLE Moodle of the University of Wales Trinity Saints David London Campus is supportive for enhancing learning of the students</w:t>
      </w:r>
    </w:p>
    <w:p>
      <w:pPr>
        <w:pStyle w:val="Body"/>
        <w:spacing w:after="0" w:line="480" w:lineRule="auto"/>
        <w:jc w:val="center"/>
        <w:rPr>
          <w:rFonts w:ascii="Times New Roman" w:cs="Times New Roman" w:hAnsi="Times New Roman" w:eastAsia="Times New Roman"/>
          <w:b w:val="1"/>
          <w:bCs w:val="1"/>
          <w:sz w:val="24"/>
          <w:szCs w:val="24"/>
        </w:rPr>
      </w:pPr>
      <w:r>
        <w:drawing xmlns:a="http://schemas.openxmlformats.org/drawingml/2006/main">
          <wp:inline distT="0" distB="0" distL="0" distR="0">
            <wp:extent cx="4290385" cy="1849060"/>
            <wp:effectExtent l="0" t="0" r="0" b="0"/>
            <wp:docPr id="1073741827" name="officeArt object"/>
            <wp:cNvGraphicFramePr/>
            <a:graphic xmlns:a="http://schemas.openxmlformats.org/drawingml/2006/main">
              <a:graphicData uri="http://schemas.openxmlformats.org/drawingml/2006/chart">
                <c:chart xmlns:c="http://schemas.openxmlformats.org/drawingml/2006/chart" r:id="rId6"/>
              </a:graphicData>
            </a:graphic>
          </wp:inline>
        </w:drawing>
      </w:r>
    </w:p>
    <w:p>
      <w:pPr>
        <w:pStyle w:val="Body"/>
        <w:spacing w:after="0" w:line="480" w:lineRule="auto"/>
        <w:jc w:val="both"/>
        <w:rPr>
          <w:rFonts w:ascii="Times New Roman" w:cs="Times New Roman" w:hAnsi="Times New Roman" w:eastAsia="Times New Roman"/>
          <w:b w:val="1"/>
          <w:bCs w:val="1"/>
          <w:i w:val="1"/>
          <w:iCs w:val="1"/>
          <w:sz w:val="24"/>
          <w:szCs w:val="24"/>
          <w:lang w:val="en-US"/>
        </w:rPr>
      </w:pPr>
    </w:p>
    <w:p>
      <w:pPr>
        <w:pStyle w:val="Body"/>
        <w:spacing w:after="0" w:line="48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When the respondents were asked about </w:t>
      </w:r>
      <w:r>
        <w:rPr>
          <w:rFonts w:ascii="Times New Roman" w:hAnsi="Times New Roman"/>
          <w:sz w:val="24"/>
          <w:szCs w:val="24"/>
          <w:rtl w:val="0"/>
          <w:lang w:val="en-US"/>
        </w:rPr>
        <w:t>VLE Moodle of the University of Wales Trinity Saints David London Campus is supportive for enhancing learning of the students, 55% were Agree and 25% were Strongly Agree that VLE Moodle of the University highly supportive for enhancing the learning of the students. The other 8% were Neutral on this point while 7% were Disagree and 5% were Strongly Disagree.</w:t>
      </w:r>
    </w:p>
    <w:p>
      <w:pPr>
        <w:pStyle w:val="Body"/>
        <w:spacing w:after="0" w:line="480" w:lineRule="auto"/>
        <w:jc w:val="both"/>
        <w:rPr>
          <w:rFonts w:ascii="Times New Roman" w:cs="Times New Roman" w:hAnsi="Times New Roman" w:eastAsia="Times New Roman"/>
          <w:sz w:val="24"/>
          <w:szCs w:val="24"/>
        </w:rPr>
      </w:pPr>
      <w:r>
        <w:rPr>
          <w:rFonts w:ascii="Times New Roman" w:hAnsi="Times New Roman"/>
          <w:i w:val="1"/>
          <w:iCs w:val="1"/>
          <w:sz w:val="24"/>
          <w:szCs w:val="24"/>
          <w:rtl w:val="0"/>
          <w:lang w:val="en-US"/>
        </w:rPr>
        <w:t>Key features of the VLE Moodle of the University of Wales Trinity Saints David London</w:t>
      </w:r>
    </w:p>
    <w:p>
      <w:pPr>
        <w:pStyle w:val="Body"/>
        <w:spacing w:after="0" w:line="480" w:lineRule="auto"/>
        <w:jc w:val="center"/>
        <w:rPr>
          <w:rFonts w:ascii="Times New Roman" w:cs="Times New Roman" w:hAnsi="Times New Roman" w:eastAsia="Times New Roman"/>
          <w:b w:val="1"/>
          <w:bCs w:val="1"/>
          <w:sz w:val="24"/>
          <w:szCs w:val="24"/>
        </w:rPr>
      </w:pPr>
      <w:r>
        <w:drawing xmlns:a="http://schemas.openxmlformats.org/drawingml/2006/main">
          <wp:inline distT="0" distB="0" distL="0" distR="0">
            <wp:extent cx="3463409" cy="2056728"/>
            <wp:effectExtent l="0" t="0" r="0" b="0"/>
            <wp:docPr id="1073741828" name="officeArt object"/>
            <wp:cNvGraphicFramePr/>
            <a:graphic xmlns:a="http://schemas.openxmlformats.org/drawingml/2006/main">
              <a:graphicData uri="http://schemas.openxmlformats.org/drawingml/2006/chart">
                <c:chart xmlns:c="http://schemas.openxmlformats.org/drawingml/2006/chart" r:id="rId7"/>
              </a:graphicData>
            </a:graphic>
          </wp:inline>
        </w:drawing>
      </w:r>
    </w:p>
    <w:p>
      <w:pPr>
        <w:pStyle w:val="Body"/>
        <w:spacing w:after="0" w:line="48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When the respondents were asked about </w:t>
      </w:r>
      <w:r>
        <w:rPr>
          <w:rFonts w:ascii="Times New Roman" w:hAnsi="Times New Roman"/>
          <w:sz w:val="24"/>
          <w:szCs w:val="24"/>
          <w:rtl w:val="0"/>
          <w:lang w:val="en-US"/>
        </w:rPr>
        <w:t>key features of the VLE Moodle of the University of Wales Trinity Saints David London, 38% of the respondents said that VLE Moodle positively impacts the distance learning experience. The other 24% said that gathering</w:t>
      </w:r>
      <w:r>
        <w:rPr>
          <w:rFonts w:ascii="Times New Roman" w:hAnsi="Times New Roman"/>
          <w:sz w:val="24"/>
          <w:szCs w:val="24"/>
          <w:rtl w:val="0"/>
          <w:lang w:val="en-US"/>
        </w:rPr>
        <w:t xml:space="preserve"> educational data and information also becomes possible in efficient way with the help of VLE Moodle. 22% respondents said that VLE Moodle acts as a mediator in the process of learning and 16% respondents said that it provides formal learning to the students.    </w:t>
      </w:r>
    </w:p>
    <w:p>
      <w:pPr>
        <w:pStyle w:val="Body"/>
        <w:spacing w:after="0" w:line="480" w:lineRule="auto"/>
        <w:jc w:val="both"/>
        <w:rPr>
          <w:rFonts w:ascii="Times New Roman" w:cs="Times New Roman" w:hAnsi="Times New Roman" w:eastAsia="Times New Roman"/>
          <w:i w:val="1"/>
          <w:iCs w:val="1"/>
          <w:sz w:val="24"/>
          <w:szCs w:val="24"/>
        </w:rPr>
      </w:pPr>
      <w:r>
        <w:rPr>
          <w:rFonts w:ascii="Times New Roman" w:hAnsi="Times New Roman"/>
          <w:i w:val="1"/>
          <w:iCs w:val="1"/>
          <w:sz w:val="24"/>
          <w:szCs w:val="24"/>
          <w:rtl w:val="0"/>
          <w:lang w:val="en-US"/>
        </w:rPr>
        <w:t>Ways in which teaching practices of the teachers improves with the help of VLE Moodle</w:t>
      </w:r>
    </w:p>
    <w:p>
      <w:pPr>
        <w:pStyle w:val="Body"/>
        <w:spacing w:after="0" w:line="480" w:lineRule="auto"/>
        <w:jc w:val="center"/>
        <w:rPr>
          <w:rFonts w:ascii="Times New Roman" w:cs="Times New Roman" w:hAnsi="Times New Roman" w:eastAsia="Times New Roman"/>
          <w:b w:val="1"/>
          <w:bCs w:val="1"/>
          <w:sz w:val="24"/>
          <w:szCs w:val="24"/>
        </w:rPr>
      </w:pPr>
      <w:r>
        <w:drawing xmlns:a="http://schemas.openxmlformats.org/drawingml/2006/main">
          <wp:inline distT="0" distB="0" distL="0" distR="0">
            <wp:extent cx="2501900" cy="2173360"/>
            <wp:effectExtent l="0" t="0" r="0" b="0"/>
            <wp:docPr id="1073741829" name="officeArt object"/>
            <wp:cNvGraphicFramePr/>
            <a:graphic xmlns:a="http://schemas.openxmlformats.org/drawingml/2006/main">
              <a:graphicData uri="http://schemas.openxmlformats.org/drawingml/2006/chart">
                <c:chart xmlns:c="http://schemas.openxmlformats.org/drawingml/2006/chart" r:id="rId8"/>
              </a:graphicData>
            </a:graphic>
          </wp:inline>
        </w:drawing>
      </w:r>
    </w:p>
    <w:p>
      <w:pPr>
        <w:pStyle w:val="Body"/>
        <w:spacing w:after="0" w:line="48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When the respondents were asked about the ways in which </w:t>
      </w:r>
      <w:r>
        <w:rPr>
          <w:rFonts w:ascii="Times New Roman" w:hAnsi="Times New Roman"/>
          <w:sz w:val="24"/>
          <w:szCs w:val="24"/>
          <w:rtl w:val="0"/>
          <w:lang w:val="en-US"/>
        </w:rPr>
        <w:t xml:space="preserve">teaching practices of the teachers improves with the help of VLE Moodle, 30% of the respondents said that VLE Moodle provides open discussion of queries by the teachers with students. The other 27% of the respondents said that VLE Moodle provides suitable learning material to the teachers which they can provide to the students. 23% of the respondents said that face to face communication with students is a helpful teaching improvement and 20% respondents said that efficient teaching and learning practices is also another area of improvement in the teaching practice with the help of VLE Moodle.  </w:t>
      </w:r>
    </w:p>
    <w:p>
      <w:pPr>
        <w:pStyle w:val="Heading 2"/>
        <w:rPr>
          <w:rFonts w:ascii="Times New Roman" w:cs="Times New Roman" w:hAnsi="Times New Roman" w:eastAsia="Times New Roman"/>
          <w:b w:val="1"/>
          <w:bCs w:val="1"/>
          <w:sz w:val="24"/>
          <w:szCs w:val="24"/>
        </w:rPr>
      </w:pPr>
      <w:bookmarkStart w:name="_Toc9" w:id="9"/>
      <w:r>
        <w:rPr>
          <w:rFonts w:ascii="Times New Roman" w:hAnsi="Times New Roman"/>
          <w:b w:val="1"/>
          <w:bCs w:val="1"/>
          <w:sz w:val="24"/>
          <w:szCs w:val="24"/>
          <w:rtl w:val="0"/>
          <w:lang w:val="en-US"/>
        </w:rPr>
        <w:t>Findings of Secondary Data</w:t>
      </w:r>
      <w:bookmarkEnd w:id="9"/>
    </w:p>
    <w:p>
      <w:pPr>
        <w:pStyle w:val="Body"/>
        <w:spacing w:after="0" w:line="48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tl w:val="0"/>
          <w:lang w:val="en-US"/>
        </w:rPr>
        <w:tab/>
        <w:t>The secondary data findings derived from the literature review also reflects that VLE fosters a good learning for students because it provides dynamic, learning and engaging environment for the students in this digital era (</w:t>
      </w:r>
      <w:r>
        <w:rPr>
          <w:rFonts w:ascii="Times New Roman" w:hAnsi="Times New Roman"/>
          <w:sz w:val="24"/>
          <w:szCs w:val="24"/>
          <w:rtl w:val="0"/>
          <w:lang w:val="en-US"/>
        </w:rPr>
        <w:t>Riddle,</w:t>
      </w:r>
      <w:r>
        <w:rPr>
          <w:rFonts w:ascii="Times New Roman" w:hAnsi="Times New Roman" w:hint="default"/>
          <w:sz w:val="24"/>
          <w:szCs w:val="24"/>
          <w:rtl w:val="0"/>
          <w:lang w:val="en-US"/>
        </w:rPr>
        <w:t> </w:t>
      </w:r>
      <w:r>
        <w:rPr>
          <w:rFonts w:ascii="Times New Roman" w:hAnsi="Times New Roman"/>
          <w:sz w:val="24"/>
          <w:szCs w:val="24"/>
          <w:rtl w:val="0"/>
          <w:lang w:val="en-US"/>
        </w:rPr>
        <w:t>Keppell and</w:t>
      </w:r>
      <w:r>
        <w:rPr>
          <w:rFonts w:ascii="Times New Roman" w:hAnsi="Times New Roman" w:hint="default"/>
          <w:sz w:val="24"/>
          <w:szCs w:val="24"/>
          <w:rtl w:val="0"/>
          <w:lang w:val="en-US"/>
        </w:rPr>
        <w:t> </w:t>
      </w:r>
      <w:r>
        <w:rPr>
          <w:rFonts w:ascii="Times New Roman" w:hAnsi="Times New Roman"/>
          <w:sz w:val="24"/>
          <w:szCs w:val="24"/>
          <w:rtl w:val="0"/>
          <w:lang w:val="fr-FR"/>
        </w:rPr>
        <w:t>Souter,</w:t>
      </w:r>
      <w:r>
        <w:rPr>
          <w:rFonts w:ascii="Times New Roman" w:hAnsi="Times New Roman" w:hint="default"/>
          <w:sz w:val="24"/>
          <w:szCs w:val="24"/>
          <w:rtl w:val="0"/>
          <w:lang w:val="en-US"/>
        </w:rPr>
        <w:t> </w:t>
      </w:r>
      <w:r>
        <w:rPr>
          <w:rFonts w:ascii="Times New Roman" w:hAnsi="Times New Roman"/>
          <w:sz w:val="24"/>
          <w:szCs w:val="24"/>
          <w:rtl w:val="0"/>
        </w:rPr>
        <w:t>2012</w:t>
      </w:r>
      <w:r>
        <w:rPr>
          <w:rFonts w:ascii="Times New Roman" w:hAnsi="Times New Roman"/>
          <w:sz w:val="24"/>
          <w:szCs w:val="24"/>
          <w:rtl w:val="0"/>
          <w:lang w:val="en-US"/>
        </w:rPr>
        <w:t>). With the help of VLE the students can be benefited with the distance learning practices. The students can be benefited in terms of having educational information and data easily available on the portals. Secondly, VLE Moodle of the university provides opportunity to have face to face communication with the teachers which help in resolving the queries in good way through consistent and regular communication (</w:t>
      </w:r>
      <w:r>
        <w:rPr>
          <w:rFonts w:ascii="Times New Roman" w:hAnsi="Times New Roman"/>
          <w:sz w:val="24"/>
          <w:szCs w:val="24"/>
          <w:rtl w:val="0"/>
        </w:rPr>
        <w:t>Ko</w:t>
      </w:r>
      <w:r>
        <w:rPr>
          <w:rFonts w:ascii="Times New Roman" w:hAnsi="Times New Roman" w:hint="default"/>
          <w:sz w:val="24"/>
          <w:szCs w:val="24"/>
          <w:rtl w:val="0"/>
          <w:lang w:val="en-US"/>
        </w:rPr>
        <w:t>ç</w:t>
      </w:r>
      <w:r>
        <w:rPr>
          <w:rFonts w:ascii="Times New Roman" w:hAnsi="Times New Roman"/>
          <w:sz w:val="24"/>
          <w:szCs w:val="24"/>
          <w:rtl w:val="0"/>
        </w:rPr>
        <w:t>,</w:t>
      </w:r>
      <w:r>
        <w:rPr>
          <w:rFonts w:ascii="Times New Roman" w:hAnsi="Times New Roman" w:hint="default"/>
          <w:sz w:val="24"/>
          <w:szCs w:val="24"/>
          <w:rtl w:val="0"/>
          <w:lang w:val="en-US"/>
        </w:rPr>
        <w:t> </w:t>
      </w:r>
      <w:r>
        <w:rPr>
          <w:rFonts w:ascii="Times New Roman" w:hAnsi="Times New Roman"/>
          <w:sz w:val="24"/>
          <w:szCs w:val="24"/>
          <w:rtl w:val="0"/>
        </w:rPr>
        <w:t>2018</w:t>
      </w:r>
      <w:r>
        <w:rPr>
          <w:rFonts w:ascii="Times New Roman" w:hAnsi="Times New Roman"/>
          <w:sz w:val="24"/>
          <w:szCs w:val="24"/>
          <w:rtl w:val="0"/>
          <w:lang w:val="en-US"/>
        </w:rPr>
        <w:t xml:space="preserve">). In the university introduction of VLE Moodle provides flexible learning environment to  the  students for their better learning experience. </w:t>
      </w:r>
    </w:p>
    <w:p>
      <w:pPr>
        <w:pStyle w:val="Heading"/>
        <w:rPr>
          <w:rFonts w:ascii="Times New Roman" w:cs="Times New Roman" w:hAnsi="Times New Roman" w:eastAsia="Times New Roman"/>
          <w:b w:val="1"/>
          <w:bCs w:val="1"/>
          <w:sz w:val="24"/>
          <w:szCs w:val="24"/>
        </w:rPr>
      </w:pPr>
      <w:bookmarkStart w:name="_Toc10" w:id="10"/>
      <w:r>
        <w:rPr>
          <w:rFonts w:ascii="Times New Roman" w:hAnsi="Times New Roman"/>
          <w:b w:val="1"/>
          <w:bCs w:val="1"/>
          <w:sz w:val="24"/>
          <w:szCs w:val="24"/>
          <w:rtl w:val="0"/>
          <w:lang w:val="fr-FR"/>
        </w:rPr>
        <w:t xml:space="preserve">Section 5 Conclusion </w:t>
      </w:r>
      <w:bookmarkEnd w:id="10"/>
    </w:p>
    <w:p>
      <w:pPr>
        <w:pStyle w:val="Body"/>
        <w:spacing w:after="0" w:line="480" w:lineRule="auto"/>
        <w:jc w:val="both"/>
        <w:rPr>
          <w:rFonts w:ascii="Times New Roman" w:cs="Times New Roman" w:hAnsi="Times New Roman" w:eastAsia="Times New Roman"/>
          <w:sz w:val="24"/>
          <w:szCs w:val="24"/>
          <w:shd w:val="clear" w:color="auto" w:fill="ffffff"/>
        </w:rPr>
      </w:pPr>
      <w:bookmarkStart w:name="_Hlk49595677" w:id="11"/>
      <w:r>
        <w:rPr>
          <w:rFonts w:ascii="Times New Roman" w:cs="Times New Roman" w:hAnsi="Times New Roman" w:eastAsia="Times New Roman"/>
          <w:sz w:val="24"/>
          <w:szCs w:val="24"/>
          <w:rtl w:val="0"/>
          <w:lang w:val="en-US"/>
        </w:rPr>
        <w:tab/>
        <w:t xml:space="preserve">The research is conclude that Virtual learning environment provides varied benefits to the students. The students in the virtual learning environment get additional study material for enhancing their learning on the subject matter. The virtual learning environment moodle of the university also proves supportive for teacherss to provide the students good teching in varied way. </w:t>
      </w:r>
    </w:p>
    <w:p>
      <w:pPr>
        <w:pStyle w:val="Body"/>
      </w:pPr>
      <w:r>
        <w:rPr>
          <w:rFonts w:ascii="Arial Unicode MS" w:cs="Arial Unicode MS" w:hAnsi="Arial Unicode MS" w:eastAsia="Arial Unicode MS"/>
          <w:b w:val="0"/>
          <w:bCs w:val="0"/>
          <w:i w:val="0"/>
          <w:iCs w:val="0"/>
          <w:sz w:val="24"/>
          <w:szCs w:val="24"/>
          <w:shd w:val="clear" w:color="auto" w:fill="ffffff"/>
          <w:lang w:val="en-US"/>
        </w:rPr>
        <w:br w:type="page"/>
      </w:r>
    </w:p>
    <w:p>
      <w:pPr>
        <w:pStyle w:val="Heading"/>
        <w:rPr>
          <w:rFonts w:ascii="Times New Roman" w:cs="Times New Roman" w:hAnsi="Times New Roman" w:eastAsia="Times New Roman"/>
          <w:b w:val="1"/>
          <w:bCs w:val="1"/>
          <w:sz w:val="24"/>
          <w:szCs w:val="24"/>
          <w:shd w:val="clear" w:color="auto" w:fill="ffffff"/>
        </w:rPr>
      </w:pPr>
      <w:bookmarkStart w:name="_Toc11" w:id="12"/>
      <w:r>
        <w:rPr>
          <w:rFonts w:ascii="Times New Roman" w:hAnsi="Times New Roman"/>
          <w:b w:val="1"/>
          <w:bCs w:val="1"/>
          <w:sz w:val="24"/>
          <w:szCs w:val="24"/>
          <w:shd w:val="clear" w:color="auto" w:fill="ffffff"/>
          <w:rtl w:val="0"/>
          <w:lang w:val="fr-FR"/>
        </w:rPr>
        <w:t>References</w:t>
      </w:r>
      <w:bookmarkEnd w:id="12"/>
    </w:p>
    <w:p>
      <w:pPr>
        <w:pStyle w:val="Body"/>
        <w:rPr>
          <w:lang w:val="en-US"/>
        </w:rPr>
      </w:pPr>
      <w:bookmarkEnd w:id="11"/>
    </w:p>
    <w:p>
      <w:pPr>
        <w:pStyle w:val="Body"/>
        <w:spacing w:after="0" w:line="480" w:lineRule="auto"/>
        <w:ind w:left="720" w:hanging="720"/>
        <w:jc w:val="both"/>
        <w:rPr>
          <w:rFonts w:ascii="Times New Roman" w:cs="Times New Roman" w:hAnsi="Times New Roman" w:eastAsia="Times New Roman"/>
          <w:sz w:val="24"/>
          <w:szCs w:val="24"/>
          <w:shd w:val="clear" w:color="auto" w:fill="ffffff"/>
        </w:rPr>
      </w:pPr>
      <w:r>
        <w:rPr>
          <w:rFonts w:ascii="Times New Roman" w:hAnsi="Times New Roman"/>
          <w:sz w:val="24"/>
          <w:szCs w:val="24"/>
          <w:shd w:val="clear" w:color="auto" w:fill="ffffff"/>
          <w:rtl w:val="0"/>
          <w:lang w:val="en-US"/>
        </w:rPr>
        <w:t xml:space="preserve">Agudo-Peregrina, </w:t>
      </w:r>
      <w:r>
        <w:rPr>
          <w:rFonts w:ascii="Times New Roman" w:hAnsi="Times New Roman" w:hint="default"/>
          <w:sz w:val="24"/>
          <w:szCs w:val="24"/>
          <w:shd w:val="clear" w:color="auto" w:fill="ffffff"/>
          <w:rtl w:val="0"/>
          <w:lang w:val="en-US"/>
        </w:rPr>
        <w:t>Á</w:t>
      </w:r>
      <w:r>
        <w:rPr>
          <w:rFonts w:ascii="Times New Roman" w:hAnsi="Times New Roman"/>
          <w:sz w:val="24"/>
          <w:szCs w:val="24"/>
          <w:shd w:val="clear" w:color="auto" w:fill="ffffff"/>
          <w:rtl w:val="0"/>
          <w:lang w:val="en-US"/>
        </w:rPr>
        <w:t>.F., Hern</w:t>
      </w:r>
      <w:r>
        <w:rPr>
          <w:rFonts w:ascii="Times New Roman" w:hAnsi="Times New Roman" w:hint="default"/>
          <w:sz w:val="24"/>
          <w:szCs w:val="24"/>
          <w:shd w:val="clear" w:color="auto" w:fill="ffffff"/>
          <w:rtl w:val="0"/>
          <w:lang w:val="en-US"/>
        </w:rPr>
        <w:t>á</w:t>
      </w:r>
      <w:r>
        <w:rPr>
          <w:rFonts w:ascii="Times New Roman" w:hAnsi="Times New Roman"/>
          <w:sz w:val="24"/>
          <w:szCs w:val="24"/>
          <w:shd w:val="clear" w:color="auto" w:fill="ffffff"/>
          <w:rtl w:val="0"/>
          <w:lang w:val="en-US"/>
        </w:rPr>
        <w:t>ndez-Garc</w:t>
      </w:r>
      <w:r>
        <w:rPr>
          <w:rFonts w:ascii="Times New Roman" w:hAnsi="Times New Roman" w:hint="default"/>
          <w:sz w:val="24"/>
          <w:szCs w:val="24"/>
          <w:shd w:val="clear" w:color="auto" w:fill="ffffff"/>
          <w:rtl w:val="0"/>
          <w:lang w:val="en-US"/>
        </w:rPr>
        <w:t>í</w:t>
      </w:r>
      <w:r>
        <w:rPr>
          <w:rFonts w:ascii="Times New Roman" w:hAnsi="Times New Roman"/>
          <w:sz w:val="24"/>
          <w:szCs w:val="24"/>
          <w:shd w:val="clear" w:color="auto" w:fill="ffffff"/>
          <w:rtl w:val="0"/>
          <w:lang w:val="en-US"/>
        </w:rPr>
        <w:t xml:space="preserve">a, </w:t>
      </w:r>
      <w:r>
        <w:rPr>
          <w:rFonts w:ascii="Times New Roman" w:hAnsi="Times New Roman" w:hint="default"/>
          <w:sz w:val="24"/>
          <w:szCs w:val="24"/>
          <w:shd w:val="clear" w:color="auto" w:fill="ffffff"/>
          <w:rtl w:val="0"/>
          <w:lang w:val="en-US"/>
        </w:rPr>
        <w:t>Á</w:t>
      </w:r>
      <w:r>
        <w:rPr>
          <w:rFonts w:ascii="Times New Roman" w:hAnsi="Times New Roman"/>
          <w:sz w:val="24"/>
          <w:szCs w:val="24"/>
          <w:shd w:val="clear" w:color="auto" w:fill="ffffff"/>
          <w:rtl w:val="0"/>
          <w:lang w:val="en-US"/>
        </w:rPr>
        <w:t>. and Iglesias-Pradas, S. 2012. Predicting academic performance with learning analytics in virtual learning environments: A comparative study of three interaction classifications. In</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 xml:space="preserve">2012 International Symposium on Computers in Education, </w:t>
      </w:r>
      <w:r>
        <w:rPr>
          <w:rFonts w:ascii="Times New Roman" w:hAnsi="Times New Roman"/>
          <w:sz w:val="24"/>
          <w:szCs w:val="24"/>
          <w:shd w:val="clear" w:color="auto" w:fill="ffffff"/>
          <w:rtl w:val="0"/>
          <w:lang w:val="en-US"/>
        </w:rPr>
        <w:t>pp. 1-6.</w:t>
      </w:r>
    </w:p>
    <w:p>
      <w:pPr>
        <w:pStyle w:val="Body"/>
        <w:spacing w:after="0" w:line="480" w:lineRule="auto"/>
        <w:ind w:left="720" w:hanging="720"/>
        <w:jc w:val="both"/>
        <w:rPr>
          <w:rFonts w:ascii="Times New Roman" w:cs="Times New Roman" w:hAnsi="Times New Roman" w:eastAsia="Times New Roman"/>
          <w:sz w:val="24"/>
          <w:szCs w:val="24"/>
          <w:shd w:val="clear" w:color="auto" w:fill="ffffff"/>
        </w:rPr>
      </w:pPr>
      <w:bookmarkStart w:name="_Hlk49594505" w:id="13"/>
      <w:r>
        <w:rPr>
          <w:rFonts w:ascii="Times New Roman" w:hAnsi="Times New Roman"/>
          <w:sz w:val="24"/>
          <w:szCs w:val="24"/>
          <w:shd w:val="clear" w:color="auto" w:fill="ffffff"/>
          <w:rtl w:val="0"/>
          <w:lang w:val="en-US"/>
        </w:rPr>
        <w:t xml:space="preserve">Alves, P., Miranda, L. and Morais, C. 2017. </w:t>
      </w:r>
      <w:bookmarkEnd w:id="13"/>
      <w:r>
        <w:rPr>
          <w:rFonts w:ascii="Times New Roman" w:hAnsi="Times New Roman"/>
          <w:sz w:val="24"/>
          <w:szCs w:val="24"/>
          <w:shd w:val="clear" w:color="auto" w:fill="ffffff"/>
          <w:rtl w:val="0"/>
          <w:lang w:val="en-US"/>
        </w:rPr>
        <w:t>The Influence of Virtual Learning Environments in Students' Performance.</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Universal Journal of Educational Research</w:t>
      </w:r>
      <w:r>
        <w:rPr>
          <w:rFonts w:ascii="Times New Roman" w:hAnsi="Times New Roman"/>
          <w:sz w:val="24"/>
          <w:szCs w:val="24"/>
          <w:shd w:val="clear" w:color="auto" w:fill="ffffff"/>
          <w:rtl w:val="0"/>
          <w:lang w:val="en-US"/>
        </w:rPr>
        <w:t xml:space="preserve"> 5(3), pp. 517-527.</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Hamilton,</w:t>
      </w:r>
      <w:r>
        <w:rPr>
          <w:rFonts w:ascii="Times New Roman" w:hAnsi="Times New Roman" w:hint="default"/>
          <w:sz w:val="24"/>
          <w:szCs w:val="24"/>
          <w:rtl w:val="0"/>
          <w:lang w:val="en-US"/>
        </w:rPr>
        <w:t> </w:t>
      </w:r>
      <w:r>
        <w:rPr>
          <w:rFonts w:ascii="Times New Roman" w:hAnsi="Times New Roman"/>
          <w:sz w:val="24"/>
          <w:szCs w:val="24"/>
          <w:rtl w:val="0"/>
        </w:rPr>
        <w:t>M.</w:t>
      </w:r>
      <w:r>
        <w:rPr>
          <w:rFonts w:ascii="Times New Roman" w:hAnsi="Times New Roman" w:hint="default"/>
          <w:sz w:val="24"/>
          <w:szCs w:val="24"/>
          <w:rtl w:val="0"/>
          <w:lang w:val="en-US"/>
        </w:rPr>
        <w:t> </w:t>
      </w:r>
      <w:r>
        <w:rPr>
          <w:rFonts w:ascii="Times New Roman" w:hAnsi="Times New Roman"/>
          <w:sz w:val="24"/>
          <w:szCs w:val="24"/>
          <w:rtl w:val="0"/>
        </w:rPr>
        <w:t>2013.</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Autonomy and Foreign Language Learning in a Virtual Learning Environment</w:t>
      </w:r>
      <w:r>
        <w:rPr>
          <w:rFonts w:ascii="Times New Roman" w:hAnsi="Times New Roman"/>
          <w:sz w:val="24"/>
          <w:szCs w:val="24"/>
          <w:rtl w:val="0"/>
        </w:rPr>
        <w:t>.</w:t>
      </w:r>
      <w:r>
        <w:rPr>
          <w:rFonts w:ascii="Times New Roman" w:hAnsi="Times New Roman" w:hint="default"/>
          <w:sz w:val="24"/>
          <w:szCs w:val="24"/>
          <w:rtl w:val="0"/>
          <w:lang w:val="en-US"/>
        </w:rPr>
        <w:t> </w:t>
      </w:r>
      <w:r>
        <w:rPr>
          <w:rFonts w:ascii="Times New Roman" w:hAnsi="Times New Roman"/>
          <w:sz w:val="24"/>
          <w:szCs w:val="24"/>
          <w:rtl w:val="0"/>
        </w:rPr>
        <w:t>Bloomsbury Academic.</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rPr>
        <w:t>Hramiak,</w:t>
      </w:r>
      <w:r>
        <w:rPr>
          <w:rFonts w:ascii="Times New Roman" w:hAnsi="Times New Roman" w:hint="default"/>
          <w:sz w:val="24"/>
          <w:szCs w:val="24"/>
          <w:rtl w:val="0"/>
          <w:lang w:val="en-US"/>
        </w:rPr>
        <w:t> </w:t>
      </w:r>
      <w:r>
        <w:rPr>
          <w:rFonts w:ascii="Times New Roman" w:hAnsi="Times New Roman"/>
          <w:sz w:val="24"/>
          <w:szCs w:val="24"/>
          <w:rtl w:val="0"/>
        </w:rPr>
        <w:t>A.,</w:t>
      </w:r>
      <w:r>
        <w:rPr>
          <w:rFonts w:ascii="Times New Roman" w:hAnsi="Times New Roman" w:hint="default"/>
          <w:sz w:val="24"/>
          <w:szCs w:val="24"/>
          <w:rtl w:val="0"/>
          <w:lang w:val="en-US"/>
        </w:rPr>
        <w:t> </w:t>
      </w:r>
      <w:r>
        <w:rPr>
          <w:rFonts w:ascii="Times New Roman" w:hAnsi="Times New Roman"/>
          <w:sz w:val="24"/>
          <w:szCs w:val="24"/>
          <w:rtl w:val="0"/>
          <w:lang w:val="it-IT"/>
        </w:rPr>
        <w:t>Williamson,</w:t>
      </w:r>
      <w:r>
        <w:rPr>
          <w:rFonts w:ascii="Times New Roman" w:hAnsi="Times New Roman" w:hint="default"/>
          <w:sz w:val="24"/>
          <w:szCs w:val="24"/>
          <w:rtl w:val="0"/>
          <w:lang w:val="en-US"/>
        </w:rPr>
        <w:t> </w:t>
      </w:r>
      <w:r>
        <w:rPr>
          <w:rFonts w:ascii="Times New Roman" w:hAnsi="Times New Roman"/>
          <w:sz w:val="24"/>
          <w:szCs w:val="24"/>
          <w:rtl w:val="0"/>
        </w:rPr>
        <w:t>R.,</w:t>
      </w:r>
      <w:r>
        <w:rPr>
          <w:rFonts w:ascii="Times New Roman" w:hAnsi="Times New Roman" w:hint="default"/>
          <w:sz w:val="24"/>
          <w:szCs w:val="24"/>
          <w:rtl w:val="0"/>
          <w:lang w:val="en-US"/>
        </w:rPr>
        <w:t> </w:t>
      </w:r>
      <w:r>
        <w:rPr>
          <w:rFonts w:ascii="Times New Roman" w:hAnsi="Times New Roman"/>
          <w:sz w:val="24"/>
          <w:szCs w:val="24"/>
          <w:rtl w:val="0"/>
          <w:lang w:val="it-IT"/>
        </w:rPr>
        <w:t>Gillespie,</w:t>
      </w:r>
      <w:r>
        <w:rPr>
          <w:rFonts w:ascii="Times New Roman" w:hAnsi="Times New Roman" w:hint="default"/>
          <w:sz w:val="24"/>
          <w:szCs w:val="24"/>
          <w:rtl w:val="0"/>
          <w:lang w:val="en-US"/>
        </w:rPr>
        <w:t> </w:t>
      </w:r>
      <w:r>
        <w:rPr>
          <w:rFonts w:ascii="Times New Roman" w:hAnsi="Times New Roman"/>
          <w:sz w:val="24"/>
          <w:szCs w:val="24"/>
          <w:rtl w:val="0"/>
          <w:lang w:val="en-US"/>
        </w:rPr>
        <w:t>H. and</w:t>
      </w:r>
      <w:r>
        <w:rPr>
          <w:rFonts w:ascii="Times New Roman" w:hAnsi="Times New Roman" w:hint="default"/>
          <w:sz w:val="24"/>
          <w:szCs w:val="24"/>
          <w:rtl w:val="0"/>
          <w:lang w:val="en-US"/>
        </w:rPr>
        <w:t> </w:t>
      </w:r>
      <w:r>
        <w:rPr>
          <w:rFonts w:ascii="Times New Roman" w:hAnsi="Times New Roman"/>
          <w:sz w:val="24"/>
          <w:szCs w:val="24"/>
          <w:rtl w:val="0"/>
          <w:lang w:val="fr-FR"/>
        </w:rPr>
        <w:t>Boulton,</w:t>
      </w:r>
      <w:r>
        <w:rPr>
          <w:rFonts w:ascii="Times New Roman" w:hAnsi="Times New Roman" w:hint="default"/>
          <w:sz w:val="24"/>
          <w:szCs w:val="24"/>
          <w:rtl w:val="0"/>
          <w:lang w:val="en-US"/>
        </w:rPr>
        <w:t> </w:t>
      </w:r>
      <w:r>
        <w:rPr>
          <w:rFonts w:ascii="Times New Roman" w:hAnsi="Times New Roman"/>
          <w:sz w:val="24"/>
          <w:szCs w:val="24"/>
          <w:rtl w:val="0"/>
        </w:rPr>
        <w:t>H.</w:t>
      </w:r>
      <w:r>
        <w:rPr>
          <w:rFonts w:ascii="Times New Roman" w:hAnsi="Times New Roman" w:hint="default"/>
          <w:sz w:val="24"/>
          <w:szCs w:val="24"/>
          <w:rtl w:val="0"/>
          <w:lang w:val="en-US"/>
        </w:rPr>
        <w:t> </w:t>
      </w:r>
      <w:r>
        <w:rPr>
          <w:rFonts w:ascii="Times New Roman" w:hAnsi="Times New Roman"/>
          <w:sz w:val="24"/>
          <w:szCs w:val="24"/>
          <w:rtl w:val="0"/>
        </w:rPr>
        <w:t>2007.</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Learning and Teaching with Virtual Learning Environments</w:t>
      </w:r>
      <w:r>
        <w:rPr>
          <w:rFonts w:ascii="Times New Roman" w:hAnsi="Times New Roman"/>
          <w:sz w:val="24"/>
          <w:szCs w:val="24"/>
          <w:rtl w:val="0"/>
        </w:rPr>
        <w:t>.</w:t>
      </w:r>
      <w:r>
        <w:rPr>
          <w:rFonts w:ascii="Times New Roman" w:hAnsi="Times New Roman" w:hint="default"/>
          <w:sz w:val="24"/>
          <w:szCs w:val="24"/>
          <w:rtl w:val="0"/>
          <w:lang w:val="en-US"/>
        </w:rPr>
        <w:t> </w:t>
      </w:r>
      <w:r>
        <w:rPr>
          <w:rFonts w:ascii="Times New Roman" w:hAnsi="Times New Roman"/>
          <w:sz w:val="24"/>
          <w:szCs w:val="24"/>
          <w:rtl w:val="0"/>
          <w:lang w:val="en-US"/>
        </w:rPr>
        <w:t>United Kingdom:</w:t>
      </w:r>
      <w:r>
        <w:rPr>
          <w:rFonts w:ascii="Times New Roman" w:hAnsi="Times New Roman" w:hint="default"/>
          <w:sz w:val="24"/>
          <w:szCs w:val="24"/>
          <w:rtl w:val="0"/>
          <w:lang w:val="en-US"/>
        </w:rPr>
        <w:t> </w:t>
      </w:r>
      <w:r>
        <w:rPr>
          <w:rFonts w:ascii="Times New Roman" w:hAnsi="Times New Roman"/>
          <w:sz w:val="24"/>
          <w:szCs w:val="24"/>
          <w:rtl w:val="0"/>
          <w:lang w:val="en-US"/>
        </w:rPr>
        <w:t>SAGE Publications.</w:t>
      </w:r>
    </w:p>
    <w:p>
      <w:pPr>
        <w:pStyle w:val="Body"/>
        <w:spacing w:after="0" w:line="48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Jonker, J. and Pennink, B. 2010. </w:t>
      </w:r>
      <w:r>
        <w:rPr>
          <w:rFonts w:ascii="Times New Roman" w:hAnsi="Times New Roman"/>
          <w:i w:val="1"/>
          <w:iCs w:val="1"/>
          <w:sz w:val="24"/>
          <w:szCs w:val="24"/>
          <w:rtl w:val="0"/>
          <w:lang w:val="en-US"/>
        </w:rPr>
        <w:t xml:space="preserve">The essence of research methodology: a concise guide for master and PhD students in business and economics. </w:t>
      </w:r>
      <w:r>
        <w:rPr>
          <w:rFonts w:ascii="Times New Roman" w:hAnsi="Times New Roman"/>
          <w:sz w:val="24"/>
          <w:szCs w:val="24"/>
          <w:rtl w:val="0"/>
          <w:lang w:val="en-US"/>
        </w:rPr>
        <w:t xml:space="preserve">Springer Science &amp; Business Media. </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rPr>
        <w:t>Ko</w:t>
      </w:r>
      <w:r>
        <w:rPr>
          <w:rFonts w:ascii="Times New Roman" w:hAnsi="Times New Roman" w:hint="default"/>
          <w:sz w:val="24"/>
          <w:szCs w:val="24"/>
          <w:rtl w:val="0"/>
          <w:lang w:val="en-US"/>
        </w:rPr>
        <w:t>ç</w:t>
      </w:r>
      <w:r>
        <w:rPr>
          <w:rFonts w:ascii="Times New Roman" w:hAnsi="Times New Roman"/>
          <w:sz w:val="24"/>
          <w:szCs w:val="24"/>
          <w:rtl w:val="0"/>
        </w:rPr>
        <w:t>,</w:t>
      </w:r>
      <w:r>
        <w:rPr>
          <w:rFonts w:ascii="Times New Roman" w:hAnsi="Times New Roman" w:hint="default"/>
          <w:sz w:val="24"/>
          <w:szCs w:val="24"/>
          <w:rtl w:val="0"/>
          <w:lang w:val="en-US"/>
        </w:rPr>
        <w:t> </w:t>
      </w:r>
      <w:r>
        <w:rPr>
          <w:rFonts w:ascii="Times New Roman" w:hAnsi="Times New Roman"/>
          <w:sz w:val="24"/>
          <w:szCs w:val="24"/>
          <w:rtl w:val="0"/>
        </w:rPr>
        <w:t>S.</w:t>
      </w:r>
      <w:r>
        <w:rPr>
          <w:rFonts w:ascii="Times New Roman" w:hAnsi="Times New Roman" w:hint="default"/>
          <w:sz w:val="24"/>
          <w:szCs w:val="24"/>
          <w:rtl w:val="0"/>
          <w:lang w:val="en-US"/>
        </w:rPr>
        <w:t> </w:t>
      </w:r>
      <w:r>
        <w:rPr>
          <w:rFonts w:ascii="Times New Roman" w:hAnsi="Times New Roman"/>
          <w:sz w:val="24"/>
          <w:szCs w:val="24"/>
          <w:rtl w:val="0"/>
        </w:rPr>
        <w:t>2018.</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Student-Centered Virtual Learning Environments in Higher Education</w:t>
      </w:r>
      <w:r>
        <w:rPr>
          <w:rFonts w:ascii="Times New Roman" w:hAnsi="Times New Roman"/>
          <w:sz w:val="24"/>
          <w:szCs w:val="24"/>
          <w:rtl w:val="0"/>
        </w:rPr>
        <w:t>.</w:t>
      </w:r>
      <w:r>
        <w:rPr>
          <w:rFonts w:ascii="Times New Roman" w:hAnsi="Times New Roman" w:hint="default"/>
          <w:sz w:val="24"/>
          <w:szCs w:val="24"/>
          <w:rtl w:val="0"/>
          <w:lang w:val="en-US"/>
        </w:rPr>
        <w:t> </w:t>
      </w:r>
      <w:r>
        <w:rPr>
          <w:rFonts w:ascii="Times New Roman" w:hAnsi="Times New Roman"/>
          <w:sz w:val="24"/>
          <w:szCs w:val="24"/>
          <w:rtl w:val="0"/>
          <w:lang w:val="en-US"/>
        </w:rPr>
        <w:t>United States:</w:t>
      </w:r>
      <w:r>
        <w:rPr>
          <w:rFonts w:ascii="Times New Roman" w:hAnsi="Times New Roman" w:hint="default"/>
          <w:sz w:val="24"/>
          <w:szCs w:val="24"/>
          <w:rtl w:val="0"/>
          <w:lang w:val="en-US"/>
        </w:rPr>
        <w:t> </w:t>
      </w:r>
      <w:r>
        <w:rPr>
          <w:rFonts w:ascii="Times New Roman" w:hAnsi="Times New Roman"/>
          <w:sz w:val="24"/>
          <w:szCs w:val="24"/>
          <w:rtl w:val="0"/>
        </w:rPr>
        <w:t>IGI Global.</w:t>
      </w:r>
    </w:p>
    <w:p>
      <w:pPr>
        <w:pStyle w:val="Body"/>
        <w:spacing w:after="0" w:line="48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Mallinson, C., Childs, B. and  Herk, G.V. 2013. </w:t>
      </w:r>
      <w:r>
        <w:rPr>
          <w:rFonts w:ascii="Times New Roman" w:hAnsi="Times New Roman"/>
          <w:i w:val="1"/>
          <w:iCs w:val="1"/>
          <w:sz w:val="24"/>
          <w:szCs w:val="24"/>
          <w:rtl w:val="0"/>
          <w:lang w:val="en-US"/>
        </w:rPr>
        <w:t xml:space="preserve">Data collection in sociolinguistics: methods and applications. </w:t>
      </w:r>
      <w:r>
        <w:rPr>
          <w:rFonts w:ascii="Times New Roman" w:hAnsi="Times New Roman"/>
          <w:sz w:val="24"/>
          <w:szCs w:val="24"/>
          <w:rtl w:val="0"/>
          <w:lang w:val="en-US"/>
        </w:rPr>
        <w:t>NY: Routledge.</w:t>
      </w:r>
    </w:p>
    <w:p>
      <w:pPr>
        <w:pStyle w:val="Body"/>
        <w:spacing w:after="0" w:line="480" w:lineRule="auto"/>
        <w:ind w:left="720" w:hanging="720"/>
        <w:jc w:val="both"/>
        <w:rPr>
          <w:rFonts w:ascii="Times New Roman" w:cs="Times New Roman" w:hAnsi="Times New Roman" w:eastAsia="Times New Roman"/>
          <w:sz w:val="24"/>
          <w:szCs w:val="24"/>
          <w:shd w:val="clear" w:color="auto" w:fill="ffffff"/>
        </w:rPr>
      </w:pPr>
      <w:bookmarkStart w:name="_Hlk49594727" w:id="14"/>
      <w:r>
        <w:rPr>
          <w:rFonts w:ascii="Times New Roman" w:hAnsi="Times New Roman"/>
          <w:sz w:val="24"/>
          <w:szCs w:val="24"/>
          <w:shd w:val="clear" w:color="auto" w:fill="ffffff"/>
          <w:rtl w:val="0"/>
          <w:lang w:val="en-US"/>
        </w:rPr>
        <w:t xml:space="preserve">Maltby, A. and Mackie, S. 2009. </w:t>
      </w:r>
      <w:bookmarkEnd w:id="14"/>
      <w:r>
        <w:rPr>
          <w:rFonts w:ascii="Times New Roman" w:hAnsi="Times New Roman"/>
          <w:sz w:val="24"/>
          <w:szCs w:val="24"/>
          <w:shd w:val="clear" w:color="auto" w:fill="ffffff"/>
          <w:rtl w:val="0"/>
          <w:lang w:val="en-US"/>
        </w:rPr>
        <w:t>Virtual learning environments</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 xml:space="preserve">help or hindrance for the </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disengaged</w:t>
      </w:r>
      <w:r>
        <w:rPr>
          <w:rFonts w:ascii="Times New Roman" w:hAnsi="Times New Roman" w:hint="default"/>
          <w:sz w:val="24"/>
          <w:szCs w:val="24"/>
          <w:shd w:val="clear" w:color="auto" w:fill="ffffff"/>
          <w:rtl w:val="0"/>
          <w:lang w:val="en-US"/>
        </w:rPr>
        <w:t>’</w:t>
      </w:r>
      <w:r>
        <w:rPr>
          <w:rFonts w:ascii="Times New Roman" w:hAnsi="Times New Roman"/>
          <w:sz w:val="24"/>
          <w:szCs w:val="24"/>
          <w:shd w:val="clear" w:color="auto" w:fill="ffffff"/>
          <w:rtl w:val="0"/>
          <w:lang w:val="en-US"/>
        </w:rPr>
        <w:t>student?.</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ALT-J</w:t>
      </w:r>
      <w:r>
        <w:rPr>
          <w:rFonts w:ascii="Times New Roman" w:hAnsi="Times New Roman"/>
          <w:sz w:val="24"/>
          <w:szCs w:val="24"/>
          <w:shd w:val="clear" w:color="auto" w:fill="ffffff"/>
          <w:rtl w:val="0"/>
          <w:lang w:val="en-US"/>
        </w:rPr>
        <w:t xml:space="preserve"> 17(1), pp. 49-62.</w:t>
      </w:r>
    </w:p>
    <w:p>
      <w:pPr>
        <w:pStyle w:val="Body"/>
        <w:spacing w:after="0" w:line="480" w:lineRule="auto"/>
        <w:ind w:left="720" w:hanging="720"/>
        <w:rPr>
          <w:rFonts w:ascii="Times New Roman" w:cs="Times New Roman" w:hAnsi="Times New Roman" w:eastAsia="Times New Roman"/>
          <w:sz w:val="24"/>
          <w:szCs w:val="24"/>
        </w:rPr>
      </w:pPr>
      <w:r>
        <w:rPr>
          <w:rFonts w:ascii="Times New Roman" w:hAnsi="Times New Roman"/>
          <w:sz w:val="24"/>
          <w:szCs w:val="24"/>
          <w:rtl w:val="0"/>
          <w:lang w:val="en-US"/>
        </w:rPr>
        <w:t>Riddle,</w:t>
      </w:r>
      <w:r>
        <w:rPr>
          <w:rFonts w:ascii="Times New Roman" w:hAnsi="Times New Roman" w:hint="default"/>
          <w:sz w:val="24"/>
          <w:szCs w:val="24"/>
          <w:rtl w:val="0"/>
          <w:lang w:val="en-US"/>
        </w:rPr>
        <w:t> </w:t>
      </w:r>
      <w:r>
        <w:rPr>
          <w:rFonts w:ascii="Times New Roman" w:hAnsi="Times New Roman"/>
          <w:sz w:val="24"/>
          <w:szCs w:val="24"/>
          <w:rtl w:val="0"/>
        </w:rPr>
        <w:t>M.,</w:t>
      </w:r>
      <w:r>
        <w:rPr>
          <w:rFonts w:ascii="Times New Roman" w:hAnsi="Times New Roman" w:hint="default"/>
          <w:sz w:val="24"/>
          <w:szCs w:val="24"/>
          <w:rtl w:val="0"/>
          <w:lang w:val="en-US"/>
        </w:rPr>
        <w:t> </w:t>
      </w:r>
      <w:r>
        <w:rPr>
          <w:rFonts w:ascii="Times New Roman" w:hAnsi="Times New Roman"/>
          <w:sz w:val="24"/>
          <w:szCs w:val="24"/>
          <w:rtl w:val="0"/>
          <w:lang w:val="it-IT"/>
        </w:rPr>
        <w:t>Keppell,</w:t>
      </w:r>
      <w:r>
        <w:rPr>
          <w:rFonts w:ascii="Times New Roman" w:hAnsi="Times New Roman" w:hint="default"/>
          <w:sz w:val="24"/>
          <w:szCs w:val="24"/>
          <w:rtl w:val="0"/>
          <w:lang w:val="en-US"/>
        </w:rPr>
        <w:t> </w:t>
      </w:r>
      <w:r>
        <w:rPr>
          <w:rFonts w:ascii="Times New Roman" w:hAnsi="Times New Roman"/>
          <w:sz w:val="24"/>
          <w:szCs w:val="24"/>
          <w:rtl w:val="0"/>
          <w:lang w:val="en-US"/>
        </w:rPr>
        <w:t>M. and</w:t>
      </w:r>
      <w:r>
        <w:rPr>
          <w:rFonts w:ascii="Times New Roman" w:hAnsi="Times New Roman" w:hint="default"/>
          <w:sz w:val="24"/>
          <w:szCs w:val="24"/>
          <w:rtl w:val="0"/>
          <w:lang w:val="en-US"/>
        </w:rPr>
        <w:t> </w:t>
      </w:r>
      <w:r>
        <w:rPr>
          <w:rFonts w:ascii="Times New Roman" w:hAnsi="Times New Roman"/>
          <w:sz w:val="24"/>
          <w:szCs w:val="24"/>
          <w:rtl w:val="0"/>
          <w:lang w:val="fr-FR"/>
        </w:rPr>
        <w:t>Souter,</w:t>
      </w:r>
      <w:r>
        <w:rPr>
          <w:rFonts w:ascii="Times New Roman" w:hAnsi="Times New Roman" w:hint="default"/>
          <w:sz w:val="24"/>
          <w:szCs w:val="24"/>
          <w:rtl w:val="0"/>
          <w:lang w:val="en-US"/>
        </w:rPr>
        <w:t> </w:t>
      </w:r>
      <w:r>
        <w:rPr>
          <w:rFonts w:ascii="Times New Roman" w:hAnsi="Times New Roman"/>
          <w:sz w:val="24"/>
          <w:szCs w:val="24"/>
          <w:rtl w:val="0"/>
        </w:rPr>
        <w:t>K.</w:t>
      </w:r>
      <w:r>
        <w:rPr>
          <w:rFonts w:ascii="Times New Roman" w:hAnsi="Times New Roman" w:hint="default"/>
          <w:sz w:val="24"/>
          <w:szCs w:val="24"/>
          <w:rtl w:val="0"/>
          <w:lang w:val="en-US"/>
        </w:rPr>
        <w:t> </w:t>
      </w:r>
      <w:r>
        <w:rPr>
          <w:rFonts w:ascii="Times New Roman" w:hAnsi="Times New Roman"/>
          <w:sz w:val="24"/>
          <w:szCs w:val="24"/>
          <w:rtl w:val="0"/>
        </w:rPr>
        <w:t>2012.</w:t>
      </w:r>
      <w:r>
        <w:rPr>
          <w:rFonts w:ascii="Times New Roman" w:hAnsi="Times New Roman" w:hint="default"/>
          <w:sz w:val="24"/>
          <w:szCs w:val="24"/>
          <w:rtl w:val="0"/>
          <w:lang w:val="en-US"/>
        </w:rPr>
        <w:t> </w:t>
      </w:r>
      <w:r>
        <w:rPr>
          <w:rFonts w:ascii="Times New Roman" w:hAnsi="Times New Roman"/>
          <w:i w:val="1"/>
          <w:iCs w:val="1"/>
          <w:sz w:val="24"/>
          <w:szCs w:val="24"/>
          <w:rtl w:val="0"/>
          <w:lang w:val="en-US"/>
        </w:rPr>
        <w:t>Physical and Virtual Learning Spaces in Higher Education: Concepts for the Modern Learning Environment.</w:t>
      </w:r>
      <w:r>
        <w:rPr>
          <w:rFonts w:ascii="Times New Roman" w:hAnsi="Times New Roman" w:hint="default"/>
          <w:i w:val="1"/>
          <w:iCs w:val="1"/>
          <w:sz w:val="24"/>
          <w:szCs w:val="24"/>
          <w:rtl w:val="0"/>
          <w:lang w:val="en-US"/>
        </w:rPr>
        <w:t> </w:t>
      </w:r>
      <w:r>
        <w:rPr>
          <w:rFonts w:ascii="Times New Roman" w:hAnsi="Times New Roman"/>
          <w:sz w:val="24"/>
          <w:szCs w:val="24"/>
          <w:rtl w:val="0"/>
          <w:lang w:val="en-US"/>
        </w:rPr>
        <w:t>United States:</w:t>
      </w:r>
      <w:r>
        <w:rPr>
          <w:rFonts w:ascii="Times New Roman" w:hAnsi="Times New Roman" w:hint="default"/>
          <w:sz w:val="24"/>
          <w:szCs w:val="24"/>
          <w:rtl w:val="0"/>
          <w:lang w:val="en-US"/>
        </w:rPr>
        <w:t> </w:t>
      </w:r>
      <w:r>
        <w:rPr>
          <w:rFonts w:ascii="Times New Roman" w:hAnsi="Times New Roman"/>
          <w:sz w:val="24"/>
          <w:szCs w:val="24"/>
          <w:rtl w:val="0"/>
          <w:lang w:val="en-US"/>
        </w:rPr>
        <w:t>Information Science Reference.</w:t>
      </w:r>
    </w:p>
    <w:p>
      <w:pPr>
        <w:pStyle w:val="Body"/>
        <w:spacing w:after="0" w:line="48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Supino, P.G.  and Borer, J.F. 2012. </w:t>
      </w:r>
      <w:r>
        <w:rPr>
          <w:rFonts w:ascii="Times New Roman" w:hAnsi="Times New Roman"/>
          <w:i w:val="1"/>
          <w:iCs w:val="1"/>
          <w:sz w:val="24"/>
          <w:szCs w:val="24"/>
          <w:rtl w:val="0"/>
          <w:lang w:val="en-US"/>
        </w:rPr>
        <w:t>Principles of research methodology: a guide for clinical investigators</w:t>
      </w:r>
      <w:r>
        <w:rPr>
          <w:rFonts w:ascii="Times New Roman" w:hAnsi="Times New Roman"/>
          <w:sz w:val="24"/>
          <w:szCs w:val="24"/>
          <w:rtl w:val="0"/>
          <w:lang w:val="en-US"/>
        </w:rPr>
        <w:t xml:space="preserve">. Springer Science &amp; Business Media. </w:t>
      </w:r>
    </w:p>
    <w:p>
      <w:pPr>
        <w:pStyle w:val="Body"/>
        <w:spacing w:after="0" w:line="480" w:lineRule="auto"/>
        <w:ind w:left="720" w:hanging="720"/>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Thomas, J.R., Nelson, J.K. and Silverman, S.J. 2011. </w:t>
      </w:r>
      <w:r>
        <w:rPr>
          <w:rFonts w:ascii="Times New Roman" w:hAnsi="Times New Roman"/>
          <w:i w:val="1"/>
          <w:iCs w:val="1"/>
          <w:sz w:val="24"/>
          <w:szCs w:val="24"/>
          <w:rtl w:val="0"/>
          <w:lang w:val="en-US"/>
        </w:rPr>
        <w:t>Research methods in physical activity.</w:t>
      </w:r>
      <w:r>
        <w:rPr>
          <w:rFonts w:ascii="Times New Roman" w:hAnsi="Times New Roman"/>
          <w:sz w:val="24"/>
          <w:szCs w:val="24"/>
          <w:rtl w:val="0"/>
          <w:lang w:val="fr-FR"/>
        </w:rPr>
        <w:t xml:space="preserve"> Human Kinetics. </w:t>
      </w:r>
    </w:p>
    <w:p>
      <w:pPr>
        <w:pStyle w:val="Body"/>
        <w:spacing w:after="0" w:line="480" w:lineRule="auto"/>
        <w:ind w:left="720" w:hanging="720"/>
        <w:jc w:val="both"/>
        <w:rPr>
          <w:rFonts w:ascii="Times New Roman" w:cs="Times New Roman" w:hAnsi="Times New Roman" w:eastAsia="Times New Roman"/>
          <w:b w:val="1"/>
          <w:bCs w:val="1"/>
          <w:sz w:val="24"/>
          <w:szCs w:val="24"/>
        </w:rPr>
      </w:pPr>
      <w:r>
        <w:rPr>
          <w:rFonts w:ascii="Times New Roman" w:hAnsi="Times New Roman"/>
          <w:sz w:val="24"/>
          <w:szCs w:val="24"/>
          <w:shd w:val="clear" w:color="auto" w:fill="ffffff"/>
          <w:rtl w:val="0"/>
          <w:lang w:val="en-US"/>
        </w:rPr>
        <w:t xml:space="preserve">UWTSD. 2020. ONLINE AND DISTANCE LEARNING. [Online]. Available at: </w:t>
      </w:r>
      <w:r>
        <w:rPr>
          <w:rStyle w:val="Hyperlink.0"/>
        </w:rPr>
        <w:fldChar w:fldCharType="begin" w:fldLock="0"/>
      </w:r>
      <w:r>
        <w:rPr>
          <w:rStyle w:val="Hyperlink.0"/>
        </w:rPr>
        <w:instrText xml:space="preserve"> HYPERLINK "https://www.uwtsd.ac.uk/online/"</w:instrText>
      </w:r>
      <w:r>
        <w:rPr>
          <w:rStyle w:val="Hyperlink.0"/>
        </w:rPr>
        <w:fldChar w:fldCharType="separate" w:fldLock="0"/>
      </w:r>
      <w:r>
        <w:rPr>
          <w:rStyle w:val="Hyperlink.0"/>
          <w:rtl w:val="0"/>
          <w:lang w:val="en-US"/>
        </w:rPr>
        <w:t>https://www.uwtsd.ac.uk/online/</w:t>
      </w:r>
      <w:r>
        <w:rPr/>
        <w:fldChar w:fldCharType="end" w:fldLock="0"/>
      </w:r>
      <w:r>
        <w:rPr>
          <w:rFonts w:ascii="Times New Roman" w:hAnsi="Times New Roman"/>
          <w:sz w:val="24"/>
          <w:szCs w:val="24"/>
          <w:rtl w:val="0"/>
          <w:lang w:val="en-US"/>
        </w:rPr>
        <w:t xml:space="preserve"> [Accessed on: 29 August 2020]. </w:t>
      </w:r>
    </w:p>
    <w:p>
      <w:pPr>
        <w:pStyle w:val="Body"/>
        <w:spacing w:after="0" w:line="480" w:lineRule="auto"/>
        <w:ind w:left="720" w:hanging="720"/>
        <w:jc w:val="both"/>
        <w:rPr>
          <w:rFonts w:ascii="Times New Roman" w:cs="Times New Roman" w:hAnsi="Times New Roman" w:eastAsia="Times New Roman"/>
          <w:sz w:val="24"/>
          <w:szCs w:val="24"/>
          <w:shd w:val="clear" w:color="auto" w:fill="ffffff"/>
        </w:rPr>
      </w:pPr>
      <w:bookmarkStart w:name="_Hlk49592756" w:id="15"/>
      <w:r>
        <w:rPr>
          <w:rFonts w:ascii="Times New Roman" w:hAnsi="Times New Roman"/>
          <w:sz w:val="24"/>
          <w:szCs w:val="24"/>
          <w:shd w:val="clear" w:color="auto" w:fill="ffffff"/>
          <w:rtl w:val="0"/>
          <w:lang w:val="en-US"/>
        </w:rPr>
        <w:t>Van Raaij, E.M. and Schepers, J.J. 2008</w:t>
      </w:r>
      <w:bookmarkEnd w:id="15"/>
      <w:r>
        <w:rPr>
          <w:rFonts w:ascii="Times New Roman" w:hAnsi="Times New Roman"/>
          <w:sz w:val="24"/>
          <w:szCs w:val="24"/>
          <w:shd w:val="clear" w:color="auto" w:fill="ffffff"/>
          <w:rtl w:val="0"/>
          <w:lang w:val="en-US"/>
        </w:rPr>
        <w:t>. The acceptance and use of a virtual learning environment in China.</w:t>
      </w:r>
      <w:r>
        <w:rPr>
          <w:rFonts w:ascii="Times New Roman" w:hAnsi="Times New Roman" w:hint="default"/>
          <w:sz w:val="24"/>
          <w:szCs w:val="24"/>
          <w:shd w:val="clear" w:color="auto" w:fill="ffffff"/>
          <w:rtl w:val="0"/>
          <w:lang w:val="en-US"/>
        </w:rPr>
        <w:t> </w:t>
      </w:r>
      <w:r>
        <w:rPr>
          <w:rFonts w:ascii="Times New Roman" w:hAnsi="Times New Roman"/>
          <w:i w:val="1"/>
          <w:iCs w:val="1"/>
          <w:sz w:val="24"/>
          <w:szCs w:val="24"/>
          <w:shd w:val="clear" w:color="auto" w:fill="ffffff"/>
          <w:rtl w:val="0"/>
          <w:lang w:val="en-US"/>
        </w:rPr>
        <w:t>Computers &amp; Education</w:t>
      </w:r>
      <w:r>
        <w:rPr>
          <w:rFonts w:ascii="Times New Roman" w:hAnsi="Times New Roman"/>
          <w:sz w:val="24"/>
          <w:szCs w:val="24"/>
          <w:shd w:val="clear" w:color="auto" w:fill="ffffff"/>
          <w:rtl w:val="0"/>
          <w:lang w:val="en-US"/>
        </w:rPr>
        <w:t xml:space="preserve"> 50(3), pp. 838-852.</w:t>
      </w:r>
    </w:p>
    <w:p>
      <w:pPr>
        <w:pStyle w:val="Heading"/>
        <w:rPr>
          <w:rFonts w:ascii="Times New Roman" w:cs="Times New Roman" w:hAnsi="Times New Roman" w:eastAsia="Times New Roman"/>
          <w:sz w:val="24"/>
          <w:szCs w:val="24"/>
        </w:rPr>
      </w:pPr>
    </w:p>
    <w:p>
      <w:pPr>
        <w:pStyle w:val="Body"/>
        <w:spacing w:line="480" w:lineRule="auto"/>
        <w:ind w:left="720" w:hanging="720"/>
        <w:jc w:val="both"/>
      </w:pPr>
      <w:r>
        <w:rPr>
          <w:rFonts w:ascii="Times New Roman" w:cs="Times New Roman" w:hAnsi="Times New Roman" w:eastAsia="Times New Roman"/>
          <w:sz w:val="24"/>
          <w:szCs w:val="24"/>
          <w:shd w:val="clear" w:color="auto" w:fill="ffffff"/>
          <w:lang w:val="en-US"/>
        </w:rPr>
      </w:r>
    </w:p>
    <w:sectPr>
      <w:headerReference w:type="default" r:id="rId9"/>
      <w:footerReference w:type="default" r:id="rId10"/>
      <w:pgSz w:w="11900" w:h="16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mbri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Imported Style 1"/>
  </w:abstractNum>
  <w:abstractNum w:abstractNumId="1">
    <w:multiLevelType w:val="hybridMultilevel"/>
    <w:styleLink w:val="Imported Style 1"/>
    <w:lvl w:ilvl="0">
      <w:start w:val="1"/>
      <w:numFmt w:val="bullet"/>
      <w:suff w:val="tab"/>
      <w:lvlText w:val="·"/>
      <w:lvlJc w:val="left"/>
      <w:pPr>
        <w:ind w:left="96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6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4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31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8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5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2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60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7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200" w:line="276"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OC Heading">
    <w:name w:val="TOC Heading"/>
    <w:next w:val="Body"/>
    <w:pPr>
      <w:keepNext w:val="1"/>
      <w:keepLines w:val="1"/>
      <w:pageBreakBefore w:val="0"/>
      <w:widowControl w:val="1"/>
      <w:shd w:val="clear" w:color="auto" w:fill="auto"/>
      <w:suppressAutoHyphens w:val="0"/>
      <w:bidi w:val="0"/>
      <w:spacing w:before="480" w:after="0" w:line="276" w:lineRule="auto"/>
      <w:ind w:left="0" w:right="0" w:firstLine="0"/>
      <w:jc w:val="left"/>
      <w:outlineLvl w:val="9"/>
    </w:pPr>
    <w:rPr>
      <w:rFonts w:ascii="Cambria" w:cs="Arial Unicode MS" w:hAnsi="Cambria" w:eastAsia="Arial Unicode MS"/>
      <w:b w:val="1"/>
      <w:bCs w:val="1"/>
      <w:i w:val="0"/>
      <w:iCs w:val="0"/>
      <w:caps w:val="0"/>
      <w:smallCaps w:val="0"/>
      <w:strike w:val="0"/>
      <w:dstrike w:val="0"/>
      <w:outline w:val="0"/>
      <w:color w:val="365f91"/>
      <w:spacing w:val="0"/>
      <w:kern w:val="0"/>
      <w:position w:val="0"/>
      <w:sz w:val="28"/>
      <w:szCs w:val="28"/>
      <w:u w:val="none" w:color="365f91"/>
      <w:shd w:val="nil" w:color="auto" w:fill="auto"/>
      <w:vertAlign w:val="baseline"/>
      <w:lang w:val="en-US"/>
      <w14:textFill>
        <w14:solidFill>
          <w14:srgbClr w14:val="365F91"/>
        </w14:solidFill>
      </w14:textFill>
    </w:rPr>
  </w:style>
  <w:style w:type="paragraph" w:styleId="TOC 1">
    <w:name w:val="TOC 1"/>
    <w:next w:val="TOC 1"/>
    <w:pPr>
      <w:keepNext w:val="0"/>
      <w:keepLines w:val="0"/>
      <w:pageBreakBefore w:val="0"/>
      <w:widowControl w:val="1"/>
      <w:shd w:val="clear" w:color="auto" w:fill="auto"/>
      <w:tabs>
        <w:tab w:val="right" w:pos="9000" w:leader="dot"/>
      </w:tabs>
      <w:suppressAutoHyphens w:val="0"/>
      <w:bidi w:val="0"/>
      <w:spacing w:before="0" w:after="10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mbria" w:cs="Cambria" w:hAnsi="Cambria" w:eastAsia="Cambria"/>
      <w:b w:val="0"/>
      <w:bCs w:val="0"/>
      <w:i w:val="0"/>
      <w:iCs w:val="0"/>
      <w:caps w:val="0"/>
      <w:smallCaps w:val="0"/>
      <w:strike w:val="0"/>
      <w:dstrike w:val="0"/>
      <w:outline w:val="0"/>
      <w:color w:val="365f91"/>
      <w:spacing w:val="0"/>
      <w:kern w:val="0"/>
      <w:position w:val="0"/>
      <w:sz w:val="32"/>
      <w:szCs w:val="32"/>
      <w:u w:val="none" w:color="365f91"/>
      <w:shd w:val="nil" w:color="auto" w:fill="auto"/>
      <w:vertAlign w:val="baseline"/>
      <w14:textOutline>
        <w14:noFill/>
      </w14:textOutline>
      <w14:textFill>
        <w14:solidFill>
          <w14:srgbClr w14:val="365F91"/>
        </w14:solidFill>
      </w14:textFill>
    </w:rPr>
  </w:style>
  <w:style w:type="paragraph" w:styleId="TOC 2">
    <w:name w:val="TOC 2"/>
    <w:next w:val="TOC 2"/>
    <w:pPr>
      <w:keepNext w:val="0"/>
      <w:keepLines w:val="0"/>
      <w:pageBreakBefore w:val="0"/>
      <w:widowControl w:val="1"/>
      <w:shd w:val="clear" w:color="auto" w:fill="auto"/>
      <w:tabs>
        <w:tab w:val="right" w:pos="9000" w:leader="dot"/>
      </w:tabs>
      <w:suppressAutoHyphens w:val="0"/>
      <w:bidi w:val="0"/>
      <w:spacing w:before="0" w:after="100" w:line="276" w:lineRule="auto"/>
      <w:ind w:left="2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Cambria" w:cs="Cambria" w:hAnsi="Cambria" w:eastAsia="Cambria"/>
      <w:b w:val="0"/>
      <w:bCs w:val="0"/>
      <w:i w:val="0"/>
      <w:iCs w:val="0"/>
      <w:caps w:val="0"/>
      <w:smallCaps w:val="0"/>
      <w:strike w:val="0"/>
      <w:dstrike w:val="0"/>
      <w:outline w:val="0"/>
      <w:color w:val="365f91"/>
      <w:spacing w:val="0"/>
      <w:kern w:val="0"/>
      <w:position w:val="0"/>
      <w:sz w:val="26"/>
      <w:szCs w:val="26"/>
      <w:u w:val="none" w:color="365f91"/>
      <w:shd w:val="nil" w:color="auto" w:fill="auto"/>
      <w:vertAlign w:val="baseline"/>
      <w14:textOutline>
        <w14:noFill/>
      </w14:textOutline>
      <w14:textFill>
        <w14:solidFill>
          <w14:srgbClr w14:val="365F91"/>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200" w:line="276" w:lineRule="auto"/>
      <w:ind w:left="72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numbering" w:styleId="Imported Style 1">
    <w:name w:val="Imported Style 1"/>
    <w:pPr>
      <w:numPr>
        <w:numId w:val="1"/>
      </w:numPr>
    </w:p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rFonts w:ascii="Times New Roman" w:cs="Times New Roman" w:hAnsi="Times New Roman" w:eastAsia="Times New Roman"/>
      <w:outline w:val="0"/>
      <w:color w:val="000000"/>
      <w:sz w:val="24"/>
      <w:szCs w:val="24"/>
      <w:u w:color="000000"/>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chart" Target="charts/chart1.xml"/><Relationship Id="rId5" Type="http://schemas.openxmlformats.org/officeDocument/2006/relationships/chart" Target="charts/chart2.xml"/><Relationship Id="rId6" Type="http://schemas.openxmlformats.org/officeDocument/2006/relationships/chart" Target="charts/chart3.xml"/><Relationship Id="rId7" Type="http://schemas.openxmlformats.org/officeDocument/2006/relationships/chart" Target="charts/chart4.xml"/><Relationship Id="rId8" Type="http://schemas.openxmlformats.org/officeDocument/2006/relationships/chart" Target="charts/chart5.xml"/><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numbering" Target="numbering.xml"/><Relationship Id="rId12" Type="http://schemas.openxmlformats.org/officeDocument/2006/relationships/theme" Target="theme/theme1.xml"/></Relationships>

</file>

<file path=word/charts/_rels/chart1.xml.rels><?xml version="1.0" encoding="UTF-8"?>
<Relationships xmlns="http://schemas.openxmlformats.org/package/2006/relationships"><Relationship Id="rId1" Type="http://schemas.openxmlformats.org/officeDocument/2006/relationships/package" Target="../embeddings/Microsoft_Excel_Sheet1.xlsx"/></Relationships>

</file>

<file path=word/charts/_rels/chart2.xml.rels><?xml version="1.0" encoding="UTF-8"?>
<Relationships xmlns="http://schemas.openxmlformats.org/package/2006/relationships"><Relationship Id="rId1" Type="http://schemas.openxmlformats.org/officeDocument/2006/relationships/package" Target="../embeddings/Microsoft_Excel_Sheet2.xlsx"/></Relationships>

</file>

<file path=word/charts/_rels/chart3.xml.rels><?xml version="1.0" encoding="UTF-8"?>
<Relationships xmlns="http://schemas.openxmlformats.org/package/2006/relationships"><Relationship Id="rId1" Type="http://schemas.openxmlformats.org/officeDocument/2006/relationships/package" Target="../embeddings/Microsoft_Excel_Sheet3.xlsx"/></Relationships>

</file>

<file path=word/charts/_rels/chart4.xml.rels><?xml version="1.0" encoding="UTF-8"?>
<Relationships xmlns="http://schemas.openxmlformats.org/package/2006/relationships"><Relationship Id="rId1" Type="http://schemas.openxmlformats.org/officeDocument/2006/relationships/package" Target="../embeddings/Microsoft_Excel_Sheet4.xlsx"/></Relationships>

</file>

<file path=word/charts/_rels/chart5.xml.rels><?xml version="1.0" encoding="UTF-8"?>
<Relationships xmlns="http://schemas.openxmlformats.org/package/2006/relationships"><Relationship Id="rId1" Type="http://schemas.openxmlformats.org/officeDocument/2006/relationships/package" Target="../embeddings/Microsoft_Excel_Sheet5.xlsx"/></Relationships>

</file>

<file path=word/charts/chart1.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1" i="0" strike="noStrike" sz="1800" u="none">
                <a:solidFill>
                  <a:srgbClr val="000000"/>
                </a:solidFill>
                <a:latin typeface="Calibri"/>
              </a:defRPr>
            </a:pPr>
            <a:r>
              <a:rPr b="1" i="0" strike="noStrike" sz="1800" u="none">
                <a:solidFill>
                  <a:srgbClr val="000000"/>
                </a:solidFill>
                <a:latin typeface="Calibri"/>
              </a:rPr>
              <a:t>Figure 1</a:t>
            </a:r>
          </a:p>
        </c:rich>
      </c:tx>
      <c:layout>
        <c:manualLayout>
          <c:xMode val="edge"/>
          <c:yMode val="edge"/>
          <c:x val="0.354724"/>
          <c:y val="0.162645"/>
          <c:w val="0.292848"/>
          <c:h val="0.0467224"/>
        </c:manualLayout>
      </c:layout>
      <c:overlay val="1"/>
      <c:spPr>
        <a:noFill/>
        <a:effectLst/>
      </c:spPr>
    </c:title>
    <c:autoTitleDeleted val="1"/>
    <c:view3D>
      <c:rotX val="50"/>
      <c:hPercent val="50"/>
      <c:rotY val="0"/>
      <c:depthPercent val="100"/>
      <c:rAngAx val="0"/>
      <c:perspective val="30"/>
    </c:view3D>
    <c:floor>
      <c:spPr>
        <a:noFill/>
        <a:ln>
          <a:noFill/>
        </a:ln>
        <a:effectLst/>
        <a:sp3d/>
      </c:spPr>
    </c:floor>
    <c:sideWall>
      <c:spPr>
        <a:noFill/>
        <a:ln>
          <a:noFill/>
        </a:ln>
        <a:effectLst/>
        <a:sp3d/>
      </c:spPr>
    </c:sideWall>
    <c:backWall>
      <c:spPr>
        <a:noFill/>
        <a:ln>
          <a:noFill/>
        </a:ln>
        <a:effectLst/>
        <a:sp3d/>
      </c:spPr>
    </c:backWall>
    <c:plotArea>
      <c:layout>
        <c:manualLayout>
          <c:layoutTarget val="inner"/>
          <c:xMode val="edge"/>
          <c:yMode val="edge"/>
          <c:x val="0.166555"/>
          <c:y val="0.302996"/>
          <c:w val="0.669186"/>
          <c:h val="0.684504"/>
        </c:manualLayout>
      </c:layout>
      <c:pie3DChart>
        <c:varyColors val="0"/>
        <c:ser>
          <c:idx val="0"/>
          <c:order val="0"/>
          <c:tx>
            <c:strRef>
              <c:f>Sheet1!$A$2</c:f>
              <c:strCache>
                <c:ptCount val="1"/>
                <c:pt idx="0">
                  <c:v/>
                </c:pt>
              </c:strCache>
            </c:strRef>
          </c:tx>
          <c:spPr>
            <a:solidFill>
              <a:schemeClr val="accent1"/>
            </a:solidFill>
            <a:ln w="12700" cap="flat">
              <a:noFill/>
              <a:miter lim="400000"/>
            </a:ln>
            <a:effectLst/>
            <a:sp3d prstMaterial="matte"/>
          </c:spPr>
          <c:explosion val="25"/>
          <c:dPt>
            <c:idx val="0"/>
            <c:explosion val="25"/>
            <c:spPr>
              <a:solidFill>
                <a:schemeClr val="accent1"/>
              </a:solidFill>
              <a:ln w="12700" cap="flat">
                <a:noFill/>
                <a:miter lim="400000"/>
              </a:ln>
              <a:effectLst/>
              <a:sp3d prstMaterial="matte"/>
            </c:spPr>
          </c:dPt>
          <c:dPt>
            <c:idx val="1"/>
            <c:explosion val="25"/>
            <c:spPr>
              <a:solidFill>
                <a:schemeClr val="accent2"/>
              </a:solidFill>
              <a:ln w="12700" cap="flat">
                <a:noFill/>
                <a:miter lim="400000"/>
              </a:ln>
              <a:effectLst/>
              <a:sp3d prstMaterial="matte"/>
            </c:spPr>
          </c:dPt>
          <c:dPt>
            <c:idx val="2"/>
            <c:explosion val="25"/>
            <c:spPr>
              <a:solidFill>
                <a:schemeClr val="accent3"/>
              </a:solidFill>
              <a:ln w="12700" cap="flat">
                <a:noFill/>
                <a:miter lim="400000"/>
              </a:ln>
              <a:effectLst/>
              <a:sp3d prstMaterial="matte"/>
            </c:spPr>
          </c:dPt>
          <c:dLbls>
            <c:dLbl>
              <c:idx val="0"/>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dLbl>
              <c:idx val="1"/>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dLbl>
              <c:idx val="2"/>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showLeaderLines val="0"/>
          </c:dLbls>
          <c:cat>
            <c:strRef>
              <c:f>Sheet1!$B$1:$D$1</c:f>
              <c:strCache>
                <c:ptCount val="3"/>
                <c:pt idx="0">
                  <c:v>Graduate</c:v>
                </c:pt>
                <c:pt idx="1">
                  <c:v>Post Graduate</c:v>
                </c:pt>
                <c:pt idx="2">
                  <c:v>Other</c:v>
                </c:pt>
              </c:strCache>
            </c:strRef>
          </c:cat>
          <c:val>
            <c:numRef>
              <c:f>Sheet1!$B$2:$D$2</c:f>
              <c:numCache>
                <c:ptCount val="3"/>
                <c:pt idx="0">
                  <c:v>22.000000</c:v>
                </c:pt>
                <c:pt idx="1">
                  <c:v>12.000000</c:v>
                </c:pt>
                <c:pt idx="2">
                  <c:v>6.000000</c:v>
                </c:pt>
              </c:numCache>
            </c:numRef>
          </c:val>
        </c:ser>
      </c:pie3DChart>
      <c:spPr>
        <a:solidFill>
          <a:srgbClr val="FFFFFF"/>
        </a:solidFill>
        <a:ln w="12700" cap="flat">
          <a:noFill/>
          <a:miter lim="400000"/>
        </a:ln>
        <a:effectLst/>
      </c:spPr>
    </c:plotArea>
    <c:legend>
      <c:legendPos val="t"/>
      <c:layout>
        <c:manualLayout>
          <c:xMode val="edge"/>
          <c:yMode val="edge"/>
          <c:x val="0"/>
          <c:y val="0"/>
          <c:w val="1"/>
          <c:h val="0.106128"/>
        </c:manualLayout>
      </c:layout>
      <c:overlay val="1"/>
      <c:spPr>
        <a:noFill/>
        <a:ln w="12700" cap="flat">
          <a:noFill/>
          <a:miter lim="400000"/>
        </a:ln>
        <a:effectLst/>
      </c:spPr>
      <c:txPr>
        <a:bodyPr rot="0"/>
        <a:lstStyle/>
        <a:p>
          <a:pPr>
            <a:defRPr b="0" i="0" strike="noStrike" sz="1000" u="none">
              <a:solidFill>
                <a:srgbClr val="000000"/>
              </a:solidFill>
              <a:latin typeface="Calibri"/>
            </a:defRPr>
          </a:pPr>
        </a:p>
      </c:txPr>
    </c:legend>
    <c:plotVisOnly val="1"/>
    <c:dispBlanksAs val="gap"/>
  </c:chart>
  <c:spPr>
    <a:solidFill>
      <a:srgbClr val="FFFFFF"/>
    </a:solidFill>
    <a:ln w="12700" cap="flat">
      <a:solidFill>
        <a:srgbClr val="888888"/>
      </a:solidFill>
      <a:prstDash val="solid"/>
      <a:round/>
    </a:ln>
    <a:effectLst/>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1" i="0" strike="noStrike" sz="1800" u="none">
                <a:solidFill>
                  <a:srgbClr val="000000"/>
                </a:solidFill>
                <a:latin typeface="Calibri"/>
              </a:defRPr>
            </a:pPr>
            <a:r>
              <a:rPr b="1" i="0" strike="noStrike" sz="1800" u="none">
                <a:solidFill>
                  <a:srgbClr val="000000"/>
                </a:solidFill>
                <a:latin typeface="Calibri"/>
              </a:rPr>
              <a:t>Figure 2</a:t>
            </a:r>
          </a:p>
        </c:rich>
      </c:tx>
      <c:layout>
        <c:manualLayout>
          <c:xMode val="edge"/>
          <c:yMode val="edge"/>
          <c:x val="0.413548"/>
          <c:y val="0.148202"/>
          <c:w val="0.17621"/>
          <c:h val="0.0456719"/>
        </c:manualLayout>
      </c:layout>
      <c:overlay val="1"/>
      <c:spPr>
        <a:noFill/>
        <a:effectLst/>
      </c:spPr>
    </c:title>
    <c:autoTitleDeleted val="1"/>
    <c:view3D>
      <c:rotX val="50"/>
      <c:hPercent val="50"/>
      <c:rotY val="0"/>
      <c:depthPercent val="100"/>
      <c:rAngAx val="0"/>
      <c:perspective val="30"/>
    </c:view3D>
    <c:floor>
      <c:spPr>
        <a:noFill/>
        <a:ln>
          <a:noFill/>
        </a:ln>
        <a:effectLst/>
        <a:sp3d/>
      </c:spPr>
    </c:floor>
    <c:sideWall>
      <c:spPr>
        <a:noFill/>
        <a:ln>
          <a:noFill/>
        </a:ln>
        <a:effectLst/>
        <a:sp3d/>
      </c:spPr>
    </c:sideWall>
    <c:backWall>
      <c:spPr>
        <a:noFill/>
        <a:ln>
          <a:noFill/>
        </a:ln>
        <a:effectLst/>
        <a:sp3d/>
      </c:spPr>
    </c:backWall>
    <c:plotArea>
      <c:layout>
        <c:manualLayout>
          <c:layoutTarget val="inner"/>
          <c:xMode val="edge"/>
          <c:yMode val="edge"/>
          <c:x val="0.307798"/>
          <c:y val="0.281499"/>
          <c:w val="0.38771"/>
          <c:h val="0.706001"/>
        </c:manualLayout>
      </c:layout>
      <c:pie3DChart>
        <c:varyColors val="0"/>
        <c:ser>
          <c:idx val="0"/>
          <c:order val="0"/>
          <c:tx>
            <c:strRef>
              <c:f>Sheet1!$A$2</c:f>
              <c:strCache>
                <c:ptCount val="1"/>
                <c:pt idx="0">
                  <c:v/>
                </c:pt>
              </c:strCache>
            </c:strRef>
          </c:tx>
          <c:spPr>
            <a:solidFill>
              <a:schemeClr val="accent1"/>
            </a:solidFill>
            <a:ln w="12700" cap="flat">
              <a:noFill/>
              <a:miter lim="400000"/>
            </a:ln>
            <a:effectLst/>
            <a:sp3d prstMaterial="matte"/>
          </c:spPr>
          <c:explosion val="25"/>
          <c:dPt>
            <c:idx val="0"/>
            <c:explosion val="25"/>
            <c:spPr>
              <a:solidFill>
                <a:schemeClr val="accent1"/>
              </a:solidFill>
              <a:ln w="12700" cap="flat">
                <a:noFill/>
                <a:miter lim="400000"/>
              </a:ln>
              <a:effectLst/>
              <a:sp3d prstMaterial="matte"/>
            </c:spPr>
          </c:dPt>
          <c:dPt>
            <c:idx val="1"/>
            <c:explosion val="25"/>
            <c:spPr>
              <a:solidFill>
                <a:schemeClr val="accent2"/>
              </a:solidFill>
              <a:ln w="12700" cap="flat">
                <a:noFill/>
                <a:miter lim="400000"/>
              </a:ln>
              <a:effectLst/>
              <a:sp3d prstMaterial="matte"/>
            </c:spPr>
          </c:dPt>
          <c:dPt>
            <c:idx val="2"/>
            <c:explosion val="25"/>
            <c:spPr>
              <a:solidFill>
                <a:schemeClr val="accent3"/>
              </a:solidFill>
              <a:ln w="12700" cap="flat">
                <a:noFill/>
                <a:miter lim="400000"/>
              </a:ln>
              <a:effectLst/>
              <a:sp3d prstMaterial="matte"/>
            </c:spPr>
          </c:dPt>
          <c:dPt>
            <c:idx val="3"/>
            <c:explosion val="25"/>
            <c:spPr>
              <a:solidFill>
                <a:schemeClr val="accent4"/>
              </a:solidFill>
              <a:ln w="12700" cap="flat">
                <a:noFill/>
                <a:miter lim="400000"/>
              </a:ln>
              <a:effectLst/>
              <a:sp3d prstMaterial="matte"/>
            </c:spPr>
          </c:dPt>
          <c:dPt>
            <c:idx val="4"/>
            <c:explosion val="25"/>
            <c:spPr>
              <a:solidFill>
                <a:schemeClr val="accent5"/>
              </a:solidFill>
              <a:ln w="12700" cap="flat">
                <a:noFill/>
                <a:miter lim="400000"/>
              </a:ln>
              <a:effectLst/>
              <a:sp3d prstMaterial="matte"/>
            </c:spPr>
          </c:dPt>
          <c:dLbls>
            <c:dLbl>
              <c:idx val="0"/>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dLbl>
              <c:idx val="1"/>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dLbl>
              <c:idx val="2"/>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dLbl>
              <c:idx val="3"/>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dLbl>
              <c:idx val="4"/>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showLeaderLines val="0"/>
          </c:dLbls>
          <c:cat>
            <c:strRef>
              <c:f>Sheet1!$B$1:$F$1</c:f>
              <c:strCache>
                <c:ptCount val="5"/>
                <c:pt idx="0">
                  <c:v>Strongly Disagree</c:v>
                </c:pt>
                <c:pt idx="1">
                  <c:v>Disagree</c:v>
                </c:pt>
                <c:pt idx="2">
                  <c:v>Neutral</c:v>
                </c:pt>
                <c:pt idx="3">
                  <c:v>Agree</c:v>
                </c:pt>
                <c:pt idx="4">
                  <c:v>Strongly Agree</c:v>
                </c:pt>
              </c:strCache>
            </c:strRef>
          </c:cat>
          <c:val>
            <c:numRef>
              <c:f>Sheet1!$B$2:$F$2</c:f>
              <c:numCache>
                <c:ptCount val="5"/>
                <c:pt idx="0">
                  <c:v>4.000000</c:v>
                </c:pt>
                <c:pt idx="1">
                  <c:v>2.000000</c:v>
                </c:pt>
                <c:pt idx="2">
                  <c:v>3.000000</c:v>
                </c:pt>
                <c:pt idx="3">
                  <c:v>15.000000</c:v>
                </c:pt>
                <c:pt idx="4">
                  <c:v>16.000000</c:v>
                </c:pt>
              </c:numCache>
            </c:numRef>
          </c:val>
        </c:ser>
      </c:pie3DChart>
      <c:spPr>
        <a:solidFill>
          <a:srgbClr val="FFFFFF"/>
        </a:solidFill>
        <a:ln w="12700" cap="flat">
          <a:noFill/>
          <a:miter lim="400000"/>
        </a:ln>
        <a:effectLst/>
      </c:spPr>
    </c:plotArea>
    <c:legend>
      <c:legendPos val="t"/>
      <c:layout>
        <c:manualLayout>
          <c:xMode val="edge"/>
          <c:yMode val="edge"/>
          <c:x val="0"/>
          <c:y val="0"/>
          <c:w val="1"/>
          <c:h val="0.100125"/>
        </c:manualLayout>
      </c:layout>
      <c:overlay val="1"/>
      <c:spPr>
        <a:noFill/>
        <a:ln w="12700" cap="flat">
          <a:noFill/>
          <a:miter lim="400000"/>
        </a:ln>
        <a:effectLst/>
      </c:spPr>
      <c:txPr>
        <a:bodyPr rot="0"/>
        <a:lstStyle/>
        <a:p>
          <a:pPr>
            <a:defRPr b="0" i="0" strike="noStrike" sz="1000" u="none">
              <a:solidFill>
                <a:srgbClr val="000000"/>
              </a:solidFill>
              <a:latin typeface="Calibri"/>
            </a:defRPr>
          </a:pPr>
        </a:p>
      </c:txPr>
    </c:legend>
    <c:plotVisOnly val="1"/>
    <c:dispBlanksAs val="gap"/>
  </c:chart>
  <c:spPr>
    <a:solidFill>
      <a:srgbClr val="FFFFFF"/>
    </a:solidFill>
    <a:ln w="12700" cap="flat">
      <a:solidFill>
        <a:srgbClr val="888888"/>
      </a:solidFill>
      <a:prstDash val="solid"/>
      <a:round/>
    </a:ln>
    <a:effectLst/>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1" i="0" strike="noStrike" sz="1800" u="none">
                <a:solidFill>
                  <a:srgbClr val="000000"/>
                </a:solidFill>
                <a:latin typeface="Calibri"/>
              </a:defRPr>
            </a:pPr>
            <a:r>
              <a:rPr b="1" i="0" strike="noStrike" sz="1800" u="none">
                <a:solidFill>
                  <a:srgbClr val="000000"/>
                </a:solidFill>
                <a:latin typeface="Calibri"/>
              </a:rPr>
              <a:t>Figure 3</a:t>
            </a:r>
          </a:p>
        </c:rich>
      </c:tx>
      <c:layout>
        <c:manualLayout>
          <c:xMode val="edge"/>
          <c:yMode val="edge"/>
          <c:x val="0.413496"/>
          <c:y val="0.14624"/>
          <c:w val="0.17621"/>
          <c:h val="0.045067"/>
        </c:manualLayout>
      </c:layout>
      <c:overlay val="1"/>
      <c:spPr>
        <a:noFill/>
        <a:effectLst/>
      </c:spPr>
    </c:title>
    <c:autoTitleDeleted val="1"/>
    <c:view3D>
      <c:rotX val="50"/>
      <c:hPercent val="50"/>
      <c:rotY val="0"/>
      <c:depthPercent val="100"/>
      <c:rAngAx val="0"/>
      <c:perspective val="30"/>
    </c:view3D>
    <c:floor>
      <c:spPr>
        <a:noFill/>
        <a:ln>
          <a:noFill/>
        </a:ln>
        <a:effectLst/>
        <a:sp3d/>
      </c:spPr>
    </c:floor>
    <c:sideWall>
      <c:spPr>
        <a:noFill/>
        <a:ln>
          <a:noFill/>
        </a:ln>
        <a:effectLst/>
        <a:sp3d/>
      </c:spPr>
    </c:sideWall>
    <c:backWall>
      <c:spPr>
        <a:noFill/>
        <a:ln>
          <a:noFill/>
        </a:ln>
        <a:effectLst/>
        <a:sp3d/>
      </c:spPr>
    </c:backWall>
    <c:plotArea>
      <c:layout>
        <c:manualLayout>
          <c:layoutTarget val="inner"/>
          <c:xMode val="edge"/>
          <c:yMode val="edge"/>
          <c:x val="0.327639"/>
          <c:y val="0.277937"/>
          <c:w val="0.347925"/>
          <c:h val="0.709563"/>
        </c:manualLayout>
      </c:layout>
      <c:pie3DChart>
        <c:varyColors val="0"/>
        <c:ser>
          <c:idx val="0"/>
          <c:order val="0"/>
          <c:tx>
            <c:strRef>
              <c:f>Sheet1!$A$2</c:f>
              <c:strCache>
                <c:ptCount val="1"/>
                <c:pt idx="0">
                  <c:v/>
                </c:pt>
              </c:strCache>
            </c:strRef>
          </c:tx>
          <c:spPr>
            <a:solidFill>
              <a:schemeClr val="accent1"/>
            </a:solidFill>
            <a:ln w="12700" cap="flat">
              <a:noFill/>
              <a:miter lim="400000"/>
            </a:ln>
            <a:effectLst/>
            <a:sp3d prstMaterial="matte"/>
          </c:spPr>
          <c:explosion val="25"/>
          <c:dPt>
            <c:idx val="0"/>
            <c:explosion val="25"/>
            <c:spPr>
              <a:solidFill>
                <a:schemeClr val="accent1"/>
              </a:solidFill>
              <a:ln w="12700" cap="flat">
                <a:noFill/>
                <a:miter lim="400000"/>
              </a:ln>
              <a:effectLst/>
              <a:sp3d prstMaterial="matte"/>
            </c:spPr>
          </c:dPt>
          <c:dPt>
            <c:idx val="1"/>
            <c:explosion val="25"/>
            <c:spPr>
              <a:solidFill>
                <a:schemeClr val="accent2"/>
              </a:solidFill>
              <a:ln w="12700" cap="flat">
                <a:noFill/>
                <a:miter lim="400000"/>
              </a:ln>
              <a:effectLst/>
              <a:sp3d prstMaterial="matte"/>
            </c:spPr>
          </c:dPt>
          <c:dPt>
            <c:idx val="2"/>
            <c:explosion val="25"/>
            <c:spPr>
              <a:solidFill>
                <a:schemeClr val="accent3"/>
              </a:solidFill>
              <a:ln w="12700" cap="flat">
                <a:noFill/>
                <a:miter lim="400000"/>
              </a:ln>
              <a:effectLst/>
              <a:sp3d prstMaterial="matte"/>
            </c:spPr>
          </c:dPt>
          <c:dPt>
            <c:idx val="3"/>
            <c:explosion val="25"/>
            <c:spPr>
              <a:solidFill>
                <a:schemeClr val="accent4"/>
              </a:solidFill>
              <a:ln w="12700" cap="flat">
                <a:noFill/>
                <a:miter lim="400000"/>
              </a:ln>
              <a:effectLst/>
              <a:sp3d prstMaterial="matte"/>
            </c:spPr>
          </c:dPt>
          <c:dPt>
            <c:idx val="4"/>
            <c:explosion val="25"/>
            <c:spPr>
              <a:solidFill>
                <a:schemeClr val="accent5"/>
              </a:solidFill>
              <a:ln w="12700" cap="flat">
                <a:noFill/>
                <a:miter lim="400000"/>
              </a:ln>
              <a:effectLst/>
              <a:sp3d prstMaterial="matte"/>
            </c:spPr>
          </c:dPt>
          <c:dLbls>
            <c:dLbl>
              <c:idx val="0"/>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dLbl>
              <c:idx val="1"/>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dLbl>
              <c:idx val="2"/>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dLbl>
              <c:idx val="3"/>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dLbl>
              <c:idx val="4"/>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showLeaderLines val="0"/>
          </c:dLbls>
          <c:cat>
            <c:strRef>
              <c:f>Sheet1!$B$1:$F$1</c:f>
              <c:strCache>
                <c:ptCount val="5"/>
                <c:pt idx="0">
                  <c:v>Strongly Disagree</c:v>
                </c:pt>
                <c:pt idx="1">
                  <c:v>Disagree</c:v>
                </c:pt>
                <c:pt idx="2">
                  <c:v>Neutral</c:v>
                </c:pt>
                <c:pt idx="3">
                  <c:v>Agree</c:v>
                </c:pt>
                <c:pt idx="4">
                  <c:v>Strongly Agree</c:v>
                </c:pt>
              </c:strCache>
            </c:strRef>
          </c:cat>
          <c:val>
            <c:numRef>
              <c:f>Sheet1!$B$2:$F$2</c:f>
              <c:numCache>
                <c:ptCount val="5"/>
                <c:pt idx="0">
                  <c:v>2.000000</c:v>
                </c:pt>
                <c:pt idx="1">
                  <c:v>3.000000</c:v>
                </c:pt>
                <c:pt idx="2">
                  <c:v>3.000000</c:v>
                </c:pt>
                <c:pt idx="3">
                  <c:v>22.000000</c:v>
                </c:pt>
                <c:pt idx="4">
                  <c:v>10.000000</c:v>
                </c:pt>
              </c:numCache>
            </c:numRef>
          </c:val>
        </c:ser>
      </c:pie3DChart>
      <c:spPr>
        <a:solidFill>
          <a:srgbClr val="FFFFFF"/>
        </a:solidFill>
        <a:ln w="12700" cap="flat">
          <a:noFill/>
          <a:miter lim="400000"/>
        </a:ln>
        <a:effectLst/>
      </c:spPr>
    </c:plotArea>
    <c:legend>
      <c:legendPos val="t"/>
      <c:layout>
        <c:manualLayout>
          <c:xMode val="edge"/>
          <c:yMode val="edge"/>
          <c:x val="0"/>
          <c:y val="0"/>
          <c:w val="1"/>
          <c:h val="0.09913"/>
        </c:manualLayout>
      </c:layout>
      <c:overlay val="1"/>
      <c:spPr>
        <a:noFill/>
        <a:ln w="12700" cap="flat">
          <a:noFill/>
          <a:miter lim="400000"/>
        </a:ln>
        <a:effectLst/>
      </c:spPr>
      <c:txPr>
        <a:bodyPr rot="0"/>
        <a:lstStyle/>
        <a:p>
          <a:pPr>
            <a:defRPr b="0" i="0" strike="noStrike" sz="1000" u="none">
              <a:solidFill>
                <a:srgbClr val="000000"/>
              </a:solidFill>
              <a:latin typeface="Calibri"/>
            </a:defRPr>
          </a:pPr>
        </a:p>
      </c:txPr>
    </c:legend>
    <c:plotVisOnly val="1"/>
    <c:dispBlanksAs val="gap"/>
  </c:chart>
  <c:spPr>
    <a:solidFill>
      <a:srgbClr val="FFFFFF"/>
    </a:solidFill>
    <a:ln w="12700" cap="flat">
      <a:solidFill>
        <a:srgbClr val="888888"/>
      </a:solidFill>
      <a:prstDash val="solid"/>
      <a:round/>
    </a:ln>
    <a:effectLst/>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1" i="0" strike="noStrike" sz="1800" u="none">
                <a:solidFill>
                  <a:srgbClr val="000000"/>
                </a:solidFill>
                <a:latin typeface="Calibri"/>
              </a:defRPr>
            </a:pPr>
            <a:r>
              <a:rPr b="1" i="0" strike="noStrike" sz="1800" u="none">
                <a:solidFill>
                  <a:srgbClr val="000000"/>
                </a:solidFill>
                <a:latin typeface="Calibri"/>
              </a:rPr>
              <a:t>Figure 4</a:t>
            </a:r>
          </a:p>
        </c:rich>
      </c:tx>
      <c:layout>
        <c:manualLayout>
          <c:xMode val="edge"/>
          <c:yMode val="edge"/>
          <c:x val="0.396493"/>
          <c:y val="0.263992"/>
          <c:w val="0.218285"/>
          <c:h val="0.0402228"/>
        </c:manualLayout>
      </c:layout>
      <c:overlay val="1"/>
      <c:spPr>
        <a:noFill/>
        <a:effectLst/>
      </c:spPr>
    </c:title>
    <c:autoTitleDeleted val="1"/>
    <c:view3D>
      <c:rotX val="50"/>
      <c:hPercent val="50"/>
      <c:rotY val="0"/>
      <c:depthPercent val="100"/>
      <c:rAngAx val="0"/>
      <c:perspective val="30"/>
    </c:view3D>
    <c:floor>
      <c:spPr>
        <a:noFill/>
        <a:ln>
          <a:noFill/>
        </a:ln>
        <a:effectLst/>
        <a:sp3d/>
      </c:spPr>
    </c:floor>
    <c:sideWall>
      <c:spPr>
        <a:noFill/>
        <a:ln>
          <a:noFill/>
        </a:ln>
        <a:effectLst/>
        <a:sp3d/>
      </c:spPr>
    </c:sideWall>
    <c:backWall>
      <c:spPr>
        <a:noFill/>
        <a:ln>
          <a:noFill/>
        </a:ln>
        <a:effectLst/>
        <a:sp3d/>
      </c:spPr>
    </c:backWall>
    <c:plotArea>
      <c:layout>
        <c:manualLayout>
          <c:layoutTarget val="inner"/>
          <c:xMode val="edge"/>
          <c:yMode val="edge"/>
          <c:x val="0.274854"/>
          <c:y val="0.583295"/>
          <c:w val="0.461562"/>
          <c:h val="0.404205"/>
        </c:manualLayout>
      </c:layout>
      <c:pie3DChart>
        <c:varyColors val="0"/>
        <c:ser>
          <c:idx val="0"/>
          <c:order val="0"/>
          <c:tx>
            <c:strRef>
              <c:f>Sheet1!$A$2</c:f>
              <c:strCache>
                <c:ptCount val="1"/>
                <c:pt idx="0">
                  <c:v/>
                </c:pt>
              </c:strCache>
            </c:strRef>
          </c:tx>
          <c:spPr>
            <a:solidFill>
              <a:schemeClr val="accent1"/>
            </a:solidFill>
            <a:ln w="12700" cap="flat">
              <a:noFill/>
              <a:miter lim="400000"/>
            </a:ln>
            <a:effectLst/>
            <a:sp3d prstMaterial="matte"/>
          </c:spPr>
          <c:explosion val="25"/>
          <c:dPt>
            <c:idx val="0"/>
            <c:explosion val="25"/>
            <c:spPr>
              <a:solidFill>
                <a:schemeClr val="accent1"/>
              </a:solidFill>
              <a:ln w="12700" cap="flat">
                <a:noFill/>
                <a:miter lim="400000"/>
              </a:ln>
              <a:effectLst/>
              <a:sp3d prstMaterial="matte"/>
            </c:spPr>
          </c:dPt>
          <c:dPt>
            <c:idx val="1"/>
            <c:explosion val="25"/>
            <c:spPr>
              <a:solidFill>
                <a:schemeClr val="accent2"/>
              </a:solidFill>
              <a:ln w="12700" cap="flat">
                <a:noFill/>
                <a:miter lim="400000"/>
              </a:ln>
              <a:effectLst/>
              <a:sp3d prstMaterial="matte"/>
            </c:spPr>
          </c:dPt>
          <c:dPt>
            <c:idx val="2"/>
            <c:explosion val="25"/>
            <c:spPr>
              <a:solidFill>
                <a:schemeClr val="accent3"/>
              </a:solidFill>
              <a:ln w="12700" cap="flat">
                <a:noFill/>
                <a:miter lim="400000"/>
              </a:ln>
              <a:effectLst/>
              <a:sp3d prstMaterial="matte"/>
            </c:spPr>
          </c:dPt>
          <c:dPt>
            <c:idx val="3"/>
            <c:explosion val="25"/>
            <c:spPr>
              <a:solidFill>
                <a:schemeClr val="accent4"/>
              </a:solidFill>
              <a:ln w="12700" cap="flat">
                <a:noFill/>
                <a:miter lim="400000"/>
              </a:ln>
              <a:effectLst/>
              <a:sp3d prstMaterial="matte"/>
            </c:spPr>
          </c:dPt>
          <c:dLbls>
            <c:dLbl>
              <c:idx val="0"/>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dLbl>
              <c:idx val="1"/>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dLbl>
              <c:idx val="2"/>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dLbl>
              <c:idx val="3"/>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showLeaderLines val="0"/>
          </c:dLbls>
          <c:cat>
            <c:strRef>
              <c:f>Sheet1!$B$1:$E$1</c:f>
              <c:strCache>
                <c:ptCount val="4"/>
                <c:pt idx="0">
                  <c:v>Formal learning</c:v>
                </c:pt>
                <c:pt idx="1">
                  <c:v>Gathers educational data and information </c:v>
                </c:pt>
                <c:pt idx="2">
                  <c:v>Act as a mediator in the process of learning </c:v>
                </c:pt>
                <c:pt idx="3">
                  <c:v>Positively impacts the distance learning experience </c:v>
                </c:pt>
              </c:strCache>
            </c:strRef>
          </c:cat>
          <c:val>
            <c:numRef>
              <c:f>Sheet1!$B$2:$E$2</c:f>
              <c:numCache>
                <c:ptCount val="4"/>
                <c:pt idx="0">
                  <c:v>8.000000</c:v>
                </c:pt>
                <c:pt idx="1">
                  <c:v>12.000000</c:v>
                </c:pt>
                <c:pt idx="2">
                  <c:v>11.000000</c:v>
                </c:pt>
                <c:pt idx="3">
                  <c:v>19.000000</c:v>
                </c:pt>
              </c:numCache>
            </c:numRef>
          </c:val>
        </c:ser>
      </c:pie3DChart>
      <c:spPr>
        <a:solidFill>
          <a:srgbClr val="FFFFFF"/>
        </a:solidFill>
        <a:ln w="12700" cap="flat">
          <a:noFill/>
          <a:miter lim="400000"/>
        </a:ln>
        <a:effectLst/>
      </c:spPr>
    </c:plotArea>
    <c:legend>
      <c:legendPos val="t"/>
      <c:layout>
        <c:manualLayout>
          <c:xMode val="edge"/>
          <c:yMode val="edge"/>
          <c:x val="0"/>
          <c:y val="0"/>
          <c:w val="1"/>
          <c:h val="0.29158"/>
        </c:manualLayout>
      </c:layout>
      <c:overlay val="1"/>
      <c:spPr>
        <a:noFill/>
        <a:ln w="12700" cap="flat">
          <a:noFill/>
          <a:miter lim="400000"/>
        </a:ln>
        <a:effectLst/>
      </c:spPr>
      <c:txPr>
        <a:bodyPr rot="0"/>
        <a:lstStyle/>
        <a:p>
          <a:pPr>
            <a:defRPr b="0" i="0" strike="noStrike" sz="1000" u="none">
              <a:solidFill>
                <a:srgbClr val="000000"/>
              </a:solidFill>
              <a:latin typeface="Calibri"/>
            </a:defRPr>
          </a:pPr>
        </a:p>
      </c:txPr>
    </c:legend>
    <c:plotVisOnly val="1"/>
    <c:dispBlanksAs val="gap"/>
  </c:chart>
  <c:spPr>
    <a:solidFill>
      <a:srgbClr val="FFFFFF"/>
    </a:solidFill>
    <a:ln w="12700" cap="flat">
      <a:solidFill>
        <a:srgbClr val="888888"/>
      </a:solidFill>
      <a:prstDash val="solid"/>
      <a:round/>
    </a:ln>
    <a:effectLst/>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1"/>
  <c:roundedCorners val="0"/>
  <c:chart>
    <c:title>
      <c:tx>
        <c:rich>
          <a:bodyPr rot="0"/>
          <a:lstStyle/>
          <a:p>
            <a:pPr>
              <a:defRPr b="1" i="0" strike="noStrike" sz="1800" u="none">
                <a:solidFill>
                  <a:srgbClr val="000000"/>
                </a:solidFill>
                <a:latin typeface="Calibri"/>
              </a:defRPr>
            </a:pPr>
            <a:r>
              <a:rPr b="1" i="0" strike="noStrike" sz="1800" u="none">
                <a:solidFill>
                  <a:srgbClr val="000000"/>
                </a:solidFill>
                <a:latin typeface="Calibri"/>
              </a:rPr>
              <a:t>Figure 5</a:t>
            </a:r>
          </a:p>
        </c:rich>
      </c:tx>
      <c:layout>
        <c:manualLayout>
          <c:xMode val="edge"/>
          <c:yMode val="edge"/>
          <c:x val="0.323042"/>
          <c:y val="0.30826"/>
          <c:w val="0.302174"/>
          <c:h val="0.0380643"/>
        </c:manualLayout>
      </c:layout>
      <c:overlay val="1"/>
      <c:spPr>
        <a:noFill/>
        <a:effectLst/>
      </c:spPr>
    </c:title>
    <c:autoTitleDeleted val="1"/>
    <c:view3D>
      <c:rotX val="50"/>
      <c:hPercent val="50"/>
      <c:rotY val="0"/>
      <c:depthPercent val="100"/>
      <c:rAngAx val="0"/>
      <c:perspective val="30"/>
    </c:view3D>
    <c:floor>
      <c:spPr>
        <a:noFill/>
        <a:ln>
          <a:noFill/>
        </a:ln>
        <a:effectLst/>
        <a:sp3d/>
      </c:spPr>
    </c:floor>
    <c:sideWall>
      <c:spPr>
        <a:noFill/>
        <a:ln>
          <a:noFill/>
        </a:ln>
        <a:effectLst/>
        <a:sp3d/>
      </c:spPr>
    </c:sideWall>
    <c:backWall>
      <c:spPr>
        <a:noFill/>
        <a:ln>
          <a:noFill/>
        </a:ln>
        <a:effectLst/>
        <a:sp3d/>
      </c:spPr>
    </c:backWall>
    <c:plotArea>
      <c:layout>
        <c:manualLayout>
          <c:layoutTarget val="inner"/>
          <c:xMode val="edge"/>
          <c:yMode val="edge"/>
          <c:x val="0.15285"/>
          <c:y val="0.611098"/>
          <c:w val="0.642559"/>
          <c:h val="0.376402"/>
        </c:manualLayout>
      </c:layout>
      <c:pie3DChart>
        <c:varyColors val="0"/>
        <c:ser>
          <c:idx val="0"/>
          <c:order val="0"/>
          <c:tx>
            <c:strRef>
              <c:f>Sheet1!$A$2</c:f>
              <c:strCache>
                <c:ptCount val="1"/>
                <c:pt idx="0">
                  <c:v/>
                </c:pt>
              </c:strCache>
            </c:strRef>
          </c:tx>
          <c:spPr>
            <a:solidFill>
              <a:schemeClr val="accent1"/>
            </a:solidFill>
            <a:ln w="12700" cap="flat">
              <a:noFill/>
              <a:miter lim="400000"/>
            </a:ln>
            <a:effectLst/>
            <a:sp3d prstMaterial="matte"/>
          </c:spPr>
          <c:explosion val="25"/>
          <c:dPt>
            <c:idx val="0"/>
            <c:explosion val="25"/>
            <c:spPr>
              <a:solidFill>
                <a:schemeClr val="accent1"/>
              </a:solidFill>
              <a:ln w="12700" cap="flat">
                <a:noFill/>
                <a:miter lim="400000"/>
              </a:ln>
              <a:effectLst/>
              <a:sp3d prstMaterial="matte"/>
            </c:spPr>
          </c:dPt>
          <c:dPt>
            <c:idx val="1"/>
            <c:explosion val="25"/>
            <c:spPr>
              <a:solidFill>
                <a:schemeClr val="accent2"/>
              </a:solidFill>
              <a:ln w="12700" cap="flat">
                <a:noFill/>
                <a:miter lim="400000"/>
              </a:ln>
              <a:effectLst/>
              <a:sp3d prstMaterial="matte"/>
            </c:spPr>
          </c:dPt>
          <c:dPt>
            <c:idx val="2"/>
            <c:explosion val="25"/>
            <c:spPr>
              <a:solidFill>
                <a:schemeClr val="accent3"/>
              </a:solidFill>
              <a:ln w="12700" cap="flat">
                <a:noFill/>
                <a:miter lim="400000"/>
              </a:ln>
              <a:effectLst/>
              <a:sp3d prstMaterial="matte"/>
            </c:spPr>
          </c:dPt>
          <c:dPt>
            <c:idx val="3"/>
            <c:explosion val="25"/>
            <c:spPr>
              <a:solidFill>
                <a:schemeClr val="accent4"/>
              </a:solidFill>
              <a:ln w="12700" cap="flat">
                <a:noFill/>
                <a:miter lim="400000"/>
              </a:ln>
              <a:effectLst/>
              <a:sp3d prstMaterial="matte"/>
            </c:spPr>
          </c:dPt>
          <c:dLbls>
            <c:dLbl>
              <c:idx val="0"/>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dLbl>
              <c:idx val="1"/>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dLbl>
              <c:idx val="2"/>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dLbl>
              <c:idx val="3"/>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dLbl>
            <c:numFmt formatCode="0%" sourceLinked="0"/>
            <c:txPr>
              <a:bodyPr/>
              <a:lstStyle/>
              <a:p>
                <a:pPr>
                  <a:defRPr b="0" i="0" strike="noStrike" sz="1000" u="none">
                    <a:solidFill>
                      <a:srgbClr val="000000"/>
                    </a:solidFill>
                    <a:latin typeface="Calibri"/>
                  </a:defRPr>
                </a:pPr>
              </a:p>
            </c:txPr>
            <c:dLblPos val="inEnd"/>
            <c:showLegendKey val="0"/>
            <c:showVal val="0"/>
            <c:showCatName val="0"/>
            <c:showSerName val="0"/>
            <c:showPercent val="1"/>
            <c:showBubbleSize val="0"/>
            <c:showLeaderLines val="0"/>
          </c:dLbls>
          <c:cat>
            <c:strRef>
              <c:f>Sheet1!$B$1:$E$1</c:f>
              <c:strCache>
                <c:ptCount val="4"/>
                <c:pt idx="0">
                  <c:v>Open discussion of queries with students </c:v>
                </c:pt>
                <c:pt idx="1">
                  <c:v>Provision of suitable learning material </c:v>
                </c:pt>
                <c:pt idx="2">
                  <c:v>Face to face communication with students </c:v>
                </c:pt>
                <c:pt idx="3">
                  <c:v>Efficient teaching and learning practices </c:v>
                </c:pt>
              </c:strCache>
            </c:strRef>
          </c:cat>
          <c:val>
            <c:numRef>
              <c:f>Sheet1!$B$2:$E$2</c:f>
              <c:numCache>
                <c:ptCount val="4"/>
                <c:pt idx="0">
                  <c:v>12.000000</c:v>
                </c:pt>
                <c:pt idx="1">
                  <c:v>11.000000</c:v>
                </c:pt>
                <c:pt idx="2">
                  <c:v>9.000000</c:v>
                </c:pt>
                <c:pt idx="3">
                  <c:v>8.000000</c:v>
                </c:pt>
              </c:numCache>
            </c:numRef>
          </c:val>
        </c:ser>
      </c:pie3DChart>
      <c:spPr>
        <a:solidFill>
          <a:srgbClr val="FFFFFF"/>
        </a:solidFill>
        <a:ln w="12700" cap="flat">
          <a:noFill/>
          <a:miter lim="400000"/>
        </a:ln>
        <a:effectLst/>
      </c:spPr>
    </c:plotArea>
    <c:legend>
      <c:legendPos val="t"/>
      <c:layout>
        <c:manualLayout>
          <c:xMode val="edge"/>
          <c:yMode val="edge"/>
          <c:x val="0"/>
          <c:y val="0"/>
          <c:w val="1"/>
          <c:h val="0.277274"/>
        </c:manualLayout>
      </c:layout>
      <c:overlay val="1"/>
      <c:spPr>
        <a:noFill/>
        <a:ln w="12700" cap="flat">
          <a:noFill/>
          <a:miter lim="400000"/>
        </a:ln>
        <a:effectLst/>
      </c:spPr>
      <c:txPr>
        <a:bodyPr rot="0"/>
        <a:lstStyle/>
        <a:p>
          <a:pPr>
            <a:defRPr b="0" i="0" strike="noStrike" sz="1000" u="none">
              <a:solidFill>
                <a:srgbClr val="000000"/>
              </a:solidFill>
              <a:latin typeface="Calibri"/>
            </a:defRPr>
          </a:pPr>
        </a:p>
      </c:txPr>
    </c:legend>
    <c:plotVisOnly val="1"/>
    <c:dispBlanksAs val="gap"/>
  </c:chart>
  <c:spPr>
    <a:solidFill>
      <a:srgbClr val="FFFFFF"/>
    </a:solidFill>
    <a:ln w="12700" cap="flat">
      <a:solidFill>
        <a:srgbClr val="888888"/>
      </a:solidFill>
      <a:prstDash val="solid"/>
      <a:round/>
    </a:ln>
    <a:effectLst/>
  </c:spPr>
  <c:externalData r:id="rId1">
    <c:autoUpdate val="0"/>
  </c:externalData>
</c:chartSpace>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