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31367500" w14:textId="34849822" w:rsidR="0024281D" w:rsidRPr="000E5BAE" w:rsidRDefault="008375B5" w:rsidP="0024281D">
      <w:pPr>
        <w:rPr>
          <w:rFonts w:asciiTheme="majorHAnsi" w:eastAsiaTheme="majorEastAsia" w:hAnsiTheme="majorHAnsi" w:cstheme="majorBidi"/>
          <w:b/>
          <w:bCs/>
          <w:sz w:val="28"/>
          <w:szCs w:val="28"/>
        </w:rPr>
      </w:pPr>
      <w:r>
        <w:rPr>
          <w:rFonts w:ascii="Arial" w:hAnsi="Arial" w:cs="Arial"/>
          <w:b/>
          <w:bCs/>
          <w:color w:val="000000"/>
          <w:sz w:val="32"/>
          <w:szCs w:val="32"/>
        </w:rPr>
        <w:t>Component 1:</w:t>
      </w:r>
    </w:p>
    <w:p w14:paraId="09EDD2AC" w14:textId="6AFCC3E9"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 </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3D0B427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B702F4">
        <w:rPr>
          <w:rStyle w:val="Strong"/>
          <w:rFonts w:ascii="Arial" w:hAnsi="Arial" w:cs="Arial"/>
          <w:color w:val="1D2125"/>
          <w:sz w:val="32"/>
          <w:szCs w:val="32"/>
        </w:rPr>
        <w:t xml:space="preserve"> Patricia </w:t>
      </w:r>
      <w:proofErr w:type="spellStart"/>
      <w:r w:rsidR="00B702F4">
        <w:rPr>
          <w:rStyle w:val="Strong"/>
          <w:rFonts w:ascii="Arial" w:hAnsi="Arial" w:cs="Arial"/>
          <w:color w:val="1D2125"/>
          <w:sz w:val="32"/>
          <w:szCs w:val="32"/>
        </w:rPr>
        <w:t>Amofa</w:t>
      </w:r>
      <w:proofErr w:type="spellEnd"/>
    </w:p>
    <w:p w14:paraId="227AC82E" w14:textId="23F2435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B702F4">
        <w:rPr>
          <w:rStyle w:val="Strong"/>
          <w:rFonts w:ascii="Arial" w:hAnsi="Arial" w:cs="Arial"/>
          <w:color w:val="1D2125"/>
          <w:sz w:val="32"/>
          <w:szCs w:val="32"/>
        </w:rPr>
        <w:t xml:space="preserve"> 2315962</w:t>
      </w:r>
    </w:p>
    <w:p w14:paraId="5B5E64AD" w14:textId="2139266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B702F4">
        <w:rPr>
          <w:rStyle w:val="Strong"/>
          <w:rFonts w:ascii="Arial" w:hAnsi="Arial" w:cs="Arial"/>
          <w:color w:val="1D2125"/>
          <w:sz w:val="32"/>
          <w:szCs w:val="32"/>
        </w:rPr>
        <w:t xml:space="preserve"> Shepherd Ziko</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05AAEAEA"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Introduction</w:t>
      </w:r>
    </w:p>
    <w:p w14:paraId="0902B661"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Workforce</w:t>
      </w:r>
    </w:p>
    <w:p w14:paraId="481B5086"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Service Delivery</w:t>
      </w:r>
    </w:p>
    <w:p w14:paraId="5AED01BD"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Patients and Service Users</w:t>
      </w:r>
    </w:p>
    <w:p w14:paraId="5168A06D"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the Community</w:t>
      </w:r>
    </w:p>
    <w:p w14:paraId="35DF5D99"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Conclusion</w:t>
      </w:r>
    </w:p>
    <w:p w14:paraId="551694EA" w14:textId="7777777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References</w:t>
      </w: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8375B5">
      <w:pPr>
        <w:spacing w:line="360" w:lineRule="auto"/>
        <w:rPr>
          <w:rFonts w:ascii="Arial" w:hAnsi="Arial" w:cs="Arial"/>
          <w:sz w:val="28"/>
          <w:szCs w:val="28"/>
        </w:rPr>
      </w:pPr>
      <w:r w:rsidRPr="008375B5">
        <w:rPr>
          <w:rFonts w:ascii="Arial" w:hAnsi="Arial" w:cs="Arial"/>
          <w:b/>
          <w:bCs/>
          <w:sz w:val="28"/>
          <w:szCs w:val="28"/>
        </w:rPr>
        <w:t>Introduction </w:t>
      </w:r>
    </w:p>
    <w:p w14:paraId="275C3512" w14:textId="77777777" w:rsidR="00465182" w:rsidRPr="000E5BAE" w:rsidRDefault="00465182" w:rsidP="00465182">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 xml:space="preserve">The healthcare sector has undergone significant transformation in the past decade due to advances in digital technologies. Among the most influential innovations is the Electronic Health Record (EHR) system, a digital version of a patient’s paper chart that integrates clinical and administrative information across multiple care settings. The National Health Service (NHS) has adopted EHRs as a cornerstone of its </w:t>
      </w:r>
      <w:r w:rsidRPr="000E5BAE">
        <w:rPr>
          <w:rFonts w:asciiTheme="majorHAnsi" w:eastAsiaTheme="majorEastAsia" w:hAnsiTheme="majorHAnsi" w:cstheme="majorBidi"/>
          <w:i/>
          <w:iCs/>
          <w:sz w:val="28"/>
          <w:szCs w:val="28"/>
        </w:rPr>
        <w:t>Digital Transformation Strategy 2022–2027</w:t>
      </w:r>
      <w:r w:rsidRPr="000E5BAE">
        <w:rPr>
          <w:rFonts w:asciiTheme="majorHAnsi" w:eastAsiaTheme="majorEastAsia" w:hAnsiTheme="majorHAnsi" w:cstheme="majorBidi"/>
          <w:sz w:val="28"/>
          <w:szCs w:val="28"/>
        </w:rPr>
        <w:t xml:space="preserve"> to improve information flow, enhance care coordination, and promote patient-centred services (NHS England, 2022). EHRs replace fragmented paper records with interoperable digital platforms that can be accessed by authorised professionals, improving efficiency and patient safety (Greenhalgh et al., 2019).</w:t>
      </w:r>
    </w:p>
    <w:p w14:paraId="176CBCBF" w14:textId="77777777" w:rsidR="00465182" w:rsidRPr="00316CCC" w:rsidRDefault="00465182" w:rsidP="00465182">
      <w:pPr>
        <w:rPr>
          <w:rFonts w:asciiTheme="majorHAnsi" w:eastAsiaTheme="majorEastAsia" w:hAnsiTheme="majorHAnsi" w:cstheme="majorBidi"/>
          <w:sz w:val="28"/>
          <w:szCs w:val="28"/>
        </w:rPr>
      </w:pPr>
    </w:p>
    <w:p w14:paraId="4191B09F" w14:textId="77777777" w:rsidR="00465182" w:rsidRPr="000E5BAE" w:rsidRDefault="00465182" w:rsidP="00465182">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This report critically evaluates how EHRs have impacted the workforce, service delivery, patients/service users, and the wider community in the UK. Both positive and negative outcomes are considered, with a focus on evidence from the last ten years. The discussion concludes with recommendations for improving the implementation and inclusivity of EHR systems.</w:t>
      </w:r>
    </w:p>
    <w:p w14:paraId="5CC59682" w14:textId="77777777" w:rsidR="00A9474F" w:rsidRPr="008375B5" w:rsidRDefault="00A9474F" w:rsidP="008375B5">
      <w:pPr>
        <w:spacing w:line="360" w:lineRule="auto"/>
        <w:rPr>
          <w:rFonts w:ascii="Arial" w:hAnsi="Arial" w:cs="Arial"/>
          <w:i/>
          <w:iCs/>
          <w:color w:val="0070C0"/>
          <w:sz w:val="22"/>
          <w:szCs w:val="22"/>
        </w:rPr>
      </w:pPr>
      <w:r w:rsidRPr="008375B5">
        <w:rPr>
          <w:rFonts w:ascii="Arial" w:hAnsi="Arial" w:cs="Arial"/>
          <w:i/>
          <w:iCs/>
          <w:color w:val="0070C0"/>
          <w:sz w:val="22"/>
          <w:szCs w:val="22"/>
        </w:rPr>
        <w:t>Introduce your topic and the innovation you will use to address</w:t>
      </w:r>
      <w:r w:rsidR="00C80D0F" w:rsidRPr="008375B5">
        <w:rPr>
          <w:rFonts w:ascii="Arial" w:hAnsi="Arial" w:cs="Arial"/>
          <w:i/>
          <w:iCs/>
          <w:color w:val="0070C0"/>
          <w:sz w:val="22"/>
          <w:szCs w:val="22"/>
        </w:rPr>
        <w:t>.</w:t>
      </w:r>
    </w:p>
    <w:p w14:paraId="232BD2C5" w14:textId="77777777" w:rsidR="00C80D0F" w:rsidRPr="008375B5" w:rsidRDefault="00C80D0F" w:rsidP="008375B5">
      <w:pPr>
        <w:spacing w:line="360" w:lineRule="auto"/>
        <w:rPr>
          <w:rFonts w:ascii="Arial" w:hAnsi="Arial" w:cs="Arial"/>
          <w:i/>
          <w:iCs/>
          <w:sz w:val="22"/>
          <w:szCs w:val="22"/>
        </w:rPr>
      </w:pPr>
    </w:p>
    <w:p w14:paraId="6341855D"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work force </w:t>
      </w:r>
    </w:p>
    <w:p w14:paraId="36B1C890"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The implementation of EHRs has profoundly reshaped the roles, competencies, and workflows of healthcare professionals in the UK. EHR adoption required a paradigm shift from traditional paper-based documentation to digital data management, demanding new digital literacy and informatics skills among clinicians (Johnson et al., 2021). As part of NHS England’s workforce digital upskilling initiatives, healthcare staff have undergone continuous professional development to ensure competence in using electronic systems for documentation, decision support, and clinical coding (Health Education England, 2022).</w:t>
      </w:r>
    </w:p>
    <w:p w14:paraId="5D680BCF"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Transformation of Roles and Responsibilities</w:t>
      </w:r>
    </w:p>
    <w:p w14:paraId="7B99F9AF"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EHRs have expanded the professional scope of clinicians, nurses, and administrative staff. For instance, nurses now participate in real-time data entry and monitoring through bedside terminals, while administrative roles increasingly focus on data governance, system configuration, and analytics (Nguyen et al., 2021). The centralisation of patient data has improved multidisciplinary collaboration, as different specialists can access the same record simultaneously, enhancing coordination of care (Reeves et al., 2020).</w:t>
      </w:r>
    </w:p>
    <w:p w14:paraId="5D0CA795"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However, the transition has not been without challenges. Many professionals initially reported increased workload and documentation burden, as electronic interfaces required extensive data input and system navigation (Marques et al., 2021). Older practitioners, in particular, expressed resistance due to usability issues and “technostress” associated with system updates and performance lags (Ghosh et al., 2022). The NHS Digital Academy has addressed this through training programmes designed to improve system familiarity and reduce resistance (NHS Digital Academy, 2023).</w:t>
      </w:r>
    </w:p>
    <w:p w14:paraId="4985E674"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Workforce Efficiency and Job Satisfaction</w:t>
      </w:r>
    </w:p>
    <w:p w14:paraId="30E6DC7D" w14:textId="77777777" w:rsidR="00F22CD9" w:rsidRPr="001C2C53" w:rsidRDefault="00F22CD9" w:rsidP="00F22CD9">
      <w:pPr>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 xml:space="preserve">Studies demonstrate mixed outcomes regarding the efficiency, workload, and job satisfaction of healthcare staff following the adoption of Electronic Health Records (EHRs). On one hand, digital recordkeeping has reduced duplication, </w:t>
      </w:r>
      <w:r w:rsidRPr="001C2C53">
        <w:rPr>
          <w:rFonts w:asciiTheme="majorHAnsi" w:eastAsiaTheme="majorEastAsia" w:hAnsiTheme="majorHAnsi" w:cstheme="majorBidi"/>
          <w:sz w:val="28"/>
          <w:szCs w:val="28"/>
        </w:rPr>
        <w:lastRenderedPageBreak/>
        <w:t>enhanced legibility, and minimised clinical errors, leading to measurable improvements in accuracy and continuity of care (Robertson et al., 2019). EHRs also facilitate rapid access to patient histories, test results, and medication records, allowing professionals to make more informed clinical decisions. Furthermore, built-in clinical decision support tools improve diagnostic precision and medication safety, with electronic prescribing reducing errors by up to 30% across NHS Trusts (NHS Improvement, 2022).</w:t>
      </w:r>
    </w:p>
    <w:p w14:paraId="23A573EA" w14:textId="77777777" w:rsidR="00F22CD9" w:rsidRPr="001C2C53" w:rsidRDefault="00F22CD9" w:rsidP="00F22CD9">
      <w:pPr>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However, despite these advances, many clinicians report increased administrative demands and extended time spent on data entry, which can detract from direct patient interaction and compassionate care. Some studies highlight “digital fatigue” and stress, especially among older or less digitally proficient staff, who may struggle with new systems or constant software updates (Ghosh et al., 2022). Maintaining workforce motivation and wellbeing therefore requires thoughtful system design, ongoing digital literacy training, and opportunities for staff feedback. Iterative EHR improvement, guided by user experience, remains essential to ensure the technology supports—not hinders—the human aspects of healthcare delivery.</w:t>
      </w:r>
    </w:p>
    <w:p w14:paraId="63A62AA8" w14:textId="77777777" w:rsidR="00C80D0F" w:rsidRPr="008375B5" w:rsidRDefault="00C80D0F" w:rsidP="008375B5">
      <w:pPr>
        <w:spacing w:line="360" w:lineRule="auto"/>
        <w:rPr>
          <w:rFonts w:ascii="Arial" w:hAnsi="Arial" w:cs="Arial"/>
          <w:i/>
          <w:iCs/>
          <w:color w:val="0070C0"/>
          <w:sz w:val="22"/>
          <w:szCs w:val="22"/>
        </w:rPr>
      </w:pPr>
      <w:r w:rsidRPr="008375B5">
        <w:rPr>
          <w:rFonts w:ascii="Arial" w:hAnsi="Arial" w:cs="Arial"/>
          <w:i/>
          <w:iCs/>
          <w:color w:val="0070C0"/>
          <w:sz w:val="22"/>
          <w:szCs w:val="22"/>
        </w:rPr>
        <w:t>Workforce (consider areas such as changes in job roles, role competency)</w:t>
      </w:r>
    </w:p>
    <w:p w14:paraId="78BF621E" w14:textId="77777777" w:rsidR="00C80D0F" w:rsidRPr="008375B5" w:rsidRDefault="00C80D0F" w:rsidP="008375B5">
      <w:pPr>
        <w:spacing w:line="360" w:lineRule="auto"/>
        <w:rPr>
          <w:rFonts w:ascii="Arial" w:hAnsi="Arial" w:cs="Arial"/>
          <w:sz w:val="22"/>
          <w:szCs w:val="22"/>
        </w:rPr>
      </w:pPr>
    </w:p>
    <w:p w14:paraId="61241919"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service delivery </w:t>
      </w:r>
    </w:p>
    <w:p w14:paraId="3D6F4DAC"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EHRs have become the backbone of modern healthcare service delivery in the UK. Their primary aim is to streamline data flow, reduce fragmentation, and enable coordinated, evidence-based care (Alami et al., 2020).</w:t>
      </w:r>
    </w:p>
    <w:p w14:paraId="7203993F"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Operational Efficiency and Continuity of Care</w:t>
      </w:r>
    </w:p>
    <w:p w14:paraId="0F1AF6F5"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 xml:space="preserve">Through interoperability, Electronic Health Records (EHRs) enable seamless communication and information exchange among healthcare providers across various sites — including hospitals, general practices, pharmacies, and community health services. This connectivity has greatly enhanced continuity of care, ensuring that patient information is readily available at the point of need, thereby reducing diagnostic duplication, treatment delays, and medical errors </w:t>
      </w:r>
      <w:r w:rsidRPr="00897234">
        <w:rPr>
          <w:rFonts w:asciiTheme="majorHAnsi" w:eastAsiaTheme="majorEastAsia" w:hAnsiTheme="majorHAnsi" w:cstheme="majorBidi"/>
          <w:sz w:val="28"/>
          <w:szCs w:val="28"/>
        </w:rPr>
        <w:lastRenderedPageBreak/>
        <w:t>often associated with incomplete or fragmented records (Greenhalgh et al., 2019).</w:t>
      </w:r>
    </w:p>
    <w:p w14:paraId="1880CC3B"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A practical example is the Summary Care Record (SCR) system, which provides authorised NHS professionals with access to essential clinical data such as allergies, medication history, and ongoing treatments. This has improved emergency responses and medication reconciliation, especially for patients with complex conditions or those unable to communicate effectively (NHS Digital, 2022). During the COVID-19 pandemic, EHRs played a crucial role in enabling real-time data sharing across hospitals, testing centres, and public health agencies, facilitating effective patient tracking, vaccination rollout, and clinical research (Osborn &amp; Ayele, 2022). Such interoperability has transformed the NHS into a more coordinated and data-driven healthcare system, strengthening collaboration, enhancing safety, and laying the groundwork for integrated, patient-centred digital healthcare delivery across the UK.</w:t>
      </w:r>
    </w:p>
    <w:p w14:paraId="2027A1E4"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Challenges and Limitations</w:t>
      </w:r>
    </w:p>
    <w:p w14:paraId="2B7A72FC"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Despite these benefits, implementation challenges persist. Inconsistent system interoperability across NHS Trusts often results in data silos that hinder real-time collaboration (Murray et al., 2021). The financial burden of procurement, maintenance, and training also strains NHS budgets, especially among smaller healthcare providers. Additionally, system downtimes can interrupt service delivery, leading to delays in patient care (Alami et al., 2020).</w:t>
      </w:r>
    </w:p>
    <w:p w14:paraId="1399E825"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Data privacy remains another concern. EHR systems store vast amounts of sensitive health information, making them vulnerable to cybersecurity threats. NHS Digital reported over 3,000 attempted data breaches between 2020 and 2023, prompting calls for stronger encryption and audit mechanisms (National Audit Office, 2023).</w:t>
      </w:r>
    </w:p>
    <w:p w14:paraId="126B8892"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Nevertheless, the overall service transformation has been positive. Digital record systems support population health management, predictive analytics, and resource allocation, helping the NHS move toward a preventive care model rather than a reactive one (NHS England, 2022).</w:t>
      </w:r>
    </w:p>
    <w:p w14:paraId="40E3CC31" w14:textId="77777777" w:rsidR="00C80D0F" w:rsidRPr="008375B5" w:rsidRDefault="00C80D0F" w:rsidP="008375B5">
      <w:pPr>
        <w:spacing w:line="360" w:lineRule="auto"/>
        <w:rPr>
          <w:rFonts w:ascii="Arial" w:hAnsi="Arial" w:cs="Arial"/>
          <w:i/>
          <w:iCs/>
          <w:color w:val="0070C0"/>
          <w:sz w:val="22"/>
          <w:szCs w:val="22"/>
        </w:rPr>
      </w:pPr>
      <w:r w:rsidRPr="008375B5">
        <w:rPr>
          <w:rFonts w:ascii="Arial" w:hAnsi="Arial" w:cs="Arial"/>
          <w:i/>
          <w:iCs/>
          <w:color w:val="0070C0"/>
          <w:sz w:val="22"/>
          <w:szCs w:val="22"/>
        </w:rPr>
        <w:t>Service delivery (for example, how does the day-to-day service change)</w:t>
      </w:r>
    </w:p>
    <w:p w14:paraId="7E1D5428" w14:textId="77777777" w:rsidR="00C80D0F" w:rsidRPr="008375B5" w:rsidRDefault="00C80D0F" w:rsidP="008375B5">
      <w:pPr>
        <w:spacing w:line="360" w:lineRule="auto"/>
        <w:rPr>
          <w:rFonts w:ascii="Arial" w:hAnsi="Arial" w:cs="Arial"/>
          <w:b/>
          <w:bCs/>
          <w:sz w:val="22"/>
          <w:szCs w:val="22"/>
        </w:rPr>
      </w:pPr>
    </w:p>
    <w:p w14:paraId="46327300"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lastRenderedPageBreak/>
        <w:t xml:space="preserve">Impact on patients </w:t>
      </w:r>
    </w:p>
    <w:p w14:paraId="47397783"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From the patient’s perspective, EHRs have fundamentally changed the healthcare experience. They empower individuals to become active participants in their care through digital access and communication tools.</w:t>
      </w:r>
    </w:p>
    <w:p w14:paraId="02AAC126"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Enhanced Patient Engagement and Safety</w:t>
      </w:r>
    </w:p>
    <w:p w14:paraId="6BC07923"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Patients now benefit from online portals that allow them to view medical histories, test results, and prescriptions, fostering autonomy and self-management (Kellermann &amp; Jones, 2019). A 2022 NHS survey found that 73% of patients felt more in control of their care when they could access their health records electronically (NHS Digital, 2022). EHRs also reduce medical errors and duplications, improving patient safety outcomes (Robertson et al., 2019).</w:t>
      </w:r>
    </w:p>
    <w:p w14:paraId="51F4259C"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Furthermore, EHRs facilitate integrated care for individuals with chronic illnesses such as diabetes or heart disease, enabling multiple specialists to coordinate seamlessly. Automated alerts and reminders enhance adherence to treatment plans and follow-up appointments (Nguyen et al., 2021).</w:t>
      </w:r>
    </w:p>
    <w:p w14:paraId="1E539FD3"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Concerns about Privacy and Digital Exclusion</w:t>
      </w:r>
    </w:p>
    <w:p w14:paraId="09272671" w14:textId="77777777" w:rsidR="00F22CD9" w:rsidRPr="00316CCC" w:rsidRDefault="00F22CD9" w:rsidP="00F22CD9">
      <w:pPr>
        <w:jc w:val="both"/>
        <w:rPr>
          <w:rFonts w:asciiTheme="majorHAnsi" w:eastAsiaTheme="majorEastAsia" w:hAnsiTheme="majorHAnsi" w:cstheme="majorBidi"/>
          <w:sz w:val="28"/>
          <w:szCs w:val="28"/>
        </w:rPr>
      </w:pPr>
      <w:r w:rsidRPr="00316CCC">
        <w:rPr>
          <w:rFonts w:asciiTheme="majorHAnsi" w:eastAsiaTheme="majorEastAsia" w:hAnsiTheme="majorHAnsi" w:cstheme="majorBidi"/>
          <w:sz w:val="28"/>
          <w:szCs w:val="28"/>
        </w:rPr>
        <w:t xml:space="preserve">However, several concerns persist regarding the ethical and practical implications of Electronic Health Records (EHRs). Issues of privacy and data security remain paramount, as patients often worry about who can access, store, and share their personal health information. Incidents involving unauthorised staff access or cyberattacks have eroded public confidence in digital health systems (National Data Guardian, 2023). </w:t>
      </w:r>
    </w:p>
    <w:p w14:paraId="3DFA66C9" w14:textId="77777777" w:rsidR="00F22CD9" w:rsidRPr="00316CCC" w:rsidRDefault="00F22CD9" w:rsidP="00F22CD9">
      <w:pPr>
        <w:jc w:val="both"/>
        <w:rPr>
          <w:rFonts w:asciiTheme="majorHAnsi" w:eastAsiaTheme="majorEastAsia" w:hAnsiTheme="majorHAnsi" w:cstheme="majorBidi"/>
          <w:sz w:val="28"/>
          <w:szCs w:val="28"/>
        </w:rPr>
      </w:pPr>
      <w:r w:rsidRPr="00316CCC">
        <w:rPr>
          <w:rFonts w:asciiTheme="majorHAnsi" w:eastAsiaTheme="majorEastAsia" w:hAnsiTheme="majorHAnsi" w:cstheme="majorBidi"/>
          <w:sz w:val="28"/>
          <w:szCs w:val="28"/>
        </w:rPr>
        <w:t>Additionally, digital exclusion continues to disadvantage elderly individuals, people with disabilities, and those lacking reliable internet access or digital skills (ONS, 2023). Such inequalities hinder full participation in EHR use, potentially widening the gap in healthcare access and outcomes.</w:t>
      </w:r>
    </w:p>
    <w:p w14:paraId="4A460D87" w14:textId="77777777" w:rsidR="00F22CD9" w:rsidRDefault="00F22CD9" w:rsidP="00F22CD9">
      <w:pPr>
        <w:rPr>
          <w:rFonts w:asciiTheme="majorHAnsi" w:eastAsiaTheme="majorEastAsia" w:hAnsiTheme="majorHAnsi" w:cstheme="majorBidi"/>
          <w:b/>
          <w:bCs/>
          <w:sz w:val="28"/>
          <w:szCs w:val="28"/>
        </w:rPr>
      </w:pPr>
    </w:p>
    <w:p w14:paraId="7C81CC15"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Patient Satisfaction and Relationship with Professionals</w:t>
      </w:r>
    </w:p>
    <w:p w14:paraId="1A7F2BE1"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 xml:space="preserve">While Electronic Health Records (EHRs) improve transparency and access to information, some patients perceive a decline in the quality of personal interaction </w:t>
      </w:r>
      <w:r w:rsidRPr="00897234">
        <w:rPr>
          <w:rFonts w:asciiTheme="majorHAnsi" w:eastAsiaTheme="majorEastAsia" w:hAnsiTheme="majorHAnsi" w:cstheme="majorBidi"/>
          <w:sz w:val="28"/>
          <w:szCs w:val="28"/>
        </w:rPr>
        <w:lastRenderedPageBreak/>
        <w:t>during consultations, as clinicians may appear more focused on computer screens than on direct engagement (Ghosh et al., 2022). This shift can affect trust, empathy, and the perceived attentiveness of healthcare providers. Therefore, maintaining a balance between technological efficiency and compassionate communication is essential. Ultimately, EHRs enhance patient safety, empowerment, and participation in care, but they must be guided by ethical vigilance, empathy, and user-friendly design to preserve truly patient-centred healthcare experiences.</w:t>
      </w:r>
    </w:p>
    <w:p w14:paraId="18729334" w14:textId="77777777" w:rsidR="00C80D0F" w:rsidRPr="008375B5" w:rsidRDefault="00C80D0F" w:rsidP="008375B5">
      <w:pPr>
        <w:spacing w:line="360" w:lineRule="auto"/>
        <w:rPr>
          <w:rFonts w:ascii="Arial" w:hAnsi="Arial" w:cs="Arial"/>
          <w:i/>
          <w:iCs/>
          <w:color w:val="0070C0"/>
          <w:sz w:val="22"/>
          <w:szCs w:val="22"/>
        </w:rPr>
      </w:pPr>
      <w:r w:rsidRPr="008375B5">
        <w:rPr>
          <w:rFonts w:ascii="Arial" w:hAnsi="Arial" w:cs="Arial"/>
          <w:i/>
          <w:iCs/>
          <w:color w:val="0070C0"/>
          <w:sz w:val="22"/>
          <w:szCs w:val="22"/>
        </w:rPr>
        <w:t xml:space="preserve">Patient/Service user (how do technologies affect the patient in relation to their perceptions and experiences of their care?) </w:t>
      </w:r>
    </w:p>
    <w:p w14:paraId="7E860150" w14:textId="77777777" w:rsidR="00C80D0F" w:rsidRPr="008375B5" w:rsidRDefault="00C80D0F" w:rsidP="008375B5">
      <w:pPr>
        <w:spacing w:line="360" w:lineRule="auto"/>
        <w:rPr>
          <w:rFonts w:ascii="Arial" w:hAnsi="Arial" w:cs="Arial"/>
          <w:b/>
          <w:bCs/>
          <w:i/>
          <w:iCs/>
          <w:sz w:val="22"/>
          <w:szCs w:val="22"/>
        </w:rPr>
      </w:pPr>
    </w:p>
    <w:p w14:paraId="75ED4894"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community </w:t>
      </w:r>
    </w:p>
    <w:p w14:paraId="416BD431"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At a broader level, EHR systems influence community health dynamics, public health policy, and population wellbeing. They support data-driven decision-making, health promotion, and resource planning across communities (Kellermann &amp; Jones, 2019).</w:t>
      </w:r>
    </w:p>
    <w:p w14:paraId="60B82E72"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Public Health and Population Management</w:t>
      </w:r>
    </w:p>
    <w:p w14:paraId="14DAB2AB"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EHR data enable local authorities and the NHS to identify disease trends and monitor population health indicators in real time. For example, during the COVID-19 crisis, integrated EHR databases helped track vaccination rates and infection patterns across different regions (Osborn &amp; Ayele, 2022). Such capabilities strengthen public health surveillance and allow earlier interventions in community outbreaks.</w:t>
      </w:r>
    </w:p>
    <w:p w14:paraId="25050923"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Additionally, EHRs promote co-production between healthcare providers and citizens by making community-level data available for health education and prevention campaigns. Families and caregivers can access patient information (with consent), improving home-based care and shared decision-making (Health Foundation, 2021).</w:t>
      </w:r>
    </w:p>
    <w:p w14:paraId="4D3C5456"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Reducing Health Inequalities</w:t>
      </w:r>
    </w:p>
    <w:p w14:paraId="1E7C522B"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lastRenderedPageBreak/>
        <w:t>Electronic Health Records (EHRs) have significant potential to reduce regional health disparities by supporting telehealth consultations, remote monitoring, and integrated data sharing across care settings, particularly in rural and underserved areas (Murray et al., 2021). By enabling clinicians to access patient information regardless of location, EHRs improve continuity of care and ensure timely interventions for populations that might otherwise face delays in diagnosis or treatment. However, persistent inequalities in internet access, digital literacy, and technological infrastructure have contributed to a growing “digital divide,” meaning some communities experience far greater benefits than others (ONS, 2023).</w:t>
      </w:r>
    </w:p>
    <w:p w14:paraId="2268F6D1"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To close this gap, targeted investment is needed in broadband expansion, device accessibility, and digital training initiatives for both patients and healthcare workers. When equitably implemented, EHRs can strengthen community resilience, enhance public health planning, and foster inclusive, data-informed healthcare systems that serve all citizens regardless of geographical or socioeconomic barriers.</w:t>
      </w:r>
    </w:p>
    <w:p w14:paraId="2B0652F9" w14:textId="77777777" w:rsidR="00C80D0F" w:rsidRPr="008375B5" w:rsidRDefault="00C80D0F" w:rsidP="008375B5">
      <w:pPr>
        <w:spacing w:line="360" w:lineRule="auto"/>
        <w:rPr>
          <w:rFonts w:ascii="Arial" w:hAnsi="Arial" w:cs="Arial"/>
          <w:i/>
          <w:iCs/>
          <w:color w:val="0070C0"/>
          <w:sz w:val="22"/>
          <w:szCs w:val="22"/>
        </w:rPr>
      </w:pPr>
      <w:r w:rsidRPr="008375B5">
        <w:rPr>
          <w:rFonts w:ascii="Arial" w:hAnsi="Arial" w:cs="Arial"/>
          <w:i/>
          <w:iCs/>
          <w:color w:val="0070C0"/>
          <w:sz w:val="22"/>
          <w:szCs w:val="22"/>
        </w:rPr>
        <w:t xml:space="preserve">Community (consider this in terms of patient and service location, effect on family members, co-production and public health). </w:t>
      </w:r>
    </w:p>
    <w:p w14:paraId="2CA9E204" w14:textId="77777777" w:rsidR="00C80D0F" w:rsidRPr="008375B5" w:rsidRDefault="00C80D0F" w:rsidP="008375B5">
      <w:pPr>
        <w:spacing w:line="360" w:lineRule="auto"/>
        <w:rPr>
          <w:rFonts w:ascii="Arial" w:hAnsi="Arial" w:cs="Arial"/>
          <w:i/>
          <w:iCs/>
          <w:sz w:val="22"/>
          <w:szCs w:val="22"/>
        </w:rPr>
      </w:pPr>
    </w:p>
    <w:p w14:paraId="0C5078D7"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Conclusion</w:t>
      </w:r>
    </w:p>
    <w:p w14:paraId="4D6C21A7" w14:textId="77777777" w:rsidR="00F22CD9" w:rsidRPr="000E5BAE" w:rsidRDefault="008375B5" w:rsidP="00F22CD9">
      <w:pPr>
        <w:jc w:val="both"/>
        <w:rPr>
          <w:rFonts w:asciiTheme="majorHAnsi" w:eastAsiaTheme="majorEastAsia" w:hAnsiTheme="majorHAnsi" w:cstheme="majorBidi"/>
          <w:sz w:val="28"/>
          <w:szCs w:val="28"/>
        </w:rPr>
      </w:pPr>
      <w:r w:rsidRPr="008375B5">
        <w:rPr>
          <w:rFonts w:ascii="Arial" w:hAnsi="Arial" w:cs="Arial"/>
          <w:sz w:val="22"/>
          <w:szCs w:val="22"/>
        </w:rPr>
        <w:t xml:space="preserve"> </w:t>
      </w:r>
      <w:r w:rsidR="00F22CD9" w:rsidRPr="000E5BAE">
        <w:rPr>
          <w:rFonts w:asciiTheme="majorHAnsi" w:eastAsiaTheme="majorEastAsia" w:hAnsiTheme="majorHAnsi" w:cstheme="majorBidi"/>
          <w:sz w:val="28"/>
          <w:szCs w:val="28"/>
        </w:rPr>
        <w:t>The implementation of Electronic Health Records represents a pivotal step in the UK’s journey toward a fully digital healthcare system. The innovation has transformed professional practice, streamlined service delivery, empowered patients, and strengthened public health management. Evidence shows that EHRs enhance safety, efficiency, and coordination across care settings, aligning with NHS priorities for integrated, data-driven healthcare.</w:t>
      </w:r>
    </w:p>
    <w:p w14:paraId="4853DDA8"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Nevertheless, challenges persist. Workforce adaptation requires sustained digital training and system usability improvements. Service delivery continues to face interoperability and cybersecurity issues. Patients and communities still experience disparities linked to digital literacy and access.</w:t>
      </w:r>
    </w:p>
    <w:p w14:paraId="546B55A4" w14:textId="77777777" w:rsidR="00F22CD9" w:rsidRPr="000E5BAE" w:rsidRDefault="00F22CD9" w:rsidP="00F22CD9">
      <w:pPr>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To maximise the benefits of EHRs, the NHS should prioritise:</w:t>
      </w:r>
    </w:p>
    <w:p w14:paraId="34C145BA"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lastRenderedPageBreak/>
        <w:t>User-centred system design: The NHS should ensure EHR systems are designed with clinicians and patients in mind, simplifying workflows, minimising documentation burdens, and enhancing accessibility across all care settings.</w:t>
      </w:r>
    </w:p>
    <w:p w14:paraId="759CBF8B"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Equitable digital inclusion: Targeted strategies must be implemented to support disadvantaged or digitally excluded populations, ensuring fair access, adequate training, and necessary digital infrastructure for effective EHR engagement.</w:t>
      </w:r>
    </w:p>
    <w:p w14:paraId="196D2292"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Robust cybersecurity and data governance: Strengthening cybersecurity frameworks and promoting transparent data governance will protect sensitive patient information, maintain confidentiality, and sustain public trust in digital health systems.</w:t>
      </w:r>
    </w:p>
    <w:p w14:paraId="0AD4043F"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Continuous evaluation and feedback: Establishing ongoing review mechanisms will allow the NHS to assess performance, capture user insights, and drive continuous improvement and innovation in EHR implementation.</w:t>
      </w:r>
    </w:p>
    <w:p w14:paraId="02B3AA20"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Ultimately, Electronic Health Records (EHRs) exemplify how digital transformation can fundamentally reshape healthcare delivery when human, ethical, and technical dimensions evolve in harmony. Their successful integration demonstrates the potential for data-driven, patient-centred care that transcends organisational boundaries and improves both quality and efficiency. However, the true sustainability of EHRs depends on continuous adaptation to meet the dynamic needs of healthcare professionals, patients, and policymakers.</w:t>
      </w:r>
    </w:p>
    <w:p w14:paraId="41923ACF"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Ethical governance, including data privacy, informed consent, and transparency, must remain at the forefront of EHR development to maintain public trust. At the same time, ongoing technical innovation—such as artificial intelligence integration, predictive analytics, and enhanced interoperability—will expand the functionality and responsiveness of EHR systems. Equally important are the human factors: providing adequate training, reducing digital fatigue, and ensuring that technology supports rather than replaces the compassionate nature of healthcare.</w:t>
      </w:r>
    </w:p>
    <w:p w14:paraId="21E6DEFC"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lastRenderedPageBreak/>
        <w:t>With thoughtful investment, user engagement, and policy alignment, EHRs will continue to drive a sustainable, integrated, and patient-focused NHS. They stand not merely as a technological tool but as a symbol of how digital transformation, when guided by ethical and inclusive principles, can strengthen the foundations of modern healthcare delivery across the United Kingdom.</w:t>
      </w:r>
    </w:p>
    <w:p w14:paraId="06388B3A" w14:textId="3105347A" w:rsidR="00C80D0F" w:rsidRPr="008375B5" w:rsidRDefault="00C80D0F" w:rsidP="008375B5">
      <w:pPr>
        <w:spacing w:line="360" w:lineRule="auto"/>
        <w:rPr>
          <w:rFonts w:ascii="Arial" w:hAnsi="Arial" w:cs="Arial"/>
          <w:sz w:val="22"/>
          <w:szCs w:val="22"/>
        </w:rPr>
      </w:pP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63857A30" w14:textId="77777777" w:rsidR="008375B5" w:rsidRDefault="008375B5" w:rsidP="008375B5">
      <w:pPr>
        <w:spacing w:line="360" w:lineRule="auto"/>
        <w:rPr>
          <w:rFonts w:ascii="Arial" w:hAnsi="Arial" w:cs="Arial"/>
          <w:b/>
          <w:bCs/>
          <w:sz w:val="28"/>
          <w:szCs w:val="28"/>
        </w:rPr>
      </w:pPr>
      <w:r>
        <w:rPr>
          <w:rFonts w:ascii="Arial" w:hAnsi="Arial" w:cs="Arial"/>
          <w:b/>
          <w:bCs/>
          <w:sz w:val="28"/>
          <w:szCs w:val="28"/>
        </w:rPr>
        <w:t>References</w:t>
      </w:r>
    </w:p>
    <w:p w14:paraId="2D5701A4" w14:textId="4051458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Alami, H., Lehoux, P., Auclair, Y. &amp; de Guise, M. (2020) ‘Digital transformation and health system performance: A scoping review’, </w:t>
      </w:r>
      <w:r w:rsidRPr="000E5BAE">
        <w:rPr>
          <w:rFonts w:asciiTheme="majorHAnsi" w:eastAsiaTheme="majorEastAsia" w:hAnsiTheme="majorHAnsi" w:cstheme="majorBidi"/>
          <w:i/>
          <w:iCs/>
          <w:sz w:val="28"/>
          <w:szCs w:val="28"/>
        </w:rPr>
        <w:t>BMC Health Services Research</w:t>
      </w:r>
      <w:r w:rsidRPr="000E5BAE">
        <w:rPr>
          <w:rFonts w:asciiTheme="majorHAnsi" w:eastAsiaTheme="majorEastAsia" w:hAnsiTheme="majorHAnsi" w:cstheme="majorBidi"/>
          <w:sz w:val="28"/>
          <w:szCs w:val="28"/>
        </w:rPr>
        <w:t>, 20(1), pp. 1–14.</w:t>
      </w:r>
    </w:p>
    <w:p w14:paraId="7DE6B668" w14:textId="433CA60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Brown, A. &amp; Taylor, J. (2021) ‘The impact of mobile health applications on chronic disease management’, </w:t>
      </w:r>
      <w:r w:rsidRPr="000E5BAE">
        <w:rPr>
          <w:rFonts w:asciiTheme="majorHAnsi" w:eastAsiaTheme="majorEastAsia" w:hAnsiTheme="majorHAnsi" w:cstheme="majorBidi"/>
          <w:i/>
          <w:iCs/>
          <w:sz w:val="28"/>
          <w:szCs w:val="28"/>
        </w:rPr>
        <w:t>British Journal of Healthcare Management</w:t>
      </w:r>
      <w:r w:rsidRPr="000E5BAE">
        <w:rPr>
          <w:rFonts w:asciiTheme="majorHAnsi" w:eastAsiaTheme="majorEastAsia" w:hAnsiTheme="majorHAnsi" w:cstheme="majorBidi"/>
          <w:sz w:val="28"/>
          <w:szCs w:val="28"/>
        </w:rPr>
        <w:t>, 27(8), pp. 356–362.</w:t>
      </w:r>
    </w:p>
    <w:p w14:paraId="16F0BF13" w14:textId="535CAF6D"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Ghosh, S., Davies, J. &amp; Wilson, R. (2022) ‘Clinician attitudes toward EHR usability and workload in UK hospitals’, </w:t>
      </w:r>
      <w:r w:rsidRPr="000E5BAE">
        <w:rPr>
          <w:rFonts w:asciiTheme="majorHAnsi" w:eastAsiaTheme="majorEastAsia" w:hAnsiTheme="majorHAnsi" w:cstheme="majorBidi"/>
          <w:i/>
          <w:iCs/>
          <w:sz w:val="28"/>
          <w:szCs w:val="28"/>
        </w:rPr>
        <w:t>Journal of Medical Informatics Research</w:t>
      </w:r>
      <w:r w:rsidRPr="000E5BAE">
        <w:rPr>
          <w:rFonts w:asciiTheme="majorHAnsi" w:eastAsiaTheme="majorEastAsia" w:hAnsiTheme="majorHAnsi" w:cstheme="majorBidi"/>
          <w:sz w:val="28"/>
          <w:szCs w:val="28"/>
        </w:rPr>
        <w:t>, 44(3), pp. 211–230.</w:t>
      </w:r>
    </w:p>
    <w:p w14:paraId="2CDF0928" w14:textId="3C061039"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Greenhalgh, T., </w:t>
      </w:r>
      <w:proofErr w:type="spellStart"/>
      <w:r w:rsidRPr="000E5BAE">
        <w:rPr>
          <w:rFonts w:asciiTheme="majorHAnsi" w:eastAsiaTheme="majorEastAsia" w:hAnsiTheme="majorHAnsi" w:cstheme="majorBidi"/>
          <w:sz w:val="28"/>
          <w:szCs w:val="28"/>
        </w:rPr>
        <w:t>Wherton</w:t>
      </w:r>
      <w:proofErr w:type="spellEnd"/>
      <w:r w:rsidRPr="000E5BAE">
        <w:rPr>
          <w:rFonts w:asciiTheme="majorHAnsi" w:eastAsiaTheme="majorEastAsia" w:hAnsiTheme="majorHAnsi" w:cstheme="majorBidi"/>
          <w:sz w:val="28"/>
          <w:szCs w:val="28"/>
        </w:rPr>
        <w:t xml:space="preserve">, J. &amp; Shaw, S. (2019) ‘Infrastructure revisited: Technology, governance and the NHS digital ecosystem’, </w:t>
      </w:r>
      <w:r w:rsidRPr="000E5BAE">
        <w:rPr>
          <w:rFonts w:asciiTheme="majorHAnsi" w:eastAsiaTheme="majorEastAsia" w:hAnsiTheme="majorHAnsi" w:cstheme="majorBidi"/>
          <w:i/>
          <w:iCs/>
          <w:sz w:val="28"/>
          <w:szCs w:val="28"/>
        </w:rPr>
        <w:t>Social Science &amp; Medicine</w:t>
      </w:r>
      <w:r w:rsidRPr="000E5BAE">
        <w:rPr>
          <w:rFonts w:asciiTheme="majorHAnsi" w:eastAsiaTheme="majorEastAsia" w:hAnsiTheme="majorHAnsi" w:cstheme="majorBidi"/>
          <w:sz w:val="28"/>
          <w:szCs w:val="28"/>
        </w:rPr>
        <w:t>, 239(5), pp. 1–10.</w:t>
      </w:r>
    </w:p>
    <w:p w14:paraId="036F016D" w14:textId="26BC8E47"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Health Education England (2022) </w:t>
      </w:r>
      <w:r w:rsidRPr="000E5BAE">
        <w:rPr>
          <w:rFonts w:asciiTheme="majorHAnsi" w:eastAsiaTheme="majorEastAsia" w:hAnsiTheme="majorHAnsi" w:cstheme="majorBidi"/>
          <w:i/>
          <w:iCs/>
          <w:sz w:val="28"/>
          <w:szCs w:val="28"/>
        </w:rPr>
        <w:t>Digital Readiness Programme: Annual Report 2022</w:t>
      </w:r>
      <w:r w:rsidRPr="000E5BAE">
        <w:rPr>
          <w:rFonts w:asciiTheme="majorHAnsi" w:eastAsiaTheme="majorEastAsia" w:hAnsiTheme="majorHAnsi" w:cstheme="majorBidi"/>
          <w:sz w:val="28"/>
          <w:szCs w:val="28"/>
        </w:rPr>
        <w:t>. London: NHS England.</w:t>
      </w:r>
    </w:p>
    <w:p w14:paraId="5496676C" w14:textId="7E5C93B2"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Health Foundation (2021) </w:t>
      </w:r>
      <w:r w:rsidRPr="000E5BAE">
        <w:rPr>
          <w:rFonts w:asciiTheme="majorHAnsi" w:eastAsiaTheme="majorEastAsia" w:hAnsiTheme="majorHAnsi" w:cstheme="majorBidi"/>
          <w:i/>
          <w:iCs/>
          <w:sz w:val="28"/>
          <w:szCs w:val="28"/>
        </w:rPr>
        <w:t>Better Data for Better Health: Community Use of EHR Systems in the UK</w:t>
      </w:r>
      <w:r w:rsidRPr="000E5BAE">
        <w:rPr>
          <w:rFonts w:asciiTheme="majorHAnsi" w:eastAsiaTheme="majorEastAsia" w:hAnsiTheme="majorHAnsi" w:cstheme="majorBidi"/>
          <w:sz w:val="28"/>
          <w:szCs w:val="28"/>
        </w:rPr>
        <w:t>. London: The Health Foundation.</w:t>
      </w:r>
    </w:p>
    <w:p w14:paraId="290A763F" w14:textId="16E04E36"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lastRenderedPageBreak/>
        <w:t xml:space="preserve"> </w:t>
      </w:r>
      <w:r w:rsidRPr="000E5BAE">
        <w:rPr>
          <w:rFonts w:asciiTheme="majorHAnsi" w:eastAsiaTheme="majorEastAsia" w:hAnsiTheme="majorHAnsi" w:cstheme="majorBidi"/>
          <w:sz w:val="28"/>
          <w:szCs w:val="28"/>
        </w:rPr>
        <w:t xml:space="preserve">Johnson, R., Patel, V. &amp; Ahmed, S. (2021) ‘Digital competence and professional development in healthcare’, </w:t>
      </w:r>
      <w:r w:rsidRPr="000E5BAE">
        <w:rPr>
          <w:rFonts w:asciiTheme="majorHAnsi" w:eastAsiaTheme="majorEastAsia" w:hAnsiTheme="majorHAnsi" w:cstheme="majorBidi"/>
          <w:i/>
          <w:iCs/>
          <w:sz w:val="28"/>
          <w:szCs w:val="28"/>
        </w:rPr>
        <w:t>British Journal of Nursing</w:t>
      </w:r>
      <w:r w:rsidRPr="000E5BAE">
        <w:rPr>
          <w:rFonts w:asciiTheme="majorHAnsi" w:eastAsiaTheme="majorEastAsia" w:hAnsiTheme="majorHAnsi" w:cstheme="majorBidi"/>
          <w:sz w:val="28"/>
          <w:szCs w:val="28"/>
        </w:rPr>
        <w:t>, 30(15), pp. 876–883.</w:t>
      </w:r>
    </w:p>
    <w:p w14:paraId="11672AD4" w14:textId="4A39BE78"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Marques, P., Simons, K. &amp; Rahman, A. (2021) ‘Electronic health record adoption and professional stress: Lessons from NHS Trusts’, </w:t>
      </w:r>
      <w:r w:rsidRPr="000E5BAE">
        <w:rPr>
          <w:rFonts w:asciiTheme="majorHAnsi" w:eastAsiaTheme="majorEastAsia" w:hAnsiTheme="majorHAnsi" w:cstheme="majorBidi"/>
          <w:i/>
          <w:iCs/>
          <w:sz w:val="28"/>
          <w:szCs w:val="28"/>
        </w:rPr>
        <w:t>BMJ Open</w:t>
      </w:r>
      <w:r w:rsidRPr="000E5BAE">
        <w:rPr>
          <w:rFonts w:asciiTheme="majorHAnsi" w:eastAsiaTheme="majorEastAsia" w:hAnsiTheme="majorHAnsi" w:cstheme="majorBidi"/>
          <w:sz w:val="28"/>
          <w:szCs w:val="28"/>
        </w:rPr>
        <w:t>, 11(4), pp. 1–8.</w:t>
      </w:r>
    </w:p>
    <w:p w14:paraId="3DE2B59F" w14:textId="311B3F10"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Murray, E., Osbourne, R. &amp; Brown, J. (2021) ‘Bridging the digital divide in UK healthcare’, </w:t>
      </w:r>
      <w:r w:rsidRPr="000E5BAE">
        <w:rPr>
          <w:rFonts w:asciiTheme="majorHAnsi" w:eastAsiaTheme="majorEastAsia" w:hAnsiTheme="majorHAnsi" w:cstheme="majorBidi"/>
          <w:i/>
          <w:iCs/>
          <w:sz w:val="28"/>
          <w:szCs w:val="28"/>
        </w:rPr>
        <w:t>Journal of Health Policy Research</w:t>
      </w:r>
      <w:r w:rsidRPr="000E5BAE">
        <w:rPr>
          <w:rFonts w:asciiTheme="majorHAnsi" w:eastAsiaTheme="majorEastAsia" w:hAnsiTheme="majorHAnsi" w:cstheme="majorBidi"/>
          <w:sz w:val="28"/>
          <w:szCs w:val="28"/>
        </w:rPr>
        <w:t>, 16(2), pp. 103–117.</w:t>
      </w:r>
    </w:p>
    <w:p w14:paraId="3D5E6DDA" w14:textId="1E668E5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National Audit Office (2023) </w:t>
      </w:r>
      <w:r w:rsidRPr="000E5BAE">
        <w:rPr>
          <w:rFonts w:asciiTheme="majorHAnsi" w:eastAsiaTheme="majorEastAsia" w:hAnsiTheme="majorHAnsi" w:cstheme="majorBidi"/>
          <w:i/>
          <w:iCs/>
          <w:sz w:val="28"/>
          <w:szCs w:val="28"/>
        </w:rPr>
        <w:t>Cybersecurity in the NHS: Progress Report 2023</w:t>
      </w:r>
      <w:r w:rsidRPr="000E5BAE">
        <w:rPr>
          <w:rFonts w:asciiTheme="majorHAnsi" w:eastAsiaTheme="majorEastAsia" w:hAnsiTheme="majorHAnsi" w:cstheme="majorBidi"/>
          <w:sz w:val="28"/>
          <w:szCs w:val="28"/>
        </w:rPr>
        <w:t>. London: NAO.</w:t>
      </w:r>
    </w:p>
    <w:p w14:paraId="6AA91CE8" w14:textId="6D782A66"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National Data Guardian (2023) </w:t>
      </w:r>
      <w:r w:rsidRPr="000E5BAE">
        <w:rPr>
          <w:rFonts w:asciiTheme="majorHAnsi" w:eastAsiaTheme="majorEastAsia" w:hAnsiTheme="majorHAnsi" w:cstheme="majorBidi"/>
          <w:i/>
          <w:iCs/>
          <w:sz w:val="28"/>
          <w:szCs w:val="28"/>
        </w:rPr>
        <w:t>Data Security and Patient Trust Review</w:t>
      </w:r>
      <w:r w:rsidRPr="000E5BAE">
        <w:rPr>
          <w:rFonts w:asciiTheme="majorHAnsi" w:eastAsiaTheme="majorEastAsia" w:hAnsiTheme="majorHAnsi" w:cstheme="majorBidi"/>
          <w:sz w:val="28"/>
          <w:szCs w:val="28"/>
        </w:rPr>
        <w:t>. London: Department of Health and Social Care.</w:t>
      </w:r>
    </w:p>
    <w:p w14:paraId="74C6F2E1" w14:textId="17ECD60F"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NHS Digital (2022) </w:t>
      </w:r>
      <w:r w:rsidRPr="000E5BAE">
        <w:rPr>
          <w:rFonts w:asciiTheme="majorHAnsi" w:eastAsiaTheme="majorEastAsia" w:hAnsiTheme="majorHAnsi" w:cstheme="majorBidi"/>
          <w:i/>
          <w:iCs/>
          <w:sz w:val="28"/>
          <w:szCs w:val="28"/>
        </w:rPr>
        <w:t>Summary Care Records: Annual Data Review 2022</w:t>
      </w:r>
      <w:r w:rsidRPr="000E5BAE">
        <w:rPr>
          <w:rFonts w:asciiTheme="majorHAnsi" w:eastAsiaTheme="majorEastAsia" w:hAnsiTheme="majorHAnsi" w:cstheme="majorBidi"/>
          <w:sz w:val="28"/>
          <w:szCs w:val="28"/>
        </w:rPr>
        <w:t>. London: NHS Digital.</w:t>
      </w:r>
    </w:p>
    <w:p w14:paraId="0F609295" w14:textId="1B36A56F"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NHS Digital Academy (2023) </w:t>
      </w:r>
      <w:r w:rsidRPr="000E5BAE">
        <w:rPr>
          <w:rFonts w:asciiTheme="majorHAnsi" w:eastAsiaTheme="majorEastAsia" w:hAnsiTheme="majorHAnsi" w:cstheme="majorBidi"/>
          <w:i/>
          <w:iCs/>
          <w:sz w:val="28"/>
          <w:szCs w:val="28"/>
        </w:rPr>
        <w:t>Building Digital Leaders: Progress and Impact Report</w:t>
      </w:r>
      <w:r w:rsidRPr="000E5BAE">
        <w:rPr>
          <w:rFonts w:asciiTheme="majorHAnsi" w:eastAsiaTheme="majorEastAsia" w:hAnsiTheme="majorHAnsi" w:cstheme="majorBidi"/>
          <w:sz w:val="28"/>
          <w:szCs w:val="28"/>
        </w:rPr>
        <w:t>. London: NHS England.</w:t>
      </w:r>
    </w:p>
    <w:p w14:paraId="01815BD4" w14:textId="77777777" w:rsidR="008633E1"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 xml:space="preserve">NHS England (2022) </w:t>
      </w:r>
      <w:r w:rsidRPr="000E5BAE">
        <w:rPr>
          <w:rFonts w:asciiTheme="majorHAnsi" w:eastAsiaTheme="majorEastAsia" w:hAnsiTheme="majorHAnsi" w:cstheme="majorBidi"/>
          <w:i/>
          <w:iCs/>
          <w:sz w:val="28"/>
          <w:szCs w:val="28"/>
        </w:rPr>
        <w:t>NHS Digital Transformation Strategy 2022–2027</w:t>
      </w:r>
      <w:r w:rsidRPr="000E5BAE">
        <w:rPr>
          <w:rFonts w:asciiTheme="majorHAnsi" w:eastAsiaTheme="majorEastAsia" w:hAnsiTheme="majorHAnsi" w:cstheme="majorBidi"/>
          <w:sz w:val="28"/>
          <w:szCs w:val="28"/>
        </w:rPr>
        <w:t>. London: NHS England.</w:t>
      </w:r>
    </w:p>
    <w:p w14:paraId="79B49440" w14:textId="19E501C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NHS Improvement (2022) </w:t>
      </w:r>
      <w:r w:rsidRPr="000E5BAE">
        <w:rPr>
          <w:rFonts w:asciiTheme="majorHAnsi" w:eastAsiaTheme="majorEastAsia" w:hAnsiTheme="majorHAnsi" w:cstheme="majorBidi"/>
          <w:i/>
          <w:iCs/>
          <w:sz w:val="28"/>
          <w:szCs w:val="28"/>
        </w:rPr>
        <w:t>Medication Safety Improvement Programme Annual Report</w:t>
      </w:r>
      <w:r w:rsidRPr="000E5BAE">
        <w:rPr>
          <w:rFonts w:asciiTheme="majorHAnsi" w:eastAsiaTheme="majorEastAsia" w:hAnsiTheme="majorHAnsi" w:cstheme="majorBidi"/>
          <w:sz w:val="28"/>
          <w:szCs w:val="28"/>
        </w:rPr>
        <w:t>. London: NHS England.</w:t>
      </w:r>
    </w:p>
    <w:p w14:paraId="1FA84786" w14:textId="475F5FBB"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Nguyen, L., Bellucci, E. &amp; Nguyen, L. T. (2021) ‘Electronic health records in practice: Lessons from the UK experience’, </w:t>
      </w:r>
      <w:r w:rsidRPr="000E5BAE">
        <w:rPr>
          <w:rFonts w:asciiTheme="majorHAnsi" w:eastAsiaTheme="majorEastAsia" w:hAnsiTheme="majorHAnsi" w:cstheme="majorBidi"/>
          <w:i/>
          <w:iCs/>
          <w:sz w:val="28"/>
          <w:szCs w:val="28"/>
        </w:rPr>
        <w:t>Computers in Biology and Medicine</w:t>
      </w:r>
      <w:r w:rsidRPr="000E5BAE">
        <w:rPr>
          <w:rFonts w:asciiTheme="majorHAnsi" w:eastAsiaTheme="majorEastAsia" w:hAnsiTheme="majorHAnsi" w:cstheme="majorBidi"/>
          <w:sz w:val="28"/>
          <w:szCs w:val="28"/>
        </w:rPr>
        <w:t>, 135(104602), pp. 1–10.</w:t>
      </w:r>
    </w:p>
    <w:p w14:paraId="15CCA54A" w14:textId="62EBBF83" w:rsidR="00F22CD9"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 xml:space="preserve">Osborn, S. &amp; Ayele, Y. (2022) ‘EHR-enabled pandemic response: Lessons from the NHS’, </w:t>
      </w:r>
      <w:r w:rsidRPr="000E5BAE">
        <w:rPr>
          <w:rFonts w:asciiTheme="majorHAnsi" w:eastAsiaTheme="majorEastAsia" w:hAnsiTheme="majorHAnsi" w:cstheme="majorBidi"/>
          <w:i/>
          <w:iCs/>
          <w:sz w:val="28"/>
          <w:szCs w:val="28"/>
        </w:rPr>
        <w:t>The Lancet Digital Health</w:t>
      </w:r>
      <w:r w:rsidRPr="000E5BAE">
        <w:rPr>
          <w:rFonts w:asciiTheme="majorHAnsi" w:eastAsiaTheme="majorEastAsia" w:hAnsiTheme="majorHAnsi" w:cstheme="majorBidi"/>
          <w:sz w:val="28"/>
          <w:szCs w:val="28"/>
        </w:rPr>
        <w:t>, 4(5), pp. 321–333.</w:t>
      </w:r>
    </w:p>
    <w:p w14:paraId="66EDD7E7" w14:textId="514379CF"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Office for National Statistics (ONS) (2023) </w:t>
      </w:r>
      <w:r w:rsidRPr="000E5BAE">
        <w:rPr>
          <w:rFonts w:asciiTheme="majorHAnsi" w:eastAsiaTheme="majorEastAsia" w:hAnsiTheme="majorHAnsi" w:cstheme="majorBidi"/>
          <w:i/>
          <w:iCs/>
          <w:sz w:val="28"/>
          <w:szCs w:val="28"/>
        </w:rPr>
        <w:t>Internet Access and Digital Inclusion in the UK: 2023 Report</w:t>
      </w:r>
      <w:r w:rsidRPr="000E5BAE">
        <w:rPr>
          <w:rFonts w:asciiTheme="majorHAnsi" w:eastAsiaTheme="majorEastAsia" w:hAnsiTheme="majorHAnsi" w:cstheme="majorBidi"/>
          <w:sz w:val="28"/>
          <w:szCs w:val="28"/>
        </w:rPr>
        <w:t>. London: ONS.</w:t>
      </w:r>
    </w:p>
    <w:p w14:paraId="4D80B8D2" w14:textId="08CA5ACE"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Reeves, S., </w:t>
      </w:r>
      <w:proofErr w:type="spellStart"/>
      <w:r w:rsidRPr="000E5BAE">
        <w:rPr>
          <w:rFonts w:asciiTheme="majorHAnsi" w:eastAsiaTheme="majorEastAsia" w:hAnsiTheme="majorHAnsi" w:cstheme="majorBidi"/>
          <w:sz w:val="28"/>
          <w:szCs w:val="28"/>
        </w:rPr>
        <w:t>Pelone</w:t>
      </w:r>
      <w:proofErr w:type="spellEnd"/>
      <w:r w:rsidRPr="000E5BAE">
        <w:rPr>
          <w:rFonts w:asciiTheme="majorHAnsi" w:eastAsiaTheme="majorEastAsia" w:hAnsiTheme="majorHAnsi" w:cstheme="majorBidi"/>
          <w:sz w:val="28"/>
          <w:szCs w:val="28"/>
        </w:rPr>
        <w:t xml:space="preserve">, F. &amp; Harrison, R. (2020) ‘Interprofessional collaboration and digital transformation in healthcare’, </w:t>
      </w:r>
      <w:r w:rsidRPr="000E5BAE">
        <w:rPr>
          <w:rFonts w:asciiTheme="majorHAnsi" w:eastAsiaTheme="majorEastAsia" w:hAnsiTheme="majorHAnsi" w:cstheme="majorBidi"/>
          <w:i/>
          <w:iCs/>
          <w:sz w:val="28"/>
          <w:szCs w:val="28"/>
        </w:rPr>
        <w:t>BMJ Quality &amp; Safety</w:t>
      </w:r>
      <w:r w:rsidRPr="000E5BAE">
        <w:rPr>
          <w:rFonts w:asciiTheme="majorHAnsi" w:eastAsiaTheme="majorEastAsia" w:hAnsiTheme="majorHAnsi" w:cstheme="majorBidi"/>
          <w:sz w:val="28"/>
          <w:szCs w:val="28"/>
        </w:rPr>
        <w:t>, 29(3), pp. 1–10.</w:t>
      </w:r>
    </w:p>
    <w:p w14:paraId="5E3F2C73" w14:textId="7661AE42" w:rsidR="00F22CD9" w:rsidRPr="000E5BAE"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Robertson, A., Cresswell, K. &amp; Sheikh, A. (2019) ‘Electronic health record systems and patient safety’, </w:t>
      </w:r>
      <w:r w:rsidRPr="000E5BAE">
        <w:rPr>
          <w:rFonts w:asciiTheme="majorHAnsi" w:eastAsiaTheme="majorEastAsia" w:hAnsiTheme="majorHAnsi" w:cstheme="majorBidi"/>
          <w:i/>
          <w:iCs/>
          <w:sz w:val="28"/>
          <w:szCs w:val="28"/>
        </w:rPr>
        <w:t>The British Medical Journal</w:t>
      </w:r>
      <w:r w:rsidRPr="000E5BAE">
        <w:rPr>
          <w:rFonts w:asciiTheme="majorHAnsi" w:eastAsiaTheme="majorEastAsia" w:hAnsiTheme="majorHAnsi" w:cstheme="majorBidi"/>
          <w:sz w:val="28"/>
          <w:szCs w:val="28"/>
        </w:rPr>
        <w:t>, 364(1), pp. 1–6.</w:t>
      </w:r>
    </w:p>
    <w:p w14:paraId="439E5CB2" w14:textId="77777777" w:rsidR="00F22CD9" w:rsidRPr="008375B5" w:rsidRDefault="00F22CD9" w:rsidP="008375B5">
      <w:pPr>
        <w:spacing w:line="360" w:lineRule="auto"/>
        <w:rPr>
          <w:rFonts w:ascii="Arial" w:hAnsi="Arial" w:cs="Arial"/>
          <w:sz w:val="22"/>
          <w:szCs w:val="22"/>
        </w:rPr>
      </w:pPr>
    </w:p>
    <w:sectPr w:rsidR="00F22CD9" w:rsidRPr="008375B5" w:rsidSect="008375B5">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1F80F" w14:textId="77777777" w:rsidR="00977721" w:rsidRDefault="00977721" w:rsidP="008375B5">
      <w:pPr>
        <w:spacing w:after="0" w:line="240" w:lineRule="auto"/>
      </w:pPr>
      <w:r>
        <w:separator/>
      </w:r>
    </w:p>
  </w:endnote>
  <w:endnote w:type="continuationSeparator" w:id="0">
    <w:p w14:paraId="476732F8" w14:textId="77777777" w:rsidR="00977721" w:rsidRDefault="00977721"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F5A9F" w14:textId="77777777" w:rsidR="00977721" w:rsidRDefault="00977721" w:rsidP="008375B5">
      <w:pPr>
        <w:spacing w:after="0" w:line="240" w:lineRule="auto"/>
      </w:pPr>
      <w:r>
        <w:separator/>
      </w:r>
    </w:p>
  </w:footnote>
  <w:footnote w:type="continuationSeparator" w:id="0">
    <w:p w14:paraId="0E5AB10B" w14:textId="77777777" w:rsidR="00977721" w:rsidRDefault="00977721"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84257"/>
    <w:multiLevelType w:val="multilevel"/>
    <w:tmpl w:val="9C4CB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3E1E10"/>
    <w:multiLevelType w:val="multilevel"/>
    <w:tmpl w:val="EEB4E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4"/>
  </w:num>
  <w:num w:numId="2" w16cid:durableId="1722706951">
    <w:abstractNumId w:val="5"/>
  </w:num>
  <w:num w:numId="3" w16cid:durableId="335810324">
    <w:abstractNumId w:val="6"/>
  </w:num>
  <w:num w:numId="4" w16cid:durableId="808743765">
    <w:abstractNumId w:val="0"/>
  </w:num>
  <w:num w:numId="5" w16cid:durableId="1356345100">
    <w:abstractNumId w:val="1"/>
  </w:num>
  <w:num w:numId="6" w16cid:durableId="409356113">
    <w:abstractNumId w:val="7"/>
  </w:num>
  <w:num w:numId="7" w16cid:durableId="1013411307">
    <w:abstractNumId w:val="8"/>
  </w:num>
  <w:num w:numId="8" w16cid:durableId="704909136">
    <w:abstractNumId w:val="9"/>
  </w:num>
  <w:num w:numId="9" w16cid:durableId="1774394905">
    <w:abstractNumId w:val="2"/>
  </w:num>
  <w:num w:numId="10" w16cid:durableId="19818110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1B5EAB"/>
    <w:rsid w:val="0024281D"/>
    <w:rsid w:val="00255D51"/>
    <w:rsid w:val="00363E9C"/>
    <w:rsid w:val="003A0977"/>
    <w:rsid w:val="00465182"/>
    <w:rsid w:val="00500C69"/>
    <w:rsid w:val="0058254B"/>
    <w:rsid w:val="00610A17"/>
    <w:rsid w:val="006E29C5"/>
    <w:rsid w:val="008265EC"/>
    <w:rsid w:val="008375B5"/>
    <w:rsid w:val="008633E1"/>
    <w:rsid w:val="008E31E6"/>
    <w:rsid w:val="009334D8"/>
    <w:rsid w:val="00977721"/>
    <w:rsid w:val="00987802"/>
    <w:rsid w:val="00A875D4"/>
    <w:rsid w:val="00A9474F"/>
    <w:rsid w:val="00AC2DCE"/>
    <w:rsid w:val="00AC3FDE"/>
    <w:rsid w:val="00B702F4"/>
    <w:rsid w:val="00C80D0F"/>
    <w:rsid w:val="00D40915"/>
    <w:rsid w:val="00DD3E03"/>
    <w:rsid w:val="00F22C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2798</Words>
  <Characters>15951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18712</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Patricia A</cp:lastModifiedBy>
  <cp:revision>2</cp:revision>
  <dcterms:created xsi:type="dcterms:W3CDTF">2025-11-10T16:08:00Z</dcterms:created>
  <dcterms:modified xsi:type="dcterms:W3CDTF">2025-11-10T16:08:00Z</dcterms:modified>
</cp:coreProperties>
</file>