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rFonts w:ascii="Arial" w:cs="Arial" w:eastAsia="Arial" w:hAnsi="Arial"/>
          <w:b w:val="1"/>
          <w:sz w:val="56"/>
          <w:szCs w:val="56"/>
        </w:rPr>
      </w:pPr>
      <w:r w:rsidDel="00000000" w:rsidR="00000000" w:rsidRPr="00000000">
        <w:rPr/>
        <w:drawing>
          <wp:inline distB="0" distT="0" distL="0" distR="0">
            <wp:extent cx="3535284" cy="140930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35284" cy="140930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jc w:val="center"/>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sz w:val="56"/>
          <w:szCs w:val="56"/>
        </w:rPr>
      </w:pP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MODULE CODE: ECAD5013</w:t>
      </w:r>
    </w:p>
    <w:p w:rsidR="00000000" w:rsidDel="00000000" w:rsidP="00000000" w:rsidRDefault="00000000" w:rsidRPr="00000000" w14:paraId="00000005">
      <w:pPr>
        <w:spacing w:before="212" w:lineRule="auto"/>
        <w:rPr>
          <w:rFonts w:ascii="Arial" w:cs="Arial" w:eastAsia="Arial" w:hAnsi="Arial"/>
          <w:b w:val="1"/>
          <w:sz w:val="48"/>
          <w:szCs w:val="48"/>
        </w:rPr>
      </w:pPr>
      <w:r w:rsidDel="00000000" w:rsidR="00000000" w:rsidRPr="00000000">
        <w:rPr>
          <w:rtl w:val="0"/>
        </w:rPr>
      </w:r>
    </w:p>
    <w:p w:rsidR="00000000" w:rsidDel="00000000" w:rsidP="00000000" w:rsidRDefault="00000000" w:rsidRPr="00000000" w14:paraId="00000006">
      <w:pPr>
        <w:spacing w:before="3"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STUDENT NAME: Rosie Megrath</w:t>
      </w:r>
    </w:p>
    <w:p w:rsidR="00000000" w:rsidDel="00000000" w:rsidP="00000000" w:rsidRDefault="00000000" w:rsidRPr="00000000" w14:paraId="00000007">
      <w:pPr>
        <w:spacing w:before="3" w:lineRule="auto"/>
        <w:rPr>
          <w:rFonts w:ascii="Arial" w:cs="Arial" w:eastAsia="Arial" w:hAnsi="Arial"/>
          <w:b w:val="1"/>
          <w:sz w:val="48"/>
          <w:szCs w:val="48"/>
        </w:rPr>
      </w:pPr>
      <w:r w:rsidDel="00000000" w:rsidR="00000000" w:rsidRPr="00000000">
        <w:rPr>
          <w:rtl w:val="0"/>
        </w:rPr>
      </w:r>
    </w:p>
    <w:p w:rsidR="00000000" w:rsidDel="00000000" w:rsidP="00000000" w:rsidRDefault="00000000" w:rsidRPr="00000000" w14:paraId="00000008">
      <w:pPr>
        <w:spacing w:before="3" w:lineRule="auto"/>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STUDENT NUMBER: 2205120</w:t>
      </w:r>
    </w:p>
    <w:p w:rsidR="00000000" w:rsidDel="00000000" w:rsidP="00000000" w:rsidRDefault="00000000" w:rsidRPr="00000000" w14:paraId="00000009">
      <w:pPr>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A">
      <w:pPr>
        <w:ind w:left="100" w:firstLine="0"/>
        <w:jc w:val="center"/>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B">
      <w:pPr>
        <w:ind w:left="100" w:firstLine="0"/>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sz w:val="47"/>
          <w:szCs w:val="47"/>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10">
      <w:pPr>
        <w:rPr/>
      </w:pPr>
      <w:r w:rsidDel="00000000" w:rsidR="00000000" w:rsidRPr="00000000">
        <w:rPr>
          <w:b w:val="1"/>
          <w:sz w:val="32"/>
          <w:szCs w:val="32"/>
          <w:u w:val="single"/>
          <w:rtl w:val="0"/>
        </w:rPr>
        <w:t xml:space="preserve">AI Acknowledgement</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acknowledge the use of ChatGPT </w:t>
      </w:r>
      <w:hyperlink r:id="rId7">
        <w:r w:rsidDel="00000000" w:rsidR="00000000" w:rsidRPr="00000000">
          <w:rPr>
            <w:rFonts w:ascii="Arial" w:cs="Arial" w:eastAsia="Arial" w:hAnsi="Arial"/>
            <w:rtl w:val="0"/>
          </w:rPr>
          <w:t xml:space="preserve">https://chatgpt.com on May 5 and 6 2025. I used the prompts:</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1. (Inserted my reference list) place this reference list into alphabetical order.</w:t>
      </w:r>
    </w:p>
    <w:p w:rsidR="00000000" w:rsidDel="00000000" w:rsidP="00000000" w:rsidRDefault="00000000" w:rsidRPr="00000000" w14:paraId="00000013">
      <w:pPr>
        <w:rPr/>
      </w:pPr>
      <w:r w:rsidDel="00000000" w:rsidR="00000000" w:rsidRPr="00000000">
        <w:rPr>
          <w:rtl w:val="0"/>
        </w:rPr>
        <w:t xml:space="preserve">2. Find literature to support the use of a school-community garden.</w:t>
      </w:r>
    </w:p>
    <w:p w:rsidR="00000000" w:rsidDel="00000000" w:rsidP="00000000" w:rsidRDefault="00000000" w:rsidRPr="00000000" w14:paraId="00000014">
      <w:pPr>
        <w:rPr/>
      </w:pPr>
      <w:r w:rsidDel="00000000" w:rsidR="00000000" w:rsidRPr="00000000">
        <w:rPr>
          <w:rtl w:val="0"/>
        </w:rPr>
        <w:t xml:space="preserve">3. Find literature that would question the use of a school-community garden.</w:t>
      </w:r>
    </w:p>
    <w:p w:rsidR="00000000" w:rsidDel="00000000" w:rsidP="00000000" w:rsidRDefault="00000000" w:rsidRPr="00000000" w14:paraId="00000015">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16">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17">
      <w:pPr>
        <w:rPr>
          <w:sz w:val="16"/>
          <w:szCs w:val="16"/>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Targets from my previous assignment</w:t>
      </w:r>
    </w:p>
    <w:p w:rsidR="00000000" w:rsidDel="00000000" w:rsidP="00000000" w:rsidRDefault="00000000" w:rsidRPr="00000000" w14:paraId="00000019">
      <w:pPr>
        <w:rPr>
          <w:b w:val="1"/>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1A">
            <w:pPr>
              <w:rPr>
                <w:b w:val="1"/>
              </w:rPr>
            </w:pPr>
            <w:r w:rsidDel="00000000" w:rsidR="00000000" w:rsidRPr="00000000">
              <w:rPr>
                <w:b w:val="1"/>
                <w:rtl w:val="0"/>
              </w:rPr>
              <w:t xml:space="preserve">Target</w:t>
            </w:r>
          </w:p>
        </w:tc>
        <w:tc>
          <w:tcPr/>
          <w:p w:rsidR="00000000" w:rsidDel="00000000" w:rsidP="00000000" w:rsidRDefault="00000000" w:rsidRPr="00000000" w14:paraId="0000001B">
            <w:pPr>
              <w:rPr>
                <w:b w:val="1"/>
              </w:rPr>
            </w:pPr>
            <w:r w:rsidDel="00000000" w:rsidR="00000000" w:rsidRPr="00000000">
              <w:rPr>
                <w:b w:val="1"/>
                <w:rtl w:val="0"/>
              </w:rPr>
              <w:t xml:space="preserve">How I have addressed it in this work</w:t>
            </w:r>
          </w:p>
        </w:tc>
      </w:tr>
      <w:tr>
        <w:trPr>
          <w:cantSplit w:val="0"/>
          <w:tblHeader w:val="0"/>
        </w:trPr>
        <w:tc>
          <w:tcPr/>
          <w:p w:rsidR="00000000" w:rsidDel="00000000" w:rsidP="00000000" w:rsidRDefault="00000000" w:rsidRPr="00000000" w14:paraId="0000001C">
            <w:pPr>
              <w:rPr>
                <w:sz w:val="16"/>
                <w:szCs w:val="16"/>
              </w:rPr>
            </w:pPr>
            <w:r w:rsidDel="00000000" w:rsidR="00000000" w:rsidRPr="00000000">
              <w:rPr>
                <w:rtl w:val="0"/>
              </w:rPr>
            </w:r>
          </w:p>
          <w:p w:rsidR="00000000" w:rsidDel="00000000" w:rsidP="00000000" w:rsidRDefault="00000000" w:rsidRPr="00000000" w14:paraId="0000001D">
            <w:pPr>
              <w:rPr>
                <w:sz w:val="16"/>
                <w:szCs w:val="16"/>
              </w:rPr>
            </w:pPr>
            <w:r w:rsidDel="00000000" w:rsidR="00000000" w:rsidRPr="00000000">
              <w:rPr>
                <w:sz w:val="16"/>
                <w:szCs w:val="16"/>
                <w:rtl w:val="0"/>
              </w:rPr>
              <w:t xml:space="preserve">Check use of Harvard referencing</w:t>
            </w:r>
          </w:p>
          <w:p w:rsidR="00000000" w:rsidDel="00000000" w:rsidP="00000000" w:rsidRDefault="00000000" w:rsidRPr="00000000" w14:paraId="0000001E">
            <w:pPr>
              <w:rPr>
                <w:sz w:val="16"/>
                <w:szCs w:val="16"/>
              </w:rPr>
            </w:pPr>
            <w:r w:rsidDel="00000000" w:rsidR="00000000" w:rsidRPr="00000000">
              <w:rPr>
                <w:rtl w:val="0"/>
              </w:rPr>
            </w:r>
          </w:p>
        </w:tc>
        <w:tc>
          <w:tcPr/>
          <w:p w:rsidR="00000000" w:rsidDel="00000000" w:rsidP="00000000" w:rsidRDefault="00000000" w:rsidRPr="00000000" w14:paraId="0000001F">
            <w:pPr>
              <w:rPr>
                <w:sz w:val="16"/>
                <w:szCs w:val="16"/>
              </w:rPr>
            </w:pPr>
            <w:r w:rsidDel="00000000" w:rsidR="00000000" w:rsidRPr="00000000">
              <w:rPr>
                <w:sz w:val="16"/>
                <w:szCs w:val="16"/>
                <w:rtl w:val="0"/>
              </w:rPr>
              <w:t xml:space="preserve">I have tried to use the correct way of using citations and Harvard-style referencing.</w:t>
            </w:r>
          </w:p>
        </w:tc>
      </w:tr>
      <w:tr>
        <w:trPr>
          <w:cantSplit w:val="0"/>
          <w:tblHeader w:val="0"/>
        </w:trPr>
        <w:tc>
          <w:tcPr/>
          <w:p w:rsidR="00000000" w:rsidDel="00000000" w:rsidP="00000000" w:rsidRDefault="00000000" w:rsidRPr="00000000" w14:paraId="00000020">
            <w:pPr>
              <w:rPr>
                <w:sz w:val="16"/>
                <w:szCs w:val="16"/>
              </w:rPr>
            </w:pPr>
            <w:r w:rsidDel="00000000" w:rsidR="00000000" w:rsidRPr="00000000">
              <w:rPr>
                <w:rtl w:val="0"/>
              </w:rPr>
            </w:r>
          </w:p>
          <w:p w:rsidR="00000000" w:rsidDel="00000000" w:rsidP="00000000" w:rsidRDefault="00000000" w:rsidRPr="00000000" w14:paraId="00000021">
            <w:pPr>
              <w:rPr>
                <w:sz w:val="16"/>
                <w:szCs w:val="16"/>
              </w:rPr>
            </w:pPr>
            <w:r w:rsidDel="00000000" w:rsidR="00000000" w:rsidRPr="00000000">
              <w:rPr>
                <w:sz w:val="16"/>
                <w:szCs w:val="16"/>
                <w:rtl w:val="0"/>
              </w:rPr>
              <w:t xml:space="preserve">Avoid over reliance on websites</w:t>
            </w:r>
          </w:p>
          <w:p w:rsidR="00000000" w:rsidDel="00000000" w:rsidP="00000000" w:rsidRDefault="00000000" w:rsidRPr="00000000" w14:paraId="00000022">
            <w:pPr>
              <w:rPr>
                <w:sz w:val="16"/>
                <w:szCs w:val="16"/>
              </w:rPr>
            </w:pPr>
            <w:r w:rsidDel="00000000" w:rsidR="00000000" w:rsidRPr="00000000">
              <w:rPr>
                <w:rtl w:val="0"/>
              </w:rPr>
            </w:r>
          </w:p>
        </w:tc>
        <w:tc>
          <w:tcPr/>
          <w:p w:rsidR="00000000" w:rsidDel="00000000" w:rsidP="00000000" w:rsidRDefault="00000000" w:rsidRPr="00000000" w14:paraId="00000023">
            <w:pPr>
              <w:rPr>
                <w:sz w:val="16"/>
                <w:szCs w:val="16"/>
              </w:rPr>
            </w:pPr>
            <w:r w:rsidDel="00000000" w:rsidR="00000000" w:rsidRPr="00000000">
              <w:rPr>
                <w:sz w:val="16"/>
                <w:szCs w:val="16"/>
                <w:rtl w:val="0"/>
              </w:rPr>
              <w:t xml:space="preserve">I have used the recommended reading list and searched for academic papers using Google Scholar.</w:t>
            </w:r>
          </w:p>
        </w:tc>
      </w:tr>
      <w:tr>
        <w:trPr>
          <w:cantSplit w:val="0"/>
          <w:tblHeader w:val="0"/>
        </w:trPr>
        <w:tc>
          <w:tcPr/>
          <w:p w:rsidR="00000000" w:rsidDel="00000000" w:rsidP="00000000" w:rsidRDefault="00000000" w:rsidRPr="00000000" w14:paraId="00000024">
            <w:pPr>
              <w:rPr>
                <w:sz w:val="16"/>
                <w:szCs w:val="16"/>
              </w:rPr>
            </w:pPr>
            <w:r w:rsidDel="00000000" w:rsidR="00000000" w:rsidRPr="00000000">
              <w:rPr>
                <w:rtl w:val="0"/>
              </w:rPr>
            </w:r>
          </w:p>
          <w:p w:rsidR="00000000" w:rsidDel="00000000" w:rsidP="00000000" w:rsidRDefault="00000000" w:rsidRPr="00000000" w14:paraId="00000025">
            <w:pPr>
              <w:rPr>
                <w:sz w:val="16"/>
                <w:szCs w:val="16"/>
              </w:rPr>
            </w:pPr>
            <w:r w:rsidDel="00000000" w:rsidR="00000000" w:rsidRPr="00000000">
              <w:rPr>
                <w:sz w:val="16"/>
                <w:szCs w:val="16"/>
                <w:rtl w:val="0"/>
              </w:rPr>
              <w:t xml:space="preserve">Avoid descriptive writing</w:t>
            </w:r>
          </w:p>
          <w:p w:rsidR="00000000" w:rsidDel="00000000" w:rsidP="00000000" w:rsidRDefault="00000000" w:rsidRPr="00000000" w14:paraId="00000026">
            <w:pPr>
              <w:rPr>
                <w:sz w:val="16"/>
                <w:szCs w:val="16"/>
              </w:rPr>
            </w:pPr>
            <w:r w:rsidDel="00000000" w:rsidR="00000000" w:rsidRPr="00000000">
              <w:rPr>
                <w:rtl w:val="0"/>
              </w:rPr>
            </w:r>
          </w:p>
        </w:tc>
        <w:tc>
          <w:tcPr/>
          <w:p w:rsidR="00000000" w:rsidDel="00000000" w:rsidP="00000000" w:rsidRDefault="00000000" w:rsidRPr="00000000" w14:paraId="00000027">
            <w:pPr>
              <w:rPr>
                <w:sz w:val="16"/>
                <w:szCs w:val="16"/>
              </w:rPr>
            </w:pPr>
            <w:r w:rsidDel="00000000" w:rsidR="00000000" w:rsidRPr="00000000">
              <w:rPr>
                <w:sz w:val="16"/>
                <w:szCs w:val="16"/>
                <w:rtl w:val="0"/>
              </w:rPr>
              <w:t xml:space="preserve">I have aimed to be critical and analytical by supporting my claims with relevant, academic sources. For example, Arshad et al., the Welsh Government and Estyn reports. </w:t>
            </w:r>
          </w:p>
        </w:tc>
      </w:tr>
    </w:tbl>
    <w:p w:rsidR="00000000" w:rsidDel="00000000" w:rsidP="00000000" w:rsidRDefault="00000000" w:rsidRPr="00000000" w14:paraId="00000028">
      <w:pPr>
        <w:rPr>
          <w:sz w:val="16"/>
          <w:szCs w:val="16"/>
        </w:rPr>
      </w:pPr>
      <w:r w:rsidDel="00000000" w:rsidR="00000000" w:rsidRPr="00000000">
        <w:br w:type="page"/>
      </w:r>
      <w:r w:rsidDel="00000000" w:rsidR="00000000" w:rsidRPr="00000000">
        <w:rPr>
          <w:rtl w:val="0"/>
        </w:rPr>
      </w:r>
    </w:p>
    <w:p w:rsidR="00000000" w:rsidDel="00000000" w:rsidP="00000000" w:rsidRDefault="00000000" w:rsidRPr="00000000" w14:paraId="00000029">
      <w:pPr>
        <w:rPr>
          <w:b w:val="1"/>
        </w:rPr>
      </w:pPr>
      <w:r w:rsidDel="00000000" w:rsidR="00000000" w:rsidRPr="00000000">
        <w:rPr>
          <w:b w:val="1"/>
          <w:rtl w:val="0"/>
        </w:rPr>
        <w:t xml:space="preserve">Create a community profile for your PTE2 school. Using relevant literature, suggest ways in which the school could make use of its location and community to support pupil learning.</w:t>
      </w:r>
    </w:p>
    <w:p w:rsidR="00000000" w:rsidDel="00000000" w:rsidP="00000000" w:rsidRDefault="00000000" w:rsidRPr="00000000" w14:paraId="0000002A">
      <w:pPr>
        <w:rPr>
          <w:rFonts w:ascii="Arial" w:cs="Arial" w:eastAsia="Arial" w:hAnsi="Arial"/>
          <w:b w:val="0"/>
        </w:rPr>
      </w:pPr>
      <w:r w:rsidDel="00000000" w:rsidR="00000000" w:rsidRPr="00000000">
        <w:rPr>
          <w:rFonts w:ascii="Arial" w:cs="Arial" w:eastAsia="Arial" w:hAnsi="Arial"/>
          <w:b w:val="0"/>
          <w:rtl w:val="0"/>
        </w:rPr>
        <w:t xml:space="preserve">Based on my experiences of teaching 7-11 year old learners during PTE2, I have </w:t>
      </w:r>
      <w:r w:rsidDel="00000000" w:rsidR="00000000" w:rsidRPr="00000000">
        <w:rPr>
          <w:rFonts w:ascii="Arial" w:cs="Arial" w:eastAsia="Arial" w:hAnsi="Arial"/>
          <w:rtl w:val="0"/>
        </w:rPr>
        <w:t xml:space="preserve">come up with a</w:t>
      </w:r>
      <w:r w:rsidDel="00000000" w:rsidR="00000000" w:rsidRPr="00000000">
        <w:rPr>
          <w:rFonts w:ascii="Arial" w:cs="Arial" w:eastAsia="Arial" w:hAnsi="Arial"/>
          <w:b w:val="0"/>
          <w:rtl w:val="0"/>
        </w:rPr>
        <w:t xml:space="preserve"> proposed project that could promote learners' holistic development through outdoor learning. Central to this project is the ongoing maintenance of a school garden, which would support the development of personal, social and environmental understanding. Through cross-curricular links, particularly with science, geography and health and well-being, pupils will benefit from hands-on learning experiences that encourage curiosity, teamwork and a connection to nature. Research shows that outdoor learning not only increases engagement and motivation, but also supports emotional regulation and resilience </w:t>
      </w:r>
      <w:r w:rsidDel="00000000" w:rsidR="00000000" w:rsidRPr="00000000">
        <w:rPr>
          <w:rFonts w:ascii="Arial" w:cs="Arial" w:eastAsia="Arial" w:hAnsi="Arial"/>
          <w:b w:val="0"/>
          <w:rtl w:val="0"/>
        </w:rPr>
        <w:t xml:space="preserve">(Waite et al., 2016). This project includes the concepts of school-community collaboration, specifically incorporating family involvement, community engagement and multi-agency partnerships to create a shared and inclusive learning environment. The Ofxord English Dictionary defines community as "a body of people who live in the same place, usually sharing a common cultural or ethnic identity". This definition highlights the importance of shared experiences and support within a locale, which this project seeks to represent. The Welsh Government emphasises the significance of community focused schools, which are characterised by strong partnerships with families, responsiveness to community needs and effective collaboration with other services. The Welsh Government suggests that such schools aim to tackle the impact of poverty on educational attainment and ensure high standards and aspirations for all learners. Therefore, by integrating this project into the school's framework, we align with this vision, creating an environment where education extends beyond the classroom and into the broader community. The decision to focus on this area of school-community working is based on the increasing recognition that effective safeguarding, well-being and learning cannot be achieved by schools in isolation. Government guidance (DfE, 2018)</w:t>
      </w:r>
      <w:r w:rsidDel="00000000" w:rsidR="00000000" w:rsidRPr="00000000">
        <w:rPr>
          <w:rFonts w:ascii="Arial" w:cs="Arial" w:eastAsia="Arial" w:hAnsi="Arial"/>
          <w:b w:val="0"/>
          <w:shd w:fill="auto" w:val="clear"/>
          <w:rtl w:val="0"/>
        </w:rPr>
        <w:t xml:space="preserve"> and sector research both highlight the need for integrated working to meet children's diverse needs. By embedding this theory in this project, the initiative becomes a platform not only for learning but also for safeguarding and inclusion.</w:t>
      </w: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b w:val="0"/>
          <w:shd w:fill="auto" w:val="clear"/>
          <w:rtl w:val="0"/>
        </w:rPr>
        <w:t xml:space="preserve">This project, centred on a school-community garden in a Key Phase 2 primary school, focuses on multi-stakeholder collaboration, including families, local community members and multi-agency professionals, to improve pupil well-being and learning. This approach recognises that educational outcomes are shaped not only by what happens in the classroom but also by structural inequalities and the availability of support networks around children. </w:t>
      </w:r>
      <w:r w:rsidDel="00000000" w:rsidR="00000000" w:rsidRPr="00000000">
        <w:rPr>
          <w:rFonts w:ascii="Arial" w:cs="Arial" w:eastAsia="Arial" w:hAnsi="Arial"/>
          <w:b w:val="0"/>
          <w:rtl w:val="0"/>
        </w:rPr>
        <w:t xml:space="preserve">Arshad et al. (2020)</w:t>
      </w:r>
      <w:r w:rsidDel="00000000" w:rsidR="00000000" w:rsidRPr="00000000">
        <w:rPr>
          <w:rFonts w:ascii="Arial" w:cs="Arial" w:eastAsia="Arial" w:hAnsi="Arial"/>
          <w:b w:val="0"/>
          <w:shd w:fill="auto" w:val="clear"/>
          <w:rtl w:val="0"/>
        </w:rPr>
        <w:t xml:space="preserve"> argue that educational equity demands more than equal access. It requires actively dismantling barriers and building inclusive, responsive systems. This justifies a project that goes beyond academic teaching to engage the whole child within their social context. </w:t>
      </w:r>
      <w:r w:rsidDel="00000000" w:rsidR="00000000" w:rsidRPr="00000000">
        <w:rPr>
          <w:rFonts w:ascii="Arial" w:cs="Arial" w:eastAsia="Arial" w:hAnsi="Arial"/>
          <w:b w:val="0"/>
          <w:rtl w:val="0"/>
        </w:rPr>
        <w:t xml:space="preserve">Bronfenbrenner’s (1979)</w:t>
      </w:r>
      <w:r w:rsidDel="00000000" w:rsidR="00000000" w:rsidRPr="00000000">
        <w:rPr>
          <w:rFonts w:ascii="Arial" w:cs="Arial" w:eastAsia="Arial" w:hAnsi="Arial"/>
          <w:b w:val="0"/>
          <w:shd w:fill="auto" w:val="clear"/>
          <w:rtl w:val="0"/>
        </w:rPr>
        <w:t xml:space="preserve"> ecological systems theory provides a useful lens for understanding the value of integrated school–community approaches. Children’s development is shaped by interactions within multiple systems. For example, microsystem (family and school), mesosystem (relationships between systems), exosystem (local services) and macrosystem (societal structures). This project aims to strengthen the mesosystem by creating structured, positive relationships between home, school, and external agencies. These partnerships can reduce fragmentation and ensure children are supported holistically, aligning with Bronfenbrenner’s model of optimal development through proximal processes. </w:t>
      </w:r>
      <w:r w:rsidDel="00000000" w:rsidR="00000000" w:rsidRPr="00000000">
        <w:rPr>
          <w:rFonts w:ascii="Arial" w:cs="Arial" w:eastAsia="Arial" w:hAnsi="Arial"/>
          <w:b w:val="0"/>
          <w:rtl w:val="0"/>
        </w:rPr>
        <w:t xml:space="preserve">Estyn (2021)</w:t>
      </w:r>
      <w:r w:rsidDel="00000000" w:rsidR="00000000" w:rsidRPr="00000000">
        <w:rPr>
          <w:rFonts w:ascii="Arial" w:cs="Arial" w:eastAsia="Arial" w:hAnsi="Arial"/>
          <w:b w:val="0"/>
          <w:shd w:fill="auto" w:val="clear"/>
          <w:rtl w:val="0"/>
        </w:rPr>
        <w:t xml:space="preserve"> has published multiple case studies highlighting the benefits of school</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shd w:fill="auto" w:val="clear"/>
          <w:rtl w:val="0"/>
        </w:rPr>
        <w:t xml:space="preserve">community engagement. In one primary school case, regular gardening sessions involving parents, local residents, and mental health support services improved attendance, reduced behavioural incidents, and enhanced family</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shd w:fill="auto" w:val="clear"/>
          <w:rtl w:val="0"/>
        </w:rPr>
        <w:t xml:space="preserve">school trust. These outcomes mirror the aims of the project initiative, reinforcing its potential as a responsive, context-sensitive intervention. The value of multi-agency collaboration is reflected in statutory guidance such as </w:t>
      </w:r>
      <w:r w:rsidDel="00000000" w:rsidR="00000000" w:rsidRPr="00000000">
        <w:rPr>
          <w:rFonts w:ascii="Arial" w:cs="Arial" w:eastAsia="Arial" w:hAnsi="Arial"/>
          <w:b w:val="0"/>
          <w:rtl w:val="0"/>
        </w:rPr>
        <w:t xml:space="preserve">Working Together to Safeguard Children (DfE, 2018)</w:t>
      </w:r>
      <w:r w:rsidDel="00000000" w:rsidR="00000000" w:rsidRPr="00000000">
        <w:rPr>
          <w:rFonts w:ascii="Arial" w:cs="Arial" w:eastAsia="Arial" w:hAnsi="Arial"/>
          <w:b w:val="0"/>
          <w:rtl w:val="0"/>
        </w:rPr>
        <w:t xml:space="preserve">,</w:t>
      </w:r>
      <w:r w:rsidDel="00000000" w:rsidR="00000000" w:rsidRPr="00000000">
        <w:rPr>
          <w:rFonts w:ascii="Arial" w:cs="Arial" w:eastAsia="Arial" w:hAnsi="Arial"/>
          <w:b w:val="0"/>
          <w:shd w:fill="auto" w:val="clear"/>
          <w:rtl w:val="0"/>
        </w:rPr>
        <w:t xml:space="preserve"> which emphasises that safeguarding and promoting well-being must be a shared effort among education, health, and social care services. Schools are increasingly being called upon to act as community hubs, especially in deprived areas where families may experience social or economic vulnerabilities. Post-pandemic, this expectation has grown, with children facing increased mental health challenges, disrupted routines, and food insecurity </w:t>
      </w:r>
      <w:r w:rsidDel="00000000" w:rsidR="00000000" w:rsidRPr="00000000">
        <w:rPr>
          <w:rFonts w:ascii="Arial" w:cs="Arial" w:eastAsia="Arial" w:hAnsi="Arial"/>
          <w:b w:val="0"/>
          <w:rtl w:val="0"/>
        </w:rPr>
        <w:t xml:space="preserve">(Ofsted, 2021)</w:t>
      </w:r>
      <w:r w:rsidDel="00000000" w:rsidR="00000000" w:rsidRPr="00000000">
        <w:rPr>
          <w:rFonts w:ascii="Arial" w:cs="Arial" w:eastAsia="Arial" w:hAnsi="Arial"/>
          <w:b w:val="0"/>
          <w:shd w:fill="auto" w:val="clear"/>
          <w:rtl w:val="0"/>
        </w:rPr>
        <w:t xml:space="preserve">. </w:t>
      </w:r>
      <w:r w:rsidDel="00000000" w:rsidR="00000000" w:rsidRPr="00000000">
        <w:rPr>
          <w:rFonts w:ascii="Arial" w:cs="Arial" w:eastAsia="Arial" w:hAnsi="Arial"/>
          <w:rtl w:val="0"/>
        </w:rPr>
        <w:t xml:space="preserve">However,</w:t>
      </w:r>
      <w:r w:rsidDel="00000000" w:rsidR="00000000" w:rsidRPr="00000000">
        <w:rPr>
          <w:rFonts w:ascii="Arial" w:cs="Arial" w:eastAsia="Arial" w:hAnsi="Arial"/>
          <w:rtl w:val="0"/>
        </w:rPr>
        <w:t xml:space="preserve"> a body of critical literature questions whether such projects consistently deliver equitable outcomes</w:t>
      </w:r>
      <w:r w:rsidDel="00000000" w:rsidR="00000000" w:rsidRPr="00000000">
        <w:rPr>
          <w:rFonts w:ascii="Arial" w:cs="Arial" w:eastAsia="Arial" w:hAnsi="Arial"/>
          <w:rtl w:val="0"/>
        </w:rPr>
        <w:t xml:space="preserve">. Vincent (1996) and Crozier (2007) caution that schools can unintentionally reproduce middle-class norms, even in ostensibly inclusive initiatives and without careful design, gardening projects may still alienate families who face linguistic or cultural barriers. </w:t>
      </w:r>
      <w:r w:rsidDel="00000000" w:rsidR="00000000" w:rsidRPr="00000000">
        <w:rPr>
          <w:rFonts w:ascii="Arial" w:cs="Arial" w:eastAsia="Arial" w:hAnsi="Arial"/>
          <w:rtl w:val="0"/>
        </w:rPr>
        <w:t xml:space="preserve">Wilkins and Burke (2015) warn that schools cast as community hubs risk “mission creep” if external agencies withdraw funding or capacity, leaving staff overstretched and projects unsustainable. Moreover, family engagement remains central. </w:t>
      </w:r>
      <w:r w:rsidDel="00000000" w:rsidR="00000000" w:rsidRPr="00000000">
        <w:rPr>
          <w:rFonts w:ascii="Arial" w:cs="Arial" w:eastAsia="Arial" w:hAnsi="Arial"/>
          <w:b w:val="0"/>
          <w:rtl w:val="0"/>
        </w:rPr>
        <w:t xml:space="preserve">Epstein’s (2001)</w:t>
      </w:r>
      <w:r w:rsidDel="00000000" w:rsidR="00000000" w:rsidRPr="00000000">
        <w:rPr>
          <w:rFonts w:ascii="Arial" w:cs="Arial" w:eastAsia="Arial" w:hAnsi="Arial"/>
          <w:b w:val="0"/>
          <w:rtl w:val="0"/>
        </w:rPr>
        <w:t xml:space="preserve"> model outlines six typ</w:t>
      </w:r>
      <w:r w:rsidDel="00000000" w:rsidR="00000000" w:rsidRPr="00000000">
        <w:rPr>
          <w:rFonts w:ascii="Arial" w:cs="Arial" w:eastAsia="Arial" w:hAnsi="Arial"/>
          <w:b w:val="0"/>
          <w:shd w:fill="auto" w:val="clear"/>
          <w:rtl w:val="0"/>
        </w:rPr>
        <w:t xml:space="preserve">es of parental involvement that contribute to student success. This project incorporates several of these, particularly volunteering, decision-making, and collaboration </w:t>
      </w:r>
      <w:r w:rsidDel="00000000" w:rsidR="00000000" w:rsidRPr="00000000">
        <w:rPr>
          <w:rFonts w:ascii="Arial" w:cs="Arial" w:eastAsia="Arial" w:hAnsi="Arial"/>
          <w:rtl w:val="0"/>
        </w:rPr>
        <w:t xml:space="preserve">with the community</w:t>
      </w:r>
      <w:r w:rsidDel="00000000" w:rsidR="00000000" w:rsidRPr="00000000">
        <w:rPr>
          <w:rFonts w:ascii="Arial" w:cs="Arial" w:eastAsia="Arial" w:hAnsi="Arial"/>
          <w:b w:val="0"/>
          <w:shd w:fill="auto" w:val="clear"/>
          <w:rtl w:val="0"/>
        </w:rPr>
        <w:t xml:space="preserve">, through parent workshops, co-planning events, and inclusive activities. This encourages a sense of belonging and shared purpose. </w:t>
      </w:r>
      <w:r w:rsidDel="00000000" w:rsidR="00000000" w:rsidRPr="00000000">
        <w:rPr>
          <w:rFonts w:ascii="Arial" w:cs="Arial" w:eastAsia="Arial" w:hAnsi="Arial"/>
          <w:b w:val="0"/>
          <w:rtl w:val="0"/>
        </w:rPr>
        <w:t xml:space="preserve">Goodall and Montgomery (2014)</w:t>
      </w:r>
      <w:r w:rsidDel="00000000" w:rsidR="00000000" w:rsidRPr="00000000">
        <w:rPr>
          <w:rFonts w:ascii="Arial" w:cs="Arial" w:eastAsia="Arial" w:hAnsi="Arial"/>
          <w:b w:val="0"/>
          <w:shd w:fill="auto" w:val="clear"/>
          <w:rtl w:val="0"/>
        </w:rPr>
        <w:t xml:space="preserve"> emphasise that parental engagement, not just involvement, provides the most meaningful benefits when parents support learning at home and feel part of the school’s vision</w:t>
      </w:r>
      <w:r w:rsidDel="00000000" w:rsidR="00000000" w:rsidRPr="00000000">
        <w:rPr>
          <w:rFonts w:ascii="Arial" w:cs="Arial" w:eastAsia="Arial" w:hAnsi="Arial"/>
          <w:rtl w:val="0"/>
        </w:rPr>
        <w:t xml:space="preserve">. Yet, </w:t>
      </w:r>
      <w:r w:rsidDel="00000000" w:rsidR="00000000" w:rsidRPr="00000000">
        <w:rPr>
          <w:rFonts w:ascii="Arial" w:cs="Arial" w:eastAsia="Arial" w:hAnsi="Arial"/>
          <w:rtl w:val="0"/>
        </w:rPr>
        <w:t xml:space="preserve">Rickinson et al. (2004) show that outdoor-learning impact is highly variable; without sustained curricular links, gardens can slip into tokenism, offering novelty rather than deep learning.</w:t>
      </w:r>
      <w:r w:rsidDel="00000000" w:rsidR="00000000" w:rsidRPr="00000000">
        <w:rPr>
          <w:rFonts w:ascii="Arial" w:cs="Arial" w:eastAsia="Arial" w:hAnsi="Arial"/>
          <w:rtl w:val="0"/>
        </w:rPr>
        <w:t xml:space="preserve">T</w:t>
      </w:r>
      <w:r w:rsidDel="00000000" w:rsidR="00000000" w:rsidRPr="00000000">
        <w:rPr>
          <w:rFonts w:ascii="Arial" w:cs="Arial" w:eastAsia="Arial" w:hAnsi="Arial"/>
          <w:b w:val="0"/>
          <w:shd w:fill="auto" w:val="clear"/>
          <w:rtl w:val="0"/>
        </w:rPr>
        <w:t xml:space="preserve">he project aligns with </w:t>
      </w:r>
      <w:r w:rsidDel="00000000" w:rsidR="00000000" w:rsidRPr="00000000">
        <w:rPr>
          <w:rFonts w:ascii="Arial" w:cs="Arial" w:eastAsia="Arial" w:hAnsi="Arial"/>
          <w:b w:val="0"/>
          <w:rtl w:val="0"/>
        </w:rPr>
        <w:t xml:space="preserve">Arshad et al.’s (2020) </w:t>
      </w:r>
      <w:r w:rsidDel="00000000" w:rsidR="00000000" w:rsidRPr="00000000">
        <w:rPr>
          <w:rFonts w:ascii="Arial" w:cs="Arial" w:eastAsia="Arial" w:hAnsi="Arial"/>
          <w:b w:val="0"/>
          <w:shd w:fill="auto" w:val="clear"/>
          <w:rtl w:val="0"/>
        </w:rPr>
        <w:t xml:space="preserve">emphasis on challenging deficit views of disadvantaged families. Rather than viewing some families as "hard to reach", this project acknowledges structural inequalities and instead repositions the school as "easy to approach" by creating informal, low-stakes opportunities for participation, such as community gardening days and child-led tours. Outdoor learning environments are especially effective at encouraging these inclusive relationships. Waite et al. (2016) found that outdoor spaces reduce behavioural problems, encourage collaboration, and improve children’s sense of autonomy. </w:t>
      </w:r>
      <w:r w:rsidDel="00000000" w:rsidR="00000000" w:rsidRPr="00000000">
        <w:rPr>
          <w:rFonts w:ascii="Arial" w:cs="Arial" w:eastAsia="Arial" w:hAnsi="Arial"/>
          <w:b w:val="0"/>
          <w:rtl w:val="0"/>
        </w:rPr>
        <w:t xml:space="preserve">Dillon and Dickie (2012) </w:t>
      </w:r>
      <w:r w:rsidDel="00000000" w:rsidR="00000000" w:rsidRPr="00000000">
        <w:rPr>
          <w:rFonts w:ascii="Arial" w:cs="Arial" w:eastAsia="Arial" w:hAnsi="Arial"/>
          <w:b w:val="0"/>
          <w:shd w:fill="auto" w:val="clear"/>
          <w:rtl w:val="0"/>
        </w:rPr>
        <w:t xml:space="preserve">further argue that such settings support marginalised pupils by offering non-traditional routes into learning and success. </w:t>
      </w:r>
      <w:r w:rsidDel="00000000" w:rsidR="00000000" w:rsidRPr="00000000">
        <w:rPr>
          <w:rFonts w:ascii="Arial" w:cs="Arial" w:eastAsia="Arial" w:hAnsi="Arial"/>
          <w:rtl w:val="0"/>
        </w:rPr>
        <w:t xml:space="preserve">Children’s wellbeing is inseparable from their learning. </w:t>
      </w:r>
      <w:r w:rsidDel="00000000" w:rsidR="00000000" w:rsidRPr="00000000">
        <w:rPr>
          <w:rFonts w:ascii="Arial" w:cs="Arial" w:eastAsia="Arial" w:hAnsi="Arial"/>
          <w:rtl w:val="0"/>
        </w:rPr>
        <w:t xml:space="preserve">Public Health England (2014) </w:t>
      </w:r>
      <w:r w:rsidDel="00000000" w:rsidR="00000000" w:rsidRPr="00000000">
        <w:rPr>
          <w:rFonts w:ascii="Arial" w:cs="Arial" w:eastAsia="Arial" w:hAnsi="Arial"/>
          <w:rtl w:val="0"/>
        </w:rPr>
        <w:t xml:space="preserve">links pupil health and emotional security directly to academic attainment. School gardens have emerged as powerful interventions for promoting mental health, providing calm, restorative spaces that build responsibility and confidence </w:t>
      </w:r>
      <w:r w:rsidDel="00000000" w:rsidR="00000000" w:rsidRPr="00000000">
        <w:rPr>
          <w:rFonts w:ascii="Arial" w:cs="Arial" w:eastAsia="Arial" w:hAnsi="Arial"/>
          <w:rtl w:val="0"/>
        </w:rPr>
        <w:t xml:space="preserve">(Chawla et al., 2014)</w:t>
      </w:r>
      <w:r w:rsidDel="00000000" w:rsidR="00000000" w:rsidRPr="00000000">
        <w:rPr>
          <w:rFonts w:ascii="Arial" w:cs="Arial" w:eastAsia="Arial" w:hAnsi="Arial"/>
          <w:rtl w:val="0"/>
        </w:rPr>
        <w:t xml:space="preserve">. These spaces can act as a gentle point of contact for identifying unmet needs, whether emotional, behavioural, or safeguarding-related.</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The project is also particularly suitable for schools serving diverse and/or disadvantaged populations. Many families may face barriers such as language difficulties, precarious housing, or limited trust in institutions</w:t>
      </w:r>
      <w:r w:rsidDel="00000000" w:rsidR="00000000" w:rsidRPr="00000000">
        <w:rPr>
          <w:rFonts w:ascii="Arial" w:cs="Arial" w:eastAsia="Arial" w:hAnsi="Arial"/>
          <w:rtl w:val="0"/>
        </w:rPr>
        <w:t xml:space="preserve"> (Desforges &amp; Abouchaar, 2003)</w:t>
      </w:r>
      <w:r w:rsidDel="00000000" w:rsidR="00000000" w:rsidRPr="00000000">
        <w:rPr>
          <w:rFonts w:ascii="Arial" w:cs="Arial" w:eastAsia="Arial" w:hAnsi="Arial"/>
          <w:rtl w:val="0"/>
        </w:rPr>
        <w:t xml:space="preserve">. Projects that focus on relationship-building, rather than formal parental accountability, have been found to be more successful (</w:t>
      </w:r>
      <w:r w:rsidDel="00000000" w:rsidR="00000000" w:rsidRPr="00000000">
        <w:rPr>
          <w:rFonts w:ascii="Arial" w:cs="Arial" w:eastAsia="Arial" w:hAnsi="Arial"/>
          <w:rtl w:val="0"/>
        </w:rPr>
        <w:t xml:space="preserve">Crozier &amp; Davies, 2007)</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Estyn’s (2021)</w:t>
      </w:r>
      <w:r w:rsidDel="00000000" w:rsidR="00000000" w:rsidRPr="00000000">
        <w:rPr>
          <w:rFonts w:ascii="Arial" w:cs="Arial" w:eastAsia="Arial" w:hAnsi="Arial"/>
          <w:rtl w:val="0"/>
        </w:rPr>
        <w:t xml:space="preserve"> case studies support this, showing that informal, sustained engagement in practical school-based projects leads to improved outcomes for children and stronger community cohesion. At the Key Phase 2 level, children are developing their sense of self, belonging, and agency. A school garden project provides natural opportunities for leadership, peer mentoring, and responsibility. </w:t>
      </w:r>
      <w:r w:rsidDel="00000000" w:rsidR="00000000" w:rsidRPr="00000000">
        <w:rPr>
          <w:rFonts w:ascii="Arial" w:cs="Arial" w:eastAsia="Arial" w:hAnsi="Arial"/>
          <w:rtl w:val="0"/>
        </w:rPr>
        <w:t xml:space="preserve">Leather (2013)</w:t>
      </w:r>
      <w:r w:rsidDel="00000000" w:rsidR="00000000" w:rsidRPr="00000000">
        <w:rPr>
          <w:rFonts w:ascii="Arial" w:cs="Arial" w:eastAsia="Arial" w:hAnsi="Arial"/>
          <w:rtl w:val="0"/>
        </w:rPr>
        <w:t xml:space="preserve"> argues that such developmental experiences are foundational to confidence, empathy, and resilience. These qualities are essential not only for academic achievement but for broader life success.</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The school-community garden project aims to develop a sustainable school-community garden that supports pupil well-being, strengthens family engagement and encourages multi-agency collaboration in a Key Phase 2 primary school. This project includes four core objectives that collectively aim to improve pupils' experiences and outcomes. Firstly, it seeks to promote pupil well-being and learning through hands-on outdoor experiences. These activities are designed to nurture resilience, teamwork and environmental awareness, qualities that are often enhanced through contact with nature and collaborative tasks </w:t>
      </w:r>
      <w:r w:rsidDel="00000000" w:rsidR="00000000" w:rsidRPr="00000000">
        <w:rPr>
          <w:rFonts w:ascii="Arial" w:cs="Arial" w:eastAsia="Arial" w:hAnsi="Arial"/>
          <w:rtl w:val="0"/>
        </w:rPr>
        <w:t xml:space="preserve">(Waite et al, 2016)</w:t>
      </w:r>
      <w:r w:rsidDel="00000000" w:rsidR="00000000" w:rsidRPr="00000000">
        <w:rPr>
          <w:rFonts w:ascii="Arial" w:cs="Arial" w:eastAsia="Arial" w:hAnsi="Arial"/>
          <w:rtl w:val="0"/>
        </w:rPr>
        <w:t xml:space="preserve">. Secondly, the project aims to strengthen parental engagement by creating informal and inclusive opportunities for families to participate in school life. Rather than relying solely on formal meetings or academic reporting, the garden will serve as a relaxed and welcoming space where parents can connect with their children’s learning </w:t>
      </w:r>
      <w:r w:rsidDel="00000000" w:rsidR="00000000" w:rsidRPr="00000000">
        <w:rPr>
          <w:rFonts w:ascii="Arial" w:cs="Arial" w:eastAsia="Arial" w:hAnsi="Arial"/>
          <w:rtl w:val="0"/>
        </w:rPr>
        <w:t xml:space="preserve">(Goodall &amp; Montgomery, 2014)</w:t>
      </w:r>
      <w:r w:rsidDel="00000000" w:rsidR="00000000" w:rsidRPr="00000000">
        <w:rPr>
          <w:rFonts w:ascii="Arial" w:cs="Arial" w:eastAsia="Arial" w:hAnsi="Arial"/>
          <w:rtl w:val="0"/>
        </w:rPr>
        <w:t xml:space="preserve">. Thirdly, the initiative intends to facilitate multi-agency collaboration by offering the garden as a shared space for professionals such as educational psychologists, Early Help practitioners and community volunteers. These interactions will help integrate support services into the school setting, making them more accessible to children and families. Finally, the project aims to enhance social cohesion by actively involving a diverse range of community members in planning and delivering garden-based activities. This participatory approach not only values local knowledge and experience but also helps to build a sense of collective ownership and pride in the school’s outdoor learning environment. Moreover, this school-community garden project is expected to overcome several positive outcomes for the school and wider community. It aims to improve pupil engagement, behaviour and academic performance by offering a dynamic, hands-on learning environment that complements classroom teaching. Additionally, the project is designed to enhance the relationship between the school and families by providing meaningful opportunities for involvement that go beyond conventional parent-teacher interactions. By incorporating multi-agency professionals into regular garden-based sessions, the project also seeks to facilitate the identification of pupils’ social, emotional, or educational needs, enabling timely support and intervention. Lastly, by encouraging collaboration between pupils, staff, families, and community members, the project is expected to strengthen social cohesion and build a more resilient school community </w:t>
      </w:r>
      <w:r w:rsidDel="00000000" w:rsidR="00000000" w:rsidRPr="00000000">
        <w:rPr>
          <w:rFonts w:ascii="Arial" w:cs="Arial" w:eastAsia="Arial" w:hAnsi="Arial"/>
          <w:rtl w:val="0"/>
        </w:rPr>
        <w:t xml:space="preserve">(Welsh Government, 2023). The outcomes will inform a sustainability plan, including provisions for ongoing maintenance, staff involvement, and annual community events to ensure the garden remains a long-term educational and social resource. In terms of staffing, a teacher with a TLR will lead the project, supported by a part-time community liaison officer who coordinates family and agency links. Additional support will come from local volunteers and partner organisations, such as gardening groups or youth services, who will contribute time and expertise. The estimated start-up budget for the project is unknown as of yet, however it will be used to purchase essential materials such as raised beds, soil, compost, tools, and safety equipment. To support long-term sustainability, the school will seek additional funding through small grants, donations from businesses, and community fundraising events. Furthermore, the project aligns with the Welsh Government's vision of schools serving as community hubs that provide a range of services and activities beyond the school day to meet the needs of pupils, their families, and the wider community . By encouraging an inclusive environment that values the contributions of all stakeholders, the project aims to create a supportive and enriching educational experience for every child.</w:t>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To ensure the garden project meets its intended outcomes, a multi-dimensional approach to measuring impact will be employed. This approach will draw on existing school-based evaluations, good practice case studies and methods of evaluation I am familiar with from my own practice. Key areas of focus will include pupil wellbeing and engagement, family involvement, and the effectiveness of multi-agency collaboration. These areas will be evaluated through a triangulation of methods including feedback tools, observational assessments, data analysis, and case study reflection. Pupil voice will play a central role, gathered through structured interviews, focus groups, and reflective journaling. Waite et al. (2016) emphasise the value of pupil feedback in outdoor learning, noting that it captures changes in confidence, team-working, and emotional regulation that may not be evident through academic measures alone. Family engagement will be evaluated using attendance records from workshops, surveys to gauge satisfaction and perceived impact, and informal interviews during gardening sessions. Estyn (2021) case studies consistently highlight that family participation improves when schools create accessible, low-pressure opportunities for engagement, especially in socio-economically deprived communities. By tracking family attendance and feedback over time, the school can monitor whether the garden encourages sustained involvement or if additional outreach is needed to engage harder-to-reach families (Crozier &amp; Davies, 2007). For community and multi-agency involvement, evidence will be collected from logs of agency participation, feedback forms from visiting professionals, and minutes from joint planning meetings. The Welsh Government (2023) encourages schools to act as community hubs and recommends formalised reflection and planning cycles between agencies and school staff. Therefore, regular review meetings will be held at the end of each term to assess what support has been offered, identify gaps, and plan future collaboration. Observations by staff will also be recorded through ethnographic-style field notes, capturing real-time reflections on how pupils interact with family and community members in the garden context. From an academic perspective, one limitation in measuring impact lies in the challenge of attributing outcomes to a single intervention. As Bronfenbrenner (1979) points out, child development is shaped by multiple interacting systems, and positive change may be the result of several coexisting influences. However, by using mixed methods and a longitudinal approach, the school can develop a rich picture of the project’s influence. Arshad et al. (2020) argue that effective social justice projects require time to build trust and sustained relationships, so impact may be best measured across academic years, not just terms. Ultimately, this approach to evaluation will allow the school to celebrate early successes while identifying areas for improvement. More importantly, it will ensure that the project remains dynamic, inclusive, and reflective, qualities essential for achieving meaningful and lasting change.</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The garden project includes several notable strengths. Firstly, the staff expertise within the school is a significant asset. Teachers have relevant knowledge in science, geography, and health, making it easier to integrate these subjects into the garden-based learning activities. This supports research which indicates that hands-on outdoor learning can deepen student engagement and foster meaningful learning (Waite et al., 2016). Additionally, the engagement of Key Phase 2 pupils is another strength. Outdoor learning environments have been shown to increase motivation, emotional regulation, and collaborative skills (Waite et al., 2016), which will help the students develop both academically and socially. Finally, the inclusive approach of the project, which involves multi-agency collaboration, aligns well with the school’s commitment to safeguarding and student well-being, encouraging a supportive environment for the children (Estyn, 2021). However, the project faces some weaknesses. One significant challenge is staffing constraints. The project will require substantial effort from teachers to coordinate and supervise activities, potentially adding to their already demanding workload. As noted in the literature, the sustainability of such projects often depends on the availability of resources, including staff support (Arshad et al., 2020). Another issue is the time commitments required. The garden project might demand additional hours beyond the school day for planning, maintenance, and family engagement. This could present a challenge for staff, parents, and volunteers, especially if they have limited availability (Goodall &amp; Montgomery, 2014). Finally, there is a risk of limited pupil motivation. While outdoor learning can be engaging, not all students may connect with gardening activities, and some may find the physical tasks demanding. Waite et al. (2016) emphasise that students with behavioural or academic challenges may require tailored support to fully benefit from such projects. The opportunities for the project are significant. One of the main benefits is the potential to strengthen school-community relations. The garden offers a shared space for local families and community members to collaborate with the school, which can promote a sense of pride and ownership (Arshad et al., 2020). Parental engagement is another opportunity, as the informal and inclusive nature of garden activities makes it easier for families to participate in their children's learning. Epstein (2001) highlights that such involvement has a positive impact on student outcomes. Additionally, the project aligns with government priorities to make schools community hubs, addressing issues like educational equity and social justice by engaging families from diverse backgrounds (Arshad et al., 2020). Despite these opportunities, the project also faces some threats. One key challenge is funding. Securing long-term financial support may be difficult, particularly with budget constraints affecting local authorities and schools. The essay highlights the initial funding needs, but without a detailed sustainability plan, the project may struggle to maintain momentum (Ofsted, 2021). Additionally, socioeconomic barriers could limit family participation. Challenges like language barriers or financial insecurity may prevent some families from engaging in the project, as noted by Desforges &amp; Abouchaar (2003). Lastly, there is a potential for lack of long-term engagement. While initial enthusiasm may be high, sustaining interest over time can be challenging for community-based projects. Leather (2013) notes that ongoing relationships are essential for maintaining momentum in such initiatives. In conclusion, while the garden project holds great promise for enriching pupils' learning and strengthening community ties, it must address challenges like staffing, funding, and maintaining long-term engagement to achieve lasting success. (The SWOT analysis has been placed in the appendix for further reference).</w:t>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This assignment has shown that effective school-community working depends on partnerships, learning spaces and embedded multi-agency support. Research by Arshad et al. (2020) reminds us that genuine equity means tackling structural barriers, while Bronfenbrenner’s ecological lens highlights the power of strengthening the mesosystem around each child (Bronfenbrenner, 1979). Evidence from Estyn case studies demonstrates that well-planned garden projects can raise attendance and trust when families and local services share ownership of learning (Estyn, 2021). Outdoor provision further boosts motivation and self-regulation (Waite et al, 2016) and Epstein’s (2001) framework illustrates how informal, low-stakes activities such as family gardening days move parental involvement towards authentic engagement (Goodall &amp; Montgomery, 2014). In conclusion, these insights have reshaped planning. Whilst teaching, I will ensure to prioritise pupil voice surveys before planning outdoor activities,  invite parents to co-lead sessions and schedule regular check-ins with Early Help staff to ensure safeguarding threads run through the curriculum. These steps meet the Welsh Professional Standard for QTS “Working with Others”, which expects beginning teachers to forge purposeful partnerships to improve learner outcomes (Welsh Government, 2017). In terms of the school-community garden, my next goal would be to embed a longitudinal study to track well-being and attainment across years, to demonstrate sustained impact and refine the garden as a truly inclusive, community-owned learning project.</w:t>
      </w: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tl w:val="0"/>
        </w:rPr>
      </w:r>
    </w:p>
    <w:p w:rsidR="00000000" w:rsidDel="00000000" w:rsidP="00000000" w:rsidRDefault="00000000" w:rsidRPr="00000000" w14:paraId="00000031">
      <w:pPr>
        <w:rPr>
          <w:b w:val="0"/>
        </w:rPr>
      </w:pPr>
      <w:r w:rsidDel="00000000" w:rsidR="00000000" w:rsidRPr="00000000">
        <w:rPr>
          <w:rtl w:val="0"/>
        </w:rPr>
      </w:r>
    </w:p>
    <w:p w:rsidR="00000000" w:rsidDel="00000000" w:rsidP="00000000" w:rsidRDefault="00000000" w:rsidRPr="00000000" w14:paraId="00000032">
      <w:pPr>
        <w:rPr>
          <w:b w:val="0"/>
        </w:rPr>
      </w:pPr>
      <w:r w:rsidDel="00000000" w:rsidR="00000000" w:rsidRPr="00000000">
        <w:rPr>
          <w:rtl w:val="0"/>
        </w:rPr>
      </w:r>
    </w:p>
    <w:p w:rsidR="00000000" w:rsidDel="00000000" w:rsidP="00000000" w:rsidRDefault="00000000" w:rsidRPr="00000000" w14:paraId="00000033">
      <w:pPr>
        <w:rPr>
          <w:b w:val="0"/>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0"/>
        </w:rPr>
      </w:pPr>
      <w:r w:rsidDel="00000000" w:rsidR="00000000" w:rsidRPr="00000000">
        <w:rPr>
          <w:rFonts w:ascii="Arial" w:cs="Arial" w:eastAsia="Arial" w:hAnsi="Arial"/>
          <w:b w:val="0"/>
          <w:shd w:fill="auto" w:val="clear"/>
          <w:rtl w:val="0"/>
        </w:rPr>
        <w:t xml:space="preserve">Reference List</w:t>
      </w:r>
      <w:r w:rsidDel="00000000" w:rsidR="00000000" w:rsidRPr="00000000">
        <w:rPr>
          <w:rtl w:val="0"/>
        </w:rPr>
      </w:r>
    </w:p>
    <w:p w:rsidR="00000000" w:rsidDel="00000000" w:rsidP="00000000" w:rsidRDefault="00000000" w:rsidRPr="00000000" w14:paraId="00000048">
      <w:pPr>
        <w:spacing w:after="240" w:before="240" w:lineRule="auto"/>
        <w:rPr>
          <w:rFonts w:ascii="Arial" w:cs="Arial" w:eastAsia="Arial" w:hAnsi="Arial"/>
        </w:rPr>
      </w:pPr>
      <w:r w:rsidDel="00000000" w:rsidR="00000000" w:rsidRPr="00000000">
        <w:rPr>
          <w:rFonts w:ascii="Arial" w:cs="Arial" w:eastAsia="Arial" w:hAnsi="Arial"/>
          <w:rtl w:val="0"/>
        </w:rPr>
        <w:t xml:space="preserve">Arshad, R., Maylor, U. and Mirza, H.S., 2020. </w:t>
      </w:r>
      <w:r w:rsidDel="00000000" w:rsidR="00000000" w:rsidRPr="00000000">
        <w:rPr>
          <w:rFonts w:ascii="Arial" w:cs="Arial" w:eastAsia="Arial" w:hAnsi="Arial"/>
          <w:i w:val="1"/>
          <w:rtl w:val="0"/>
        </w:rPr>
        <w:t xml:space="preserve">Equity, Diversity and Inclusion: Developing a Social Justice Perspective</w:t>
      </w:r>
      <w:r w:rsidDel="00000000" w:rsidR="00000000" w:rsidRPr="00000000">
        <w:rPr>
          <w:rFonts w:ascii="Arial" w:cs="Arial" w:eastAsia="Arial" w:hAnsi="Arial"/>
          <w:rtl w:val="0"/>
        </w:rPr>
        <w:t xml:space="preserve">. London: UCL Institute of Education Press.</w:t>
      </w:r>
    </w:p>
    <w:p w:rsidR="00000000" w:rsidDel="00000000" w:rsidP="00000000" w:rsidRDefault="00000000" w:rsidRPr="00000000" w14:paraId="00000049">
      <w:pPr>
        <w:spacing w:after="240" w:before="240" w:lineRule="auto"/>
        <w:rPr>
          <w:rFonts w:ascii="Arial" w:cs="Arial" w:eastAsia="Arial" w:hAnsi="Arial"/>
        </w:rPr>
      </w:pPr>
      <w:r w:rsidDel="00000000" w:rsidR="00000000" w:rsidRPr="00000000">
        <w:rPr>
          <w:rFonts w:ascii="Arial" w:cs="Arial" w:eastAsia="Arial" w:hAnsi="Arial"/>
          <w:rtl w:val="0"/>
        </w:rPr>
        <w:t xml:space="preserve">Bronfenbrenner, U., 1979. </w:t>
      </w:r>
      <w:r w:rsidDel="00000000" w:rsidR="00000000" w:rsidRPr="00000000">
        <w:rPr>
          <w:rFonts w:ascii="Arial" w:cs="Arial" w:eastAsia="Arial" w:hAnsi="Arial"/>
          <w:i w:val="1"/>
          <w:rtl w:val="0"/>
        </w:rPr>
        <w:t xml:space="preserve">The Ecology of Human Development: Experiments by Nature and Design</w:t>
      </w:r>
      <w:r w:rsidDel="00000000" w:rsidR="00000000" w:rsidRPr="00000000">
        <w:rPr>
          <w:rFonts w:ascii="Arial" w:cs="Arial" w:eastAsia="Arial" w:hAnsi="Arial"/>
          <w:rtl w:val="0"/>
        </w:rPr>
        <w:t xml:space="preserve">. Cambridge, MA: Harvard University Press.</w:t>
      </w:r>
    </w:p>
    <w:p w:rsidR="00000000" w:rsidDel="00000000" w:rsidP="00000000" w:rsidRDefault="00000000" w:rsidRPr="00000000" w14:paraId="0000004A">
      <w:pPr>
        <w:spacing w:after="240" w:before="240" w:lineRule="auto"/>
        <w:rPr>
          <w:rFonts w:ascii="Arial" w:cs="Arial" w:eastAsia="Arial" w:hAnsi="Arial"/>
        </w:rPr>
      </w:pPr>
      <w:r w:rsidDel="00000000" w:rsidR="00000000" w:rsidRPr="00000000">
        <w:rPr>
          <w:rFonts w:ascii="Arial" w:cs="Arial" w:eastAsia="Arial" w:hAnsi="Arial"/>
          <w:rtl w:val="0"/>
        </w:rPr>
        <w:t xml:space="preserve">Chawla, L., Keena, K., Pevec, I. and Stanley, E., 2014. Green schoolyards as havens from stress and resources for resilience in childhood and adolescence. </w:t>
      </w:r>
      <w:r w:rsidDel="00000000" w:rsidR="00000000" w:rsidRPr="00000000">
        <w:rPr>
          <w:rFonts w:ascii="Arial" w:cs="Arial" w:eastAsia="Arial" w:hAnsi="Arial"/>
          <w:i w:val="1"/>
          <w:rtl w:val="0"/>
        </w:rPr>
        <w:t xml:space="preserve">Health &amp; Place</w:t>
      </w:r>
      <w:r w:rsidDel="00000000" w:rsidR="00000000" w:rsidRPr="00000000">
        <w:rPr>
          <w:rFonts w:ascii="Arial" w:cs="Arial" w:eastAsia="Arial" w:hAnsi="Arial"/>
          <w:rtl w:val="0"/>
        </w:rPr>
        <w:t xml:space="preserve">, 28, pp.1–13.</w:t>
      </w:r>
    </w:p>
    <w:p w:rsidR="00000000" w:rsidDel="00000000" w:rsidP="00000000" w:rsidRDefault="00000000" w:rsidRPr="00000000" w14:paraId="0000004B">
      <w:pPr>
        <w:spacing w:after="240" w:before="240" w:lineRule="auto"/>
        <w:rPr>
          <w:rFonts w:ascii="Arial" w:cs="Arial" w:eastAsia="Arial" w:hAnsi="Arial"/>
        </w:rPr>
      </w:pPr>
      <w:r w:rsidDel="00000000" w:rsidR="00000000" w:rsidRPr="00000000">
        <w:rPr>
          <w:rFonts w:ascii="Arial" w:cs="Arial" w:eastAsia="Arial" w:hAnsi="Arial"/>
          <w:rtl w:val="0"/>
        </w:rPr>
        <w:t xml:space="preserve">Crozier, G. and Davies, J., 2007. Hard to reach parents or hard to reach schools? A discussion of home–school relations, with particular reference to Bangladeshi and Pakistani parents. </w:t>
      </w:r>
      <w:r w:rsidDel="00000000" w:rsidR="00000000" w:rsidRPr="00000000">
        <w:rPr>
          <w:rFonts w:ascii="Arial" w:cs="Arial" w:eastAsia="Arial" w:hAnsi="Arial"/>
          <w:i w:val="1"/>
          <w:rtl w:val="0"/>
        </w:rPr>
        <w:t xml:space="preserve">British Educational Research Journal</w:t>
      </w:r>
      <w:r w:rsidDel="00000000" w:rsidR="00000000" w:rsidRPr="00000000">
        <w:rPr>
          <w:rFonts w:ascii="Arial" w:cs="Arial" w:eastAsia="Arial" w:hAnsi="Arial"/>
          <w:rtl w:val="0"/>
        </w:rPr>
        <w:t xml:space="preserve">, 33(3), pp.295–313.</w:t>
      </w:r>
    </w:p>
    <w:p w:rsidR="00000000" w:rsidDel="00000000" w:rsidP="00000000" w:rsidRDefault="00000000" w:rsidRPr="00000000" w14:paraId="0000004C">
      <w:pPr>
        <w:spacing w:after="240" w:before="240" w:lineRule="auto"/>
        <w:rPr>
          <w:rFonts w:ascii="Arial" w:cs="Arial" w:eastAsia="Arial" w:hAnsi="Arial"/>
        </w:rPr>
      </w:pPr>
      <w:r w:rsidDel="00000000" w:rsidR="00000000" w:rsidRPr="00000000">
        <w:rPr>
          <w:rFonts w:ascii="Arial" w:cs="Arial" w:eastAsia="Arial" w:hAnsi="Arial"/>
          <w:rtl w:val="0"/>
        </w:rPr>
        <w:t xml:space="preserve">Department for Education (DfE), 2018. </w:t>
      </w:r>
      <w:r w:rsidDel="00000000" w:rsidR="00000000" w:rsidRPr="00000000">
        <w:rPr>
          <w:rFonts w:ascii="Arial" w:cs="Arial" w:eastAsia="Arial" w:hAnsi="Arial"/>
          <w:i w:val="1"/>
          <w:rtl w:val="0"/>
        </w:rPr>
        <w:t xml:space="preserve">Working Together to Safeguard Children: A guide to inter-agency working to safeguard and promote the welfare of children</w:t>
      </w:r>
      <w:r w:rsidDel="00000000" w:rsidR="00000000" w:rsidRPr="00000000">
        <w:rPr>
          <w:rFonts w:ascii="Arial" w:cs="Arial" w:eastAsia="Arial" w:hAnsi="Arial"/>
          <w:rtl w:val="0"/>
        </w:rPr>
        <w:t xml:space="preserve">. London: DfE.</w:t>
      </w:r>
    </w:p>
    <w:p w:rsidR="00000000" w:rsidDel="00000000" w:rsidP="00000000" w:rsidRDefault="00000000" w:rsidRPr="00000000" w14:paraId="0000004D">
      <w:pPr>
        <w:spacing w:after="240" w:before="240" w:lineRule="auto"/>
        <w:rPr>
          <w:rFonts w:ascii="Arial" w:cs="Arial" w:eastAsia="Arial" w:hAnsi="Arial"/>
        </w:rPr>
      </w:pPr>
      <w:r w:rsidDel="00000000" w:rsidR="00000000" w:rsidRPr="00000000">
        <w:rPr>
          <w:rFonts w:ascii="Arial" w:cs="Arial" w:eastAsia="Arial" w:hAnsi="Arial"/>
          <w:rtl w:val="0"/>
        </w:rPr>
        <w:t xml:space="preserve">Desforges, C. and Abouchaar, A., 2003. </w:t>
      </w:r>
      <w:r w:rsidDel="00000000" w:rsidR="00000000" w:rsidRPr="00000000">
        <w:rPr>
          <w:rFonts w:ascii="Arial" w:cs="Arial" w:eastAsia="Arial" w:hAnsi="Arial"/>
          <w:i w:val="1"/>
          <w:rtl w:val="0"/>
        </w:rPr>
        <w:t xml:space="preserve">The Impact of Parental Involvement, Parental Support and Family Education on Pupil Achievement and Adjustment: A Literature Review</w:t>
      </w:r>
      <w:r w:rsidDel="00000000" w:rsidR="00000000" w:rsidRPr="00000000">
        <w:rPr>
          <w:rFonts w:ascii="Arial" w:cs="Arial" w:eastAsia="Arial" w:hAnsi="Arial"/>
          <w:rtl w:val="0"/>
        </w:rPr>
        <w:t xml:space="preserve">. London: Department for Education and Skills.</w:t>
      </w:r>
    </w:p>
    <w:p w:rsidR="00000000" w:rsidDel="00000000" w:rsidP="00000000" w:rsidRDefault="00000000" w:rsidRPr="00000000" w14:paraId="0000004E">
      <w:pPr>
        <w:spacing w:after="240" w:before="240" w:lineRule="auto"/>
        <w:rPr>
          <w:rFonts w:ascii="Arial" w:cs="Arial" w:eastAsia="Arial" w:hAnsi="Arial"/>
        </w:rPr>
      </w:pPr>
      <w:r w:rsidDel="00000000" w:rsidR="00000000" w:rsidRPr="00000000">
        <w:rPr>
          <w:rFonts w:ascii="Arial" w:cs="Arial" w:eastAsia="Arial" w:hAnsi="Arial"/>
          <w:rtl w:val="0"/>
        </w:rPr>
        <w:t xml:space="preserve">Dillon, J. and Dickie, I., 2012. </w:t>
      </w:r>
      <w:r w:rsidDel="00000000" w:rsidR="00000000" w:rsidRPr="00000000">
        <w:rPr>
          <w:rFonts w:ascii="Arial" w:cs="Arial" w:eastAsia="Arial" w:hAnsi="Arial"/>
          <w:i w:val="1"/>
          <w:rtl w:val="0"/>
        </w:rPr>
        <w:t xml:space="preserve">Learning in the Natural Environment: Review of Social and Economic Benefits and Barriers</w:t>
      </w:r>
      <w:r w:rsidDel="00000000" w:rsidR="00000000" w:rsidRPr="00000000">
        <w:rPr>
          <w:rFonts w:ascii="Arial" w:cs="Arial" w:eastAsia="Arial" w:hAnsi="Arial"/>
          <w:rtl w:val="0"/>
        </w:rPr>
        <w:t xml:space="preserve">. Natural England Commissioned Reports, NECR101.</w:t>
      </w:r>
    </w:p>
    <w:p w:rsidR="00000000" w:rsidDel="00000000" w:rsidP="00000000" w:rsidRDefault="00000000" w:rsidRPr="00000000" w14:paraId="0000004F">
      <w:pPr>
        <w:spacing w:after="240" w:before="240" w:lineRule="auto"/>
        <w:rPr>
          <w:rFonts w:ascii="Arial" w:cs="Arial" w:eastAsia="Arial" w:hAnsi="Arial"/>
        </w:rPr>
      </w:pPr>
      <w:r w:rsidDel="00000000" w:rsidR="00000000" w:rsidRPr="00000000">
        <w:rPr>
          <w:rFonts w:ascii="Arial" w:cs="Arial" w:eastAsia="Arial" w:hAnsi="Arial"/>
          <w:rtl w:val="0"/>
        </w:rPr>
        <w:t xml:space="preserve">Epstein, J.L., 2001. </w:t>
      </w:r>
      <w:r w:rsidDel="00000000" w:rsidR="00000000" w:rsidRPr="00000000">
        <w:rPr>
          <w:rFonts w:ascii="Arial" w:cs="Arial" w:eastAsia="Arial" w:hAnsi="Arial"/>
          <w:i w:val="1"/>
          <w:rtl w:val="0"/>
        </w:rPr>
        <w:t xml:space="preserve">School, Family, and Community Partnerships: Preparing Educators and Improving Schools</w:t>
      </w:r>
      <w:r w:rsidDel="00000000" w:rsidR="00000000" w:rsidRPr="00000000">
        <w:rPr>
          <w:rFonts w:ascii="Arial" w:cs="Arial" w:eastAsia="Arial" w:hAnsi="Arial"/>
          <w:rtl w:val="0"/>
        </w:rPr>
        <w:t xml:space="preserve">. Boulder, CO: Westview Press.</w:t>
      </w:r>
    </w:p>
    <w:p w:rsidR="00000000" w:rsidDel="00000000" w:rsidP="00000000" w:rsidRDefault="00000000" w:rsidRPr="00000000" w14:paraId="00000050">
      <w:pPr>
        <w:spacing w:after="240" w:before="240" w:lineRule="auto"/>
        <w:rPr>
          <w:rFonts w:ascii="Arial" w:cs="Arial" w:eastAsia="Arial" w:hAnsi="Arial"/>
        </w:rPr>
      </w:pPr>
      <w:r w:rsidDel="00000000" w:rsidR="00000000" w:rsidRPr="00000000">
        <w:rPr>
          <w:rFonts w:ascii="Arial" w:cs="Arial" w:eastAsia="Arial" w:hAnsi="Arial"/>
          <w:rtl w:val="0"/>
        </w:rPr>
        <w:t xml:space="preserve">Estyn, 2021. </w:t>
      </w:r>
      <w:r w:rsidDel="00000000" w:rsidR="00000000" w:rsidRPr="00000000">
        <w:rPr>
          <w:rFonts w:ascii="Arial" w:cs="Arial" w:eastAsia="Arial" w:hAnsi="Arial"/>
          <w:i w:val="1"/>
          <w:rtl w:val="0"/>
        </w:rPr>
        <w:t xml:space="preserve">Case Studies of Effective Practice in Community Engagement</w:t>
      </w:r>
      <w:r w:rsidDel="00000000" w:rsidR="00000000" w:rsidRPr="00000000">
        <w:rPr>
          <w:rFonts w:ascii="Arial" w:cs="Arial" w:eastAsia="Arial" w:hAnsi="Arial"/>
          <w:rtl w:val="0"/>
        </w:rPr>
        <w:t xml:space="preserve">. Cardiff: Estyn. Available at:</w:t>
      </w:r>
      <w:hyperlink r:id="rId8">
        <w:r w:rsidDel="00000000" w:rsidR="00000000" w:rsidRPr="00000000">
          <w:rPr>
            <w:rFonts w:ascii="Arial" w:cs="Arial" w:eastAsia="Arial" w:hAnsi="Arial"/>
            <w:rtl w:val="0"/>
          </w:rPr>
          <w:t xml:space="preserve"> </w:t>
        </w:r>
      </w:hyperlink>
      <w:hyperlink r:id="rId9">
        <w:r w:rsidDel="00000000" w:rsidR="00000000" w:rsidRPr="00000000">
          <w:rPr>
            <w:rFonts w:ascii="Arial" w:cs="Arial" w:eastAsia="Arial" w:hAnsi="Arial"/>
            <w:color w:val="1155cc"/>
            <w:u w:val="single"/>
            <w:rtl w:val="0"/>
          </w:rPr>
          <w:t xml:space="preserve">https://www.estyn.gov.wales</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1">
      <w:pPr>
        <w:spacing w:after="240" w:before="240" w:lineRule="auto"/>
        <w:rPr>
          <w:rFonts w:ascii="Arial" w:cs="Arial" w:eastAsia="Arial" w:hAnsi="Arial"/>
        </w:rPr>
      </w:pPr>
      <w:r w:rsidDel="00000000" w:rsidR="00000000" w:rsidRPr="00000000">
        <w:rPr>
          <w:rFonts w:ascii="Arial" w:cs="Arial" w:eastAsia="Arial" w:hAnsi="Arial"/>
          <w:rtl w:val="0"/>
        </w:rPr>
        <w:t xml:space="preserve">Goodall, J. and Montgomery, C., 2014. Parental involvement to parental engagement: a continuum. </w:t>
      </w:r>
      <w:r w:rsidDel="00000000" w:rsidR="00000000" w:rsidRPr="00000000">
        <w:rPr>
          <w:rFonts w:ascii="Arial" w:cs="Arial" w:eastAsia="Arial" w:hAnsi="Arial"/>
          <w:i w:val="1"/>
          <w:rtl w:val="0"/>
        </w:rPr>
        <w:t xml:space="preserve">Educational Review</w:t>
      </w:r>
      <w:r w:rsidDel="00000000" w:rsidR="00000000" w:rsidRPr="00000000">
        <w:rPr>
          <w:rFonts w:ascii="Arial" w:cs="Arial" w:eastAsia="Arial" w:hAnsi="Arial"/>
          <w:rtl w:val="0"/>
        </w:rPr>
        <w:t xml:space="preserve">, 66(4), pp.399–410.</w:t>
      </w:r>
    </w:p>
    <w:p w:rsidR="00000000" w:rsidDel="00000000" w:rsidP="00000000" w:rsidRDefault="00000000" w:rsidRPr="00000000" w14:paraId="00000052">
      <w:pPr>
        <w:spacing w:after="240" w:before="240" w:lineRule="auto"/>
        <w:rPr>
          <w:rFonts w:ascii="Arial" w:cs="Arial" w:eastAsia="Arial" w:hAnsi="Arial"/>
        </w:rPr>
      </w:pPr>
      <w:r w:rsidDel="00000000" w:rsidR="00000000" w:rsidRPr="00000000">
        <w:rPr>
          <w:rFonts w:ascii="Arial" w:cs="Arial" w:eastAsia="Arial" w:hAnsi="Arial"/>
          <w:rtl w:val="0"/>
        </w:rPr>
        <w:t xml:space="preserve">Leather, M., 2013. ‘It's good for their self-esteem’: the substance beneath the label. The multiple benefits of a developmental approach to adventurous activities for children and young people. </w:t>
      </w:r>
      <w:r w:rsidDel="00000000" w:rsidR="00000000" w:rsidRPr="00000000">
        <w:rPr>
          <w:rFonts w:ascii="Arial" w:cs="Arial" w:eastAsia="Arial" w:hAnsi="Arial"/>
          <w:i w:val="1"/>
          <w:rtl w:val="0"/>
        </w:rPr>
        <w:t xml:space="preserve">Journal of Adventure Education and Outdoor Learning</w:t>
      </w:r>
      <w:r w:rsidDel="00000000" w:rsidR="00000000" w:rsidRPr="00000000">
        <w:rPr>
          <w:rFonts w:ascii="Arial" w:cs="Arial" w:eastAsia="Arial" w:hAnsi="Arial"/>
          <w:rtl w:val="0"/>
        </w:rPr>
        <w:t xml:space="preserve">, 13(2), pp.158–179.</w:t>
      </w:r>
    </w:p>
    <w:p w:rsidR="00000000" w:rsidDel="00000000" w:rsidP="00000000" w:rsidRDefault="00000000" w:rsidRPr="00000000" w14:paraId="00000053">
      <w:pPr>
        <w:spacing w:after="240" w:before="240" w:lineRule="auto"/>
        <w:rPr>
          <w:rFonts w:ascii="Arial" w:cs="Arial" w:eastAsia="Arial" w:hAnsi="Arial"/>
        </w:rPr>
      </w:pPr>
      <w:r w:rsidDel="00000000" w:rsidR="00000000" w:rsidRPr="00000000">
        <w:rPr>
          <w:rFonts w:ascii="Arial" w:cs="Arial" w:eastAsia="Arial" w:hAnsi="Arial"/>
          <w:rtl w:val="0"/>
        </w:rPr>
        <w:t xml:space="preserve">Ofsted, 2021. </w:t>
      </w:r>
      <w:r w:rsidDel="00000000" w:rsidR="00000000" w:rsidRPr="00000000">
        <w:rPr>
          <w:rFonts w:ascii="Arial" w:cs="Arial" w:eastAsia="Arial" w:hAnsi="Arial"/>
          <w:i w:val="1"/>
          <w:rtl w:val="0"/>
        </w:rPr>
        <w:t xml:space="preserve">Education Recovery in Schools: Autumn 2021</w:t>
      </w:r>
      <w:r w:rsidDel="00000000" w:rsidR="00000000" w:rsidRPr="00000000">
        <w:rPr>
          <w:rFonts w:ascii="Arial" w:cs="Arial" w:eastAsia="Arial" w:hAnsi="Arial"/>
          <w:rtl w:val="0"/>
        </w:rPr>
        <w:t xml:space="preserve">. Available at: </w:t>
      </w:r>
      <w:hyperlink r:id="rId10">
        <w:r w:rsidDel="00000000" w:rsidR="00000000" w:rsidRPr="00000000">
          <w:rPr>
            <w:rFonts w:ascii="Arial" w:cs="Arial" w:eastAsia="Arial" w:hAnsi="Arial"/>
            <w:color w:val="1155cc"/>
            <w:u w:val="single"/>
            <w:rtl w:val="0"/>
          </w:rPr>
          <w:t xml:space="preserve">https://www.gov.uk/government/publications/education-recovery-in-schools-autumn-2021</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4">
      <w:pPr>
        <w:spacing w:after="240" w:before="240" w:lineRule="auto"/>
        <w:rPr>
          <w:rFonts w:ascii="Arial" w:cs="Arial" w:eastAsia="Arial" w:hAnsi="Arial"/>
        </w:rPr>
      </w:pPr>
      <w:r w:rsidDel="00000000" w:rsidR="00000000" w:rsidRPr="00000000">
        <w:rPr>
          <w:rFonts w:ascii="Arial" w:cs="Arial" w:eastAsia="Arial" w:hAnsi="Arial"/>
          <w:rtl w:val="0"/>
        </w:rPr>
        <w:t xml:space="preserve">Oxford English Dictionary, 2024. </w:t>
      </w:r>
      <w:r w:rsidDel="00000000" w:rsidR="00000000" w:rsidRPr="00000000">
        <w:rPr>
          <w:rFonts w:ascii="Arial" w:cs="Arial" w:eastAsia="Arial" w:hAnsi="Arial"/>
          <w:i w:val="1"/>
          <w:rtl w:val="0"/>
        </w:rPr>
        <w:t xml:space="preserve">Community</w:t>
      </w:r>
      <w:r w:rsidDel="00000000" w:rsidR="00000000" w:rsidRPr="00000000">
        <w:rPr>
          <w:rFonts w:ascii="Arial" w:cs="Arial" w:eastAsia="Arial" w:hAnsi="Arial"/>
          <w:rtl w:val="0"/>
        </w:rPr>
        <w:t xml:space="preserve">. [online] Oxford University Press. Available at:</w:t>
      </w:r>
      <w:hyperlink r:id="rId11">
        <w:r w:rsidDel="00000000" w:rsidR="00000000" w:rsidRPr="00000000">
          <w:rPr>
            <w:rFonts w:ascii="Arial" w:cs="Arial" w:eastAsia="Arial" w:hAnsi="Arial"/>
            <w:rtl w:val="0"/>
          </w:rPr>
          <w:t xml:space="preserve"> </w:t>
        </w:r>
      </w:hyperlink>
      <w:hyperlink r:id="rId12">
        <w:r w:rsidDel="00000000" w:rsidR="00000000" w:rsidRPr="00000000">
          <w:rPr>
            <w:rFonts w:ascii="Arial" w:cs="Arial" w:eastAsia="Arial" w:hAnsi="Arial"/>
            <w:color w:val="1155cc"/>
            <w:u w:val="single"/>
            <w:rtl w:val="0"/>
          </w:rPr>
          <w:t xml:space="preserve">https://www.oed.com/dictionary/community_n</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5">
      <w:pPr>
        <w:spacing w:after="240" w:before="240" w:lineRule="auto"/>
        <w:rPr>
          <w:rFonts w:ascii="Arial" w:cs="Arial" w:eastAsia="Arial" w:hAnsi="Arial"/>
        </w:rPr>
      </w:pPr>
      <w:r w:rsidDel="00000000" w:rsidR="00000000" w:rsidRPr="00000000">
        <w:rPr>
          <w:rFonts w:ascii="Arial" w:cs="Arial" w:eastAsia="Arial" w:hAnsi="Arial"/>
          <w:rtl w:val="0"/>
        </w:rPr>
        <w:t xml:space="preserve">Public Health England, 2014. </w:t>
      </w:r>
      <w:r w:rsidDel="00000000" w:rsidR="00000000" w:rsidRPr="00000000">
        <w:rPr>
          <w:rFonts w:ascii="Arial" w:cs="Arial" w:eastAsia="Arial" w:hAnsi="Arial"/>
          <w:i w:val="1"/>
          <w:rtl w:val="0"/>
        </w:rPr>
        <w:t xml:space="preserve">The Link Between Pupil Health and Wellbeing and Attainment: A Briefing for Head Teachers, Governors and Staff in Education Settings</w:t>
      </w:r>
      <w:r w:rsidDel="00000000" w:rsidR="00000000" w:rsidRPr="00000000">
        <w:rPr>
          <w:rFonts w:ascii="Arial" w:cs="Arial" w:eastAsia="Arial" w:hAnsi="Arial"/>
          <w:rtl w:val="0"/>
        </w:rPr>
        <w:t xml:space="preserve">. London: PHE.</w:t>
      </w:r>
    </w:p>
    <w:p w:rsidR="00000000" w:rsidDel="00000000" w:rsidP="00000000" w:rsidRDefault="00000000" w:rsidRPr="00000000" w14:paraId="00000056">
      <w:pPr>
        <w:spacing w:after="240" w:before="240" w:lineRule="auto"/>
        <w:rPr>
          <w:rFonts w:ascii="Arial" w:cs="Arial" w:eastAsia="Arial" w:hAnsi="Arial"/>
        </w:rPr>
      </w:pPr>
      <w:r w:rsidDel="00000000" w:rsidR="00000000" w:rsidRPr="00000000">
        <w:rPr>
          <w:rFonts w:ascii="Arial" w:cs="Arial" w:eastAsia="Arial" w:hAnsi="Arial"/>
          <w:rtl w:val="0"/>
        </w:rPr>
        <w:t xml:space="preserve">Rickinson, M., Dillon, J., Teamey, K., Morris, M., Choi, M., Sanders, D., and Benefield, P., 2004. </w:t>
      </w:r>
      <w:r w:rsidDel="00000000" w:rsidR="00000000" w:rsidRPr="00000000">
        <w:rPr>
          <w:rFonts w:ascii="Arial" w:cs="Arial" w:eastAsia="Arial" w:hAnsi="Arial"/>
          <w:i w:val="1"/>
          <w:rtl w:val="0"/>
        </w:rPr>
        <w:t xml:space="preserve">A review of research on outdoor learning</w:t>
      </w:r>
      <w:r w:rsidDel="00000000" w:rsidR="00000000" w:rsidRPr="00000000">
        <w:rPr>
          <w:rFonts w:ascii="Arial" w:cs="Arial" w:eastAsia="Arial" w:hAnsi="Arial"/>
          <w:rtl w:val="0"/>
        </w:rPr>
        <w:t xml:space="preserve">. National Foundation for Educational Research.</w:t>
      </w:r>
    </w:p>
    <w:p w:rsidR="00000000" w:rsidDel="00000000" w:rsidP="00000000" w:rsidRDefault="00000000" w:rsidRPr="00000000" w14:paraId="00000057">
      <w:pPr>
        <w:spacing w:after="240" w:before="240" w:lineRule="auto"/>
        <w:rPr>
          <w:rFonts w:ascii="Arial" w:cs="Arial" w:eastAsia="Arial" w:hAnsi="Arial"/>
        </w:rPr>
      </w:pPr>
      <w:r w:rsidDel="00000000" w:rsidR="00000000" w:rsidRPr="00000000">
        <w:rPr>
          <w:rFonts w:ascii="Arial" w:cs="Arial" w:eastAsia="Arial" w:hAnsi="Arial"/>
          <w:rtl w:val="0"/>
        </w:rPr>
        <w:t xml:space="preserve">Vincent, C., 1996. </w:t>
      </w:r>
      <w:r w:rsidDel="00000000" w:rsidR="00000000" w:rsidRPr="00000000">
        <w:rPr>
          <w:rFonts w:ascii="Arial" w:cs="Arial" w:eastAsia="Arial" w:hAnsi="Arial"/>
          <w:i w:val="1"/>
          <w:rtl w:val="0"/>
        </w:rPr>
        <w:t xml:space="preserve">Parenting education: Middle-class involvement in schools and its impact on educational outcomes</w:t>
      </w:r>
      <w:r w:rsidDel="00000000" w:rsidR="00000000" w:rsidRPr="00000000">
        <w:rPr>
          <w:rFonts w:ascii="Arial" w:cs="Arial" w:eastAsia="Arial" w:hAnsi="Arial"/>
          <w:rtl w:val="0"/>
        </w:rPr>
        <w:t xml:space="preserve">. Cambridge University Press.</w:t>
      </w:r>
    </w:p>
    <w:p w:rsidR="00000000" w:rsidDel="00000000" w:rsidP="00000000" w:rsidRDefault="00000000" w:rsidRPr="00000000" w14:paraId="00000058">
      <w:pPr>
        <w:spacing w:after="240" w:before="240" w:lineRule="auto"/>
        <w:rPr>
          <w:rFonts w:ascii="Arial" w:cs="Arial" w:eastAsia="Arial" w:hAnsi="Arial"/>
        </w:rPr>
      </w:pPr>
      <w:r w:rsidDel="00000000" w:rsidR="00000000" w:rsidRPr="00000000">
        <w:rPr>
          <w:rFonts w:ascii="Arial" w:cs="Arial" w:eastAsia="Arial" w:hAnsi="Arial"/>
          <w:rtl w:val="0"/>
        </w:rPr>
        <w:t xml:space="preserve">Waite, S., Rogers, S. and Evans, J., 2016. Freedom, flow and fairness: Exploring how children develop socially at school through outdoor play. </w:t>
      </w:r>
      <w:r w:rsidDel="00000000" w:rsidR="00000000" w:rsidRPr="00000000">
        <w:rPr>
          <w:rFonts w:ascii="Arial" w:cs="Arial" w:eastAsia="Arial" w:hAnsi="Arial"/>
          <w:i w:val="1"/>
          <w:rtl w:val="0"/>
        </w:rPr>
        <w:t xml:space="preserve">Journal of Adventure Education and Outdoor Learning</w:t>
      </w:r>
      <w:r w:rsidDel="00000000" w:rsidR="00000000" w:rsidRPr="00000000">
        <w:rPr>
          <w:rFonts w:ascii="Arial" w:cs="Arial" w:eastAsia="Arial" w:hAnsi="Arial"/>
          <w:rtl w:val="0"/>
        </w:rPr>
        <w:t xml:space="preserve">, 16(1), pp.41–55.</w:t>
      </w:r>
    </w:p>
    <w:p w:rsidR="00000000" w:rsidDel="00000000" w:rsidP="00000000" w:rsidRDefault="00000000" w:rsidRPr="00000000" w14:paraId="00000059">
      <w:pPr>
        <w:spacing w:after="240" w:before="240" w:lineRule="auto"/>
        <w:rPr>
          <w:rFonts w:ascii="Arial" w:cs="Arial" w:eastAsia="Arial" w:hAnsi="Arial"/>
        </w:rPr>
      </w:pPr>
      <w:r w:rsidDel="00000000" w:rsidR="00000000" w:rsidRPr="00000000">
        <w:rPr>
          <w:rFonts w:ascii="Arial" w:cs="Arial" w:eastAsia="Arial" w:hAnsi="Arial"/>
          <w:rtl w:val="0"/>
        </w:rPr>
        <w:t xml:space="preserve">Welsh Government, 2023. </w:t>
      </w:r>
      <w:r w:rsidDel="00000000" w:rsidR="00000000" w:rsidRPr="00000000">
        <w:rPr>
          <w:rFonts w:ascii="Arial" w:cs="Arial" w:eastAsia="Arial" w:hAnsi="Arial"/>
          <w:i w:val="1"/>
          <w:rtl w:val="0"/>
        </w:rPr>
        <w:t xml:space="preserve">Community Focused Schools</w:t>
      </w:r>
      <w:r w:rsidDel="00000000" w:rsidR="00000000" w:rsidRPr="00000000">
        <w:rPr>
          <w:rFonts w:ascii="Arial" w:cs="Arial" w:eastAsia="Arial" w:hAnsi="Arial"/>
          <w:rtl w:val="0"/>
        </w:rPr>
        <w:t xml:space="preserve">. Available at:</w:t>
      </w:r>
      <w:hyperlink r:id="rId13">
        <w:r w:rsidDel="00000000" w:rsidR="00000000" w:rsidRPr="00000000">
          <w:rPr>
            <w:rFonts w:ascii="Arial" w:cs="Arial" w:eastAsia="Arial" w:hAnsi="Arial"/>
            <w:rtl w:val="0"/>
          </w:rPr>
          <w:t xml:space="preserve"> </w:t>
        </w:r>
      </w:hyperlink>
      <w:hyperlink r:id="rId14">
        <w:r w:rsidDel="00000000" w:rsidR="00000000" w:rsidRPr="00000000">
          <w:rPr>
            <w:rFonts w:ascii="Arial" w:cs="Arial" w:eastAsia="Arial" w:hAnsi="Arial"/>
            <w:color w:val="1155cc"/>
            <w:u w:val="single"/>
            <w:rtl w:val="0"/>
          </w:rPr>
          <w:t xml:space="preserve">https://www.gov.wales/community-focused-schools-html</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A">
      <w:pPr>
        <w:spacing w:after="240" w:before="240" w:lineRule="auto"/>
        <w:rPr>
          <w:rFonts w:ascii="Arial" w:cs="Arial" w:eastAsia="Arial" w:hAnsi="Arial"/>
        </w:rPr>
      </w:pPr>
      <w:r w:rsidDel="00000000" w:rsidR="00000000" w:rsidRPr="00000000">
        <w:rPr>
          <w:rFonts w:ascii="Arial" w:cs="Arial" w:eastAsia="Arial" w:hAnsi="Arial"/>
          <w:rtl w:val="0"/>
        </w:rPr>
        <w:t xml:space="preserve">Welsh Government, 2023. </w:t>
      </w:r>
      <w:r w:rsidDel="00000000" w:rsidR="00000000" w:rsidRPr="00000000">
        <w:rPr>
          <w:rFonts w:ascii="Arial" w:cs="Arial" w:eastAsia="Arial" w:hAnsi="Arial"/>
          <w:i w:val="1"/>
          <w:rtl w:val="0"/>
        </w:rPr>
        <w:t xml:space="preserve">Improving School Attendance: Children’s Rights Impact Assessment</w:t>
      </w:r>
      <w:r w:rsidDel="00000000" w:rsidR="00000000" w:rsidRPr="00000000">
        <w:rPr>
          <w:rFonts w:ascii="Arial" w:cs="Arial" w:eastAsia="Arial" w:hAnsi="Arial"/>
          <w:rtl w:val="0"/>
        </w:rPr>
        <w:t xml:space="preserve">. Available at:</w:t>
      </w:r>
      <w:hyperlink r:id="rId15">
        <w:r w:rsidDel="00000000" w:rsidR="00000000" w:rsidRPr="00000000">
          <w:rPr>
            <w:rFonts w:ascii="Arial" w:cs="Arial" w:eastAsia="Arial" w:hAnsi="Arial"/>
            <w:rtl w:val="0"/>
          </w:rPr>
          <w:t xml:space="preserve"> </w:t>
        </w:r>
      </w:hyperlink>
      <w:hyperlink r:id="rId16">
        <w:r w:rsidDel="00000000" w:rsidR="00000000" w:rsidRPr="00000000">
          <w:rPr>
            <w:rFonts w:ascii="Arial" w:cs="Arial" w:eastAsia="Arial" w:hAnsi="Arial"/>
            <w:color w:val="1155cc"/>
            <w:u w:val="single"/>
            <w:rtl w:val="0"/>
          </w:rPr>
          <w:t xml:space="preserve">https://www.gov.wales/sites/default/files/publications/2023-10/improving-school-attendance-childrens-rights-impact-assessment_0.pdf</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B">
      <w:pPr>
        <w:spacing w:after="240" w:before="240" w:lineRule="auto"/>
        <w:rPr>
          <w:rFonts w:ascii="Arial" w:cs="Arial" w:eastAsia="Arial" w:hAnsi="Arial"/>
        </w:rPr>
      </w:pPr>
      <w:r w:rsidDel="00000000" w:rsidR="00000000" w:rsidRPr="00000000">
        <w:rPr>
          <w:rFonts w:ascii="Arial" w:cs="Arial" w:eastAsia="Arial" w:hAnsi="Arial"/>
          <w:rtl w:val="0"/>
        </w:rPr>
        <w:t xml:space="preserve">Welsh Government, 2024a. </w:t>
      </w:r>
      <w:r w:rsidDel="00000000" w:rsidR="00000000" w:rsidRPr="00000000">
        <w:rPr>
          <w:rFonts w:ascii="Arial" w:cs="Arial" w:eastAsia="Arial" w:hAnsi="Arial"/>
          <w:i w:val="1"/>
          <w:rtl w:val="0"/>
        </w:rPr>
        <w:t xml:space="preserve">Annex 2: Community Focused Schools – Summary</w:t>
      </w:r>
      <w:r w:rsidDel="00000000" w:rsidR="00000000" w:rsidRPr="00000000">
        <w:rPr>
          <w:rFonts w:ascii="Arial" w:cs="Arial" w:eastAsia="Arial" w:hAnsi="Arial"/>
          <w:rtl w:val="0"/>
        </w:rPr>
        <w:t xml:space="preserve">. Available at:</w:t>
      </w:r>
      <w:hyperlink r:id="rId17">
        <w:r w:rsidDel="00000000" w:rsidR="00000000" w:rsidRPr="00000000">
          <w:rPr>
            <w:rFonts w:ascii="Arial" w:cs="Arial" w:eastAsia="Arial" w:hAnsi="Arial"/>
            <w:rtl w:val="0"/>
          </w:rPr>
          <w:t xml:space="preserve"> </w:t>
        </w:r>
      </w:hyperlink>
      <w:hyperlink r:id="rId18">
        <w:r w:rsidDel="00000000" w:rsidR="00000000" w:rsidRPr="00000000">
          <w:rPr>
            <w:rFonts w:ascii="Arial" w:cs="Arial" w:eastAsia="Arial" w:hAnsi="Arial"/>
            <w:color w:val="1155cc"/>
            <w:u w:val="single"/>
            <w:rtl w:val="0"/>
          </w:rPr>
          <w:t xml:space="preserve">https://www.gov.wales/annex-2-community-focused-schools-summary-html</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C">
      <w:pPr>
        <w:spacing w:after="240" w:before="240" w:lineRule="auto"/>
        <w:rPr>
          <w:rFonts w:ascii="Arial" w:cs="Arial" w:eastAsia="Arial" w:hAnsi="Arial"/>
        </w:rPr>
      </w:pPr>
      <w:r w:rsidDel="00000000" w:rsidR="00000000" w:rsidRPr="00000000">
        <w:rPr>
          <w:rFonts w:ascii="Arial" w:cs="Arial" w:eastAsia="Arial" w:hAnsi="Arial"/>
          <w:rtl w:val="0"/>
        </w:rPr>
        <w:t xml:space="preserve">Welsh Government, 2024b. </w:t>
      </w:r>
      <w:r w:rsidDel="00000000" w:rsidR="00000000" w:rsidRPr="00000000">
        <w:rPr>
          <w:rFonts w:ascii="Arial" w:cs="Arial" w:eastAsia="Arial" w:hAnsi="Arial"/>
          <w:i w:val="1"/>
          <w:rtl w:val="0"/>
        </w:rPr>
        <w:t xml:space="preserve">Control and Community Use of School Premises</w:t>
      </w:r>
      <w:r w:rsidDel="00000000" w:rsidR="00000000" w:rsidRPr="00000000">
        <w:rPr>
          <w:rFonts w:ascii="Arial" w:cs="Arial" w:eastAsia="Arial" w:hAnsi="Arial"/>
          <w:rtl w:val="0"/>
        </w:rPr>
        <w:t xml:space="preserve">. Available at:</w:t>
      </w:r>
      <w:hyperlink r:id="rId19">
        <w:r w:rsidDel="00000000" w:rsidR="00000000" w:rsidRPr="00000000">
          <w:rPr>
            <w:rFonts w:ascii="Arial" w:cs="Arial" w:eastAsia="Arial" w:hAnsi="Arial"/>
            <w:rtl w:val="0"/>
          </w:rPr>
          <w:t xml:space="preserve"> </w:t>
        </w:r>
      </w:hyperlink>
      <w:hyperlink r:id="rId20">
        <w:r w:rsidDel="00000000" w:rsidR="00000000" w:rsidRPr="00000000">
          <w:rPr>
            <w:rFonts w:ascii="Arial" w:cs="Arial" w:eastAsia="Arial" w:hAnsi="Arial"/>
            <w:color w:val="1155cc"/>
            <w:u w:val="single"/>
            <w:rtl w:val="0"/>
          </w:rPr>
          <w:t xml:space="preserve">https://www.gov.wales/sites/default/files/publications/2024-06/a26-control-and-community-use-of-school-premises.pdf</w:t>
        </w:r>
      </w:hyperlink>
      <w:r w:rsidDel="00000000" w:rsidR="00000000" w:rsidRPr="00000000">
        <w:rPr>
          <w:rFonts w:ascii="Arial" w:cs="Arial" w:eastAsia="Arial" w:hAnsi="Arial"/>
          <w:rtl w:val="0"/>
        </w:rPr>
        <w:t xml:space="preserve"> [Accessed 5 May 2025].</w:t>
      </w:r>
    </w:p>
    <w:p w:rsidR="00000000" w:rsidDel="00000000" w:rsidP="00000000" w:rsidRDefault="00000000" w:rsidRPr="00000000" w14:paraId="0000005D">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tl w:val="0"/>
        </w:rPr>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rtl w:val="0"/>
        </w:rPr>
        <w:t xml:space="preserve">Appendix</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SWOT Analysis</w:t>
      </w:r>
      <w:r w:rsidDel="00000000" w:rsidR="00000000" w:rsidRPr="00000000">
        <w:rPr>
          <w:rtl w:val="0"/>
        </w:rPr>
      </w:r>
    </w:p>
    <w:tbl>
      <w:tblPr>
        <w:tblStyle w:val="Table2"/>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35"/>
        <w:gridCol w:w="3675"/>
        <w:gridCol w:w="3390"/>
        <w:tblGridChange w:id="0">
          <w:tblGrid>
            <w:gridCol w:w="1935"/>
            <w:gridCol w:w="3675"/>
            <w:gridCol w:w="339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HELPFUL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HARMFUL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INTERNAL </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(within the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Strengths</w:t>
            </w:r>
          </w:p>
          <w:p w:rsidR="00000000" w:rsidDel="00000000" w:rsidP="00000000" w:rsidRDefault="00000000" w:rsidRPr="00000000" w14:paraId="0000006B">
            <w:pPr>
              <w:spacing w:after="0" w:lin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 Staff expertise</w:t>
            </w:r>
          </w:p>
          <w:p w:rsidR="00000000" w:rsidDel="00000000" w:rsidP="00000000" w:rsidRDefault="00000000" w:rsidRPr="00000000" w14:paraId="0000006C">
            <w:pPr>
              <w:spacing w:after="0" w:lin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2. Engaged pupils</w:t>
            </w:r>
          </w:p>
          <w:p w:rsidR="00000000" w:rsidDel="00000000" w:rsidP="00000000" w:rsidRDefault="00000000" w:rsidRPr="00000000" w14:paraId="0000006D">
            <w:pPr>
              <w:spacing w:after="0" w:lin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 Inclusive approach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Weaknesses</w:t>
            </w:r>
          </w:p>
          <w:p w:rsidR="00000000" w:rsidDel="00000000" w:rsidP="00000000" w:rsidRDefault="00000000" w:rsidRPr="00000000" w14:paraId="0000006F">
            <w:pPr>
              <w:widowControl w:val="0"/>
              <w:spacing w:after="0" w:lin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 Staffing Constraints</w:t>
            </w:r>
            <w:r w:rsidDel="00000000" w:rsidR="00000000" w:rsidRPr="00000000">
              <w:rPr>
                <w:rtl w:val="0"/>
              </w:rPr>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2. </w:t>
            </w:r>
            <w:r w:rsidDel="00000000" w:rsidR="00000000" w:rsidRPr="00000000">
              <w:rPr>
                <w:rFonts w:ascii="Calibri" w:cs="Calibri" w:eastAsia="Calibri" w:hAnsi="Calibri"/>
                <w:sz w:val="22"/>
                <w:szCs w:val="22"/>
                <w:rtl w:val="0"/>
              </w:rPr>
              <w:t xml:space="preserve">Time Commitments</w:t>
            </w:r>
            <w:r w:rsidDel="00000000" w:rsidR="00000000" w:rsidRPr="00000000">
              <w:rPr>
                <w:rtl w:val="0"/>
              </w:rPr>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 </w:t>
            </w:r>
            <w:r w:rsidDel="00000000" w:rsidR="00000000" w:rsidRPr="00000000">
              <w:rPr>
                <w:rFonts w:ascii="Calibri" w:cs="Calibri" w:eastAsia="Calibri" w:hAnsi="Calibri"/>
                <w:sz w:val="22"/>
                <w:szCs w:val="22"/>
                <w:rtl w:val="0"/>
              </w:rPr>
              <w:t xml:space="preserve">Risk of Limited Pupil Motivation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EXTERNAL</w:t>
              <w:br w:type="textWrapping"/>
              <w:t xml:space="preserve">(outside the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Opportunities</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 </w:t>
            </w:r>
            <w:r w:rsidDel="00000000" w:rsidR="00000000" w:rsidRPr="00000000">
              <w:rPr>
                <w:rFonts w:ascii="Calibri" w:cs="Calibri" w:eastAsia="Calibri" w:hAnsi="Calibri"/>
                <w:sz w:val="22"/>
                <w:szCs w:val="22"/>
                <w:rtl w:val="0"/>
              </w:rPr>
              <w:t xml:space="preserve">Strengthening School-Community Relations</w:t>
            </w:r>
            <w:r w:rsidDel="00000000" w:rsidR="00000000" w:rsidRPr="00000000">
              <w:rPr>
                <w:rtl w:val="0"/>
              </w:rPr>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2.</w:t>
            </w:r>
            <w:r w:rsidDel="00000000" w:rsidR="00000000" w:rsidRPr="00000000">
              <w:rPr>
                <w:rFonts w:ascii="Calibri" w:cs="Calibri" w:eastAsia="Calibri" w:hAnsi="Calibri"/>
                <w:sz w:val="22"/>
                <w:szCs w:val="22"/>
                <w:rtl w:val="0"/>
              </w:rPr>
              <w:t xml:space="preserve"> Parental Engagement</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 </w:t>
            </w:r>
            <w:r w:rsidDel="00000000" w:rsidR="00000000" w:rsidRPr="00000000">
              <w:rPr>
                <w:rFonts w:ascii="Calibri" w:cs="Calibri" w:eastAsia="Calibri" w:hAnsi="Calibri"/>
                <w:sz w:val="22"/>
                <w:szCs w:val="22"/>
                <w:rtl w:val="0"/>
              </w:rPr>
              <w:t xml:space="preserve">Alignment with Government Priorities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Threats</w:t>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 </w:t>
            </w:r>
            <w:r w:rsidDel="00000000" w:rsidR="00000000" w:rsidRPr="00000000">
              <w:rPr>
                <w:rFonts w:ascii="Calibri" w:cs="Calibri" w:eastAsia="Calibri" w:hAnsi="Calibri"/>
                <w:sz w:val="22"/>
                <w:szCs w:val="22"/>
                <w:rtl w:val="0"/>
              </w:rPr>
              <w:t xml:space="preserve">Funding Challenges</w:t>
            </w:r>
            <w:r w:rsidDel="00000000" w:rsidR="00000000" w:rsidRPr="00000000">
              <w:rPr>
                <w:rtl w:val="0"/>
              </w:rPr>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2. </w:t>
            </w:r>
            <w:r w:rsidDel="00000000" w:rsidR="00000000" w:rsidRPr="00000000">
              <w:rPr>
                <w:rFonts w:ascii="Calibri" w:cs="Calibri" w:eastAsia="Calibri" w:hAnsi="Calibri"/>
                <w:sz w:val="22"/>
                <w:szCs w:val="22"/>
                <w:rtl w:val="0"/>
              </w:rPr>
              <w:t xml:space="preserve">Deprivation and Socioeconomic Barriers</w:t>
            </w:r>
            <w:r w:rsidDel="00000000" w:rsidR="00000000" w:rsidRPr="00000000">
              <w:rPr>
                <w:rtl w:val="0"/>
              </w:rPr>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w:t>
            </w:r>
            <w:r w:rsidDel="00000000" w:rsidR="00000000" w:rsidRPr="00000000">
              <w:rPr>
                <w:rFonts w:ascii="Calibri" w:cs="Calibri" w:eastAsia="Calibri" w:hAnsi="Calibri"/>
                <w:sz w:val="22"/>
                <w:szCs w:val="22"/>
                <w:rtl w:val="0"/>
              </w:rPr>
              <w:t xml:space="preserve"> Lack of Long-term Engagement</w:t>
            </w:r>
            <w:r w:rsidDel="00000000" w:rsidR="00000000" w:rsidRPr="00000000">
              <w:rPr>
                <w:rtl w:val="0"/>
              </w:rPr>
            </w:r>
          </w:p>
        </w:tc>
      </w:tr>
    </w:tbl>
    <w:p w:rsidR="00000000" w:rsidDel="00000000" w:rsidP="00000000" w:rsidRDefault="00000000" w:rsidRPr="00000000" w14:paraId="0000007B">
      <w:pPr>
        <w:spacing w:line="259" w:lineRule="auto"/>
        <w:rPr>
          <w:rFonts w:ascii="Calibri" w:cs="Calibri" w:eastAsia="Calibri" w:hAnsi="Calibri"/>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ov.wales/sites/default/files/publications/2024-06/a26-control-and-community-use-of-school-premises.pdf" TargetMode="External"/><Relationship Id="rId11" Type="http://schemas.openxmlformats.org/officeDocument/2006/relationships/hyperlink" Target="https://www.oed.com/dictionary/community_n" TargetMode="External"/><Relationship Id="rId10" Type="http://schemas.openxmlformats.org/officeDocument/2006/relationships/hyperlink" Target="https://www.gov.uk/government/publications/education-recovery-in-schools-autumn-2021" TargetMode="External"/><Relationship Id="rId13" Type="http://schemas.openxmlformats.org/officeDocument/2006/relationships/hyperlink" Target="https://www.gov.wales/community-focused-schools-html" TargetMode="External"/><Relationship Id="rId12" Type="http://schemas.openxmlformats.org/officeDocument/2006/relationships/hyperlink" Target="https://www.oed.com/dictionary/community_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styn.gov.wales" TargetMode="External"/><Relationship Id="rId15" Type="http://schemas.openxmlformats.org/officeDocument/2006/relationships/hyperlink" Target="https://www.gov.wales/sites/default/files/publications/2023-10/improving-school-attendance-childrens-rights-impact-assessment_0.pdf" TargetMode="External"/><Relationship Id="rId14" Type="http://schemas.openxmlformats.org/officeDocument/2006/relationships/hyperlink" Target="https://www.gov.wales/community-focused-schools-html" TargetMode="External"/><Relationship Id="rId17" Type="http://schemas.openxmlformats.org/officeDocument/2006/relationships/hyperlink" Target="https://www.gov.wales/annex-2-community-focused-schools-summary-html" TargetMode="External"/><Relationship Id="rId16" Type="http://schemas.openxmlformats.org/officeDocument/2006/relationships/hyperlink" Target="https://www.gov.wales/sites/default/files/publications/2023-10/improving-school-attendance-childrens-rights-impact-assessment_0.pdf" TargetMode="External"/><Relationship Id="rId5" Type="http://schemas.openxmlformats.org/officeDocument/2006/relationships/styles" Target="styles.xml"/><Relationship Id="rId19" Type="http://schemas.openxmlformats.org/officeDocument/2006/relationships/hyperlink" Target="https://www.gov.wales/sites/default/files/publications/2024-06/a26-control-and-community-use-of-school-premises.pdf" TargetMode="External"/><Relationship Id="rId6" Type="http://schemas.openxmlformats.org/officeDocument/2006/relationships/image" Target="media/image1.png"/><Relationship Id="rId18" Type="http://schemas.openxmlformats.org/officeDocument/2006/relationships/hyperlink" Target="https://www.gov.wales/annex-2-community-focused-schools-summary-html" TargetMode="External"/><Relationship Id="rId7" Type="http://schemas.openxmlformats.org/officeDocument/2006/relationships/hyperlink" Target="https://chatgpt.com/" TargetMode="External"/><Relationship Id="rId8" Type="http://schemas.openxmlformats.org/officeDocument/2006/relationships/hyperlink" Target="https://www.estyn.gov.wal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