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0368A6" w14:textId="5D8A5D33" w:rsidR="00FA0549" w:rsidRPr="00FA0549" w:rsidRDefault="00FA0549" w:rsidP="003F1A0B">
      <w:pPr>
        <w:spacing w:line="480" w:lineRule="auto"/>
        <w:rPr>
          <w:rFonts w:cstheme="minorHAnsi"/>
          <w:b/>
        </w:rPr>
      </w:pPr>
      <w:r>
        <w:rPr>
          <w:rFonts w:cstheme="minorHAnsi"/>
          <w:b/>
        </w:rPr>
        <w:t xml:space="preserve">In what senses might </w:t>
      </w:r>
      <w:r>
        <w:rPr>
          <w:rFonts w:cstheme="minorHAnsi"/>
          <w:b/>
          <w:i/>
        </w:rPr>
        <w:t>The Battle of Maldon</w:t>
      </w:r>
      <w:r>
        <w:rPr>
          <w:rFonts w:cstheme="minorHAnsi"/>
          <w:b/>
        </w:rPr>
        <w:t xml:space="preserve"> be described as more ‘literary’ than ‘documentary’?</w:t>
      </w:r>
    </w:p>
    <w:p w14:paraId="310F6A03" w14:textId="77777777" w:rsidR="00DC4F83" w:rsidRPr="00FA0549" w:rsidRDefault="00DC4F83" w:rsidP="00FA0549">
      <w:pPr>
        <w:pStyle w:val="List"/>
        <w:rPr>
          <w:rFonts w:asciiTheme="minorHAnsi" w:hAnsiTheme="minorHAnsi" w:cstheme="minorHAnsi"/>
          <w:lang w:val="en-GB"/>
        </w:rPr>
      </w:pPr>
    </w:p>
    <w:p w14:paraId="237E9ED6" w14:textId="5833B6B4" w:rsidR="00DC4F83" w:rsidRPr="00FA0549" w:rsidRDefault="007A3AE2" w:rsidP="003F1A0B">
      <w:pPr>
        <w:spacing w:line="480" w:lineRule="auto"/>
        <w:rPr>
          <w:rFonts w:cstheme="minorHAnsi"/>
        </w:rPr>
      </w:pPr>
      <w:commentRangeStart w:id="0"/>
      <w:r w:rsidRPr="00FA0549">
        <w:rPr>
          <w:rFonts w:cstheme="minorHAnsi"/>
          <w:i/>
        </w:rPr>
        <w:t>The Battle of Maldon</w:t>
      </w:r>
      <w:r w:rsidRPr="00FA0549">
        <w:rPr>
          <w:rFonts w:cstheme="minorHAnsi"/>
        </w:rPr>
        <w:t xml:space="preserve"> is a poem in the epic tradition. Comparable to other great works from the contemporary </w:t>
      </w:r>
      <w:r w:rsidRPr="00FA0549">
        <w:rPr>
          <w:rFonts w:cstheme="minorHAnsi"/>
          <w:i/>
        </w:rPr>
        <w:t xml:space="preserve">Beowulf </w:t>
      </w:r>
      <w:r w:rsidRPr="00FA0549">
        <w:rPr>
          <w:rFonts w:cstheme="minorHAnsi"/>
        </w:rPr>
        <w:t xml:space="preserve">and even to the </w:t>
      </w:r>
      <w:r w:rsidRPr="00FA0549">
        <w:rPr>
          <w:rFonts w:cstheme="minorHAnsi"/>
          <w:i/>
        </w:rPr>
        <w:t>Illiad,</w:t>
      </w:r>
      <w:r w:rsidRPr="00FA0549">
        <w:rPr>
          <w:rFonts w:cstheme="minorHAnsi"/>
        </w:rPr>
        <w:t xml:space="preserve"> it features many aspects common to similar works. Yet the piece also has other elements that set it apart: it is a mythologization of a historical event. As will be discussed, the story the poem tells was definitely of political importance to the Anglo-Saxons. Although probably a skirmish in terms of scale, the aftermath began a precedent of “paying off” the </w:t>
      </w:r>
      <w:r w:rsidR="004C53A6" w:rsidRPr="00FA0549">
        <w:rPr>
          <w:rFonts w:cstheme="minorHAnsi"/>
        </w:rPr>
        <w:t>Scandinavian</w:t>
      </w:r>
      <w:r w:rsidRPr="00FA0549">
        <w:rPr>
          <w:rFonts w:cstheme="minorHAnsi"/>
        </w:rPr>
        <w:t xml:space="preserve"> invaders. This was, undoubtedly not a h</w:t>
      </w:r>
      <w:r w:rsidR="00FA0549" w:rsidRPr="00FA0549">
        <w:rPr>
          <w:rFonts w:cstheme="minorHAnsi"/>
        </w:rPr>
        <w:t>igh-point in Anglo-Saxon morale</w:t>
      </w:r>
      <w:r w:rsidRPr="00FA0549">
        <w:rPr>
          <w:rFonts w:cstheme="minorHAnsi"/>
        </w:rPr>
        <w:t>.</w:t>
      </w:r>
      <w:r w:rsidR="00DC4F83" w:rsidRPr="00FA0549">
        <w:rPr>
          <w:rFonts w:cstheme="minorHAnsi"/>
        </w:rPr>
        <w:t xml:space="preserve"> A heroic poem such as </w:t>
      </w:r>
      <w:r w:rsidR="00DC4F83" w:rsidRPr="00FA0549">
        <w:rPr>
          <w:rFonts w:cstheme="minorHAnsi"/>
          <w:i/>
        </w:rPr>
        <w:t xml:space="preserve">The Battle of Maldon </w:t>
      </w:r>
      <w:r w:rsidR="00DC4F83" w:rsidRPr="00FA0549">
        <w:rPr>
          <w:rFonts w:cstheme="minorHAnsi"/>
        </w:rPr>
        <w:t>has a dual purpose: it can be described as both ‘literary’ and ‘documentary.’</w:t>
      </w:r>
      <w:bookmarkStart w:id="1" w:name="_GoBack"/>
      <w:bookmarkEnd w:id="1"/>
    </w:p>
    <w:p w14:paraId="5C518100" w14:textId="5A5FAD10" w:rsidR="00DC4F83" w:rsidRPr="00FA0549" w:rsidRDefault="00DC4F83" w:rsidP="003F1A0B">
      <w:pPr>
        <w:spacing w:line="480" w:lineRule="auto"/>
        <w:rPr>
          <w:rFonts w:cstheme="minorHAnsi"/>
        </w:rPr>
      </w:pPr>
      <w:r w:rsidRPr="00FA0549">
        <w:rPr>
          <w:rFonts w:cstheme="minorHAnsi"/>
        </w:rPr>
        <w:t xml:space="preserve">In order to properly assess the nature of the work, it is valuable to consider the content of </w:t>
      </w:r>
      <w:r w:rsidRPr="00FA0549">
        <w:rPr>
          <w:rFonts w:cstheme="minorHAnsi"/>
          <w:i/>
        </w:rPr>
        <w:t xml:space="preserve">The Anglo-Saxon Chronicles, </w:t>
      </w:r>
      <w:r w:rsidRPr="00FA0549">
        <w:rPr>
          <w:rFonts w:cstheme="minorHAnsi"/>
        </w:rPr>
        <w:t xml:space="preserve">for it is possible to trace the events surrounding the Battle of Maldon by examining the it. Furthermore, it is interesting to note that in comparison with another battle which saw a </w:t>
      </w:r>
      <w:r w:rsidR="00FA0549" w:rsidRPr="00FA0549">
        <w:rPr>
          <w:rFonts w:cstheme="minorHAnsi"/>
        </w:rPr>
        <w:t xml:space="preserve">much greater amount of contemporary literary documentation, </w:t>
      </w:r>
      <w:r w:rsidR="00FA0549" w:rsidRPr="00FA0549">
        <w:rPr>
          <w:rFonts w:cstheme="minorHAnsi"/>
          <w:i/>
        </w:rPr>
        <w:t xml:space="preserve">The Battle of Brunanburh, </w:t>
      </w:r>
      <w:r w:rsidR="00FA0549" w:rsidRPr="00FA0549">
        <w:rPr>
          <w:rFonts w:cstheme="minorHAnsi"/>
        </w:rPr>
        <w:t>the Battle of Maldon appears to have been considered in an alternative way by the Anglo-Saxons themselves</w:t>
      </w:r>
      <w:r w:rsidR="00FA0549" w:rsidRPr="00FA0549">
        <w:rPr>
          <w:rFonts w:cstheme="minorHAnsi"/>
          <w:i/>
        </w:rPr>
        <w:t xml:space="preserve">. </w:t>
      </w:r>
      <w:r w:rsidR="00FA0549" w:rsidRPr="00FA0549">
        <w:rPr>
          <w:rFonts w:cstheme="minorHAnsi"/>
        </w:rPr>
        <w:t xml:space="preserve">The audience of Anglo-Saxon literature must also be considered: </w:t>
      </w:r>
      <w:r w:rsidR="00F32B98">
        <w:rPr>
          <w:rFonts w:cstheme="minorHAnsi"/>
        </w:rPr>
        <w:t xml:space="preserve">nascent </w:t>
      </w:r>
      <w:r w:rsidR="00FA0549" w:rsidRPr="00FA0549">
        <w:rPr>
          <w:rFonts w:cstheme="minorHAnsi"/>
        </w:rPr>
        <w:t>literacy in the British Isles was in a transitional stage, where the tradition of oratory was beginning to mingle with the tradition of literary tales.</w:t>
      </w:r>
    </w:p>
    <w:p w14:paraId="29176E26" w14:textId="6DD3ADB0" w:rsidR="00FA0549" w:rsidRDefault="00FA0549" w:rsidP="00FA0549">
      <w:pPr>
        <w:spacing w:line="480" w:lineRule="auto"/>
        <w:rPr>
          <w:rFonts w:cstheme="minorHAnsi"/>
        </w:rPr>
      </w:pPr>
      <w:r w:rsidRPr="00FA0549">
        <w:rPr>
          <w:rFonts w:cstheme="minorHAnsi"/>
        </w:rPr>
        <w:t xml:space="preserve">The manuscript of </w:t>
      </w:r>
      <w:r w:rsidRPr="00FA0549">
        <w:rPr>
          <w:rFonts w:cstheme="minorHAnsi"/>
          <w:i/>
        </w:rPr>
        <w:t xml:space="preserve">The Battle of Maldon </w:t>
      </w:r>
      <w:r w:rsidRPr="00FA0549">
        <w:rPr>
          <w:rFonts w:cstheme="minorHAnsi"/>
        </w:rPr>
        <w:t>is a potentially troubling document for several reasons. First, the surviving version is itself a 1700’s copy, raising questions as to the accuracy of the version – not necessarily due to the age of the copy, but for the fact that the original does not survive. Due to fire, the surviving version is fragmentary. It is missing both beginning and ending. Much can be surmised from the surviving elements of the poem</w:t>
      </w:r>
      <w:r>
        <w:rPr>
          <w:rFonts w:cstheme="minorHAnsi"/>
        </w:rPr>
        <w:t>, however.</w:t>
      </w:r>
      <w:commentRangeEnd w:id="0"/>
      <w:r w:rsidR="00BA02AF">
        <w:rPr>
          <w:rStyle w:val="CommentReference"/>
        </w:rPr>
        <w:commentReference w:id="0"/>
      </w:r>
    </w:p>
    <w:p w14:paraId="2ABBC7AE" w14:textId="2CAF9036" w:rsidR="00FA0549" w:rsidRPr="00FA0549" w:rsidRDefault="00FA0549" w:rsidP="00FA0549">
      <w:pPr>
        <w:spacing w:line="480" w:lineRule="auto"/>
        <w:rPr>
          <w:rFonts w:cstheme="minorHAnsi"/>
        </w:rPr>
      </w:pPr>
      <w:commentRangeStart w:id="2"/>
      <w:r>
        <w:rPr>
          <w:rFonts w:cstheme="minorHAnsi"/>
        </w:rPr>
        <w:t>The e</w:t>
      </w:r>
      <w:r w:rsidRPr="00FA0549">
        <w:rPr>
          <w:rFonts w:cstheme="minorHAnsi"/>
        </w:rPr>
        <w:t xml:space="preserve">arly lines of the surviving fragment consider the preparations immediately preceding the battle. Here it is interesting to note that the named characters can be assumed to be huscarls, or </w:t>
      </w:r>
      <w:r w:rsidRPr="00FA0549">
        <w:rPr>
          <w:rFonts w:cstheme="minorHAnsi"/>
        </w:rPr>
        <w:lastRenderedPageBreak/>
        <w:t xml:space="preserve">other warriors of note, whilst everyone else are merely fyrd or foe. Despite this, the poem conveys a sense of great numbers. </w:t>
      </w:r>
    </w:p>
    <w:p w14:paraId="00E81CC8" w14:textId="411F6983" w:rsidR="00FA0549" w:rsidRDefault="00FA0549" w:rsidP="00FA0549">
      <w:pPr>
        <w:spacing w:line="480" w:lineRule="auto"/>
        <w:rPr>
          <w:rFonts w:cstheme="minorHAnsi"/>
        </w:rPr>
      </w:pPr>
      <w:r w:rsidRPr="00FA0549">
        <w:rPr>
          <w:rFonts w:cstheme="minorHAnsi"/>
        </w:rPr>
        <w:t>The fyrd described in the poem refers to armed militia and levies of troops, mainly required only to carry a spear and a shield into battle, forming a wall of shields. In discussing them, the poem seems to make excuses for them from the outset – these are not warriors by birth or calling, but warriors of necessity and circumstance. It is implied that they have little training, for in lines 17-25, Byrhtnoth “taught the soldiers where to stand and maintain the position and urged them that they should hold their shields properly…”</w:t>
      </w:r>
      <w:r w:rsidRPr="00FA0549">
        <w:rPr>
          <w:rStyle w:val="FootnoteReference"/>
          <w:rFonts w:cstheme="minorHAnsi"/>
        </w:rPr>
        <w:footnoteReference w:id="1"/>
      </w:r>
      <w:r w:rsidRPr="00FA0549">
        <w:rPr>
          <w:rFonts w:cstheme="minorHAnsi"/>
        </w:rPr>
        <w:t xml:space="preserve"> It is evident, indeed, explicit from the poem that the retainers of Bryhtnoth were the Anglo-Saxons to be fully relied upon in battle. Lines 109 to 121 are important for pointing this out. By “choosing death”</w:t>
      </w:r>
      <w:r w:rsidRPr="00FA0549">
        <w:rPr>
          <w:rStyle w:val="FootnoteReference"/>
          <w:rFonts w:cstheme="minorHAnsi"/>
        </w:rPr>
        <w:footnoteReference w:id="2"/>
      </w:r>
      <w:r w:rsidRPr="00FA0549">
        <w:rPr>
          <w:rFonts w:cstheme="minorHAnsi"/>
        </w:rPr>
        <w:t xml:space="preserve"> named warriors are shown to have made an active choice to die, not be mere victims of circumstance. </w:t>
      </w:r>
    </w:p>
    <w:p w14:paraId="1D20E6D5" w14:textId="5677C45C" w:rsidR="00BA02AF" w:rsidRDefault="00BA02AF" w:rsidP="00BA02AF">
      <w:pPr>
        <w:spacing w:line="480" w:lineRule="auto"/>
        <w:rPr>
          <w:rFonts w:cstheme="minorHAnsi"/>
        </w:rPr>
      </w:pPr>
      <w:r w:rsidRPr="00FA0549">
        <w:rPr>
          <w:rFonts w:cstheme="minorHAnsi"/>
        </w:rPr>
        <w:t>The Battle of Maldon is a useful tool for those wishing to gain some understanding of the Anglo-Saxons. By choosing to highlight some events of the battle, the poem points out facts about the nature of warfare in the 10</w:t>
      </w:r>
      <w:r w:rsidRPr="00FA0549">
        <w:rPr>
          <w:rFonts w:cstheme="minorHAnsi"/>
          <w:vertAlign w:val="superscript"/>
        </w:rPr>
        <w:t>th</w:t>
      </w:r>
      <w:r w:rsidRPr="00FA0549">
        <w:rPr>
          <w:rFonts w:cstheme="minorHAnsi"/>
        </w:rPr>
        <w:t xml:space="preserve"> century. In combination with other sources, these descriptive elements of the poem lend credence to other events. For instance, the Battle of Stamford Bridge is notable for featuring a similar element of stalemate as in the Battle of Maldon. In that battle, we are told that a small number of warriors are able to prevent the advance of an enemy force by holding position in an advantageous location. In the case of Stamford Bridge it is the aforementioned bridge, whilst it takes the shape of a causeway at the Battle of Maldon. The lesson of proper positioning on the battlefield is reinforced for the audience of the poem by admonishing those present for </w:t>
      </w:r>
      <w:commentRangeStart w:id="3"/>
      <w:r w:rsidRPr="00FA0549">
        <w:rPr>
          <w:rFonts w:cstheme="minorHAnsi"/>
        </w:rPr>
        <w:t>“giving too much ground.”</w:t>
      </w:r>
      <w:r w:rsidRPr="00FA0549">
        <w:rPr>
          <w:rStyle w:val="FootnoteReference"/>
          <w:rFonts w:cstheme="minorHAnsi"/>
        </w:rPr>
        <w:footnoteReference w:id="3"/>
      </w:r>
      <w:commentRangeEnd w:id="3"/>
      <w:r w:rsidRPr="00FA0549">
        <w:rPr>
          <w:rFonts w:cstheme="minorHAnsi"/>
        </w:rPr>
        <w:t xml:space="preserve"> It would seem that the style of warfare favoured by the Anglo-Saxons </w:t>
      </w:r>
      <w:r w:rsidRPr="00FA0549">
        <w:rPr>
          <w:rStyle w:val="CommentReference"/>
          <w:rFonts w:cstheme="minorHAnsi"/>
        </w:rPr>
        <w:commentReference w:id="3"/>
      </w:r>
      <w:r w:rsidRPr="00FA0549">
        <w:rPr>
          <w:rFonts w:cstheme="minorHAnsi"/>
        </w:rPr>
        <w:t xml:space="preserve">leant itself to defensive warfare. One area in which this is evident is the way in which the Anglo-Saxons use their horses: they are mentioned in numerous occasions in the text merely as conveyances to and from </w:t>
      </w:r>
      <w:r w:rsidRPr="00FA0549">
        <w:rPr>
          <w:rFonts w:cstheme="minorHAnsi"/>
        </w:rPr>
        <w:lastRenderedPageBreak/>
        <w:t>the battlefield. Indeed, when _</w:t>
      </w:r>
      <w:commentRangeStart w:id="4"/>
      <w:r w:rsidRPr="00FA0549">
        <w:rPr>
          <w:rFonts w:cstheme="minorHAnsi"/>
        </w:rPr>
        <w:t>__</w:t>
      </w:r>
      <w:commentRangeEnd w:id="4"/>
      <w:r w:rsidRPr="00FA0549">
        <w:rPr>
          <w:rStyle w:val="CommentReference"/>
          <w:rFonts w:cstheme="minorHAnsi"/>
        </w:rPr>
        <w:commentReference w:id="4"/>
      </w:r>
      <w:r w:rsidRPr="00FA0549">
        <w:rPr>
          <w:rFonts w:cstheme="minorHAnsi"/>
        </w:rPr>
        <w:t xml:space="preserve">_ mounts Byrhtnoth’s horse and takes flight toward the end of the poem, it causes many of the Anglo-Saxons to take flight. </w:t>
      </w:r>
      <w:commentRangeEnd w:id="2"/>
      <w:r>
        <w:rPr>
          <w:rStyle w:val="CommentReference"/>
        </w:rPr>
        <w:commentReference w:id="2"/>
      </w:r>
    </w:p>
    <w:p w14:paraId="3A8FE983" w14:textId="003BFE63" w:rsidR="00BA02AF" w:rsidRPr="00FA0549" w:rsidRDefault="00BA02AF" w:rsidP="00BA02AF">
      <w:pPr>
        <w:spacing w:line="480" w:lineRule="auto"/>
        <w:rPr>
          <w:rFonts w:cstheme="minorHAnsi"/>
        </w:rPr>
      </w:pPr>
      <w:commentRangeStart w:id="5"/>
      <w:r w:rsidRPr="00FA0549">
        <w:rPr>
          <w:rFonts w:cstheme="minorHAnsi"/>
          <w:i/>
        </w:rPr>
        <w:t>The Battle of Maldon</w:t>
      </w:r>
      <w:r w:rsidRPr="00FA0549">
        <w:rPr>
          <w:rFonts w:cstheme="minorHAnsi"/>
        </w:rPr>
        <w:t xml:space="preserve"> has more than a hint of propaganda to it, when viewed in context. Indeed, later medieval writings such as the </w:t>
      </w:r>
      <w:r w:rsidRPr="00FA0549">
        <w:rPr>
          <w:rFonts w:cstheme="minorHAnsi"/>
          <w:i/>
        </w:rPr>
        <w:t xml:space="preserve">Book of Ely </w:t>
      </w:r>
      <w:r w:rsidRPr="00FA0549">
        <w:rPr>
          <w:rFonts w:cstheme="minorHAnsi"/>
        </w:rPr>
        <w:t>in the 1170’s feature two battles at Maldon, with far greater struggle than the poem discussed here. Combined with claims of possessing the body of Byrtnoth and a tapestry depicting his deeds made by his widow, it appears akin to a martyr cult according to Bradley.</w:t>
      </w:r>
      <w:r w:rsidRPr="00FA0549">
        <w:rPr>
          <w:rStyle w:val="FootnoteReference"/>
          <w:rFonts w:cstheme="minorHAnsi"/>
        </w:rPr>
        <w:footnoteReference w:id="4"/>
      </w:r>
      <w:r w:rsidRPr="00FA0549">
        <w:rPr>
          <w:rFonts w:cstheme="minorHAnsi"/>
        </w:rPr>
        <w:t xml:space="preserve"> </w:t>
      </w:r>
      <w:commentRangeEnd w:id="5"/>
      <w:r>
        <w:rPr>
          <w:rStyle w:val="CommentReference"/>
        </w:rPr>
        <w:commentReference w:id="5"/>
      </w:r>
    </w:p>
    <w:p w14:paraId="1EB72FDF" w14:textId="761495A6" w:rsidR="00BA02AF" w:rsidRPr="00FA0549" w:rsidRDefault="00BA02AF" w:rsidP="00BA02AF">
      <w:pPr>
        <w:spacing w:line="480" w:lineRule="auto"/>
        <w:rPr>
          <w:rFonts w:cstheme="minorHAnsi"/>
        </w:rPr>
      </w:pPr>
      <w:r>
        <w:rPr>
          <w:rFonts w:cstheme="minorHAnsi"/>
        </w:rPr>
        <w:t>In a similar medieval propagandist’s tone, t</w:t>
      </w:r>
      <w:r w:rsidRPr="00FA0549">
        <w:rPr>
          <w:rFonts w:cstheme="minorHAnsi"/>
        </w:rPr>
        <w:t xml:space="preserve">he poem takes many opportunities to “other” the foe.  Numerous negative turns of phrase and descriptions are used in reference to the Viking invaders. This reinforces the propagandist’s tone in </w:t>
      </w:r>
      <w:r w:rsidRPr="00FA0549">
        <w:rPr>
          <w:rFonts w:cstheme="minorHAnsi"/>
          <w:i/>
        </w:rPr>
        <w:t>The Battle of Maldon</w:t>
      </w:r>
      <w:r w:rsidRPr="00FA0549">
        <w:rPr>
          <w:rFonts w:cstheme="minorHAnsi"/>
        </w:rPr>
        <w:t>. These othering phrases range from depictions of “swaggering” Vikings to reminders of the heathen nature of the invaders in examples such as can be found in line ____, to the “slaughterous wolves” of line 96.</w:t>
      </w:r>
    </w:p>
    <w:p w14:paraId="74B449B0" w14:textId="3173E75C" w:rsidR="00BA02AF" w:rsidRDefault="00BA02AF" w:rsidP="00BA02AF">
      <w:pPr>
        <w:spacing w:line="480" w:lineRule="auto"/>
        <w:rPr>
          <w:rFonts w:cstheme="minorHAnsi"/>
        </w:rPr>
      </w:pPr>
      <w:r w:rsidRPr="00FA0549">
        <w:rPr>
          <w:rFonts w:cstheme="minorHAnsi"/>
        </w:rPr>
        <w:t xml:space="preserve">This reinforcement of a simple polemic of universally positive Christianity and negative non-Christianity stands awkwardly next to the poem’s simultaneous reinforcement of warrior ideals. Indeed, it could be argued that </w:t>
      </w:r>
      <w:r w:rsidRPr="00FA0549">
        <w:rPr>
          <w:rFonts w:cstheme="minorHAnsi"/>
          <w:i/>
        </w:rPr>
        <w:t>The Battle of Maldon</w:t>
      </w:r>
      <w:r w:rsidRPr="00FA0549">
        <w:rPr>
          <w:rFonts w:cstheme="minorHAnsi"/>
        </w:rPr>
        <w:t xml:space="preserve">, when taken as part of a wider collection of Anglo-Saxon Literature points towards a proto-chivalric code of conduct for the warrior caste. In </w:t>
      </w:r>
      <w:r w:rsidRPr="00FA0549">
        <w:rPr>
          <w:rFonts w:cstheme="minorHAnsi"/>
          <w:i/>
        </w:rPr>
        <w:t>The Battle of Maldon</w:t>
      </w:r>
      <w:r w:rsidRPr="00FA0549">
        <w:rPr>
          <w:rFonts w:cstheme="minorHAnsi"/>
        </w:rPr>
        <w:t xml:space="preserve">, as in </w:t>
      </w:r>
      <w:r w:rsidRPr="00FA0549">
        <w:rPr>
          <w:rFonts w:cstheme="minorHAnsi"/>
          <w:i/>
        </w:rPr>
        <w:t>The Wanderer</w:t>
      </w:r>
      <w:r w:rsidRPr="00FA0549">
        <w:rPr>
          <w:rFonts w:cstheme="minorHAnsi"/>
        </w:rPr>
        <w:t xml:space="preserve"> or other pieces, the audience is reminded of their duties and responsibilities towards their feudal overlords – “ring givers” or “treasure givers.” Much as the warriors at the close of the fragmentary Maldon poem give up their lives to avenge the death of their lord Bryhtnoth, the narrative protagonist of </w:t>
      </w:r>
      <w:r w:rsidRPr="00FA0549">
        <w:rPr>
          <w:rFonts w:cstheme="minorHAnsi"/>
          <w:i/>
        </w:rPr>
        <w:t xml:space="preserve">The Wanderer </w:t>
      </w:r>
      <w:r w:rsidRPr="00FA0549">
        <w:rPr>
          <w:rFonts w:cstheme="minorHAnsi"/>
        </w:rPr>
        <w:t xml:space="preserve">laments the loss of his own. Indeed, the modern audience should be compelled to take care to remember the oral nature of Anglo-Saxon literature. They were predominantly written recordings of stories told orally, and therefore the target audience of the works were usually the politically active warrior members of society. This is evident in the nature of the descriptions of battle present within the poem. It indicates that the </w:t>
      </w:r>
      <w:r w:rsidRPr="00FA0549">
        <w:rPr>
          <w:rFonts w:cstheme="minorHAnsi"/>
        </w:rPr>
        <w:lastRenderedPageBreak/>
        <w:t>author had experience of war in the extremely detailed blow-by-blow depictions of combat, such as those found in lines 130-149.</w:t>
      </w:r>
    </w:p>
    <w:p w14:paraId="36C978F9" w14:textId="5C07438B" w:rsidR="00BA02AF" w:rsidRPr="00BA02AF" w:rsidRDefault="00BA02AF" w:rsidP="00BA02AF">
      <w:pPr>
        <w:spacing w:line="480" w:lineRule="auto"/>
        <w:rPr>
          <w:rFonts w:cstheme="minorHAnsi"/>
        </w:rPr>
      </w:pPr>
      <w:r>
        <w:rPr>
          <w:rFonts w:cstheme="minorHAnsi"/>
        </w:rPr>
        <w:t xml:space="preserve">To aid in the evaluation of the </w:t>
      </w:r>
      <w:r>
        <w:rPr>
          <w:rFonts w:cstheme="minorHAnsi"/>
          <w:i/>
        </w:rPr>
        <w:t>The Battle of Maldon’s</w:t>
      </w:r>
      <w:r>
        <w:rPr>
          <w:rFonts w:cstheme="minorHAnsi"/>
        </w:rPr>
        <w:t xml:space="preserve"> ‘literary’ or ‘documentary’ nature, it is important to compare the piece to contemporary manuscripts that were very clearly intended as document, such as </w:t>
      </w:r>
      <w:r>
        <w:rPr>
          <w:rFonts w:cstheme="minorHAnsi"/>
          <w:i/>
        </w:rPr>
        <w:t>The Anglo-Saxon Chronicles.</w:t>
      </w:r>
      <w:r>
        <w:rPr>
          <w:rFonts w:cstheme="minorHAnsi"/>
        </w:rPr>
        <w:t xml:space="preserve"> </w:t>
      </w:r>
    </w:p>
    <w:p w14:paraId="1FBC2268" w14:textId="653EF019" w:rsidR="007A3AE2" w:rsidRPr="00BA02AF" w:rsidRDefault="00BA02AF" w:rsidP="003F1A0B">
      <w:pPr>
        <w:spacing w:line="480" w:lineRule="auto"/>
        <w:rPr>
          <w:rFonts w:cstheme="minorHAnsi"/>
        </w:rPr>
      </w:pPr>
      <w:r>
        <w:rPr>
          <w:rFonts w:cstheme="minorHAnsi"/>
        </w:rPr>
        <w:t xml:space="preserve">Selected chronicle entries show that </w:t>
      </w:r>
      <w:r w:rsidR="00C4577D" w:rsidRPr="00FA0549">
        <w:rPr>
          <w:rFonts w:cstheme="minorHAnsi"/>
        </w:rPr>
        <w:t>Maldon had been a relatively important area before the battle, as a temporary camp for dealing with Danish Raids in 912 and by 916 a</w:t>
      </w:r>
      <w:r w:rsidR="00F84E4A" w:rsidRPr="00FA0549">
        <w:rPr>
          <w:rFonts w:cstheme="minorHAnsi"/>
        </w:rPr>
        <w:t>s a</w:t>
      </w:r>
      <w:r w:rsidR="00C4577D" w:rsidRPr="00FA0549">
        <w:rPr>
          <w:rFonts w:cstheme="minorHAnsi"/>
        </w:rPr>
        <w:t xml:space="preserve"> fortification.</w:t>
      </w:r>
      <w:r w:rsidR="00C4577D" w:rsidRPr="00FA0549">
        <w:rPr>
          <w:rStyle w:val="FootnoteReference"/>
          <w:rFonts w:cstheme="minorHAnsi"/>
        </w:rPr>
        <w:footnoteReference w:id="5"/>
      </w:r>
      <w:r>
        <w:rPr>
          <w:rFonts w:cstheme="minorHAnsi"/>
        </w:rPr>
        <w:t xml:space="preserve"> Furthermore, B</w:t>
      </w:r>
      <w:r w:rsidR="007A3AE2" w:rsidRPr="00FA0549">
        <w:rPr>
          <w:rFonts w:cstheme="minorHAnsi"/>
        </w:rPr>
        <w:t>rytnoth</w:t>
      </w:r>
      <w:r>
        <w:rPr>
          <w:rFonts w:cstheme="minorHAnsi"/>
        </w:rPr>
        <w:t xml:space="preserve"> himself</w:t>
      </w:r>
      <w:r w:rsidR="007A3AE2" w:rsidRPr="00FA0549">
        <w:rPr>
          <w:rFonts w:cstheme="minorHAnsi"/>
        </w:rPr>
        <w:t xml:space="preserve"> was mentioned in the </w:t>
      </w:r>
      <w:r w:rsidR="007A3AE2" w:rsidRPr="00FA0549">
        <w:rPr>
          <w:rFonts w:cstheme="minorHAnsi"/>
          <w:i/>
        </w:rPr>
        <w:t>Anglo-Saxon</w:t>
      </w:r>
      <w:r w:rsidR="007A3AE2" w:rsidRPr="00FA0549">
        <w:rPr>
          <w:rFonts w:cstheme="minorHAnsi"/>
        </w:rPr>
        <w:t xml:space="preserve"> </w:t>
      </w:r>
      <w:r w:rsidR="007A3AE2" w:rsidRPr="00FA0549">
        <w:rPr>
          <w:rFonts w:cstheme="minorHAnsi"/>
          <w:i/>
        </w:rPr>
        <w:t>Chronicles</w:t>
      </w:r>
      <w:r w:rsidR="007A3AE2" w:rsidRPr="00FA0549">
        <w:rPr>
          <w:rFonts w:cstheme="minorHAnsi"/>
        </w:rPr>
        <w:t>, merely as a noteworthy figure who died on the field. More important to the chroniclers, it seems, was recording the event and the resultant establishment of a “tax to be paid to the Danish Men because of the ‘</w:t>
      </w:r>
      <w:commentRangeStart w:id="6"/>
      <w:r w:rsidR="007A3AE2" w:rsidRPr="00FA0549">
        <w:rPr>
          <w:rFonts w:cstheme="minorHAnsi"/>
        </w:rPr>
        <w:t>enormities</w:t>
      </w:r>
      <w:commentRangeEnd w:id="6"/>
      <w:r w:rsidR="00BC107B" w:rsidRPr="00FA0549">
        <w:rPr>
          <w:rStyle w:val="CommentReference"/>
          <w:rFonts w:cstheme="minorHAnsi"/>
        </w:rPr>
        <w:commentReference w:id="6"/>
      </w:r>
      <w:r w:rsidR="007A3AE2" w:rsidRPr="00FA0549">
        <w:rPr>
          <w:rFonts w:cstheme="minorHAnsi"/>
        </w:rPr>
        <w:t>’ which they wrought along the sea coast”</w:t>
      </w:r>
      <w:r w:rsidR="007A3AE2" w:rsidRPr="00FA0549">
        <w:rPr>
          <w:rStyle w:val="FootnoteReference"/>
          <w:rFonts w:cstheme="minorHAnsi"/>
        </w:rPr>
        <w:footnoteReference w:id="6"/>
      </w:r>
      <w:r w:rsidR="007A3AE2" w:rsidRPr="00FA0549">
        <w:rPr>
          <w:rFonts w:cstheme="minorHAnsi"/>
        </w:rPr>
        <w:t xml:space="preserve"> This “tax” was initially ten thousand pounds, a considerable sum at the time. This amount would only increase over the following years, as protection rackets are wont to do.</w:t>
      </w:r>
      <w:r w:rsidR="00F3595B" w:rsidRPr="00FA0549">
        <w:rPr>
          <w:rFonts w:cstheme="minorHAnsi"/>
        </w:rPr>
        <w:t xml:space="preserve"> Indeed, likening the tax to a protection racket seems particularly apt. A treaty, agreed not long after the battle, stipulated that the particular group would join with the Anglo-Saxons in fighting any other Viking invader, in return for a large sum of money and provisioning.</w:t>
      </w:r>
      <w:r w:rsidR="00F3595B" w:rsidRPr="00FA0549">
        <w:rPr>
          <w:rStyle w:val="FootnoteReference"/>
          <w:rFonts w:cstheme="minorHAnsi"/>
        </w:rPr>
        <w:footnoteReference w:id="7"/>
      </w:r>
      <w:r w:rsidR="00F3595B" w:rsidRPr="00FA0549">
        <w:rPr>
          <w:rFonts w:cstheme="minorHAnsi"/>
        </w:rPr>
        <w:t xml:space="preserve"> It also attempted to “regulate the treatment of merchants and their ships by either of the parties to the treaty,”</w:t>
      </w:r>
      <w:r w:rsidR="00F3595B" w:rsidRPr="00FA0549">
        <w:rPr>
          <w:rStyle w:val="FootnoteReference"/>
          <w:rFonts w:cstheme="minorHAnsi"/>
        </w:rPr>
        <w:footnoteReference w:id="8"/>
      </w:r>
      <w:r w:rsidR="00F3595B" w:rsidRPr="00FA0549">
        <w:rPr>
          <w:rFonts w:cstheme="minorHAnsi"/>
        </w:rPr>
        <w:t xml:space="preserve"> although the lack of unity in the Viking raiders lessened the effect greatly.</w:t>
      </w:r>
      <w:r w:rsidR="00C4577D" w:rsidRPr="00FA0549">
        <w:rPr>
          <w:rFonts w:cstheme="minorHAnsi"/>
        </w:rPr>
        <w:t xml:space="preserve"> The tax levied after the battle set an important precedent. Over the next 25 years, according to </w:t>
      </w:r>
      <w:r w:rsidR="00F84E4A" w:rsidRPr="00FA0549">
        <w:rPr>
          <w:rFonts w:cstheme="minorHAnsi"/>
        </w:rPr>
        <w:t>Stenton</w:t>
      </w:r>
      <w:r w:rsidR="00C4577D" w:rsidRPr="00FA0549">
        <w:rPr>
          <w:rFonts w:cstheme="minorHAnsi"/>
        </w:rPr>
        <w:t>, numerous heavy taxes were levied in order to pay the raiders off. They formed a prototype for the later Anglo-Norman Danegelds.</w:t>
      </w:r>
      <w:r w:rsidR="00C4577D" w:rsidRPr="00FA0549">
        <w:rPr>
          <w:rStyle w:val="FootnoteReference"/>
          <w:rFonts w:cstheme="minorHAnsi"/>
        </w:rPr>
        <w:footnoteReference w:id="9"/>
      </w:r>
      <w:r w:rsidR="00C4577D" w:rsidRPr="00FA0549">
        <w:rPr>
          <w:rFonts w:cstheme="minorHAnsi"/>
        </w:rPr>
        <w:t xml:space="preserve"> </w:t>
      </w:r>
    </w:p>
    <w:p w14:paraId="0F80BD09" w14:textId="77777777" w:rsidR="00F3595B" w:rsidRPr="00FA0549" w:rsidRDefault="00A43703" w:rsidP="003F1A0B">
      <w:pPr>
        <w:spacing w:line="480" w:lineRule="auto"/>
        <w:rPr>
          <w:rFonts w:cstheme="minorHAnsi"/>
        </w:rPr>
      </w:pPr>
      <w:r w:rsidRPr="00FA0549">
        <w:rPr>
          <w:rFonts w:cstheme="minorHAnsi"/>
        </w:rPr>
        <w:t xml:space="preserve">Also notable in the entries for 991 AD are the references to who made the decision to pay: the Archbishop of Canterbury, Sigeric. Mentioned in the chronicles a number of times more than </w:t>
      </w:r>
      <w:r w:rsidRPr="00FA0549">
        <w:rPr>
          <w:rFonts w:cstheme="minorHAnsi"/>
        </w:rPr>
        <w:lastRenderedPageBreak/>
        <w:t>Byrtnoth, this is indicative of the provenance of the Chronicles: They were written by clergy, and thus should be considered from this perspective. An important event in history may often not seem particularly important to observers at the time, and this may be evident in the sparse nature of the entries concerning the battle of Maldon. However, the layout of the chronicles as they were planned in advance with sections for each year leant themselves to a minimum of information in many cases.</w:t>
      </w:r>
      <w:r w:rsidRPr="00FA0549">
        <w:rPr>
          <w:rStyle w:val="FootnoteReference"/>
          <w:rFonts w:cstheme="minorHAnsi"/>
        </w:rPr>
        <w:footnoteReference w:id="10"/>
      </w:r>
      <w:r w:rsidRPr="00FA0549">
        <w:rPr>
          <w:rFonts w:cstheme="minorHAnsi"/>
        </w:rPr>
        <w:t xml:space="preserve"> </w:t>
      </w:r>
    </w:p>
    <w:p w14:paraId="60AA386B" w14:textId="3F8AB7F0" w:rsidR="00E30EF9" w:rsidRPr="00FA0549" w:rsidRDefault="00BA02AF" w:rsidP="003F1A0B">
      <w:pPr>
        <w:spacing w:line="480" w:lineRule="auto"/>
        <w:rPr>
          <w:rFonts w:cstheme="minorHAnsi"/>
        </w:rPr>
      </w:pPr>
      <w:r>
        <w:rPr>
          <w:rFonts w:cstheme="minorHAnsi"/>
        </w:rPr>
        <w:t xml:space="preserve">Despite potential documentary elements, </w:t>
      </w:r>
      <w:r>
        <w:rPr>
          <w:rFonts w:cstheme="minorHAnsi"/>
          <w:i/>
        </w:rPr>
        <w:t xml:space="preserve">The Battle of Maldon </w:t>
      </w:r>
      <w:r>
        <w:rPr>
          <w:rFonts w:cstheme="minorHAnsi"/>
        </w:rPr>
        <w:t>unashamedly uses a wide variety of literary techniques in order to make the event more powerful. For example, t</w:t>
      </w:r>
      <w:r w:rsidR="00195774" w:rsidRPr="00BA02AF">
        <w:rPr>
          <w:rFonts w:cstheme="minorHAnsi"/>
        </w:rPr>
        <w:t>onal</w:t>
      </w:r>
      <w:r>
        <w:rPr>
          <w:rFonts w:cstheme="minorHAnsi"/>
        </w:rPr>
        <w:t xml:space="preserve"> s</w:t>
      </w:r>
      <w:r w:rsidR="00195774" w:rsidRPr="00FA0549">
        <w:rPr>
          <w:rFonts w:cstheme="minorHAnsi"/>
        </w:rPr>
        <w:t xml:space="preserve">hifts are common features in Anglo-Saxon literature. As battle is joined, the poem describes violence in an unflinching manner. Of particular note is the fall of the heroic figure of the piece, Bryhtnoth. In an excellent example of storytelling, it is not entirely clear who has fallen in the melee until part way through the combat. Even the identity of the hero is subsumed by the life-or-death of struggle of battle. </w:t>
      </w:r>
    </w:p>
    <w:p w14:paraId="7F220BA5" w14:textId="1A08DA45" w:rsidR="002426FA" w:rsidRPr="00FA0549" w:rsidRDefault="00E258AA" w:rsidP="003F1A0B">
      <w:pPr>
        <w:spacing w:line="480" w:lineRule="auto"/>
        <w:rPr>
          <w:rFonts w:cstheme="minorHAnsi"/>
        </w:rPr>
      </w:pPr>
      <w:commentRangeStart w:id="7"/>
      <w:r w:rsidRPr="00FA0549">
        <w:rPr>
          <w:rFonts w:cstheme="minorHAnsi"/>
        </w:rPr>
        <w:t xml:space="preserve">One area in which the lack of an ending could be of considerable importance arises when consulting other examples of Anglo-Saxon Literature. Poems such as ____ feature strong tonal shifts at the very end of the work, with a strong moralizing element that reinforces  </w:t>
      </w:r>
      <w:commentRangeEnd w:id="7"/>
      <w:r w:rsidRPr="00FA0549">
        <w:rPr>
          <w:rStyle w:val="CommentReference"/>
          <w:rFonts w:cstheme="minorHAnsi"/>
        </w:rPr>
        <w:commentReference w:id="7"/>
      </w:r>
      <w:r w:rsidRPr="00FA0549">
        <w:rPr>
          <w:rFonts w:cstheme="minorHAnsi"/>
        </w:rPr>
        <w:t xml:space="preserve">Christian ideals. This is not present in </w:t>
      </w:r>
      <w:r w:rsidRPr="00FA0549">
        <w:rPr>
          <w:rFonts w:cstheme="minorHAnsi"/>
          <w:i/>
        </w:rPr>
        <w:t>The Battle of Maldon</w:t>
      </w:r>
      <w:r w:rsidRPr="00FA0549">
        <w:rPr>
          <w:rFonts w:cstheme="minorHAnsi"/>
        </w:rPr>
        <w:t xml:space="preserve">, although there is certainly a movement towards a moralistic denouement. </w:t>
      </w:r>
    </w:p>
    <w:p w14:paraId="1C03610C" w14:textId="67EEB479" w:rsidR="00E258AA" w:rsidRPr="00FA0549" w:rsidRDefault="00E258AA" w:rsidP="003F1A0B">
      <w:pPr>
        <w:spacing w:line="480" w:lineRule="auto"/>
        <w:rPr>
          <w:rFonts w:cstheme="minorHAnsi"/>
        </w:rPr>
      </w:pPr>
      <w:commentRangeStart w:id="8"/>
      <w:r w:rsidRPr="00FA0549">
        <w:rPr>
          <w:rFonts w:cstheme="minorHAnsi"/>
        </w:rPr>
        <w:t xml:space="preserve">It is notable that </w:t>
      </w:r>
      <w:r w:rsidR="00D67E5C" w:rsidRPr="00FA0549">
        <w:rPr>
          <w:rFonts w:cstheme="minorHAnsi"/>
        </w:rPr>
        <w:t>Tolkien</w:t>
      </w:r>
      <w:r w:rsidRPr="00FA0549">
        <w:rPr>
          <w:rFonts w:cstheme="minorHAnsi"/>
        </w:rPr>
        <w:t xml:space="preserve"> attempted to write an ending for </w:t>
      </w:r>
      <w:r w:rsidRPr="00FA0549">
        <w:rPr>
          <w:rFonts w:cstheme="minorHAnsi"/>
          <w:i/>
        </w:rPr>
        <w:t>The Battle of Maldon</w:t>
      </w:r>
      <w:r w:rsidRPr="00FA0549">
        <w:rPr>
          <w:rFonts w:cstheme="minorHAnsi"/>
        </w:rPr>
        <w:t xml:space="preserve"> and in so doing attempting to better understand the poem.  </w:t>
      </w:r>
      <w:commentRangeEnd w:id="8"/>
      <w:r w:rsidRPr="00FA0549">
        <w:rPr>
          <w:rStyle w:val="CommentReference"/>
          <w:rFonts w:cstheme="minorHAnsi"/>
        </w:rPr>
        <w:commentReference w:id="8"/>
      </w:r>
    </w:p>
    <w:p w14:paraId="4EFA66B4" w14:textId="46648AD1" w:rsidR="00E258AA" w:rsidRDefault="00E258AA" w:rsidP="003F1A0B">
      <w:pPr>
        <w:spacing w:line="480" w:lineRule="auto"/>
        <w:rPr>
          <w:rFonts w:cstheme="minorHAnsi"/>
        </w:rPr>
      </w:pPr>
      <w:r w:rsidRPr="00FA0549">
        <w:rPr>
          <w:rFonts w:cstheme="minorHAnsi"/>
        </w:rPr>
        <w:t xml:space="preserve">The closing portions of </w:t>
      </w:r>
      <w:r w:rsidRPr="00FA0549">
        <w:rPr>
          <w:rFonts w:cstheme="minorHAnsi"/>
          <w:i/>
        </w:rPr>
        <w:t xml:space="preserve">The Battle of Maldon </w:t>
      </w:r>
      <w:r w:rsidRPr="00FA0549">
        <w:rPr>
          <w:rFonts w:cstheme="minorHAnsi"/>
        </w:rPr>
        <w:t>speak to the topic at the heart of discussion in this essay. As the last Anglo-Saxon warriors make their decisions to stand and fight on in the face of defeat, making their speeches for the benefit of the audience’s consideration in lengthy asides too long for the actual circumstances, the poem appears to transition into a call for Anglo-Saxon proto-</w:t>
      </w:r>
      <w:r w:rsidRPr="00FA0549">
        <w:rPr>
          <w:rFonts w:cstheme="minorHAnsi"/>
        </w:rPr>
        <w:lastRenderedPageBreak/>
        <w:t xml:space="preserve">nationalism and unity. The last warriors </w:t>
      </w:r>
      <w:r w:rsidR="00C648EC" w:rsidRPr="00FA0549">
        <w:rPr>
          <w:rFonts w:cstheme="minorHAnsi"/>
        </w:rPr>
        <w:t>are seemingly of all walks of life eligible for martial activities, such as Dunnere the “Elderly freedman” or Aelfric the young warrior</w:t>
      </w:r>
      <w:r w:rsidR="00C648EC" w:rsidRPr="00FA0549">
        <w:rPr>
          <w:rStyle w:val="FootnoteReference"/>
          <w:rFonts w:cstheme="minorHAnsi"/>
        </w:rPr>
        <w:footnoteReference w:id="11"/>
      </w:r>
      <w:r w:rsidR="00C648EC" w:rsidRPr="00FA0549">
        <w:rPr>
          <w:rFonts w:cstheme="minorHAnsi"/>
        </w:rPr>
        <w:t>. They are even of differing nationalities, for the England of the time was not a unified State: Aescferth, son of Ecglaf, a Northumbrian, stayed on to fight as well.</w:t>
      </w:r>
      <w:r w:rsidR="00C648EC" w:rsidRPr="00FA0549">
        <w:rPr>
          <w:rStyle w:val="FootnoteReference"/>
          <w:rFonts w:cstheme="minorHAnsi"/>
        </w:rPr>
        <w:footnoteReference w:id="12"/>
      </w:r>
    </w:p>
    <w:p w14:paraId="1A2E570F" w14:textId="3B56D169" w:rsidR="002A0AAB" w:rsidRPr="006C6B5C" w:rsidRDefault="002A0AAB" w:rsidP="003F1A0B">
      <w:pPr>
        <w:spacing w:line="480" w:lineRule="auto"/>
      </w:pPr>
      <w:r>
        <w:rPr>
          <w:rFonts w:cstheme="minorHAnsi"/>
        </w:rPr>
        <w:t xml:space="preserve">Other late Anglo-Saxon works aid in the analysis of </w:t>
      </w:r>
      <w:r>
        <w:rPr>
          <w:rFonts w:cstheme="minorHAnsi"/>
          <w:i/>
        </w:rPr>
        <w:t>The Battle of Maldon</w:t>
      </w:r>
      <w:r>
        <w:t xml:space="preserve"> as either ‘literary’ or ‘documentary’ in nature. The </w:t>
      </w:r>
      <w:r>
        <w:rPr>
          <w:i/>
        </w:rPr>
        <w:t>Sermo Lupi ad Anglos</w:t>
      </w:r>
      <w:r>
        <w:t xml:space="preserve">, or </w:t>
      </w:r>
      <w:r>
        <w:rPr>
          <w:i/>
        </w:rPr>
        <w:t>Sermon of the Wolf</w:t>
      </w:r>
      <w:r>
        <w:t xml:space="preserve"> was a transcript of a 1014 sermon. The text rails against relations with the Danish</w:t>
      </w:r>
      <w:r w:rsidR="006C6B5C">
        <w:t xml:space="preserve"> and the act of paying tribute to them. It seems evident that there was a great amount of shame related to this, combined with a feeling of quite apart and separate from a far greater past. It can be argued, therefore, that with works like </w:t>
      </w:r>
      <w:r w:rsidR="006C6B5C">
        <w:rPr>
          <w:i/>
        </w:rPr>
        <w:t xml:space="preserve">The Battle of Maldon, </w:t>
      </w:r>
      <w:r w:rsidR="006C6B5C">
        <w:t>a revanchist nation-building sentiment was forming in the face of ever worsening ignominy.</w:t>
      </w:r>
    </w:p>
    <w:p w14:paraId="468A6A1D" w14:textId="120587F6" w:rsidR="002B5CA7" w:rsidRPr="00FA0549" w:rsidRDefault="002B5CA7" w:rsidP="003F1A0B">
      <w:pPr>
        <w:spacing w:line="480" w:lineRule="auto"/>
        <w:rPr>
          <w:rFonts w:cstheme="minorHAnsi"/>
        </w:rPr>
      </w:pPr>
      <w:commentRangeStart w:id="9"/>
      <w:r w:rsidRPr="00FA0549">
        <w:rPr>
          <w:rFonts w:cstheme="minorHAnsi"/>
        </w:rPr>
        <w:t>It is</w:t>
      </w:r>
      <w:r w:rsidR="00C648EC" w:rsidRPr="00FA0549">
        <w:rPr>
          <w:rFonts w:cstheme="minorHAnsi"/>
        </w:rPr>
        <w:t xml:space="preserve"> therefore</w:t>
      </w:r>
      <w:r w:rsidRPr="00FA0549">
        <w:rPr>
          <w:rFonts w:cstheme="minorHAnsi"/>
        </w:rPr>
        <w:t xml:space="preserve"> entirely possible that the battle of Maldon was a mythologization of an </w:t>
      </w:r>
      <w:r w:rsidR="002426FA" w:rsidRPr="00FA0549">
        <w:rPr>
          <w:rFonts w:cstheme="minorHAnsi"/>
        </w:rPr>
        <w:t>ignominious</w:t>
      </w:r>
      <w:r w:rsidRPr="00FA0549">
        <w:rPr>
          <w:rFonts w:cstheme="minorHAnsi"/>
        </w:rPr>
        <w:t xml:space="preserve"> defeat, designed to remind Anglo-Saxons of past glories and their martial prowess in the face of ever increasing strife. Much as Bryhtnoth and his most loyal retainers fought heroically to the last in the face of an </w:t>
      </w:r>
      <w:r w:rsidR="002426FA" w:rsidRPr="00FA0549">
        <w:rPr>
          <w:rFonts w:cstheme="minorHAnsi"/>
        </w:rPr>
        <w:t>ever-increasing</w:t>
      </w:r>
      <w:r w:rsidRPr="00FA0549">
        <w:rPr>
          <w:rFonts w:cstheme="minorHAnsi"/>
        </w:rPr>
        <w:t xml:space="preserve"> onslaught of </w:t>
      </w:r>
      <w:r w:rsidR="002426FA" w:rsidRPr="00FA0549">
        <w:rPr>
          <w:rFonts w:cstheme="minorHAnsi"/>
        </w:rPr>
        <w:t>Viking</w:t>
      </w:r>
      <w:r w:rsidRPr="00FA0549">
        <w:rPr>
          <w:rFonts w:cstheme="minorHAnsi"/>
        </w:rPr>
        <w:t xml:space="preserve"> invaders, should not the Anglo-Saxon generation the </w:t>
      </w:r>
      <w:r w:rsidR="002426FA" w:rsidRPr="00FA0549">
        <w:rPr>
          <w:rFonts w:cstheme="minorHAnsi"/>
        </w:rPr>
        <w:t>poem</w:t>
      </w:r>
      <w:r w:rsidRPr="00FA0549">
        <w:rPr>
          <w:rFonts w:cstheme="minorHAnsi"/>
        </w:rPr>
        <w:t xml:space="preserve"> was written for cast aside meekness in favour of </w:t>
      </w:r>
      <w:r w:rsidR="002426FA" w:rsidRPr="00FA0549">
        <w:rPr>
          <w:rFonts w:cstheme="minorHAnsi"/>
        </w:rPr>
        <w:t>vengeance</w:t>
      </w:r>
      <w:r w:rsidRPr="00FA0549">
        <w:rPr>
          <w:rFonts w:cstheme="minorHAnsi"/>
        </w:rPr>
        <w:t>, as the contemporary priest Wulfstan fervently argued for in his "Sermons of the Wolf?"</w:t>
      </w:r>
      <w:commentRangeEnd w:id="9"/>
      <w:r w:rsidR="00C83CDE">
        <w:rPr>
          <w:rStyle w:val="CommentReference"/>
        </w:rPr>
        <w:commentReference w:id="9"/>
      </w:r>
    </w:p>
    <w:p w14:paraId="3C93A9E2" w14:textId="38392226" w:rsidR="00EB0105" w:rsidRPr="00FA0549" w:rsidRDefault="009E4F51" w:rsidP="003F1A0B">
      <w:pPr>
        <w:spacing w:line="480" w:lineRule="auto"/>
        <w:rPr>
          <w:rFonts w:cstheme="minorHAnsi"/>
        </w:rPr>
      </w:pPr>
      <w:r w:rsidRPr="00FA0549">
        <w:rPr>
          <w:rFonts w:cstheme="minorHAnsi"/>
        </w:rPr>
        <w:t xml:space="preserve"> </w:t>
      </w:r>
    </w:p>
    <w:p w14:paraId="2B6A8C84" w14:textId="77777777" w:rsidR="003114D1" w:rsidRPr="00FA0549" w:rsidRDefault="003114D1" w:rsidP="003F1A0B">
      <w:pPr>
        <w:spacing w:line="480" w:lineRule="auto"/>
        <w:rPr>
          <w:rFonts w:cstheme="minorHAnsi"/>
        </w:rPr>
      </w:pPr>
    </w:p>
    <w:p w14:paraId="319D78EC" w14:textId="150EB492" w:rsidR="003114D1" w:rsidRPr="00FA0549" w:rsidRDefault="006945D4" w:rsidP="003F1A0B">
      <w:pPr>
        <w:spacing w:line="480" w:lineRule="auto"/>
        <w:rPr>
          <w:rFonts w:cstheme="minorHAnsi"/>
        </w:rPr>
      </w:pPr>
      <w:commentRangeStart w:id="10"/>
      <w:r w:rsidRPr="00FA0549">
        <w:rPr>
          <w:rFonts w:cstheme="minorHAnsi"/>
          <w:b/>
        </w:rPr>
        <w:t>A study of old English lit p208</w:t>
      </w:r>
      <w:r w:rsidRPr="00FA0549">
        <w:rPr>
          <w:rFonts w:cstheme="minorHAnsi"/>
        </w:rPr>
        <w:t xml:space="preserve"> – </w:t>
      </w:r>
      <w:r w:rsidR="00DD06A5" w:rsidRPr="00FA0549">
        <w:rPr>
          <w:rFonts w:cstheme="minorHAnsi"/>
        </w:rPr>
        <w:t xml:space="preserve">supports </w:t>
      </w:r>
      <w:r w:rsidRPr="00FA0549">
        <w:rPr>
          <w:rFonts w:cstheme="minorHAnsi"/>
        </w:rPr>
        <w:t>anglo saxo chronicle useful</w:t>
      </w:r>
    </w:p>
    <w:p w14:paraId="0134CED4" w14:textId="77777777" w:rsidR="00E73EBC" w:rsidRPr="00FA0549" w:rsidRDefault="00A67AC6" w:rsidP="003F1A0B">
      <w:pPr>
        <w:spacing w:line="480" w:lineRule="auto"/>
        <w:rPr>
          <w:rFonts w:cstheme="minorHAnsi"/>
          <w:b/>
          <w:bCs/>
          <w:iCs/>
        </w:rPr>
      </w:pPr>
      <w:r w:rsidRPr="00FA0549">
        <w:rPr>
          <w:rFonts w:cstheme="minorHAnsi"/>
        </w:rPr>
        <w:t>FIND SERMON OF THE WOLF To THE ENGLISH (1014)</w:t>
      </w:r>
      <w:r w:rsidR="00EC38BF" w:rsidRPr="00FA0549">
        <w:rPr>
          <w:rFonts w:cstheme="minorHAnsi"/>
        </w:rPr>
        <w:t xml:space="preserve"> </w:t>
      </w:r>
      <w:r w:rsidR="00EC38BF" w:rsidRPr="00FA0549">
        <w:rPr>
          <w:rFonts w:cstheme="minorHAnsi"/>
          <w:b/>
          <w:bCs/>
          <w:i/>
          <w:iCs/>
          <w:lang w:val="la-Latn"/>
        </w:rPr>
        <w:t>Sermo Lupi ad Anglos</w:t>
      </w:r>
    </w:p>
    <w:p w14:paraId="61EF4D5E" w14:textId="77777777" w:rsidR="00E73EBC" w:rsidRPr="00FA0549" w:rsidRDefault="00E73EBC" w:rsidP="003F1A0B">
      <w:pPr>
        <w:spacing w:line="480" w:lineRule="auto"/>
        <w:rPr>
          <w:rFonts w:cstheme="minorHAnsi"/>
          <w:bCs/>
          <w:iCs/>
        </w:rPr>
      </w:pPr>
      <w:r w:rsidRPr="00FA0549">
        <w:rPr>
          <w:rFonts w:cstheme="minorHAnsi"/>
          <w:b/>
          <w:bCs/>
          <w:iCs/>
        </w:rPr>
        <w:lastRenderedPageBreak/>
        <w:t xml:space="preserve">P265 anglo saxon world: </w:t>
      </w:r>
      <w:r w:rsidRPr="00FA0549">
        <w:rPr>
          <w:rFonts w:cstheme="minorHAnsi"/>
          <w:bCs/>
          <w:iCs/>
        </w:rPr>
        <w:t>Sermon acts as supportive document to Battle of Maldon – a text railing against actions regarding Danish issue.</w:t>
      </w:r>
    </w:p>
    <w:p w14:paraId="3477EB63" w14:textId="77777777" w:rsidR="00E73EBC" w:rsidRPr="00FA0549" w:rsidRDefault="00E73EBC" w:rsidP="003F1A0B">
      <w:pPr>
        <w:spacing w:line="480" w:lineRule="auto"/>
        <w:rPr>
          <w:rFonts w:cstheme="minorHAnsi"/>
          <w:bCs/>
          <w:iCs/>
        </w:rPr>
      </w:pPr>
      <w:r w:rsidRPr="00FA0549">
        <w:rPr>
          <w:rFonts w:cstheme="minorHAnsi"/>
          <w:bCs/>
          <w:iCs/>
        </w:rPr>
        <w:t>Maldon + Sermon of Wolf = nationbuilding documents. National identity found amidst threat. Comparative to similar historical events later in history.</w:t>
      </w:r>
    </w:p>
    <w:p w14:paraId="778E0AE8" w14:textId="77777777" w:rsidR="00E73EBC" w:rsidRPr="00FA0549" w:rsidRDefault="00BC107B" w:rsidP="003F1A0B">
      <w:pPr>
        <w:spacing w:line="480" w:lineRule="auto"/>
        <w:rPr>
          <w:rFonts w:cstheme="minorHAnsi"/>
          <w:bCs/>
          <w:iCs/>
        </w:rPr>
      </w:pPr>
      <w:r w:rsidRPr="00FA0549">
        <w:rPr>
          <w:rFonts w:cstheme="minorHAnsi"/>
          <w:bCs/>
          <w:iCs/>
        </w:rPr>
        <w:t>Examine functionalist explanation</w:t>
      </w:r>
    </w:p>
    <w:p w14:paraId="1F454D3C" w14:textId="77777777" w:rsidR="009F78E7" w:rsidRPr="00FA0549" w:rsidRDefault="009F78E7" w:rsidP="003F1A0B">
      <w:pPr>
        <w:spacing w:line="480" w:lineRule="auto"/>
        <w:rPr>
          <w:rFonts w:cstheme="minorHAnsi"/>
          <w:bCs/>
          <w:iCs/>
        </w:rPr>
      </w:pPr>
      <w:r w:rsidRPr="00FA0549">
        <w:rPr>
          <w:rFonts w:cstheme="minorHAnsi"/>
          <w:bCs/>
          <w:iCs/>
        </w:rPr>
        <w:t xml:space="preserve">Discussing a community collective trauma – how do we deal with this now? How does this compare? </w:t>
      </w:r>
    </w:p>
    <w:p w14:paraId="40B0C074" w14:textId="77777777" w:rsidR="009F78E7" w:rsidRPr="00FA0549" w:rsidRDefault="009F78E7" w:rsidP="003F1A0B">
      <w:pPr>
        <w:spacing w:line="480" w:lineRule="auto"/>
        <w:rPr>
          <w:rFonts w:cstheme="minorHAnsi"/>
          <w:bCs/>
          <w:iCs/>
        </w:rPr>
      </w:pPr>
      <w:r w:rsidRPr="00FA0549">
        <w:rPr>
          <w:rFonts w:cstheme="minorHAnsi"/>
          <w:bCs/>
          <w:iCs/>
        </w:rPr>
        <w:t>Collective oral tradition</w:t>
      </w:r>
    </w:p>
    <w:p w14:paraId="57D3EAD2" w14:textId="77777777" w:rsidR="009F78E7" w:rsidRPr="00FA0549" w:rsidRDefault="009F78E7" w:rsidP="003F1A0B">
      <w:pPr>
        <w:spacing w:line="480" w:lineRule="auto"/>
        <w:rPr>
          <w:rFonts w:cstheme="minorHAnsi"/>
          <w:bCs/>
          <w:iCs/>
        </w:rPr>
      </w:pPr>
      <w:r w:rsidRPr="00FA0549">
        <w:rPr>
          <w:rFonts w:cstheme="minorHAnsi"/>
          <w:bCs/>
          <w:iCs/>
        </w:rPr>
        <w:t>Robert graves -? Bard!</w:t>
      </w:r>
    </w:p>
    <w:p w14:paraId="77E45B78" w14:textId="77777777" w:rsidR="009F78E7" w:rsidRPr="00FA0549" w:rsidRDefault="009F78E7" w:rsidP="003F1A0B">
      <w:pPr>
        <w:spacing w:line="480" w:lineRule="auto"/>
        <w:rPr>
          <w:rFonts w:cstheme="minorHAnsi"/>
          <w:bCs/>
          <w:iCs/>
        </w:rPr>
      </w:pPr>
      <w:r w:rsidRPr="00FA0549">
        <w:rPr>
          <w:rFonts w:cstheme="minorHAnsi"/>
          <w:bCs/>
          <w:iCs/>
        </w:rPr>
        <w:t>Nostalgia</w:t>
      </w:r>
    </w:p>
    <w:p w14:paraId="0E95FAFD" w14:textId="77777777" w:rsidR="009F78E7" w:rsidRPr="00FA0549" w:rsidRDefault="009F78E7" w:rsidP="003F1A0B">
      <w:pPr>
        <w:spacing w:line="480" w:lineRule="auto"/>
        <w:rPr>
          <w:rFonts w:cstheme="minorHAnsi"/>
          <w:bCs/>
          <w:iCs/>
        </w:rPr>
      </w:pPr>
      <w:r w:rsidRPr="00FA0549">
        <w:rPr>
          <w:rFonts w:cstheme="minorHAnsi"/>
          <w:bCs/>
          <w:iCs/>
        </w:rPr>
        <w:t>Provenance of document</w:t>
      </w:r>
    </w:p>
    <w:p w14:paraId="2ACA8112" w14:textId="77777777" w:rsidR="009F78E7" w:rsidRPr="00FA0549" w:rsidRDefault="009F78E7" w:rsidP="003F1A0B">
      <w:pPr>
        <w:spacing w:line="480" w:lineRule="auto"/>
        <w:rPr>
          <w:rFonts w:cstheme="minorHAnsi"/>
          <w:bCs/>
          <w:iCs/>
        </w:rPr>
      </w:pPr>
      <w:r w:rsidRPr="00FA0549">
        <w:rPr>
          <w:rFonts w:cstheme="minorHAnsi"/>
          <w:bCs/>
          <w:iCs/>
        </w:rPr>
        <w:t>Question of intent and authorship</w:t>
      </w:r>
    </w:p>
    <w:p w14:paraId="35C65C1E" w14:textId="77777777" w:rsidR="009F78E7" w:rsidRPr="00FA0549" w:rsidRDefault="009F78E7" w:rsidP="003F1A0B">
      <w:pPr>
        <w:spacing w:line="480" w:lineRule="auto"/>
        <w:rPr>
          <w:rFonts w:cstheme="minorHAnsi"/>
          <w:bCs/>
          <w:iCs/>
        </w:rPr>
      </w:pPr>
      <w:r w:rsidRPr="00FA0549">
        <w:rPr>
          <w:rFonts w:cstheme="minorHAnsi"/>
          <w:bCs/>
          <w:iCs/>
        </w:rPr>
        <w:t>Identity</w:t>
      </w:r>
    </w:p>
    <w:p w14:paraId="15C8B6CE" w14:textId="77777777" w:rsidR="009F78E7" w:rsidRPr="00FA0549" w:rsidRDefault="009F78E7" w:rsidP="003F1A0B">
      <w:pPr>
        <w:spacing w:line="480" w:lineRule="auto"/>
        <w:rPr>
          <w:rFonts w:cstheme="minorHAnsi"/>
          <w:bCs/>
          <w:iCs/>
        </w:rPr>
      </w:pPr>
      <w:r w:rsidRPr="00FA0549">
        <w:rPr>
          <w:rFonts w:cstheme="minorHAnsi"/>
          <w:bCs/>
          <w:iCs/>
        </w:rPr>
        <w:t>Othering of the invader</w:t>
      </w:r>
    </w:p>
    <w:p w14:paraId="5019B063" w14:textId="77777777" w:rsidR="009F78E7" w:rsidRPr="00FA0549" w:rsidRDefault="009A5A6D" w:rsidP="003F1A0B">
      <w:pPr>
        <w:spacing w:line="480" w:lineRule="auto"/>
        <w:rPr>
          <w:rFonts w:cstheme="minorHAnsi"/>
          <w:bCs/>
          <w:iCs/>
        </w:rPr>
      </w:pPr>
      <w:r w:rsidRPr="00FA0549">
        <w:rPr>
          <w:rFonts w:cstheme="minorHAnsi"/>
          <w:bCs/>
          <w:iCs/>
        </w:rPr>
        <w:t>Christians vs Heathen</w:t>
      </w:r>
    </w:p>
    <w:p w14:paraId="04909E9C" w14:textId="77777777" w:rsidR="009A5A6D" w:rsidRPr="00FA0549" w:rsidRDefault="009A5A6D" w:rsidP="003F1A0B">
      <w:pPr>
        <w:spacing w:line="480" w:lineRule="auto"/>
        <w:rPr>
          <w:rFonts w:cstheme="minorHAnsi"/>
          <w:bCs/>
          <w:iCs/>
        </w:rPr>
      </w:pPr>
      <w:r w:rsidRPr="00FA0549">
        <w:rPr>
          <w:rFonts w:cstheme="minorHAnsi"/>
          <w:bCs/>
          <w:iCs/>
        </w:rPr>
        <w:t>Anglo-Saxon Heroic Model</w:t>
      </w:r>
    </w:p>
    <w:p w14:paraId="3B217594" w14:textId="77777777" w:rsidR="009A5A6D" w:rsidRPr="00FA0549" w:rsidRDefault="009A5A6D" w:rsidP="003F1A0B">
      <w:pPr>
        <w:spacing w:line="480" w:lineRule="auto"/>
        <w:rPr>
          <w:rFonts w:cstheme="minorHAnsi"/>
          <w:bCs/>
          <w:iCs/>
        </w:rPr>
      </w:pPr>
      <w:r w:rsidRPr="00FA0549">
        <w:rPr>
          <w:rFonts w:cstheme="minorHAnsi"/>
          <w:bCs/>
          <w:iCs/>
        </w:rPr>
        <w:t>Excuse</w:t>
      </w:r>
    </w:p>
    <w:p w14:paraId="0DA87D5E" w14:textId="77777777" w:rsidR="009A5A6D" w:rsidRPr="00FA0549" w:rsidRDefault="009A5A6D" w:rsidP="003F1A0B">
      <w:pPr>
        <w:spacing w:line="480" w:lineRule="auto"/>
        <w:rPr>
          <w:rFonts w:cstheme="minorHAnsi"/>
          <w:bCs/>
          <w:iCs/>
        </w:rPr>
      </w:pPr>
      <w:r w:rsidRPr="00FA0549">
        <w:rPr>
          <w:rFonts w:cstheme="minorHAnsi"/>
          <w:bCs/>
          <w:iCs/>
        </w:rPr>
        <w:t>Courage</w:t>
      </w:r>
    </w:p>
    <w:p w14:paraId="13DE4762" w14:textId="77777777" w:rsidR="009A5A6D" w:rsidRPr="00FA0549" w:rsidRDefault="009A5A6D" w:rsidP="003F1A0B">
      <w:pPr>
        <w:spacing w:line="480" w:lineRule="auto"/>
        <w:rPr>
          <w:rFonts w:cstheme="minorHAnsi"/>
          <w:bCs/>
          <w:iCs/>
        </w:rPr>
      </w:pPr>
      <w:r w:rsidRPr="00FA0549">
        <w:rPr>
          <w:rFonts w:cstheme="minorHAnsi"/>
          <w:bCs/>
          <w:iCs/>
        </w:rPr>
        <w:t>Acceptance of doom from start?</w:t>
      </w:r>
    </w:p>
    <w:p w14:paraId="516531F9" w14:textId="77777777" w:rsidR="009A5A6D" w:rsidRPr="00FA0549" w:rsidRDefault="009A5A6D" w:rsidP="003F1A0B">
      <w:pPr>
        <w:spacing w:line="480" w:lineRule="auto"/>
        <w:rPr>
          <w:rFonts w:cstheme="minorHAnsi"/>
          <w:bCs/>
          <w:iCs/>
        </w:rPr>
      </w:pPr>
      <w:r w:rsidRPr="00FA0549">
        <w:rPr>
          <w:rFonts w:cstheme="minorHAnsi"/>
          <w:bCs/>
          <w:iCs/>
        </w:rPr>
        <w:t>Heroic amateurs? Begins with amateurish nature of warriors, ends with their heroism and skill</w:t>
      </w:r>
    </w:p>
    <w:p w14:paraId="323B0037" w14:textId="77777777" w:rsidR="009A5A6D" w:rsidRPr="00FA0549" w:rsidRDefault="009A5A6D" w:rsidP="003F1A0B">
      <w:pPr>
        <w:spacing w:line="480" w:lineRule="auto"/>
        <w:rPr>
          <w:rFonts w:cstheme="minorHAnsi"/>
          <w:bCs/>
          <w:iCs/>
        </w:rPr>
      </w:pPr>
      <w:r w:rsidRPr="00FA0549">
        <w:rPr>
          <w:rFonts w:cstheme="minorHAnsi"/>
          <w:bCs/>
          <w:iCs/>
        </w:rPr>
        <w:t>More othering – negative portrayals of Viking enemy, arrogance, etc</w:t>
      </w:r>
    </w:p>
    <w:p w14:paraId="1C8400E5" w14:textId="77777777" w:rsidR="001C06D4" w:rsidRPr="00FA0549" w:rsidRDefault="001C06D4" w:rsidP="003F1A0B">
      <w:pPr>
        <w:spacing w:line="480" w:lineRule="auto"/>
        <w:rPr>
          <w:rFonts w:cstheme="minorHAnsi"/>
          <w:bCs/>
          <w:iCs/>
        </w:rPr>
      </w:pPr>
      <w:r w:rsidRPr="00FA0549">
        <w:rPr>
          <w:rFonts w:cstheme="minorHAnsi"/>
          <w:bCs/>
          <w:iCs/>
        </w:rPr>
        <w:lastRenderedPageBreak/>
        <w:t>Argue for and against the title statement, then conclude. Put shitloads of snippets in to support both sides.</w:t>
      </w:r>
    </w:p>
    <w:p w14:paraId="0F230C8A" w14:textId="77777777" w:rsidR="001C06D4" w:rsidRPr="00FA0549" w:rsidRDefault="001C06D4" w:rsidP="003F1A0B">
      <w:pPr>
        <w:spacing w:line="480" w:lineRule="auto"/>
        <w:rPr>
          <w:rFonts w:cstheme="minorHAnsi"/>
          <w:bCs/>
          <w:iCs/>
        </w:rPr>
      </w:pPr>
      <w:r w:rsidRPr="00FA0549">
        <w:rPr>
          <w:rFonts w:cstheme="minorHAnsi"/>
          <w:bCs/>
          <w:iCs/>
        </w:rPr>
        <w:t>750 each side</w:t>
      </w:r>
    </w:p>
    <w:p w14:paraId="4EA4B837" w14:textId="77777777" w:rsidR="001C06D4" w:rsidRPr="00FA0549" w:rsidRDefault="001C06D4" w:rsidP="003F1A0B">
      <w:pPr>
        <w:spacing w:line="480" w:lineRule="auto"/>
        <w:rPr>
          <w:rFonts w:cstheme="minorHAnsi"/>
          <w:bCs/>
          <w:iCs/>
        </w:rPr>
      </w:pPr>
      <w:r w:rsidRPr="00FA0549">
        <w:rPr>
          <w:rFonts w:cstheme="minorHAnsi"/>
          <w:bCs/>
          <w:iCs/>
        </w:rPr>
        <w:t>What extent literary and what documentary – chronicles documentary, sits alongside?</w:t>
      </w:r>
    </w:p>
    <w:p w14:paraId="203BE4A8" w14:textId="77777777" w:rsidR="001C06D4" w:rsidRPr="00FA0549" w:rsidRDefault="001C06D4" w:rsidP="003F1A0B">
      <w:pPr>
        <w:spacing w:line="480" w:lineRule="auto"/>
        <w:rPr>
          <w:rFonts w:cstheme="minorHAnsi"/>
          <w:bCs/>
          <w:iCs/>
        </w:rPr>
      </w:pPr>
      <w:r w:rsidRPr="00FA0549">
        <w:rPr>
          <w:rFonts w:cstheme="minorHAnsi"/>
          <w:bCs/>
          <w:iCs/>
        </w:rPr>
        <w:t>Poem speaks to different audiences, who? Debate for audience</w:t>
      </w:r>
    </w:p>
    <w:p w14:paraId="34BFD03B" w14:textId="77777777" w:rsidR="001C06D4" w:rsidRPr="00FA0549" w:rsidRDefault="001C06D4" w:rsidP="003F1A0B">
      <w:pPr>
        <w:spacing w:line="480" w:lineRule="auto"/>
        <w:rPr>
          <w:rFonts w:cstheme="minorHAnsi"/>
          <w:bCs/>
          <w:iCs/>
        </w:rPr>
      </w:pPr>
      <w:r w:rsidRPr="00FA0549">
        <w:rPr>
          <w:rFonts w:cstheme="minorHAnsi"/>
          <w:bCs/>
          <w:iCs/>
        </w:rPr>
        <w:t>A humiliating event</w:t>
      </w:r>
    </w:p>
    <w:p w14:paraId="3DA4410C" w14:textId="77777777" w:rsidR="009C54D7" w:rsidRPr="00FA0549" w:rsidRDefault="001C06D4" w:rsidP="003F1A0B">
      <w:pPr>
        <w:spacing w:line="480" w:lineRule="auto"/>
        <w:rPr>
          <w:rFonts w:cstheme="minorHAnsi"/>
          <w:bCs/>
          <w:iCs/>
        </w:rPr>
      </w:pPr>
      <w:r w:rsidRPr="00FA0549">
        <w:rPr>
          <w:rFonts w:cstheme="minorHAnsi"/>
          <w:bCs/>
          <w:iCs/>
        </w:rPr>
        <w:t xml:space="preserve">Shame, proto-chivalry, island mentality, speaks of Saxon </w:t>
      </w:r>
      <w:r w:rsidR="009C54D7" w:rsidRPr="00FA0549">
        <w:rPr>
          <w:rFonts w:cstheme="minorHAnsi"/>
          <w:bCs/>
          <w:iCs/>
        </w:rPr>
        <w:t>mind</w:t>
      </w:r>
    </w:p>
    <w:p w14:paraId="61604C7D" w14:textId="77777777" w:rsidR="00A8483B" w:rsidRPr="00FA0549" w:rsidRDefault="00A8483B" w:rsidP="003F1A0B">
      <w:pPr>
        <w:spacing w:line="480" w:lineRule="auto"/>
        <w:rPr>
          <w:rFonts w:cstheme="minorHAnsi"/>
          <w:bCs/>
          <w:iCs/>
        </w:rPr>
      </w:pPr>
      <w:r w:rsidRPr="00FA0549">
        <w:rPr>
          <w:rFonts w:cstheme="minorHAnsi"/>
          <w:bCs/>
          <w:iCs/>
        </w:rPr>
        <w:t>Poem often taken as literal document, but may not be intended as such</w:t>
      </w:r>
    </w:p>
    <w:p w14:paraId="46633D2A" w14:textId="77777777" w:rsidR="00DB1E27" w:rsidRPr="00FA0549" w:rsidRDefault="00A8483B" w:rsidP="003F1A0B">
      <w:pPr>
        <w:pBdr>
          <w:bottom w:val="single" w:sz="6" w:space="1" w:color="auto"/>
        </w:pBdr>
        <w:spacing w:line="480" w:lineRule="auto"/>
        <w:rPr>
          <w:rFonts w:cstheme="minorHAnsi"/>
          <w:bCs/>
          <w:iCs/>
        </w:rPr>
      </w:pPr>
      <w:r w:rsidRPr="00FA0549">
        <w:rPr>
          <w:rFonts w:cstheme="minorHAnsi"/>
          <w:bCs/>
          <w:iCs/>
        </w:rPr>
        <w:t>Battle of Maldon provenance</w:t>
      </w:r>
      <w:commentRangeEnd w:id="10"/>
      <w:r w:rsidR="002A0AAB">
        <w:rPr>
          <w:rStyle w:val="CommentReference"/>
        </w:rPr>
        <w:commentReference w:id="10"/>
      </w:r>
    </w:p>
    <w:p w14:paraId="682E415B" w14:textId="77777777" w:rsidR="00046DBF" w:rsidRPr="00FA0549" w:rsidRDefault="00F90EA9" w:rsidP="003F1A0B">
      <w:pPr>
        <w:spacing w:line="480" w:lineRule="auto"/>
        <w:rPr>
          <w:rFonts w:cstheme="minorHAnsi"/>
        </w:rPr>
      </w:pPr>
      <w:commentRangeStart w:id="11"/>
      <w:r w:rsidRPr="00FA0549">
        <w:rPr>
          <w:rFonts w:cstheme="minorHAnsi"/>
        </w:rPr>
        <w:t xml:space="preserve">One area of debate regarding the poem is its purpose. Was this a documentary work, or one with a fictionalized literary intent? It is important to remember that most, if not all, examples of Anglo-Saxon literature must be considered as verbally disseminated documents.  </w:t>
      </w:r>
      <w:commentRangeEnd w:id="11"/>
      <w:r w:rsidR="002A0AAB">
        <w:rPr>
          <w:rStyle w:val="CommentReference"/>
        </w:rPr>
        <w:commentReference w:id="11"/>
      </w:r>
    </w:p>
    <w:p w14:paraId="518E3CBD" w14:textId="77777777" w:rsidR="00C76462" w:rsidRPr="00FA0549" w:rsidRDefault="00C76462" w:rsidP="003F1A0B">
      <w:pPr>
        <w:spacing w:line="480" w:lineRule="auto"/>
        <w:rPr>
          <w:rFonts w:cstheme="minorHAnsi"/>
        </w:rPr>
      </w:pPr>
    </w:p>
    <w:p w14:paraId="58BD0217" w14:textId="77777777" w:rsidR="00DB1E27" w:rsidRPr="00FA0549" w:rsidRDefault="00DB1E27" w:rsidP="003F1A0B">
      <w:pPr>
        <w:spacing w:line="480" w:lineRule="auto"/>
        <w:rPr>
          <w:rFonts w:cstheme="minorHAnsi"/>
        </w:rPr>
      </w:pPr>
    </w:p>
    <w:p w14:paraId="6606079E" w14:textId="77777777" w:rsidR="006A4212" w:rsidRPr="00FA0549" w:rsidRDefault="006A4212" w:rsidP="003F1A0B">
      <w:pPr>
        <w:spacing w:line="480" w:lineRule="auto"/>
        <w:rPr>
          <w:rFonts w:cstheme="minorHAnsi"/>
          <w:b/>
        </w:rPr>
      </w:pPr>
      <w:r w:rsidRPr="00FA0549">
        <w:rPr>
          <w:rFonts w:cstheme="minorHAnsi"/>
          <w:b/>
        </w:rPr>
        <w:t>Bibliography</w:t>
      </w:r>
    </w:p>
    <w:p w14:paraId="78FA514D" w14:textId="77777777" w:rsidR="00F32B98" w:rsidRPr="001A42FE" w:rsidRDefault="00F32B98" w:rsidP="00C83CDE">
      <w:pPr>
        <w:rPr>
          <w:rFonts w:ascii="Calibri" w:hAnsi="Calibri" w:cs="Calibri"/>
          <w:i/>
          <w:iCs/>
          <w:color w:val="000000"/>
          <w:lang w:eastAsia="en-GB"/>
        </w:rPr>
      </w:pPr>
      <w:r w:rsidRPr="001A42FE">
        <w:rPr>
          <w:rFonts w:ascii="Calibri" w:hAnsi="Calibri" w:cs="Calibri"/>
          <w:i/>
          <w:iCs/>
          <w:color w:val="000000"/>
          <w:lang w:eastAsia="en-GB"/>
        </w:rPr>
        <w:t xml:space="preserve">Anglo-Saxon Poetry, </w:t>
      </w:r>
      <w:r w:rsidRPr="001A42FE">
        <w:rPr>
          <w:rFonts w:ascii="Calibri" w:hAnsi="Calibri" w:cs="Calibri"/>
          <w:color w:val="000000"/>
          <w:lang w:eastAsia="en-GB"/>
        </w:rPr>
        <w:t>Trans. &amp; Ed. S. A. J. Bradley (London: Everyman Library, 1995).</w:t>
      </w:r>
    </w:p>
    <w:p w14:paraId="360DF527" w14:textId="77777777" w:rsidR="00F32B98" w:rsidRPr="001A42FE" w:rsidRDefault="00F32B98" w:rsidP="00C83CDE">
      <w:pPr>
        <w:rPr>
          <w:rFonts w:ascii="Calibri" w:hAnsi="Calibri" w:cs="Calibri"/>
          <w:i/>
          <w:iCs/>
          <w:color w:val="000000"/>
          <w:lang w:eastAsia="en-GB"/>
        </w:rPr>
      </w:pPr>
      <w:r w:rsidRPr="001A42FE">
        <w:rPr>
          <w:rFonts w:ascii="Calibri" w:hAnsi="Calibri" w:cs="Calibri"/>
          <w:i/>
          <w:iCs/>
          <w:color w:val="000000"/>
          <w:lang w:eastAsia="en-GB"/>
        </w:rPr>
        <w:t xml:space="preserve">Beowulf and Other Stories: A New Introduction to Old English, Old Icelandic and Anglo-Noman Literatures, </w:t>
      </w:r>
      <w:r w:rsidRPr="001A42FE">
        <w:rPr>
          <w:rFonts w:ascii="Calibri" w:hAnsi="Calibri" w:cs="Calibri"/>
          <w:color w:val="000000"/>
          <w:lang w:eastAsia="en-GB"/>
        </w:rPr>
        <w:t>Ed. R. North, J. Allard (Harlow: Pearson Education Limited, 2007).</w:t>
      </w:r>
    </w:p>
    <w:p w14:paraId="5082AE83" w14:textId="77777777" w:rsidR="00F32B98" w:rsidRPr="001A42FE" w:rsidRDefault="00F32B98" w:rsidP="00C83CDE">
      <w:pPr>
        <w:rPr>
          <w:rFonts w:ascii="Calibri" w:hAnsi="Calibri" w:cs="Calibri"/>
          <w:i/>
          <w:iCs/>
          <w:color w:val="000000"/>
          <w:lang w:eastAsia="en-GB"/>
        </w:rPr>
      </w:pPr>
      <w:r w:rsidRPr="001A42FE">
        <w:rPr>
          <w:rFonts w:ascii="Calibri" w:hAnsi="Calibri" w:cs="Calibri"/>
          <w:i/>
          <w:iCs/>
          <w:color w:val="000000"/>
          <w:lang w:eastAsia="en-GB"/>
        </w:rPr>
        <w:t xml:space="preserve">Beowulf, </w:t>
      </w:r>
      <w:r w:rsidRPr="001A42FE">
        <w:rPr>
          <w:rFonts w:ascii="Calibri" w:hAnsi="Calibri" w:cs="Calibri"/>
          <w:color w:val="000000"/>
          <w:lang w:eastAsia="en-GB"/>
        </w:rPr>
        <w:t>Trans. M. Swanton (Manchester: Manchester University Press, 1997).</w:t>
      </w:r>
    </w:p>
    <w:p w14:paraId="406DAD29" w14:textId="77777777" w:rsidR="00F32B98" w:rsidRPr="001A42FE" w:rsidRDefault="00F32B98" w:rsidP="00C83CDE">
      <w:pPr>
        <w:rPr>
          <w:rFonts w:ascii="Calibri" w:hAnsi="Calibri" w:cs="Calibri"/>
          <w:i/>
          <w:iCs/>
          <w:color w:val="000000"/>
          <w:lang w:eastAsia="en-GB"/>
        </w:rPr>
      </w:pPr>
      <w:r w:rsidRPr="001A42FE">
        <w:rPr>
          <w:rFonts w:ascii="Calibri" w:hAnsi="Calibri" w:cs="Calibri"/>
          <w:i/>
          <w:iCs/>
          <w:color w:val="000000"/>
          <w:lang w:eastAsia="en-GB"/>
        </w:rPr>
        <w:t>Beowulf: A Dual-Language Edition</w:t>
      </w:r>
      <w:r w:rsidRPr="001A42FE">
        <w:rPr>
          <w:rFonts w:ascii="Calibri" w:hAnsi="Calibri" w:cs="Calibri"/>
          <w:color w:val="000000"/>
          <w:lang w:eastAsia="en-GB"/>
        </w:rPr>
        <w:t>, Trans. &amp; Ed. H. D. Chickering, Jr. (New York: Anchor Books Editions, 2006).</w:t>
      </w:r>
    </w:p>
    <w:p w14:paraId="4A98C201" w14:textId="77777777" w:rsidR="00F32B98" w:rsidRPr="001A42FE" w:rsidRDefault="00F32B98" w:rsidP="00C83CDE">
      <w:pPr>
        <w:rPr>
          <w:rFonts w:ascii="Calibri" w:hAnsi="Calibri" w:cs="Calibri"/>
          <w:i/>
          <w:iCs/>
          <w:color w:val="000000"/>
          <w:lang w:eastAsia="en-GB"/>
        </w:rPr>
      </w:pPr>
      <w:r w:rsidRPr="001A42FE">
        <w:rPr>
          <w:rFonts w:ascii="Calibri" w:hAnsi="Calibri" w:cs="Calibri"/>
          <w:i/>
          <w:iCs/>
          <w:color w:val="000000"/>
          <w:lang w:eastAsia="en-GB"/>
        </w:rPr>
        <w:t xml:space="preserve">Beowulf: A New Verse Translation, </w:t>
      </w:r>
      <w:r w:rsidRPr="001A42FE">
        <w:rPr>
          <w:rFonts w:ascii="Calibri" w:hAnsi="Calibri" w:cs="Calibri"/>
          <w:color w:val="000000"/>
          <w:lang w:eastAsia="en-GB"/>
        </w:rPr>
        <w:t>Trans. S. Heany (New York: W. W. Norton &amp; Company Inc., 2000).</w:t>
      </w:r>
    </w:p>
    <w:p w14:paraId="61577E79" w14:textId="77777777" w:rsidR="00F32B98" w:rsidRPr="001A42FE" w:rsidRDefault="00F32B98" w:rsidP="00C83CDE">
      <w:pPr>
        <w:rPr>
          <w:rFonts w:ascii="Calibri" w:hAnsi="Calibri" w:cs="Calibri"/>
          <w:i/>
          <w:iCs/>
          <w:color w:val="000000"/>
          <w:lang w:eastAsia="en-GB"/>
        </w:rPr>
      </w:pPr>
      <w:r w:rsidRPr="001A42FE">
        <w:rPr>
          <w:rFonts w:ascii="Calibri" w:hAnsi="Calibri" w:cs="Calibri"/>
          <w:color w:val="000000"/>
          <w:lang w:eastAsia="en-GB"/>
        </w:rPr>
        <w:t xml:space="preserve">Crossley-Holland, K., </w:t>
      </w:r>
      <w:r w:rsidRPr="001A42FE">
        <w:rPr>
          <w:rFonts w:ascii="Calibri" w:hAnsi="Calibri" w:cs="Calibri"/>
          <w:i/>
          <w:iCs/>
          <w:color w:val="000000"/>
          <w:lang w:eastAsia="en-GB"/>
        </w:rPr>
        <w:t xml:space="preserve">The Anglo-Saxon World </w:t>
      </w:r>
      <w:r w:rsidRPr="001A42FE">
        <w:rPr>
          <w:rFonts w:ascii="Calibri" w:hAnsi="Calibri" w:cs="Calibri"/>
          <w:color w:val="000000"/>
          <w:lang w:eastAsia="en-GB"/>
        </w:rPr>
        <w:t>(Woodbridge: The Boydell Press, 2002).</w:t>
      </w:r>
    </w:p>
    <w:p w14:paraId="749BC730" w14:textId="77777777" w:rsidR="00F32B98" w:rsidRPr="001A42FE" w:rsidRDefault="00F32B98" w:rsidP="00C83CDE">
      <w:pPr>
        <w:rPr>
          <w:rFonts w:ascii="Calibri" w:hAnsi="Calibri" w:cs="Calibri"/>
          <w:color w:val="000000"/>
          <w:lang w:eastAsia="en-GB"/>
        </w:rPr>
      </w:pPr>
      <w:r w:rsidRPr="001A42FE">
        <w:rPr>
          <w:rFonts w:ascii="Calibri" w:hAnsi="Calibri" w:cs="Calibri"/>
          <w:color w:val="000000"/>
          <w:lang w:eastAsia="en-GB"/>
        </w:rPr>
        <w:t xml:space="preserve">Griffiths, B., </w:t>
      </w:r>
      <w:r w:rsidRPr="001A42FE">
        <w:rPr>
          <w:rFonts w:ascii="Calibri" w:hAnsi="Calibri" w:cs="Calibri"/>
          <w:i/>
          <w:iCs/>
          <w:color w:val="000000"/>
          <w:lang w:eastAsia="en-GB"/>
        </w:rPr>
        <w:t>A User-Friendly Dictionary of Old English,</w:t>
      </w:r>
      <w:r w:rsidRPr="001A42FE">
        <w:rPr>
          <w:rFonts w:ascii="Calibri" w:hAnsi="Calibri" w:cs="Calibri"/>
          <w:color w:val="000000"/>
          <w:lang w:eastAsia="en-GB"/>
        </w:rPr>
        <w:t>5th edition (Avebury: Heart of Albion Press, 2005).</w:t>
      </w:r>
    </w:p>
    <w:p w14:paraId="17357779" w14:textId="77777777" w:rsidR="00F32B98" w:rsidRPr="001A42FE" w:rsidRDefault="00F32B98" w:rsidP="00C83CDE">
      <w:pPr>
        <w:rPr>
          <w:rFonts w:ascii="Calibri" w:hAnsi="Calibri" w:cs="Calibri"/>
          <w:i/>
          <w:iCs/>
          <w:color w:val="000000"/>
          <w:lang w:eastAsia="en-GB"/>
        </w:rPr>
      </w:pPr>
      <w:r w:rsidRPr="001A42FE">
        <w:rPr>
          <w:rFonts w:ascii="Calibri" w:hAnsi="Calibri" w:cs="Calibri"/>
          <w:color w:val="000000"/>
          <w:lang w:eastAsia="en-GB"/>
        </w:rPr>
        <w:lastRenderedPageBreak/>
        <w:t xml:space="preserve">Magennis, H., </w:t>
      </w:r>
      <w:r w:rsidRPr="001A42FE">
        <w:rPr>
          <w:rFonts w:ascii="Calibri" w:hAnsi="Calibri" w:cs="Calibri"/>
          <w:i/>
          <w:iCs/>
          <w:color w:val="000000"/>
          <w:lang w:eastAsia="en-GB"/>
        </w:rPr>
        <w:t>The Cambridge Introduction to Anglo-Saxon Literature</w:t>
      </w:r>
      <w:r w:rsidRPr="001A42FE">
        <w:rPr>
          <w:rFonts w:ascii="Calibri" w:hAnsi="Calibri" w:cs="Calibri"/>
          <w:color w:val="000000"/>
          <w:lang w:eastAsia="en-GB"/>
        </w:rPr>
        <w:t xml:space="preserve"> (Cambridge: Cambridge University Press, 2011).</w:t>
      </w:r>
    </w:p>
    <w:p w14:paraId="79351A52" w14:textId="77777777" w:rsidR="00F32B98" w:rsidRPr="001A42FE" w:rsidRDefault="00F32B98" w:rsidP="00C83CDE">
      <w:pPr>
        <w:rPr>
          <w:rFonts w:ascii="Calibri" w:hAnsi="Calibri" w:cs="Calibri"/>
          <w:i/>
          <w:iCs/>
          <w:color w:val="000000"/>
          <w:lang w:eastAsia="en-GB"/>
        </w:rPr>
      </w:pPr>
      <w:r w:rsidRPr="001A42FE">
        <w:rPr>
          <w:rFonts w:ascii="Calibri" w:hAnsi="Calibri" w:cs="Calibri"/>
          <w:i/>
          <w:iCs/>
          <w:color w:val="000000"/>
          <w:lang w:eastAsia="en-GB"/>
        </w:rPr>
        <w:t xml:space="preserve">Reading Old English Texts, </w:t>
      </w:r>
      <w:r w:rsidRPr="001A42FE">
        <w:rPr>
          <w:rFonts w:ascii="Calibri" w:hAnsi="Calibri" w:cs="Calibri"/>
          <w:color w:val="000000"/>
          <w:lang w:eastAsia="en-GB"/>
        </w:rPr>
        <w:t>Ed. K. O'Brien O'Keefe (Cambridge: Cambridge University Press, 1997).</w:t>
      </w:r>
    </w:p>
    <w:p w14:paraId="053FB2EE" w14:textId="77777777" w:rsidR="00F32B98" w:rsidRPr="001A42FE" w:rsidRDefault="00F32B98" w:rsidP="00C83CDE">
      <w:pPr>
        <w:rPr>
          <w:rFonts w:ascii="Calibri" w:hAnsi="Calibri" w:cs="Calibri"/>
          <w:color w:val="000000"/>
          <w:lang w:eastAsia="en-GB"/>
        </w:rPr>
      </w:pPr>
      <w:r w:rsidRPr="001A42FE">
        <w:rPr>
          <w:rFonts w:ascii="Calibri" w:hAnsi="Calibri" w:cs="Calibri"/>
          <w:color w:val="000000"/>
          <w:lang w:eastAsia="en-GB"/>
        </w:rPr>
        <w:t xml:space="preserve">Stenton, F. M., </w:t>
      </w:r>
      <w:r w:rsidRPr="001A42FE">
        <w:rPr>
          <w:rFonts w:ascii="Calibri" w:hAnsi="Calibri" w:cs="Calibri"/>
          <w:i/>
          <w:iCs/>
          <w:color w:val="000000"/>
          <w:lang w:eastAsia="en-GB"/>
        </w:rPr>
        <w:t xml:space="preserve">Anglo-Saxon England, </w:t>
      </w:r>
      <w:r w:rsidRPr="001A42FE">
        <w:rPr>
          <w:rFonts w:ascii="Calibri" w:hAnsi="Calibri" w:cs="Calibri"/>
          <w:color w:val="000000"/>
          <w:lang w:eastAsia="en-GB"/>
        </w:rPr>
        <w:t>3rd edition (Oxford: Oxford University Press, 2001).</w:t>
      </w:r>
    </w:p>
    <w:p w14:paraId="77C000BE" w14:textId="77777777" w:rsidR="00F32B98" w:rsidRPr="001A42FE" w:rsidRDefault="00F32B98" w:rsidP="00C83CDE">
      <w:pPr>
        <w:rPr>
          <w:rFonts w:ascii="Calibri" w:hAnsi="Calibri" w:cs="Calibri"/>
          <w:i/>
          <w:iCs/>
          <w:color w:val="000000"/>
          <w:lang w:eastAsia="en-GB"/>
        </w:rPr>
      </w:pPr>
      <w:r w:rsidRPr="001A42FE">
        <w:rPr>
          <w:rFonts w:ascii="Calibri" w:hAnsi="Calibri" w:cs="Calibri"/>
          <w:color w:val="000000"/>
          <w:lang w:eastAsia="en-GB"/>
        </w:rPr>
        <w:t>The Anglo-Saxon Chronicles,</w:t>
      </w:r>
      <w:r w:rsidRPr="001A42FE">
        <w:rPr>
          <w:rFonts w:ascii="Calibri" w:hAnsi="Calibri" w:cs="Calibri"/>
          <w:i/>
          <w:iCs/>
          <w:color w:val="000000"/>
          <w:lang w:eastAsia="en-GB"/>
        </w:rPr>
        <w:t xml:space="preserve"> Trans. &amp; Ed. M. Swanton </w:t>
      </w:r>
      <w:r w:rsidRPr="001A42FE">
        <w:rPr>
          <w:rFonts w:ascii="Calibri" w:hAnsi="Calibri" w:cs="Calibri"/>
          <w:color w:val="000000"/>
          <w:lang w:eastAsia="en-GB"/>
        </w:rPr>
        <w:t>(London: Phoenix Press, 2000).</w:t>
      </w:r>
    </w:p>
    <w:p w14:paraId="1BE96047" w14:textId="77777777" w:rsidR="00F32B98" w:rsidRPr="001A42FE" w:rsidRDefault="00F32B98" w:rsidP="00C83CDE">
      <w:pPr>
        <w:rPr>
          <w:rFonts w:ascii="Calibri" w:hAnsi="Calibri" w:cs="Calibri"/>
          <w:i/>
          <w:iCs/>
          <w:color w:val="000000"/>
          <w:lang w:eastAsia="en-GB"/>
        </w:rPr>
      </w:pPr>
      <w:r w:rsidRPr="001A42FE">
        <w:rPr>
          <w:rFonts w:ascii="Calibri" w:hAnsi="Calibri" w:cs="Calibri"/>
          <w:color w:val="000000"/>
          <w:lang w:eastAsia="en-GB"/>
        </w:rPr>
        <w:t xml:space="preserve">Whitelock, D., </w:t>
      </w:r>
      <w:r w:rsidRPr="001A42FE">
        <w:rPr>
          <w:rFonts w:ascii="Calibri" w:hAnsi="Calibri" w:cs="Calibri"/>
          <w:i/>
          <w:iCs/>
          <w:color w:val="000000"/>
          <w:lang w:eastAsia="en-GB"/>
        </w:rPr>
        <w:t>The Beginnings of English Society</w:t>
      </w:r>
      <w:r w:rsidRPr="001A42FE">
        <w:rPr>
          <w:rFonts w:ascii="Calibri" w:hAnsi="Calibri" w:cs="Calibri"/>
          <w:color w:val="000000"/>
          <w:lang w:eastAsia="en-GB"/>
        </w:rPr>
        <w:t xml:space="preserve"> (London: Penguin Books, 1991).</w:t>
      </w:r>
    </w:p>
    <w:p w14:paraId="631F42F5" w14:textId="77777777" w:rsidR="00F32B98" w:rsidRPr="001A42FE" w:rsidRDefault="00F32B98" w:rsidP="00C83CDE">
      <w:pPr>
        <w:rPr>
          <w:rFonts w:ascii="Calibri" w:hAnsi="Calibri" w:cs="Calibri"/>
          <w:i/>
          <w:iCs/>
          <w:color w:val="000000"/>
          <w:lang w:eastAsia="en-GB"/>
        </w:rPr>
      </w:pPr>
      <w:r w:rsidRPr="001A42FE">
        <w:rPr>
          <w:rFonts w:ascii="Calibri" w:hAnsi="Calibri" w:cs="Calibri"/>
          <w:color w:val="000000"/>
          <w:lang w:eastAsia="en-GB"/>
        </w:rPr>
        <w:t>Wrenn, C. L.,</w:t>
      </w:r>
      <w:r w:rsidRPr="001A42FE">
        <w:rPr>
          <w:rFonts w:ascii="Calibri" w:hAnsi="Calibri" w:cs="Calibri"/>
          <w:i/>
          <w:iCs/>
          <w:color w:val="000000"/>
          <w:lang w:eastAsia="en-GB"/>
        </w:rPr>
        <w:t xml:space="preserve"> A Study of Old English Literature</w:t>
      </w:r>
      <w:r w:rsidRPr="001A42FE">
        <w:rPr>
          <w:rFonts w:ascii="Calibri" w:hAnsi="Calibri" w:cs="Calibri"/>
          <w:color w:val="000000"/>
          <w:lang w:eastAsia="en-GB"/>
        </w:rPr>
        <w:t xml:space="preserve"> (London: George G. Harrap &amp; Co. Ltd., 1967).</w:t>
      </w:r>
    </w:p>
    <w:p w14:paraId="39F68610" w14:textId="77777777" w:rsidR="001C5965" w:rsidRPr="00FA0549" w:rsidRDefault="001C5965" w:rsidP="00F32B98">
      <w:pPr>
        <w:spacing w:line="480" w:lineRule="auto"/>
        <w:rPr>
          <w:rFonts w:cstheme="minorHAnsi"/>
        </w:rPr>
      </w:pPr>
    </w:p>
    <w:sectPr w:rsidR="001C5965" w:rsidRPr="00FA0549">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Ben" w:date="2018-07-13T12:44:00Z" w:initials="B">
    <w:p w14:paraId="28C11B6F" w14:textId="65002B09" w:rsidR="00BA02AF" w:rsidRDefault="00BA02AF">
      <w:pPr>
        <w:pStyle w:val="CommentText"/>
      </w:pPr>
      <w:r>
        <w:rPr>
          <w:rStyle w:val="CommentReference"/>
        </w:rPr>
        <w:annotationRef/>
      </w:r>
      <w:r>
        <w:t>INTRO STUFF</w:t>
      </w:r>
    </w:p>
  </w:comment>
  <w:comment w:id="3" w:author="Ben" w:date="2018-04-20T19:53:00Z" w:initials="B">
    <w:p w14:paraId="124439F8" w14:textId="77777777" w:rsidR="00BA02AF" w:rsidRDefault="00BA02AF" w:rsidP="00BA02AF">
      <w:pPr>
        <w:pStyle w:val="CommentText"/>
      </w:pPr>
      <w:r>
        <w:rPr>
          <w:rStyle w:val="CommentReference"/>
        </w:rPr>
        <w:annotationRef/>
      </w:r>
      <w:r>
        <w:t>Ref line</w:t>
      </w:r>
    </w:p>
  </w:comment>
  <w:comment w:id="4" w:author="Ben" w:date="2018-04-20T19:59:00Z" w:initials="B">
    <w:p w14:paraId="5E70A899" w14:textId="77777777" w:rsidR="00BA02AF" w:rsidRDefault="00BA02AF" w:rsidP="00BA02AF">
      <w:pPr>
        <w:pStyle w:val="CommentText"/>
      </w:pPr>
      <w:r>
        <w:rPr>
          <w:rStyle w:val="CommentReference"/>
        </w:rPr>
        <w:annotationRef/>
      </w:r>
      <w:r>
        <w:t>Whassisname? What line?</w:t>
      </w:r>
    </w:p>
  </w:comment>
  <w:comment w:id="2" w:author="Ben" w:date="2018-07-13T12:44:00Z" w:initials="B">
    <w:p w14:paraId="26E89479" w14:textId="532B13F0" w:rsidR="00BA02AF" w:rsidRDefault="00BA02AF">
      <w:pPr>
        <w:pStyle w:val="CommentText"/>
      </w:pPr>
      <w:r>
        <w:rPr>
          <w:rStyle w:val="CommentReference"/>
        </w:rPr>
        <w:annotationRef/>
      </w:r>
      <w:r>
        <w:t>HALF ARSED ANALYSIS</w:t>
      </w:r>
    </w:p>
  </w:comment>
  <w:comment w:id="5" w:author="Ben" w:date="2018-07-13T12:44:00Z" w:initials="B">
    <w:p w14:paraId="2FC1B404" w14:textId="369B513A" w:rsidR="00BA02AF" w:rsidRDefault="00BA02AF">
      <w:pPr>
        <w:pStyle w:val="CommentText"/>
      </w:pPr>
      <w:r>
        <w:rPr>
          <w:rStyle w:val="CommentReference"/>
        </w:rPr>
        <w:annotationRef/>
      </w:r>
      <w:r>
        <w:t>PROPAGANDA</w:t>
      </w:r>
    </w:p>
  </w:comment>
  <w:comment w:id="6" w:author="Ben" w:date="2018-04-19T15:48:00Z" w:initials="B">
    <w:p w14:paraId="6613DB8D" w14:textId="77777777" w:rsidR="00FA0549" w:rsidRDefault="00FA0549">
      <w:pPr>
        <w:pStyle w:val="CommentText"/>
      </w:pPr>
      <w:r>
        <w:rPr>
          <w:rStyle w:val="CommentReference"/>
        </w:rPr>
        <w:annotationRef/>
      </w:r>
      <w:r>
        <w:t>Explain</w:t>
      </w:r>
    </w:p>
  </w:comment>
  <w:comment w:id="7" w:author="Ben" w:date="2018-04-20T22:41:00Z" w:initials="B">
    <w:p w14:paraId="285210AF" w14:textId="0073F8C3" w:rsidR="00FA0549" w:rsidRDefault="00FA0549">
      <w:pPr>
        <w:pStyle w:val="CommentText"/>
      </w:pPr>
      <w:r>
        <w:rPr>
          <w:rStyle w:val="CommentReference"/>
        </w:rPr>
        <w:annotationRef/>
      </w:r>
      <w:r>
        <w:t xml:space="preserve">Wanderer etc? </w:t>
      </w:r>
    </w:p>
  </w:comment>
  <w:comment w:id="8" w:author="Ben" w:date="2018-04-20T22:44:00Z" w:initials="B">
    <w:p w14:paraId="67B33ECF" w14:textId="31C55520" w:rsidR="00FA0549" w:rsidRDefault="00FA0549">
      <w:pPr>
        <w:pStyle w:val="CommentText"/>
      </w:pPr>
      <w:r>
        <w:rPr>
          <w:rStyle w:val="CommentReference"/>
        </w:rPr>
        <w:annotationRef/>
      </w:r>
      <w:r>
        <w:t>Useless fragment with no point.</w:t>
      </w:r>
    </w:p>
  </w:comment>
  <w:comment w:id="9" w:author="Ben" w:date="2018-07-13T12:52:00Z" w:initials="B">
    <w:p w14:paraId="496E760A" w14:textId="0F7FEAA1" w:rsidR="00C83CDE" w:rsidRDefault="00C83CDE">
      <w:pPr>
        <w:pStyle w:val="CommentText"/>
      </w:pPr>
      <w:r>
        <w:rPr>
          <w:rStyle w:val="CommentReference"/>
        </w:rPr>
        <w:annotationRef/>
      </w:r>
      <w:r>
        <w:t>CONC, BUT TO WHAT</w:t>
      </w:r>
    </w:p>
  </w:comment>
  <w:comment w:id="10" w:author="Ben" w:date="2018-07-13T13:07:00Z" w:initials="B">
    <w:p w14:paraId="7A7AE05C" w14:textId="195C0C3A" w:rsidR="002A0AAB" w:rsidRDefault="002A0AAB">
      <w:pPr>
        <w:pStyle w:val="CommentText"/>
      </w:pPr>
      <w:r>
        <w:rPr>
          <w:rStyle w:val="CommentReference"/>
        </w:rPr>
        <w:annotationRef/>
      </w:r>
      <w:r>
        <w:t>DELETE ME</w:t>
      </w:r>
    </w:p>
  </w:comment>
  <w:comment w:id="11" w:author="Ben" w:date="2018-07-13T13:07:00Z" w:initials="B">
    <w:p w14:paraId="458E22A3" w14:textId="024F53B3" w:rsidR="002A0AAB" w:rsidRDefault="002A0AAB">
      <w:pPr>
        <w:pStyle w:val="CommentText"/>
      </w:pPr>
      <w:r>
        <w:rPr>
          <w:rStyle w:val="CommentReference"/>
        </w:rPr>
        <w:annotationRef/>
      </w:r>
      <w:r>
        <w:t>NICE BUT WHERE PUT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8C11B6F" w15:done="0"/>
  <w15:commentEx w15:paraId="124439F8" w15:done="0"/>
  <w15:commentEx w15:paraId="5E70A899" w15:done="0"/>
  <w15:commentEx w15:paraId="26E89479" w15:done="0"/>
  <w15:commentEx w15:paraId="2FC1B404" w15:done="0"/>
  <w15:commentEx w15:paraId="6613DB8D" w15:done="0"/>
  <w15:commentEx w15:paraId="285210AF" w15:done="0"/>
  <w15:commentEx w15:paraId="67B33ECF" w15:done="0"/>
  <w15:commentEx w15:paraId="496E760A" w15:done="0"/>
  <w15:commentEx w15:paraId="7A7AE05C" w15:done="0"/>
  <w15:commentEx w15:paraId="458E22A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8C11B6F" w16cid:durableId="1EF31D25"/>
  <w16cid:commentId w16cid:paraId="124439F8" w16cid:durableId="1EF31CBB"/>
  <w16cid:commentId w16cid:paraId="5E70A899" w16cid:durableId="1EF31CBA"/>
  <w16cid:commentId w16cid:paraId="26E89479" w16cid:durableId="1EF31D36"/>
  <w16cid:commentId w16cid:paraId="2FC1B404" w16cid:durableId="1EF31D11"/>
  <w16cid:commentId w16cid:paraId="6613DB8D" w16cid:durableId="1E8338C1"/>
  <w16cid:commentId w16cid:paraId="285210AF" w16cid:durableId="1E84EB12"/>
  <w16cid:commentId w16cid:paraId="67B33ECF" w16cid:durableId="1E84EBD4"/>
  <w16cid:commentId w16cid:paraId="496E760A" w16cid:durableId="1EF31F07"/>
  <w16cid:commentId w16cid:paraId="7A7AE05C" w16cid:durableId="1EF322A3"/>
  <w16cid:commentId w16cid:paraId="458E22A3" w16cid:durableId="1EF3228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D308A" w14:textId="77777777" w:rsidR="00A575BF" w:rsidRDefault="00A575BF" w:rsidP="007A3AE2">
      <w:pPr>
        <w:spacing w:after="0" w:line="240" w:lineRule="auto"/>
      </w:pPr>
      <w:r>
        <w:separator/>
      </w:r>
    </w:p>
  </w:endnote>
  <w:endnote w:type="continuationSeparator" w:id="0">
    <w:p w14:paraId="3B919BD6" w14:textId="77777777" w:rsidR="00A575BF" w:rsidRDefault="00A575BF" w:rsidP="007A3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536506"/>
      <w:docPartObj>
        <w:docPartGallery w:val="Page Numbers (Bottom of Page)"/>
        <w:docPartUnique/>
      </w:docPartObj>
    </w:sdtPr>
    <w:sdtEndPr>
      <w:rPr>
        <w:noProof/>
      </w:rPr>
    </w:sdtEndPr>
    <w:sdtContent>
      <w:p w14:paraId="2D2EA72D" w14:textId="73EAABE6" w:rsidR="00FA0549" w:rsidRDefault="00FA0549">
        <w:pPr>
          <w:pStyle w:val="Footer"/>
          <w:jc w:val="right"/>
        </w:pPr>
        <w:r>
          <w:fldChar w:fldCharType="begin"/>
        </w:r>
        <w:r>
          <w:instrText xml:space="preserve"> PAGE   \* MERGEFORMAT </w:instrText>
        </w:r>
        <w:r>
          <w:fldChar w:fldCharType="separate"/>
        </w:r>
        <w:r w:rsidR="00BE2D5E">
          <w:rPr>
            <w:noProof/>
          </w:rPr>
          <w:t>1</w:t>
        </w:r>
        <w:r>
          <w:rPr>
            <w:noProof/>
          </w:rPr>
          <w:fldChar w:fldCharType="end"/>
        </w:r>
      </w:p>
    </w:sdtContent>
  </w:sdt>
  <w:p w14:paraId="71D03AB8" w14:textId="77777777" w:rsidR="00FA0549" w:rsidRDefault="00FA0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46C54" w14:textId="77777777" w:rsidR="00A575BF" w:rsidRDefault="00A575BF" w:rsidP="007A3AE2">
      <w:pPr>
        <w:spacing w:after="0" w:line="240" w:lineRule="auto"/>
      </w:pPr>
      <w:r>
        <w:separator/>
      </w:r>
    </w:p>
  </w:footnote>
  <w:footnote w:type="continuationSeparator" w:id="0">
    <w:p w14:paraId="654341BB" w14:textId="77777777" w:rsidR="00A575BF" w:rsidRDefault="00A575BF" w:rsidP="007A3AE2">
      <w:pPr>
        <w:spacing w:after="0" w:line="240" w:lineRule="auto"/>
      </w:pPr>
      <w:r>
        <w:continuationSeparator/>
      </w:r>
    </w:p>
  </w:footnote>
  <w:footnote w:id="1">
    <w:p w14:paraId="63A4CB78" w14:textId="77777777" w:rsidR="00FA0549" w:rsidRDefault="00FA0549" w:rsidP="00FA0549">
      <w:pPr>
        <w:pStyle w:val="FootnoteText"/>
      </w:pPr>
      <w:r>
        <w:rPr>
          <w:rStyle w:val="FootnoteReference"/>
        </w:rPr>
        <w:footnoteRef/>
      </w:r>
      <w:r>
        <w:t xml:space="preserve"> L17-25, pick the exact</w:t>
      </w:r>
    </w:p>
  </w:footnote>
  <w:footnote w:id="2">
    <w:p w14:paraId="441E97E1" w14:textId="77777777" w:rsidR="00FA0549" w:rsidRDefault="00FA0549" w:rsidP="00FA0549">
      <w:pPr>
        <w:pStyle w:val="FootnoteText"/>
      </w:pPr>
      <w:r>
        <w:rPr>
          <w:rStyle w:val="FootnoteReference"/>
        </w:rPr>
        <w:footnoteRef/>
      </w:r>
      <w:r>
        <w:t xml:space="preserve"> </w:t>
      </w:r>
    </w:p>
  </w:footnote>
  <w:footnote w:id="3">
    <w:p w14:paraId="2300D6B1" w14:textId="77777777" w:rsidR="00BA02AF" w:rsidRDefault="00BA02AF" w:rsidP="00BA02AF">
      <w:pPr>
        <w:pStyle w:val="FootnoteText"/>
      </w:pPr>
      <w:r>
        <w:rPr>
          <w:rStyle w:val="FootnoteReference"/>
        </w:rPr>
        <w:footnoteRef/>
      </w:r>
      <w:r>
        <w:t xml:space="preserve"> </w:t>
      </w:r>
    </w:p>
  </w:footnote>
  <w:footnote w:id="4">
    <w:p w14:paraId="3DFE16EA" w14:textId="77777777" w:rsidR="00BA02AF" w:rsidRDefault="00BA02AF" w:rsidP="00BA02AF">
      <w:pPr>
        <w:pStyle w:val="FootnoteText"/>
      </w:pPr>
      <w:r>
        <w:rPr>
          <w:rStyle w:val="FootnoteReference"/>
        </w:rPr>
        <w:footnoteRef/>
      </w:r>
      <w:r>
        <w:t xml:space="preserve"> 518-19 Bradley Poem book</w:t>
      </w:r>
    </w:p>
  </w:footnote>
  <w:footnote w:id="5">
    <w:p w14:paraId="6F9F847E" w14:textId="77777777" w:rsidR="00FA0549" w:rsidRDefault="00FA0549">
      <w:pPr>
        <w:pStyle w:val="FootnoteText"/>
      </w:pPr>
      <w:r>
        <w:rPr>
          <w:rStyle w:val="FootnoteReference"/>
        </w:rPr>
        <w:footnoteRef/>
      </w:r>
      <w:r>
        <w:t xml:space="preserve"> </w:t>
      </w:r>
      <w:r w:rsidRPr="00F84E4A">
        <w:t>Stenton, F., Anglo-Saxon England, 3rd Edn. (Oxford:</w:t>
      </w:r>
      <w:r>
        <w:t xml:space="preserve"> Oxford University Press, 2001), p. 326.</w:t>
      </w:r>
    </w:p>
  </w:footnote>
  <w:footnote w:id="6">
    <w:p w14:paraId="55AAD214" w14:textId="77777777" w:rsidR="00FA0549" w:rsidRDefault="00FA0549">
      <w:pPr>
        <w:pStyle w:val="FootnoteText"/>
      </w:pPr>
      <w:r>
        <w:rPr>
          <w:rStyle w:val="FootnoteReference"/>
        </w:rPr>
        <w:footnoteRef/>
      </w:r>
      <w:r>
        <w:t xml:space="preserve"> </w:t>
      </w:r>
      <w:r>
        <w:rPr>
          <w:i/>
        </w:rPr>
        <w:t>The Anglo-Saxon Chronicles</w:t>
      </w:r>
      <w:r>
        <w:t>, Trans. &amp; Ed. M. Swanton (London: Phoenix Press, 2000), p. 126.</w:t>
      </w:r>
    </w:p>
  </w:footnote>
  <w:footnote w:id="7">
    <w:p w14:paraId="154A304C" w14:textId="77777777" w:rsidR="00FA0549" w:rsidRDefault="00FA0549">
      <w:pPr>
        <w:pStyle w:val="FootnoteText"/>
      </w:pPr>
      <w:r>
        <w:rPr>
          <w:rStyle w:val="FootnoteReference"/>
        </w:rPr>
        <w:footnoteRef/>
      </w:r>
      <w:r>
        <w:t xml:space="preserve"> </w:t>
      </w:r>
      <w:r w:rsidRPr="00F84E4A">
        <w:t>Stenton, F., Anglo-Saxon England, 3rd Edn.</w:t>
      </w:r>
      <w:r>
        <w:t>, p. 377.</w:t>
      </w:r>
    </w:p>
  </w:footnote>
  <w:footnote w:id="8">
    <w:p w14:paraId="5A2B7DB8" w14:textId="77777777" w:rsidR="00FA0549" w:rsidRDefault="00FA0549">
      <w:pPr>
        <w:pStyle w:val="FootnoteText"/>
      </w:pPr>
      <w:r>
        <w:rPr>
          <w:rStyle w:val="FootnoteReference"/>
        </w:rPr>
        <w:footnoteRef/>
      </w:r>
      <w:r>
        <w:t xml:space="preserve"> </w:t>
      </w:r>
      <w:r w:rsidRPr="00F84E4A">
        <w:rPr>
          <w:i/>
        </w:rPr>
        <w:t>Ibid</w:t>
      </w:r>
      <w:r>
        <w:rPr>
          <w:i/>
        </w:rPr>
        <w:t xml:space="preserve">. </w:t>
      </w:r>
      <w:r>
        <w:t>p. 377.</w:t>
      </w:r>
    </w:p>
  </w:footnote>
  <w:footnote w:id="9">
    <w:p w14:paraId="5182D8D4" w14:textId="77777777" w:rsidR="00FA0549" w:rsidRDefault="00FA0549">
      <w:pPr>
        <w:pStyle w:val="FootnoteText"/>
      </w:pPr>
      <w:r>
        <w:rPr>
          <w:rStyle w:val="FootnoteReference"/>
        </w:rPr>
        <w:footnoteRef/>
      </w:r>
      <w:r>
        <w:t xml:space="preserve"> </w:t>
      </w:r>
      <w:r>
        <w:rPr>
          <w:i/>
        </w:rPr>
        <w:t xml:space="preserve">Ibid. </w:t>
      </w:r>
      <w:r>
        <w:t>p. 376.</w:t>
      </w:r>
    </w:p>
  </w:footnote>
  <w:footnote w:id="10">
    <w:p w14:paraId="23C526D1" w14:textId="77777777" w:rsidR="00FA0549" w:rsidRDefault="00FA0549">
      <w:pPr>
        <w:pStyle w:val="FootnoteText"/>
      </w:pPr>
      <w:r>
        <w:rPr>
          <w:rStyle w:val="FootnoteReference"/>
        </w:rPr>
        <w:footnoteRef/>
      </w:r>
      <w:r>
        <w:t xml:space="preserve"> </w:t>
      </w:r>
      <w:r w:rsidRPr="00F84E4A">
        <w:t>The Anglo-Saxon Chronicles, Trans. &amp; Ed. M. Swanto</w:t>
      </w:r>
      <w:r>
        <w:t>n (London: Phoenix Press, 2000), p. xvi.</w:t>
      </w:r>
    </w:p>
  </w:footnote>
  <w:footnote w:id="11">
    <w:p w14:paraId="7C07C26F" w14:textId="656A8021" w:rsidR="00FA0549" w:rsidRDefault="00FA0549">
      <w:pPr>
        <w:pStyle w:val="FootnoteText"/>
      </w:pPr>
      <w:r>
        <w:rPr>
          <w:rStyle w:val="FootnoteReference"/>
        </w:rPr>
        <w:footnoteRef/>
      </w:r>
      <w:r>
        <w:t xml:space="preserve"> DUNNERE LINE, AELFRIC LINE</w:t>
      </w:r>
    </w:p>
  </w:footnote>
  <w:footnote w:id="12">
    <w:p w14:paraId="6060A71F" w14:textId="2CAA0FCD" w:rsidR="00FA0549" w:rsidRDefault="00FA0549">
      <w:pPr>
        <w:pStyle w:val="FootnoteText"/>
      </w:pPr>
      <w:r>
        <w:rPr>
          <w:rStyle w:val="FootnoteReference"/>
        </w:rPr>
        <w:footnoteRef/>
      </w:r>
      <w:r>
        <w:t xml:space="preserve"> AESCFERTH LINE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C9FCA" w14:textId="77777777" w:rsidR="00FA0549" w:rsidRDefault="00FA0549">
    <w:pPr>
      <w:pStyle w:val="Header"/>
    </w:pPr>
    <w:r>
      <w:t>1502041</w:t>
    </w:r>
    <w:r>
      <w:ptab w:relativeTo="margin" w:alignment="center" w:leader="none"/>
    </w:r>
    <w:r>
      <w:ptab w:relativeTo="margin" w:alignment="right" w:leader="none"/>
    </w:r>
    <w:r>
      <w:t>Benjamin Dale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D29C5"/>
    <w:multiLevelType w:val="hybridMultilevel"/>
    <w:tmpl w:val="6E3A1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n">
    <w15:presenceInfo w15:providerId="None" w15:userId="Be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3AE2"/>
    <w:rsid w:val="00033F2F"/>
    <w:rsid w:val="00046DBF"/>
    <w:rsid w:val="000661FD"/>
    <w:rsid w:val="000A38EC"/>
    <w:rsid w:val="0010355B"/>
    <w:rsid w:val="00195774"/>
    <w:rsid w:val="001C06D4"/>
    <w:rsid w:val="001C5965"/>
    <w:rsid w:val="002360A4"/>
    <w:rsid w:val="002426FA"/>
    <w:rsid w:val="00260E32"/>
    <w:rsid w:val="00271FAD"/>
    <w:rsid w:val="002A0AAB"/>
    <w:rsid w:val="002B5CA7"/>
    <w:rsid w:val="002D2CB2"/>
    <w:rsid w:val="00302EB0"/>
    <w:rsid w:val="003114D1"/>
    <w:rsid w:val="00373FC5"/>
    <w:rsid w:val="003F1A0B"/>
    <w:rsid w:val="00415602"/>
    <w:rsid w:val="004B7FC9"/>
    <w:rsid w:val="004C53A6"/>
    <w:rsid w:val="00551A34"/>
    <w:rsid w:val="0060140D"/>
    <w:rsid w:val="006945D4"/>
    <w:rsid w:val="006A4212"/>
    <w:rsid w:val="006A7514"/>
    <w:rsid w:val="006C6B5C"/>
    <w:rsid w:val="00712299"/>
    <w:rsid w:val="00763E69"/>
    <w:rsid w:val="007A3AE2"/>
    <w:rsid w:val="007C10FA"/>
    <w:rsid w:val="007D733C"/>
    <w:rsid w:val="007E6A52"/>
    <w:rsid w:val="00857857"/>
    <w:rsid w:val="008A575E"/>
    <w:rsid w:val="00913A73"/>
    <w:rsid w:val="009A5A6D"/>
    <w:rsid w:val="009C54D7"/>
    <w:rsid w:val="009E4F51"/>
    <w:rsid w:val="009F78E7"/>
    <w:rsid w:val="00A43703"/>
    <w:rsid w:val="00A575BF"/>
    <w:rsid w:val="00A67AC6"/>
    <w:rsid w:val="00A7411B"/>
    <w:rsid w:val="00A83F07"/>
    <w:rsid w:val="00A8483B"/>
    <w:rsid w:val="00A96A3F"/>
    <w:rsid w:val="00AA042A"/>
    <w:rsid w:val="00AC3392"/>
    <w:rsid w:val="00B204FE"/>
    <w:rsid w:val="00B235B7"/>
    <w:rsid w:val="00BA02AF"/>
    <w:rsid w:val="00BC107B"/>
    <w:rsid w:val="00BE2D5E"/>
    <w:rsid w:val="00BF4CEA"/>
    <w:rsid w:val="00C4577D"/>
    <w:rsid w:val="00C648EC"/>
    <w:rsid w:val="00C76462"/>
    <w:rsid w:val="00C83CDE"/>
    <w:rsid w:val="00D14477"/>
    <w:rsid w:val="00D67E5C"/>
    <w:rsid w:val="00D9098A"/>
    <w:rsid w:val="00DB1E27"/>
    <w:rsid w:val="00DC4F83"/>
    <w:rsid w:val="00DD06A5"/>
    <w:rsid w:val="00E258AA"/>
    <w:rsid w:val="00E30EF9"/>
    <w:rsid w:val="00E73EBC"/>
    <w:rsid w:val="00EB0105"/>
    <w:rsid w:val="00EC38BF"/>
    <w:rsid w:val="00F039D0"/>
    <w:rsid w:val="00F32B98"/>
    <w:rsid w:val="00F3595B"/>
    <w:rsid w:val="00F40A28"/>
    <w:rsid w:val="00F65ED5"/>
    <w:rsid w:val="00F84E4A"/>
    <w:rsid w:val="00F90EA9"/>
    <w:rsid w:val="00FA0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14616"/>
  <w15:chartTrackingRefBased/>
  <w15:docId w15:val="{0C145989-7649-4706-AC16-5E604FC12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3A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3AE2"/>
    <w:rPr>
      <w:sz w:val="20"/>
      <w:szCs w:val="20"/>
    </w:rPr>
  </w:style>
  <w:style w:type="character" w:styleId="FootnoteReference">
    <w:name w:val="footnote reference"/>
    <w:basedOn w:val="DefaultParagraphFont"/>
    <w:uiPriority w:val="99"/>
    <w:semiHidden/>
    <w:unhideWhenUsed/>
    <w:rsid w:val="007A3AE2"/>
    <w:rPr>
      <w:vertAlign w:val="superscript"/>
    </w:rPr>
  </w:style>
  <w:style w:type="paragraph" w:styleId="Header">
    <w:name w:val="header"/>
    <w:basedOn w:val="Normal"/>
    <w:link w:val="HeaderChar"/>
    <w:uiPriority w:val="99"/>
    <w:unhideWhenUsed/>
    <w:rsid w:val="00857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57"/>
  </w:style>
  <w:style w:type="paragraph" w:styleId="Footer">
    <w:name w:val="footer"/>
    <w:basedOn w:val="Normal"/>
    <w:link w:val="FooterChar"/>
    <w:uiPriority w:val="99"/>
    <w:unhideWhenUsed/>
    <w:rsid w:val="00857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57"/>
  </w:style>
  <w:style w:type="paragraph" w:styleId="ListParagraph">
    <w:name w:val="List Paragraph"/>
    <w:basedOn w:val="Normal"/>
    <w:uiPriority w:val="34"/>
    <w:qFormat/>
    <w:rsid w:val="00BC107B"/>
    <w:pPr>
      <w:ind w:left="720"/>
      <w:contextualSpacing/>
    </w:pPr>
  </w:style>
  <w:style w:type="character" w:styleId="CommentReference">
    <w:name w:val="annotation reference"/>
    <w:basedOn w:val="DefaultParagraphFont"/>
    <w:uiPriority w:val="99"/>
    <w:semiHidden/>
    <w:unhideWhenUsed/>
    <w:rsid w:val="00BC107B"/>
    <w:rPr>
      <w:sz w:val="16"/>
      <w:szCs w:val="16"/>
    </w:rPr>
  </w:style>
  <w:style w:type="paragraph" w:styleId="CommentText">
    <w:name w:val="annotation text"/>
    <w:basedOn w:val="Normal"/>
    <w:link w:val="CommentTextChar"/>
    <w:uiPriority w:val="99"/>
    <w:semiHidden/>
    <w:unhideWhenUsed/>
    <w:rsid w:val="00BC107B"/>
    <w:pPr>
      <w:spacing w:line="240" w:lineRule="auto"/>
    </w:pPr>
    <w:rPr>
      <w:sz w:val="20"/>
      <w:szCs w:val="20"/>
    </w:rPr>
  </w:style>
  <w:style w:type="character" w:customStyle="1" w:styleId="CommentTextChar">
    <w:name w:val="Comment Text Char"/>
    <w:basedOn w:val="DefaultParagraphFont"/>
    <w:link w:val="CommentText"/>
    <w:uiPriority w:val="99"/>
    <w:semiHidden/>
    <w:rsid w:val="00BC107B"/>
    <w:rPr>
      <w:sz w:val="20"/>
      <w:szCs w:val="20"/>
    </w:rPr>
  </w:style>
  <w:style w:type="paragraph" w:styleId="CommentSubject">
    <w:name w:val="annotation subject"/>
    <w:basedOn w:val="CommentText"/>
    <w:next w:val="CommentText"/>
    <w:link w:val="CommentSubjectChar"/>
    <w:uiPriority w:val="99"/>
    <w:semiHidden/>
    <w:unhideWhenUsed/>
    <w:rsid w:val="00BC107B"/>
    <w:rPr>
      <w:b/>
      <w:bCs/>
    </w:rPr>
  </w:style>
  <w:style w:type="character" w:customStyle="1" w:styleId="CommentSubjectChar">
    <w:name w:val="Comment Subject Char"/>
    <w:basedOn w:val="CommentTextChar"/>
    <w:link w:val="CommentSubject"/>
    <w:uiPriority w:val="99"/>
    <w:semiHidden/>
    <w:rsid w:val="00BC107B"/>
    <w:rPr>
      <w:b/>
      <w:bCs/>
      <w:sz w:val="20"/>
      <w:szCs w:val="20"/>
    </w:rPr>
  </w:style>
  <w:style w:type="paragraph" w:styleId="BalloonText">
    <w:name w:val="Balloon Text"/>
    <w:basedOn w:val="Normal"/>
    <w:link w:val="BalloonTextChar"/>
    <w:uiPriority w:val="99"/>
    <w:semiHidden/>
    <w:unhideWhenUsed/>
    <w:rsid w:val="00BC10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107B"/>
    <w:rPr>
      <w:rFonts w:ascii="Segoe UI" w:hAnsi="Segoe UI" w:cs="Segoe UI"/>
      <w:sz w:val="18"/>
      <w:szCs w:val="18"/>
    </w:rPr>
  </w:style>
  <w:style w:type="paragraph" w:styleId="List">
    <w:name w:val="List"/>
    <w:basedOn w:val="Normal"/>
    <w:rsid w:val="00DC4F83"/>
    <w:pPr>
      <w:spacing w:after="0" w:line="240" w:lineRule="auto"/>
      <w:ind w:left="283" w:hanging="283"/>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0A538-6B0B-4182-BD9E-CCA3E5997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9</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2</cp:revision>
  <dcterms:created xsi:type="dcterms:W3CDTF">2018-07-13T13:23:00Z</dcterms:created>
  <dcterms:modified xsi:type="dcterms:W3CDTF">2018-07-13T13:23:00Z</dcterms:modified>
</cp:coreProperties>
</file>