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738D4" w14:textId="3BC81FBA" w:rsidR="00896214" w:rsidRDefault="00896214" w:rsidP="00896214">
      <w:pPr>
        <w:pStyle w:val="Heading1"/>
        <w:rPr>
          <w:rFonts w:ascii="Times New Roman" w:hAnsi="Times New Roman" w:cs="Times New Roman"/>
          <w:spacing w:val="-2"/>
          <w:sz w:val="32"/>
          <w:szCs w:val="32"/>
        </w:rPr>
      </w:pPr>
      <w:bookmarkStart w:id="0" w:name="_Toc211181310"/>
      <w:r>
        <w:rPr>
          <w:rFonts w:ascii="Times New Roman" w:hAnsi="Times New Roman" w:cs="Times New Roman"/>
          <w:sz w:val="32"/>
          <w:szCs w:val="32"/>
        </w:rPr>
        <w:t xml:space="preserve">Programme: </w:t>
      </w:r>
      <w:r w:rsidRPr="00896214">
        <w:rPr>
          <w:rFonts w:ascii="Times New Roman" w:hAnsi="Times New Roman" w:cs="Times New Roman"/>
          <w:sz w:val="32"/>
          <w:szCs w:val="32"/>
        </w:rPr>
        <w:t>BA</w:t>
      </w:r>
      <w:r w:rsidRPr="00896214">
        <w:rPr>
          <w:rFonts w:ascii="Times New Roman" w:hAnsi="Times New Roman" w:cs="Times New Roman"/>
          <w:spacing w:val="-7"/>
          <w:sz w:val="32"/>
          <w:szCs w:val="32"/>
        </w:rPr>
        <w:t xml:space="preserve"> </w:t>
      </w:r>
      <w:r w:rsidRPr="00896214">
        <w:rPr>
          <w:rFonts w:ascii="Times New Roman" w:hAnsi="Times New Roman" w:cs="Times New Roman"/>
          <w:sz w:val="32"/>
          <w:szCs w:val="32"/>
        </w:rPr>
        <w:t>(Hons)</w:t>
      </w:r>
      <w:r w:rsidRPr="00896214">
        <w:rPr>
          <w:rFonts w:ascii="Times New Roman" w:hAnsi="Times New Roman" w:cs="Times New Roman"/>
          <w:spacing w:val="-7"/>
          <w:sz w:val="32"/>
          <w:szCs w:val="32"/>
        </w:rPr>
        <w:t xml:space="preserve"> </w:t>
      </w:r>
      <w:r w:rsidRPr="00896214">
        <w:rPr>
          <w:rFonts w:ascii="Times New Roman" w:hAnsi="Times New Roman" w:cs="Times New Roman"/>
          <w:sz w:val="32"/>
          <w:szCs w:val="32"/>
        </w:rPr>
        <w:t>Leadership</w:t>
      </w:r>
      <w:r w:rsidRPr="00896214">
        <w:rPr>
          <w:rFonts w:ascii="Times New Roman" w:hAnsi="Times New Roman" w:cs="Times New Roman"/>
          <w:spacing w:val="-6"/>
          <w:sz w:val="32"/>
          <w:szCs w:val="32"/>
        </w:rPr>
        <w:t xml:space="preserve"> </w:t>
      </w:r>
      <w:r w:rsidRPr="00896214">
        <w:rPr>
          <w:rFonts w:ascii="Times New Roman" w:hAnsi="Times New Roman" w:cs="Times New Roman"/>
          <w:sz w:val="32"/>
          <w:szCs w:val="32"/>
        </w:rPr>
        <w:t>and</w:t>
      </w:r>
      <w:r w:rsidRPr="00896214">
        <w:rPr>
          <w:rFonts w:ascii="Times New Roman" w:hAnsi="Times New Roman" w:cs="Times New Roman"/>
          <w:spacing w:val="-5"/>
          <w:sz w:val="32"/>
          <w:szCs w:val="32"/>
        </w:rPr>
        <w:t xml:space="preserve"> </w:t>
      </w:r>
      <w:r w:rsidRPr="00896214">
        <w:rPr>
          <w:rFonts w:ascii="Times New Roman" w:hAnsi="Times New Roman" w:cs="Times New Roman"/>
          <w:sz w:val="32"/>
          <w:szCs w:val="32"/>
        </w:rPr>
        <w:t>Management</w:t>
      </w:r>
      <w:r w:rsidRPr="00896214">
        <w:rPr>
          <w:rFonts w:ascii="Times New Roman" w:hAnsi="Times New Roman" w:cs="Times New Roman"/>
          <w:spacing w:val="-7"/>
          <w:sz w:val="32"/>
          <w:szCs w:val="32"/>
        </w:rPr>
        <w:t xml:space="preserve"> </w:t>
      </w:r>
      <w:r w:rsidRPr="00896214">
        <w:rPr>
          <w:rFonts w:ascii="Times New Roman" w:hAnsi="Times New Roman" w:cs="Times New Roman"/>
          <w:sz w:val="32"/>
          <w:szCs w:val="32"/>
        </w:rPr>
        <w:t>Skills</w:t>
      </w:r>
      <w:r w:rsidRPr="00896214">
        <w:rPr>
          <w:rFonts w:ascii="Times New Roman" w:hAnsi="Times New Roman" w:cs="Times New Roman"/>
          <w:spacing w:val="-6"/>
          <w:sz w:val="32"/>
          <w:szCs w:val="32"/>
        </w:rPr>
        <w:t xml:space="preserve"> </w:t>
      </w:r>
      <w:r w:rsidRPr="00896214">
        <w:rPr>
          <w:rFonts w:ascii="Times New Roman" w:hAnsi="Times New Roman" w:cs="Times New Roman"/>
          <w:sz w:val="32"/>
          <w:szCs w:val="32"/>
        </w:rPr>
        <w:t>for</w:t>
      </w:r>
      <w:r w:rsidRPr="00896214">
        <w:rPr>
          <w:rFonts w:ascii="Times New Roman" w:hAnsi="Times New Roman" w:cs="Times New Roman"/>
          <w:spacing w:val="-6"/>
          <w:sz w:val="32"/>
          <w:szCs w:val="32"/>
        </w:rPr>
        <w:t xml:space="preserve"> </w:t>
      </w:r>
      <w:r w:rsidRPr="00896214">
        <w:rPr>
          <w:rFonts w:ascii="Times New Roman" w:hAnsi="Times New Roman" w:cs="Times New Roman"/>
          <w:sz w:val="32"/>
          <w:szCs w:val="32"/>
        </w:rPr>
        <w:t>the</w:t>
      </w:r>
      <w:r w:rsidRPr="00896214">
        <w:rPr>
          <w:rFonts w:ascii="Times New Roman" w:hAnsi="Times New Roman" w:cs="Times New Roman"/>
          <w:spacing w:val="-5"/>
          <w:sz w:val="32"/>
          <w:szCs w:val="32"/>
        </w:rPr>
        <w:t xml:space="preserve"> </w:t>
      </w:r>
      <w:r w:rsidRPr="00896214">
        <w:rPr>
          <w:rFonts w:ascii="Times New Roman" w:hAnsi="Times New Roman" w:cs="Times New Roman"/>
          <w:spacing w:val="-2"/>
          <w:sz w:val="32"/>
          <w:szCs w:val="32"/>
        </w:rPr>
        <w:t>Workplace</w:t>
      </w:r>
      <w:bookmarkEnd w:id="0"/>
    </w:p>
    <w:p w14:paraId="50C38375" w14:textId="77777777" w:rsidR="00896214" w:rsidRDefault="00896214" w:rsidP="00896214">
      <w:pPr>
        <w:rPr>
          <w:lang w:val="en-GB"/>
        </w:rPr>
      </w:pPr>
    </w:p>
    <w:p w14:paraId="793B505B" w14:textId="108960D2" w:rsidR="00896214" w:rsidRDefault="00896214" w:rsidP="00896214">
      <w:pPr>
        <w:rPr>
          <w:rFonts w:ascii="Times New Roman" w:hAnsi="Times New Roman" w:cs="Times New Roman"/>
          <w:sz w:val="28"/>
          <w:szCs w:val="28"/>
          <w:lang w:val="en-GB"/>
        </w:rPr>
      </w:pPr>
      <w:r w:rsidRPr="00896214">
        <w:rPr>
          <w:rFonts w:ascii="Times New Roman" w:hAnsi="Times New Roman" w:cs="Times New Roman"/>
          <w:sz w:val="28"/>
          <w:szCs w:val="28"/>
          <w:lang w:val="en-GB"/>
        </w:rPr>
        <w:t>Module</w:t>
      </w:r>
      <w:r>
        <w:rPr>
          <w:rFonts w:ascii="Times New Roman" w:hAnsi="Times New Roman" w:cs="Times New Roman"/>
          <w:sz w:val="28"/>
          <w:szCs w:val="28"/>
          <w:lang w:val="en-GB"/>
        </w:rPr>
        <w:t xml:space="preserve">: </w:t>
      </w:r>
      <w:r w:rsidRPr="00896214">
        <w:rPr>
          <w:rFonts w:ascii="Times New Roman" w:hAnsi="Times New Roman" w:cs="Times New Roman"/>
          <w:sz w:val="28"/>
          <w:szCs w:val="28"/>
          <w:lang w:val="en-GB"/>
        </w:rPr>
        <w:t>Organisational Culture</w:t>
      </w:r>
    </w:p>
    <w:p w14:paraId="120EDBF6" w14:textId="77777777" w:rsidR="00896214" w:rsidRDefault="00896214" w:rsidP="00896214">
      <w:pPr>
        <w:rPr>
          <w:rFonts w:ascii="Times New Roman" w:hAnsi="Times New Roman" w:cs="Times New Roman"/>
          <w:sz w:val="28"/>
          <w:szCs w:val="28"/>
          <w:lang w:val="en-GB"/>
        </w:rPr>
      </w:pPr>
    </w:p>
    <w:p w14:paraId="6476E127" w14:textId="2B172083" w:rsidR="00896214" w:rsidRDefault="00896214" w:rsidP="00896214">
      <w:pPr>
        <w:rPr>
          <w:rFonts w:ascii="Times New Roman" w:hAnsi="Times New Roman" w:cs="Times New Roman"/>
          <w:sz w:val="28"/>
          <w:szCs w:val="28"/>
          <w:lang w:val="en-GB"/>
        </w:rPr>
      </w:pPr>
      <w:r w:rsidRPr="00896214">
        <w:rPr>
          <w:rFonts w:ascii="Times New Roman" w:hAnsi="Times New Roman" w:cs="Times New Roman"/>
          <w:sz w:val="28"/>
          <w:szCs w:val="28"/>
          <w:lang w:val="en-GB"/>
        </w:rPr>
        <w:t>Module code:</w:t>
      </w:r>
      <w:r>
        <w:rPr>
          <w:rFonts w:ascii="Times New Roman" w:hAnsi="Times New Roman" w:cs="Times New Roman"/>
          <w:sz w:val="28"/>
          <w:szCs w:val="28"/>
          <w:lang w:val="en-GB"/>
        </w:rPr>
        <w:t xml:space="preserve"> </w:t>
      </w:r>
      <w:r w:rsidRPr="00896214">
        <w:rPr>
          <w:rFonts w:ascii="Times New Roman" w:hAnsi="Times New Roman" w:cs="Times New Roman"/>
          <w:sz w:val="28"/>
          <w:szCs w:val="28"/>
          <w:lang w:val="en-GB"/>
        </w:rPr>
        <w:t>LCLM 5005</w:t>
      </w:r>
    </w:p>
    <w:p w14:paraId="0F64631A" w14:textId="77777777" w:rsidR="00896214" w:rsidRDefault="00896214" w:rsidP="00896214">
      <w:pPr>
        <w:rPr>
          <w:rFonts w:ascii="Times New Roman" w:hAnsi="Times New Roman" w:cs="Times New Roman"/>
          <w:sz w:val="28"/>
          <w:szCs w:val="28"/>
          <w:lang w:val="en-GB"/>
        </w:rPr>
      </w:pPr>
    </w:p>
    <w:p w14:paraId="78C10A9B" w14:textId="691A1759" w:rsidR="00896214" w:rsidRDefault="00896214" w:rsidP="00896214">
      <w:pPr>
        <w:rPr>
          <w:rFonts w:ascii="Times New Roman" w:hAnsi="Times New Roman" w:cs="Times New Roman"/>
          <w:sz w:val="28"/>
          <w:szCs w:val="28"/>
          <w:lang w:val="en-GB"/>
        </w:rPr>
      </w:pPr>
      <w:r w:rsidRPr="00896214">
        <w:rPr>
          <w:rFonts w:ascii="Times New Roman" w:hAnsi="Times New Roman" w:cs="Times New Roman"/>
          <w:sz w:val="28"/>
          <w:szCs w:val="28"/>
          <w:lang w:val="en-GB"/>
        </w:rPr>
        <w:t>Module Leader:</w:t>
      </w:r>
      <w:r>
        <w:rPr>
          <w:rFonts w:ascii="Times New Roman" w:hAnsi="Times New Roman" w:cs="Times New Roman"/>
          <w:sz w:val="28"/>
          <w:szCs w:val="28"/>
          <w:lang w:val="en-GB"/>
        </w:rPr>
        <w:t xml:space="preserve"> </w:t>
      </w:r>
      <w:r w:rsidRPr="00896214">
        <w:rPr>
          <w:rFonts w:ascii="Times New Roman" w:hAnsi="Times New Roman" w:cs="Times New Roman"/>
          <w:sz w:val="28"/>
          <w:szCs w:val="28"/>
          <w:lang w:val="en-GB"/>
        </w:rPr>
        <w:t>Rameses Manalang</w:t>
      </w:r>
      <w:r>
        <w:rPr>
          <w:rFonts w:ascii="Times New Roman" w:hAnsi="Times New Roman" w:cs="Times New Roman"/>
          <w:sz w:val="28"/>
          <w:szCs w:val="28"/>
          <w:lang w:val="en-GB"/>
        </w:rPr>
        <w:t xml:space="preserve"> </w:t>
      </w:r>
      <w:r w:rsidRPr="00896214">
        <w:rPr>
          <w:rFonts w:ascii="Times New Roman" w:hAnsi="Times New Roman" w:cs="Times New Roman"/>
          <w:sz w:val="28"/>
          <w:szCs w:val="28"/>
          <w:lang w:val="en-GB"/>
        </w:rPr>
        <w:t>David Oyebisi</w:t>
      </w:r>
    </w:p>
    <w:p w14:paraId="4A1F3248" w14:textId="77777777" w:rsidR="00896214" w:rsidRPr="00896214" w:rsidRDefault="00896214" w:rsidP="00896214">
      <w:pPr>
        <w:rPr>
          <w:rFonts w:ascii="Times New Roman" w:hAnsi="Times New Roman" w:cs="Times New Roman"/>
          <w:sz w:val="28"/>
          <w:szCs w:val="28"/>
          <w:lang w:val="en-GB"/>
        </w:rPr>
      </w:pPr>
    </w:p>
    <w:p w14:paraId="235EE198" w14:textId="0917EECF" w:rsidR="00585E11" w:rsidRDefault="00896214">
      <w:pPr>
        <w:rPr>
          <w:rFonts w:ascii="Times New Roman" w:hAnsi="Times New Roman" w:cs="Times New Roman"/>
          <w:sz w:val="28"/>
          <w:szCs w:val="28"/>
          <w:lang w:val="en-GB"/>
        </w:rPr>
      </w:pPr>
      <w:r>
        <w:rPr>
          <w:rFonts w:ascii="Times New Roman" w:hAnsi="Times New Roman" w:cs="Times New Roman"/>
          <w:sz w:val="28"/>
          <w:szCs w:val="28"/>
          <w:lang w:val="en-GB"/>
        </w:rPr>
        <w:t>Made by: Ariana Gabriela Bonea (2314969)</w:t>
      </w:r>
    </w:p>
    <w:p w14:paraId="5AC3D2E5" w14:textId="77777777" w:rsidR="00896214" w:rsidRDefault="00896214">
      <w:pPr>
        <w:rPr>
          <w:rFonts w:ascii="Times New Roman" w:hAnsi="Times New Roman" w:cs="Times New Roman"/>
          <w:sz w:val="28"/>
          <w:szCs w:val="28"/>
          <w:lang w:val="en-GB"/>
        </w:rPr>
      </w:pPr>
    </w:p>
    <w:p w14:paraId="7FB88170" w14:textId="77777777" w:rsidR="00896214" w:rsidRDefault="00896214">
      <w:pPr>
        <w:rPr>
          <w:rFonts w:ascii="Times New Roman" w:hAnsi="Times New Roman" w:cs="Times New Roman"/>
          <w:sz w:val="28"/>
          <w:szCs w:val="28"/>
          <w:lang w:val="en-GB"/>
        </w:rPr>
      </w:pPr>
    </w:p>
    <w:p w14:paraId="1C35CB53" w14:textId="77777777" w:rsidR="00896214" w:rsidRDefault="00896214">
      <w:pPr>
        <w:rPr>
          <w:rFonts w:ascii="Times New Roman" w:hAnsi="Times New Roman" w:cs="Times New Roman"/>
          <w:sz w:val="28"/>
          <w:szCs w:val="28"/>
          <w:lang w:val="en-GB"/>
        </w:rPr>
      </w:pPr>
    </w:p>
    <w:p w14:paraId="7FDEF44E" w14:textId="77777777" w:rsidR="00896214" w:rsidRDefault="00896214">
      <w:pPr>
        <w:rPr>
          <w:rFonts w:ascii="Times New Roman" w:hAnsi="Times New Roman" w:cs="Times New Roman"/>
          <w:sz w:val="28"/>
          <w:szCs w:val="28"/>
          <w:lang w:val="en-GB"/>
        </w:rPr>
      </w:pPr>
    </w:p>
    <w:p w14:paraId="2803B41F" w14:textId="77777777" w:rsidR="00896214" w:rsidRDefault="00896214">
      <w:pPr>
        <w:rPr>
          <w:rFonts w:ascii="Times New Roman" w:hAnsi="Times New Roman" w:cs="Times New Roman"/>
          <w:sz w:val="28"/>
          <w:szCs w:val="28"/>
          <w:lang w:val="en-GB"/>
        </w:rPr>
      </w:pPr>
    </w:p>
    <w:p w14:paraId="7ACD5CBA" w14:textId="77777777" w:rsidR="00896214" w:rsidRDefault="00896214">
      <w:pPr>
        <w:rPr>
          <w:rFonts w:ascii="Times New Roman" w:hAnsi="Times New Roman" w:cs="Times New Roman"/>
          <w:sz w:val="28"/>
          <w:szCs w:val="28"/>
          <w:lang w:val="en-GB"/>
        </w:rPr>
      </w:pPr>
    </w:p>
    <w:p w14:paraId="37019432" w14:textId="77777777" w:rsidR="00896214" w:rsidRDefault="00896214">
      <w:pPr>
        <w:rPr>
          <w:rFonts w:ascii="Times New Roman" w:hAnsi="Times New Roman" w:cs="Times New Roman"/>
          <w:sz w:val="28"/>
          <w:szCs w:val="28"/>
          <w:lang w:val="en-GB"/>
        </w:rPr>
      </w:pPr>
    </w:p>
    <w:p w14:paraId="3D0AC3A6" w14:textId="77777777" w:rsidR="00896214" w:rsidRDefault="00896214">
      <w:pPr>
        <w:rPr>
          <w:rFonts w:ascii="Times New Roman" w:hAnsi="Times New Roman" w:cs="Times New Roman"/>
          <w:sz w:val="28"/>
          <w:szCs w:val="28"/>
          <w:lang w:val="en-GB"/>
        </w:rPr>
      </w:pPr>
    </w:p>
    <w:p w14:paraId="6BE1803A" w14:textId="77777777" w:rsidR="00896214" w:rsidRDefault="00896214">
      <w:pPr>
        <w:rPr>
          <w:rFonts w:ascii="Times New Roman" w:hAnsi="Times New Roman" w:cs="Times New Roman"/>
          <w:sz w:val="28"/>
          <w:szCs w:val="28"/>
          <w:lang w:val="en-GB"/>
        </w:rPr>
      </w:pPr>
    </w:p>
    <w:p w14:paraId="561A66CC" w14:textId="77777777" w:rsidR="00896214" w:rsidRDefault="00896214">
      <w:pPr>
        <w:rPr>
          <w:rFonts w:ascii="Times New Roman" w:hAnsi="Times New Roman" w:cs="Times New Roman"/>
          <w:sz w:val="28"/>
          <w:szCs w:val="28"/>
          <w:lang w:val="en-GB"/>
        </w:rPr>
      </w:pPr>
    </w:p>
    <w:p w14:paraId="21DDA30A" w14:textId="77777777" w:rsidR="00896214" w:rsidRDefault="00896214">
      <w:pPr>
        <w:rPr>
          <w:rFonts w:ascii="Times New Roman" w:hAnsi="Times New Roman" w:cs="Times New Roman"/>
          <w:sz w:val="28"/>
          <w:szCs w:val="28"/>
          <w:lang w:val="en-GB"/>
        </w:rPr>
      </w:pPr>
    </w:p>
    <w:p w14:paraId="650FAD54" w14:textId="77777777" w:rsidR="00896214" w:rsidRDefault="00896214">
      <w:pPr>
        <w:rPr>
          <w:rFonts w:ascii="Times New Roman" w:hAnsi="Times New Roman" w:cs="Times New Roman"/>
          <w:sz w:val="28"/>
          <w:szCs w:val="28"/>
          <w:lang w:val="en-GB"/>
        </w:rPr>
      </w:pPr>
    </w:p>
    <w:p w14:paraId="394216C2" w14:textId="77777777" w:rsidR="00896214" w:rsidRDefault="00896214">
      <w:pPr>
        <w:rPr>
          <w:rFonts w:ascii="Times New Roman" w:hAnsi="Times New Roman" w:cs="Times New Roman"/>
          <w:sz w:val="28"/>
          <w:szCs w:val="28"/>
          <w:lang w:val="en-GB"/>
        </w:rPr>
      </w:pPr>
    </w:p>
    <w:p w14:paraId="58B6F70A" w14:textId="77777777" w:rsidR="00896214" w:rsidRDefault="00896214">
      <w:pPr>
        <w:rPr>
          <w:rFonts w:ascii="Times New Roman" w:hAnsi="Times New Roman" w:cs="Times New Roman"/>
          <w:sz w:val="28"/>
          <w:szCs w:val="28"/>
          <w:lang w:val="en-GB"/>
        </w:rPr>
      </w:pPr>
    </w:p>
    <w:p w14:paraId="188DB51A" w14:textId="77777777" w:rsidR="00896214" w:rsidRDefault="00896214">
      <w:pPr>
        <w:rPr>
          <w:rFonts w:ascii="Times New Roman" w:hAnsi="Times New Roman" w:cs="Times New Roman"/>
          <w:sz w:val="28"/>
          <w:szCs w:val="28"/>
          <w:lang w:val="en-GB"/>
        </w:rPr>
      </w:pPr>
    </w:p>
    <w:p w14:paraId="5971AFF9" w14:textId="77777777" w:rsidR="00896214" w:rsidRDefault="00896214">
      <w:pPr>
        <w:rPr>
          <w:rFonts w:ascii="Times New Roman" w:hAnsi="Times New Roman" w:cs="Times New Roman"/>
          <w:sz w:val="28"/>
          <w:szCs w:val="28"/>
          <w:lang w:val="en-GB"/>
        </w:rPr>
      </w:pPr>
    </w:p>
    <w:p w14:paraId="2819DD40" w14:textId="77777777" w:rsidR="00896214" w:rsidRDefault="00896214">
      <w:pPr>
        <w:rPr>
          <w:rFonts w:ascii="Times New Roman" w:hAnsi="Times New Roman" w:cs="Times New Roman"/>
          <w:sz w:val="28"/>
          <w:szCs w:val="28"/>
          <w:lang w:val="en-GB"/>
        </w:rPr>
      </w:pPr>
    </w:p>
    <w:p w14:paraId="39788F73" w14:textId="77777777" w:rsidR="00896214" w:rsidRDefault="00896214">
      <w:pPr>
        <w:rPr>
          <w:rFonts w:ascii="Times New Roman" w:hAnsi="Times New Roman" w:cs="Times New Roman"/>
          <w:sz w:val="28"/>
          <w:szCs w:val="28"/>
          <w:lang w:val="en-GB"/>
        </w:rPr>
      </w:pPr>
    </w:p>
    <w:p w14:paraId="3C99D306" w14:textId="77777777" w:rsidR="00896214" w:rsidRDefault="00896214">
      <w:pPr>
        <w:rPr>
          <w:rFonts w:ascii="Times New Roman" w:hAnsi="Times New Roman" w:cs="Times New Roman"/>
          <w:sz w:val="28"/>
          <w:szCs w:val="28"/>
          <w:lang w:val="en-GB"/>
        </w:rPr>
      </w:pPr>
    </w:p>
    <w:p w14:paraId="0CFD1246" w14:textId="77777777" w:rsidR="00896214" w:rsidRDefault="00896214">
      <w:pPr>
        <w:rPr>
          <w:rFonts w:ascii="Times New Roman" w:hAnsi="Times New Roman" w:cs="Times New Roman"/>
          <w:sz w:val="28"/>
          <w:szCs w:val="28"/>
          <w:lang w:val="en-GB"/>
        </w:rPr>
      </w:pPr>
    </w:p>
    <w:p w14:paraId="5D9EC696" w14:textId="77777777" w:rsidR="00896214" w:rsidRDefault="00896214">
      <w:pPr>
        <w:rPr>
          <w:rFonts w:ascii="Times New Roman" w:hAnsi="Times New Roman" w:cs="Times New Roman"/>
          <w:sz w:val="28"/>
          <w:szCs w:val="28"/>
          <w:lang w:val="en-GB"/>
        </w:rPr>
      </w:pPr>
    </w:p>
    <w:p w14:paraId="2AD0F672" w14:textId="77777777" w:rsidR="00896214" w:rsidRDefault="00896214">
      <w:pPr>
        <w:rPr>
          <w:rFonts w:ascii="Times New Roman" w:hAnsi="Times New Roman" w:cs="Times New Roman"/>
          <w:sz w:val="28"/>
          <w:szCs w:val="28"/>
          <w:lang w:val="en-GB"/>
        </w:rPr>
      </w:pPr>
    </w:p>
    <w:p w14:paraId="53D4CBA6" w14:textId="77777777" w:rsidR="00896214" w:rsidRDefault="00896214">
      <w:pPr>
        <w:rPr>
          <w:rFonts w:ascii="Times New Roman" w:hAnsi="Times New Roman" w:cs="Times New Roman"/>
          <w:sz w:val="28"/>
          <w:szCs w:val="28"/>
          <w:lang w:val="en-GB"/>
        </w:rPr>
      </w:pPr>
    </w:p>
    <w:p w14:paraId="71136098" w14:textId="77777777" w:rsidR="00896214" w:rsidRDefault="00896214">
      <w:pPr>
        <w:rPr>
          <w:rFonts w:ascii="Times New Roman" w:hAnsi="Times New Roman" w:cs="Times New Roman"/>
          <w:sz w:val="28"/>
          <w:szCs w:val="28"/>
          <w:lang w:val="en-GB"/>
        </w:rPr>
      </w:pPr>
    </w:p>
    <w:p w14:paraId="7CD96AAF" w14:textId="77777777" w:rsidR="00896214" w:rsidRDefault="00896214">
      <w:pPr>
        <w:rPr>
          <w:rFonts w:ascii="Times New Roman" w:hAnsi="Times New Roman" w:cs="Times New Roman"/>
          <w:sz w:val="28"/>
          <w:szCs w:val="28"/>
          <w:lang w:val="en-GB"/>
        </w:rPr>
      </w:pPr>
    </w:p>
    <w:p w14:paraId="6B636CA0" w14:textId="77777777" w:rsidR="00896214" w:rsidRDefault="00896214">
      <w:pPr>
        <w:rPr>
          <w:rFonts w:ascii="Times New Roman" w:hAnsi="Times New Roman" w:cs="Times New Roman"/>
          <w:sz w:val="28"/>
          <w:szCs w:val="28"/>
          <w:lang w:val="en-GB"/>
        </w:rPr>
      </w:pPr>
    </w:p>
    <w:p w14:paraId="3EDAB893" w14:textId="77777777" w:rsidR="00896214" w:rsidRDefault="00896214">
      <w:pPr>
        <w:rPr>
          <w:rFonts w:ascii="Times New Roman" w:hAnsi="Times New Roman" w:cs="Times New Roman"/>
          <w:sz w:val="28"/>
          <w:szCs w:val="28"/>
          <w:lang w:val="en-GB"/>
        </w:rPr>
      </w:pPr>
    </w:p>
    <w:p w14:paraId="3CD7926F" w14:textId="77777777" w:rsidR="00896214" w:rsidRDefault="00896214">
      <w:pPr>
        <w:rPr>
          <w:rFonts w:ascii="Times New Roman" w:hAnsi="Times New Roman" w:cs="Times New Roman"/>
          <w:sz w:val="28"/>
          <w:szCs w:val="28"/>
          <w:lang w:val="en-GB"/>
        </w:rPr>
      </w:pPr>
    </w:p>
    <w:p w14:paraId="2CE9C5B4" w14:textId="77777777" w:rsidR="00896214" w:rsidRDefault="00896214">
      <w:pPr>
        <w:rPr>
          <w:rFonts w:ascii="Times New Roman" w:hAnsi="Times New Roman" w:cs="Times New Roman"/>
          <w:sz w:val="28"/>
          <w:szCs w:val="28"/>
          <w:lang w:val="en-GB"/>
        </w:rPr>
      </w:pPr>
    </w:p>
    <w:p w14:paraId="3266D073" w14:textId="77777777" w:rsidR="00896214" w:rsidRDefault="00896214">
      <w:pPr>
        <w:rPr>
          <w:rFonts w:ascii="Times New Roman" w:hAnsi="Times New Roman" w:cs="Times New Roman"/>
          <w:sz w:val="28"/>
          <w:szCs w:val="28"/>
          <w:lang w:val="en-GB"/>
        </w:rPr>
      </w:pPr>
    </w:p>
    <w:p w14:paraId="349F5CD9" w14:textId="77777777" w:rsidR="00896214" w:rsidRDefault="00896214">
      <w:pPr>
        <w:rPr>
          <w:rFonts w:ascii="Times New Roman" w:hAnsi="Times New Roman" w:cs="Times New Roman"/>
          <w:sz w:val="28"/>
          <w:szCs w:val="28"/>
          <w:lang w:val="en-GB"/>
        </w:rPr>
      </w:pPr>
    </w:p>
    <w:p w14:paraId="53505244" w14:textId="603970F1" w:rsidR="00896214" w:rsidRDefault="00896214" w:rsidP="00896214">
      <w:pPr>
        <w:jc w:val="center"/>
        <w:rPr>
          <w:rFonts w:ascii="Times New Roman" w:hAnsi="Times New Roman" w:cs="Times New Roman"/>
          <w:sz w:val="28"/>
          <w:szCs w:val="28"/>
          <w:lang w:val="en-GB"/>
        </w:rPr>
      </w:pPr>
      <w:r>
        <w:rPr>
          <w:rFonts w:ascii="Times New Roman" w:hAnsi="Times New Roman" w:cs="Times New Roman"/>
          <w:sz w:val="28"/>
          <w:szCs w:val="28"/>
          <w:lang w:val="en-GB"/>
        </w:rPr>
        <w:lastRenderedPageBreak/>
        <w:t>TABLE OF CONTENTS</w:t>
      </w:r>
    </w:p>
    <w:p w14:paraId="4A46603A" w14:textId="77777777" w:rsidR="00896214" w:rsidRDefault="00896214" w:rsidP="00896214">
      <w:pPr>
        <w:jc w:val="center"/>
        <w:rPr>
          <w:rFonts w:ascii="Times New Roman" w:hAnsi="Times New Roman" w:cs="Times New Roman"/>
          <w:sz w:val="28"/>
          <w:szCs w:val="28"/>
          <w:lang w:val="en-GB"/>
        </w:rPr>
      </w:pPr>
    </w:p>
    <w:p w14:paraId="09A62992" w14:textId="77777777" w:rsidR="00896214" w:rsidRDefault="00896214" w:rsidP="00896214">
      <w:pPr>
        <w:jc w:val="center"/>
        <w:rPr>
          <w:rFonts w:ascii="Times New Roman" w:hAnsi="Times New Roman" w:cs="Times New Roman"/>
          <w:sz w:val="28"/>
          <w:szCs w:val="28"/>
          <w:lang w:val="en-GB"/>
        </w:rPr>
      </w:pPr>
    </w:p>
    <w:p w14:paraId="714F1882" w14:textId="77777777" w:rsidR="00896214" w:rsidRDefault="00896214" w:rsidP="00896214">
      <w:pPr>
        <w:jc w:val="center"/>
        <w:rPr>
          <w:rFonts w:ascii="Times New Roman" w:hAnsi="Times New Roman" w:cs="Times New Roman"/>
          <w:sz w:val="28"/>
          <w:szCs w:val="28"/>
          <w:lang w:val="en-GB"/>
        </w:rPr>
      </w:pPr>
    </w:p>
    <w:p w14:paraId="09CD4DDB" w14:textId="77777777" w:rsidR="00896214" w:rsidRDefault="00896214" w:rsidP="00896214">
      <w:pPr>
        <w:jc w:val="center"/>
        <w:rPr>
          <w:rFonts w:ascii="Times New Roman" w:hAnsi="Times New Roman" w:cs="Times New Roman"/>
          <w:sz w:val="28"/>
          <w:szCs w:val="28"/>
          <w:lang w:val="en-GB"/>
        </w:rPr>
      </w:pPr>
    </w:p>
    <w:p w14:paraId="73012C33" w14:textId="77777777" w:rsidR="00896214" w:rsidRDefault="00896214" w:rsidP="00896214">
      <w:pPr>
        <w:jc w:val="center"/>
        <w:rPr>
          <w:rFonts w:ascii="Times New Roman" w:hAnsi="Times New Roman" w:cs="Times New Roman"/>
          <w:sz w:val="28"/>
          <w:szCs w:val="28"/>
          <w:lang w:val="en-GB"/>
        </w:rPr>
      </w:pPr>
    </w:p>
    <w:p w14:paraId="7ED3EE4D" w14:textId="77777777" w:rsidR="00896214" w:rsidRDefault="00896214" w:rsidP="00896214">
      <w:pPr>
        <w:jc w:val="center"/>
        <w:rPr>
          <w:rFonts w:ascii="Times New Roman" w:hAnsi="Times New Roman" w:cs="Times New Roman"/>
          <w:sz w:val="28"/>
          <w:szCs w:val="28"/>
          <w:lang w:val="en-GB"/>
        </w:rPr>
      </w:pPr>
    </w:p>
    <w:p w14:paraId="325989C2" w14:textId="77777777" w:rsidR="00896214" w:rsidRDefault="00896214" w:rsidP="00896214">
      <w:pPr>
        <w:jc w:val="center"/>
        <w:rPr>
          <w:rFonts w:ascii="Times New Roman" w:hAnsi="Times New Roman" w:cs="Times New Roman"/>
          <w:sz w:val="28"/>
          <w:szCs w:val="28"/>
          <w:lang w:val="en-GB"/>
        </w:rPr>
      </w:pPr>
    </w:p>
    <w:p w14:paraId="08270C22" w14:textId="77777777" w:rsidR="00896214" w:rsidRDefault="00896214" w:rsidP="00896214">
      <w:pPr>
        <w:jc w:val="center"/>
        <w:rPr>
          <w:rFonts w:ascii="Times New Roman" w:hAnsi="Times New Roman" w:cs="Times New Roman"/>
          <w:sz w:val="28"/>
          <w:szCs w:val="28"/>
          <w:lang w:val="en-GB"/>
        </w:rPr>
      </w:pPr>
    </w:p>
    <w:p w14:paraId="42B72849" w14:textId="77777777" w:rsidR="00896214" w:rsidRDefault="00896214" w:rsidP="00896214">
      <w:pPr>
        <w:jc w:val="center"/>
        <w:rPr>
          <w:rFonts w:ascii="Times New Roman" w:hAnsi="Times New Roman" w:cs="Times New Roman"/>
          <w:sz w:val="28"/>
          <w:szCs w:val="28"/>
          <w:lang w:val="en-GB"/>
        </w:rPr>
      </w:pPr>
    </w:p>
    <w:sdt>
      <w:sdtPr>
        <w:id w:val="-639965219"/>
        <w:docPartObj>
          <w:docPartGallery w:val="Table of Contents"/>
          <w:docPartUnique/>
        </w:docPartObj>
      </w:sdtPr>
      <w:sdtEndPr>
        <w:rPr>
          <w:rFonts w:ascii="Arial" w:eastAsia="Arial" w:hAnsi="Arial" w:cs="Arial"/>
          <w:b/>
          <w:bCs/>
          <w:color w:val="auto"/>
          <w:sz w:val="22"/>
          <w:szCs w:val="22"/>
          <w:lang w:val="en-US" w:eastAsia="en-US"/>
        </w:rPr>
      </w:sdtEndPr>
      <w:sdtContent>
        <w:p w14:paraId="69F04DED" w14:textId="26858FE2" w:rsidR="009322E6" w:rsidRDefault="009322E6">
          <w:pPr>
            <w:pStyle w:val="TOCHeading"/>
          </w:pPr>
          <w:r>
            <w:t>Table of Contents</w:t>
          </w:r>
        </w:p>
        <w:p w14:paraId="4357001F" w14:textId="51F5FB46"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1181310" w:history="1">
            <w:r w:rsidRPr="00012E9E">
              <w:rPr>
                <w:rStyle w:val="Hyperlink"/>
                <w:rFonts w:ascii="Times New Roman" w:hAnsi="Times New Roman" w:cs="Times New Roman"/>
                <w:noProof/>
              </w:rPr>
              <w:t>Programme: BA</w:t>
            </w:r>
            <w:r w:rsidRPr="00012E9E">
              <w:rPr>
                <w:rStyle w:val="Hyperlink"/>
                <w:rFonts w:ascii="Times New Roman" w:hAnsi="Times New Roman" w:cs="Times New Roman"/>
                <w:noProof/>
                <w:spacing w:val="-7"/>
              </w:rPr>
              <w:t xml:space="preserve"> </w:t>
            </w:r>
            <w:r w:rsidRPr="00012E9E">
              <w:rPr>
                <w:rStyle w:val="Hyperlink"/>
                <w:rFonts w:ascii="Times New Roman" w:hAnsi="Times New Roman" w:cs="Times New Roman"/>
                <w:noProof/>
              </w:rPr>
              <w:t>(Hons)</w:t>
            </w:r>
            <w:r w:rsidRPr="00012E9E">
              <w:rPr>
                <w:rStyle w:val="Hyperlink"/>
                <w:rFonts w:ascii="Times New Roman" w:hAnsi="Times New Roman" w:cs="Times New Roman"/>
                <w:noProof/>
                <w:spacing w:val="-7"/>
              </w:rPr>
              <w:t xml:space="preserve"> </w:t>
            </w:r>
            <w:r w:rsidRPr="00012E9E">
              <w:rPr>
                <w:rStyle w:val="Hyperlink"/>
                <w:rFonts w:ascii="Times New Roman" w:hAnsi="Times New Roman" w:cs="Times New Roman"/>
                <w:noProof/>
              </w:rPr>
              <w:t>Leadership</w:t>
            </w:r>
            <w:r w:rsidRPr="00012E9E">
              <w:rPr>
                <w:rStyle w:val="Hyperlink"/>
                <w:rFonts w:ascii="Times New Roman" w:hAnsi="Times New Roman" w:cs="Times New Roman"/>
                <w:noProof/>
                <w:spacing w:val="-6"/>
              </w:rPr>
              <w:t xml:space="preserve"> </w:t>
            </w:r>
            <w:r w:rsidRPr="00012E9E">
              <w:rPr>
                <w:rStyle w:val="Hyperlink"/>
                <w:rFonts w:ascii="Times New Roman" w:hAnsi="Times New Roman" w:cs="Times New Roman"/>
                <w:noProof/>
              </w:rPr>
              <w:t>and</w:t>
            </w:r>
            <w:r w:rsidRPr="00012E9E">
              <w:rPr>
                <w:rStyle w:val="Hyperlink"/>
                <w:rFonts w:ascii="Times New Roman" w:hAnsi="Times New Roman" w:cs="Times New Roman"/>
                <w:noProof/>
                <w:spacing w:val="-5"/>
              </w:rPr>
              <w:t xml:space="preserve"> </w:t>
            </w:r>
            <w:r w:rsidRPr="00012E9E">
              <w:rPr>
                <w:rStyle w:val="Hyperlink"/>
                <w:rFonts w:ascii="Times New Roman" w:hAnsi="Times New Roman" w:cs="Times New Roman"/>
                <w:noProof/>
              </w:rPr>
              <w:t>Management</w:t>
            </w:r>
            <w:r w:rsidRPr="00012E9E">
              <w:rPr>
                <w:rStyle w:val="Hyperlink"/>
                <w:rFonts w:ascii="Times New Roman" w:hAnsi="Times New Roman" w:cs="Times New Roman"/>
                <w:noProof/>
                <w:spacing w:val="-7"/>
              </w:rPr>
              <w:t xml:space="preserve"> </w:t>
            </w:r>
            <w:r w:rsidRPr="00012E9E">
              <w:rPr>
                <w:rStyle w:val="Hyperlink"/>
                <w:rFonts w:ascii="Times New Roman" w:hAnsi="Times New Roman" w:cs="Times New Roman"/>
                <w:noProof/>
              </w:rPr>
              <w:t>Skills</w:t>
            </w:r>
            <w:r w:rsidRPr="00012E9E">
              <w:rPr>
                <w:rStyle w:val="Hyperlink"/>
                <w:rFonts w:ascii="Times New Roman" w:hAnsi="Times New Roman" w:cs="Times New Roman"/>
                <w:noProof/>
                <w:spacing w:val="-6"/>
              </w:rPr>
              <w:t xml:space="preserve"> </w:t>
            </w:r>
            <w:r w:rsidRPr="00012E9E">
              <w:rPr>
                <w:rStyle w:val="Hyperlink"/>
                <w:rFonts w:ascii="Times New Roman" w:hAnsi="Times New Roman" w:cs="Times New Roman"/>
                <w:noProof/>
              </w:rPr>
              <w:t>for</w:t>
            </w:r>
            <w:r w:rsidRPr="00012E9E">
              <w:rPr>
                <w:rStyle w:val="Hyperlink"/>
                <w:rFonts w:ascii="Times New Roman" w:hAnsi="Times New Roman" w:cs="Times New Roman"/>
                <w:noProof/>
                <w:spacing w:val="-6"/>
              </w:rPr>
              <w:t xml:space="preserve"> </w:t>
            </w:r>
            <w:r w:rsidRPr="00012E9E">
              <w:rPr>
                <w:rStyle w:val="Hyperlink"/>
                <w:rFonts w:ascii="Times New Roman" w:hAnsi="Times New Roman" w:cs="Times New Roman"/>
                <w:noProof/>
              </w:rPr>
              <w:t>the</w:t>
            </w:r>
            <w:r w:rsidRPr="00012E9E">
              <w:rPr>
                <w:rStyle w:val="Hyperlink"/>
                <w:rFonts w:ascii="Times New Roman" w:hAnsi="Times New Roman" w:cs="Times New Roman"/>
                <w:noProof/>
                <w:spacing w:val="-5"/>
              </w:rPr>
              <w:t xml:space="preserve"> </w:t>
            </w:r>
            <w:r w:rsidRPr="00012E9E">
              <w:rPr>
                <w:rStyle w:val="Hyperlink"/>
                <w:rFonts w:ascii="Times New Roman" w:hAnsi="Times New Roman" w:cs="Times New Roman"/>
                <w:noProof/>
                <w:spacing w:val="-2"/>
              </w:rPr>
              <w:t>Workplace</w:t>
            </w:r>
            <w:r>
              <w:rPr>
                <w:noProof/>
                <w:webHidden/>
              </w:rPr>
              <w:tab/>
            </w:r>
            <w:r>
              <w:rPr>
                <w:noProof/>
                <w:webHidden/>
              </w:rPr>
              <w:fldChar w:fldCharType="begin"/>
            </w:r>
            <w:r>
              <w:rPr>
                <w:noProof/>
                <w:webHidden/>
              </w:rPr>
              <w:instrText xml:space="preserve"> PAGEREF _Toc211181310 \h </w:instrText>
            </w:r>
            <w:r>
              <w:rPr>
                <w:noProof/>
                <w:webHidden/>
              </w:rPr>
            </w:r>
            <w:r>
              <w:rPr>
                <w:noProof/>
                <w:webHidden/>
              </w:rPr>
              <w:fldChar w:fldCharType="separate"/>
            </w:r>
            <w:r>
              <w:rPr>
                <w:noProof/>
                <w:webHidden/>
              </w:rPr>
              <w:t>1</w:t>
            </w:r>
            <w:r>
              <w:rPr>
                <w:noProof/>
                <w:webHidden/>
              </w:rPr>
              <w:fldChar w:fldCharType="end"/>
            </w:r>
          </w:hyperlink>
        </w:p>
        <w:p w14:paraId="7BAC8E28" w14:textId="248DA3FD"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1" w:history="1">
            <w:r w:rsidRPr="00012E9E">
              <w:rPr>
                <w:rStyle w:val="Hyperlink"/>
                <w:rFonts w:eastAsia="Times New Roman"/>
                <w:noProof/>
                <w:lang w:val="en-GB" w:eastAsia="en-GB"/>
              </w:rPr>
              <w:t>Introduction</w:t>
            </w:r>
            <w:r>
              <w:rPr>
                <w:noProof/>
                <w:webHidden/>
              </w:rPr>
              <w:tab/>
            </w:r>
            <w:r>
              <w:rPr>
                <w:noProof/>
                <w:webHidden/>
              </w:rPr>
              <w:fldChar w:fldCharType="begin"/>
            </w:r>
            <w:r>
              <w:rPr>
                <w:noProof/>
                <w:webHidden/>
              </w:rPr>
              <w:instrText xml:space="preserve"> PAGEREF _Toc211181311 \h </w:instrText>
            </w:r>
            <w:r>
              <w:rPr>
                <w:noProof/>
                <w:webHidden/>
              </w:rPr>
            </w:r>
            <w:r>
              <w:rPr>
                <w:noProof/>
                <w:webHidden/>
              </w:rPr>
              <w:fldChar w:fldCharType="separate"/>
            </w:r>
            <w:r>
              <w:rPr>
                <w:noProof/>
                <w:webHidden/>
              </w:rPr>
              <w:t>3</w:t>
            </w:r>
            <w:r>
              <w:rPr>
                <w:noProof/>
                <w:webHidden/>
              </w:rPr>
              <w:fldChar w:fldCharType="end"/>
            </w:r>
          </w:hyperlink>
        </w:p>
        <w:p w14:paraId="25D6A020" w14:textId="63B73059"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2" w:history="1">
            <w:r w:rsidRPr="00012E9E">
              <w:rPr>
                <w:rStyle w:val="Hyperlink"/>
                <w:rFonts w:eastAsia="Times New Roman"/>
                <w:noProof/>
                <w:lang w:val="en-GB" w:eastAsia="en-GB"/>
              </w:rPr>
              <w:t>How Organisational Culture Shapes Structure and Decision-Making at Toyota</w:t>
            </w:r>
            <w:r>
              <w:rPr>
                <w:noProof/>
                <w:webHidden/>
              </w:rPr>
              <w:tab/>
            </w:r>
            <w:r>
              <w:rPr>
                <w:noProof/>
                <w:webHidden/>
              </w:rPr>
              <w:fldChar w:fldCharType="begin"/>
            </w:r>
            <w:r>
              <w:rPr>
                <w:noProof/>
                <w:webHidden/>
              </w:rPr>
              <w:instrText xml:space="preserve"> PAGEREF _Toc211181312 \h </w:instrText>
            </w:r>
            <w:r>
              <w:rPr>
                <w:noProof/>
                <w:webHidden/>
              </w:rPr>
            </w:r>
            <w:r>
              <w:rPr>
                <w:noProof/>
                <w:webHidden/>
              </w:rPr>
              <w:fldChar w:fldCharType="separate"/>
            </w:r>
            <w:r>
              <w:rPr>
                <w:noProof/>
                <w:webHidden/>
              </w:rPr>
              <w:t>4</w:t>
            </w:r>
            <w:r>
              <w:rPr>
                <w:noProof/>
                <w:webHidden/>
              </w:rPr>
              <w:fldChar w:fldCharType="end"/>
            </w:r>
          </w:hyperlink>
        </w:p>
        <w:p w14:paraId="35C9AE63" w14:textId="31D5D452"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3" w:history="1">
            <w:r w:rsidRPr="00012E9E">
              <w:rPr>
                <w:rStyle w:val="Hyperlink"/>
                <w:noProof/>
                <w:lang w:val="en-GB" w:eastAsia="en-GB"/>
              </w:rPr>
              <w:t>Decision-making practices shaped by culture</w:t>
            </w:r>
            <w:r>
              <w:rPr>
                <w:noProof/>
                <w:webHidden/>
              </w:rPr>
              <w:tab/>
            </w:r>
            <w:r>
              <w:rPr>
                <w:noProof/>
                <w:webHidden/>
              </w:rPr>
              <w:fldChar w:fldCharType="begin"/>
            </w:r>
            <w:r>
              <w:rPr>
                <w:noProof/>
                <w:webHidden/>
              </w:rPr>
              <w:instrText xml:space="preserve"> PAGEREF _Toc211181313 \h </w:instrText>
            </w:r>
            <w:r>
              <w:rPr>
                <w:noProof/>
                <w:webHidden/>
              </w:rPr>
            </w:r>
            <w:r>
              <w:rPr>
                <w:noProof/>
                <w:webHidden/>
              </w:rPr>
              <w:fldChar w:fldCharType="separate"/>
            </w:r>
            <w:r>
              <w:rPr>
                <w:noProof/>
                <w:webHidden/>
              </w:rPr>
              <w:t>4</w:t>
            </w:r>
            <w:r>
              <w:rPr>
                <w:noProof/>
                <w:webHidden/>
              </w:rPr>
              <w:fldChar w:fldCharType="end"/>
            </w:r>
          </w:hyperlink>
        </w:p>
        <w:p w14:paraId="1533DFBD" w14:textId="54A46DEA"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4" w:history="1">
            <w:r w:rsidRPr="00012E9E">
              <w:rPr>
                <w:rStyle w:val="Hyperlink"/>
                <w:rFonts w:eastAsia="Times New Roman"/>
                <w:b/>
                <w:bCs/>
                <w:noProof/>
                <w:lang w:val="en-GB" w:eastAsia="en-GB"/>
              </w:rPr>
              <w:t>Schein’s Levels</w:t>
            </w:r>
            <w:r>
              <w:rPr>
                <w:noProof/>
                <w:webHidden/>
              </w:rPr>
              <w:tab/>
            </w:r>
            <w:r>
              <w:rPr>
                <w:noProof/>
                <w:webHidden/>
              </w:rPr>
              <w:fldChar w:fldCharType="begin"/>
            </w:r>
            <w:r>
              <w:rPr>
                <w:noProof/>
                <w:webHidden/>
              </w:rPr>
              <w:instrText xml:space="preserve"> PAGEREF _Toc211181314 \h </w:instrText>
            </w:r>
            <w:r>
              <w:rPr>
                <w:noProof/>
                <w:webHidden/>
              </w:rPr>
            </w:r>
            <w:r>
              <w:rPr>
                <w:noProof/>
                <w:webHidden/>
              </w:rPr>
              <w:fldChar w:fldCharType="separate"/>
            </w:r>
            <w:r>
              <w:rPr>
                <w:noProof/>
                <w:webHidden/>
              </w:rPr>
              <w:t>5</w:t>
            </w:r>
            <w:r>
              <w:rPr>
                <w:noProof/>
                <w:webHidden/>
              </w:rPr>
              <w:fldChar w:fldCharType="end"/>
            </w:r>
          </w:hyperlink>
        </w:p>
        <w:p w14:paraId="021B0BFD" w14:textId="47B28D2C"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5" w:history="1">
            <w:r w:rsidRPr="00012E9E">
              <w:rPr>
                <w:rStyle w:val="Hyperlink"/>
                <w:rFonts w:eastAsia="Times New Roman"/>
                <w:noProof/>
                <w:lang w:val="en-GB" w:eastAsia="en-GB"/>
              </w:rPr>
              <w:t>Handy’s Cultural Types</w:t>
            </w:r>
            <w:r>
              <w:rPr>
                <w:noProof/>
                <w:webHidden/>
              </w:rPr>
              <w:tab/>
            </w:r>
            <w:r>
              <w:rPr>
                <w:noProof/>
                <w:webHidden/>
              </w:rPr>
              <w:fldChar w:fldCharType="begin"/>
            </w:r>
            <w:r>
              <w:rPr>
                <w:noProof/>
                <w:webHidden/>
              </w:rPr>
              <w:instrText xml:space="preserve"> PAGEREF _Toc211181315 \h </w:instrText>
            </w:r>
            <w:r>
              <w:rPr>
                <w:noProof/>
                <w:webHidden/>
              </w:rPr>
            </w:r>
            <w:r>
              <w:rPr>
                <w:noProof/>
                <w:webHidden/>
              </w:rPr>
              <w:fldChar w:fldCharType="separate"/>
            </w:r>
            <w:r>
              <w:rPr>
                <w:noProof/>
                <w:webHidden/>
              </w:rPr>
              <w:t>6</w:t>
            </w:r>
            <w:r>
              <w:rPr>
                <w:noProof/>
                <w:webHidden/>
              </w:rPr>
              <w:fldChar w:fldCharType="end"/>
            </w:r>
          </w:hyperlink>
        </w:p>
        <w:p w14:paraId="62A79078" w14:textId="250FA988"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6" w:history="1">
            <w:r w:rsidRPr="00012E9E">
              <w:rPr>
                <w:rStyle w:val="Hyperlink"/>
                <w:rFonts w:eastAsia="Times New Roman"/>
                <w:noProof/>
                <w:lang w:val="en-GB" w:eastAsia="en-GB"/>
              </w:rPr>
              <w:t>Other relevant models</w:t>
            </w:r>
            <w:r>
              <w:rPr>
                <w:noProof/>
                <w:webHidden/>
              </w:rPr>
              <w:tab/>
            </w:r>
            <w:r>
              <w:rPr>
                <w:noProof/>
                <w:webHidden/>
              </w:rPr>
              <w:fldChar w:fldCharType="begin"/>
            </w:r>
            <w:r>
              <w:rPr>
                <w:noProof/>
                <w:webHidden/>
              </w:rPr>
              <w:instrText xml:space="preserve"> PAGEREF _Toc211181316 \h </w:instrText>
            </w:r>
            <w:r>
              <w:rPr>
                <w:noProof/>
                <w:webHidden/>
              </w:rPr>
            </w:r>
            <w:r>
              <w:rPr>
                <w:noProof/>
                <w:webHidden/>
              </w:rPr>
              <w:fldChar w:fldCharType="separate"/>
            </w:r>
            <w:r>
              <w:rPr>
                <w:noProof/>
                <w:webHidden/>
              </w:rPr>
              <w:t>6</w:t>
            </w:r>
            <w:r>
              <w:rPr>
                <w:noProof/>
                <w:webHidden/>
              </w:rPr>
              <w:fldChar w:fldCharType="end"/>
            </w:r>
          </w:hyperlink>
        </w:p>
        <w:p w14:paraId="515E4833" w14:textId="2329B783"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7" w:history="1">
            <w:r w:rsidRPr="00012E9E">
              <w:rPr>
                <w:rStyle w:val="Hyperlink"/>
                <w:noProof/>
                <w:lang w:val="en-GB" w:eastAsia="en-GB"/>
              </w:rPr>
              <w:t>How Toyota Uses Its Organisational Culture to Adapt to the External Environment</w:t>
            </w:r>
            <w:r>
              <w:rPr>
                <w:noProof/>
                <w:webHidden/>
              </w:rPr>
              <w:tab/>
            </w:r>
            <w:r>
              <w:rPr>
                <w:noProof/>
                <w:webHidden/>
              </w:rPr>
              <w:fldChar w:fldCharType="begin"/>
            </w:r>
            <w:r>
              <w:rPr>
                <w:noProof/>
                <w:webHidden/>
              </w:rPr>
              <w:instrText xml:space="preserve"> PAGEREF _Toc211181317 \h </w:instrText>
            </w:r>
            <w:r>
              <w:rPr>
                <w:noProof/>
                <w:webHidden/>
              </w:rPr>
            </w:r>
            <w:r>
              <w:rPr>
                <w:noProof/>
                <w:webHidden/>
              </w:rPr>
              <w:fldChar w:fldCharType="separate"/>
            </w:r>
            <w:r>
              <w:rPr>
                <w:noProof/>
                <w:webHidden/>
              </w:rPr>
              <w:t>6</w:t>
            </w:r>
            <w:r>
              <w:rPr>
                <w:noProof/>
                <w:webHidden/>
              </w:rPr>
              <w:fldChar w:fldCharType="end"/>
            </w:r>
          </w:hyperlink>
        </w:p>
        <w:p w14:paraId="2904BFFE" w14:textId="3586D3FC"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8" w:history="1">
            <w:r w:rsidRPr="00012E9E">
              <w:rPr>
                <w:rStyle w:val="Hyperlink"/>
                <w:rFonts w:eastAsia="Times New Roman"/>
                <w:noProof/>
                <w:lang w:val="en-GB" w:eastAsia="en-GB"/>
              </w:rPr>
              <w:t>Stakeholder orientation</w:t>
            </w:r>
            <w:r>
              <w:rPr>
                <w:noProof/>
                <w:webHidden/>
              </w:rPr>
              <w:tab/>
            </w:r>
            <w:r>
              <w:rPr>
                <w:noProof/>
                <w:webHidden/>
              </w:rPr>
              <w:fldChar w:fldCharType="begin"/>
            </w:r>
            <w:r>
              <w:rPr>
                <w:noProof/>
                <w:webHidden/>
              </w:rPr>
              <w:instrText xml:space="preserve"> PAGEREF _Toc211181318 \h </w:instrText>
            </w:r>
            <w:r>
              <w:rPr>
                <w:noProof/>
                <w:webHidden/>
              </w:rPr>
            </w:r>
            <w:r>
              <w:rPr>
                <w:noProof/>
                <w:webHidden/>
              </w:rPr>
              <w:fldChar w:fldCharType="separate"/>
            </w:r>
            <w:r>
              <w:rPr>
                <w:noProof/>
                <w:webHidden/>
              </w:rPr>
              <w:t>7</w:t>
            </w:r>
            <w:r>
              <w:rPr>
                <w:noProof/>
                <w:webHidden/>
              </w:rPr>
              <w:fldChar w:fldCharType="end"/>
            </w:r>
          </w:hyperlink>
        </w:p>
        <w:p w14:paraId="36464997" w14:textId="7A953C7B"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19" w:history="1">
            <w:r w:rsidRPr="00012E9E">
              <w:rPr>
                <w:rStyle w:val="Hyperlink"/>
                <w:rFonts w:eastAsia="Times New Roman"/>
                <w:noProof/>
                <w:lang w:val="en-GB" w:eastAsia="en-GB"/>
              </w:rPr>
              <w:t>Cultural adaptation in global operations</w:t>
            </w:r>
            <w:r>
              <w:rPr>
                <w:noProof/>
                <w:webHidden/>
              </w:rPr>
              <w:tab/>
            </w:r>
            <w:r>
              <w:rPr>
                <w:noProof/>
                <w:webHidden/>
              </w:rPr>
              <w:fldChar w:fldCharType="begin"/>
            </w:r>
            <w:r>
              <w:rPr>
                <w:noProof/>
                <w:webHidden/>
              </w:rPr>
              <w:instrText xml:space="preserve"> PAGEREF _Toc211181319 \h </w:instrText>
            </w:r>
            <w:r>
              <w:rPr>
                <w:noProof/>
                <w:webHidden/>
              </w:rPr>
            </w:r>
            <w:r>
              <w:rPr>
                <w:noProof/>
                <w:webHidden/>
              </w:rPr>
              <w:fldChar w:fldCharType="separate"/>
            </w:r>
            <w:r>
              <w:rPr>
                <w:noProof/>
                <w:webHidden/>
              </w:rPr>
              <w:t>7</w:t>
            </w:r>
            <w:r>
              <w:rPr>
                <w:noProof/>
                <w:webHidden/>
              </w:rPr>
              <w:fldChar w:fldCharType="end"/>
            </w:r>
          </w:hyperlink>
        </w:p>
        <w:p w14:paraId="41820949" w14:textId="51F8561B"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0" w:history="1">
            <w:r w:rsidRPr="00012E9E">
              <w:rPr>
                <w:rStyle w:val="Hyperlink"/>
                <w:rFonts w:eastAsia="Times New Roman"/>
                <w:noProof/>
                <w:lang w:val="en-GB" w:eastAsia="en-GB"/>
              </w:rPr>
              <w:t>Is Organisational Culture a Barrier to Effective Functioning at Toyota?</w:t>
            </w:r>
            <w:r>
              <w:rPr>
                <w:noProof/>
                <w:webHidden/>
              </w:rPr>
              <w:tab/>
            </w:r>
            <w:r>
              <w:rPr>
                <w:noProof/>
                <w:webHidden/>
              </w:rPr>
              <w:fldChar w:fldCharType="begin"/>
            </w:r>
            <w:r>
              <w:rPr>
                <w:noProof/>
                <w:webHidden/>
              </w:rPr>
              <w:instrText xml:space="preserve"> PAGEREF _Toc211181320 \h </w:instrText>
            </w:r>
            <w:r>
              <w:rPr>
                <w:noProof/>
                <w:webHidden/>
              </w:rPr>
            </w:r>
            <w:r>
              <w:rPr>
                <w:noProof/>
                <w:webHidden/>
              </w:rPr>
              <w:fldChar w:fldCharType="separate"/>
            </w:r>
            <w:r>
              <w:rPr>
                <w:noProof/>
                <w:webHidden/>
              </w:rPr>
              <w:t>7</w:t>
            </w:r>
            <w:r>
              <w:rPr>
                <w:noProof/>
                <w:webHidden/>
              </w:rPr>
              <w:fldChar w:fldCharType="end"/>
            </w:r>
          </w:hyperlink>
        </w:p>
        <w:p w14:paraId="34AB10C9" w14:textId="50810050"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1" w:history="1">
            <w:r w:rsidRPr="00012E9E">
              <w:rPr>
                <w:rStyle w:val="Hyperlink"/>
                <w:rFonts w:eastAsia="Times New Roman"/>
                <w:b/>
                <w:bCs/>
                <w:noProof/>
                <w:lang w:val="en-GB" w:eastAsia="en-GB"/>
              </w:rPr>
              <w:t>Examples of culture as barrier</w:t>
            </w:r>
            <w:r>
              <w:rPr>
                <w:noProof/>
                <w:webHidden/>
              </w:rPr>
              <w:tab/>
            </w:r>
            <w:r>
              <w:rPr>
                <w:noProof/>
                <w:webHidden/>
              </w:rPr>
              <w:fldChar w:fldCharType="begin"/>
            </w:r>
            <w:r>
              <w:rPr>
                <w:noProof/>
                <w:webHidden/>
              </w:rPr>
              <w:instrText xml:space="preserve"> PAGEREF _Toc211181321 \h </w:instrText>
            </w:r>
            <w:r>
              <w:rPr>
                <w:noProof/>
                <w:webHidden/>
              </w:rPr>
            </w:r>
            <w:r>
              <w:rPr>
                <w:noProof/>
                <w:webHidden/>
              </w:rPr>
              <w:fldChar w:fldCharType="separate"/>
            </w:r>
            <w:r>
              <w:rPr>
                <w:noProof/>
                <w:webHidden/>
              </w:rPr>
              <w:t>7</w:t>
            </w:r>
            <w:r>
              <w:rPr>
                <w:noProof/>
                <w:webHidden/>
              </w:rPr>
              <w:fldChar w:fldCharType="end"/>
            </w:r>
          </w:hyperlink>
        </w:p>
        <w:p w14:paraId="21AFABA4" w14:textId="140E9B6E"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2" w:history="1">
            <w:r w:rsidRPr="00012E9E">
              <w:rPr>
                <w:rStyle w:val="Hyperlink"/>
                <w:rFonts w:eastAsia="Times New Roman"/>
                <w:noProof/>
                <w:lang w:val="en-GB" w:eastAsia="en-GB"/>
              </w:rPr>
              <w:t>Degree &amp; mitigations</w:t>
            </w:r>
            <w:r>
              <w:rPr>
                <w:noProof/>
                <w:webHidden/>
              </w:rPr>
              <w:tab/>
            </w:r>
            <w:r>
              <w:rPr>
                <w:noProof/>
                <w:webHidden/>
              </w:rPr>
              <w:fldChar w:fldCharType="begin"/>
            </w:r>
            <w:r>
              <w:rPr>
                <w:noProof/>
                <w:webHidden/>
              </w:rPr>
              <w:instrText xml:space="preserve"> PAGEREF _Toc211181322 \h </w:instrText>
            </w:r>
            <w:r>
              <w:rPr>
                <w:noProof/>
                <w:webHidden/>
              </w:rPr>
            </w:r>
            <w:r>
              <w:rPr>
                <w:noProof/>
                <w:webHidden/>
              </w:rPr>
              <w:fldChar w:fldCharType="separate"/>
            </w:r>
            <w:r>
              <w:rPr>
                <w:noProof/>
                <w:webHidden/>
              </w:rPr>
              <w:t>8</w:t>
            </w:r>
            <w:r>
              <w:rPr>
                <w:noProof/>
                <w:webHidden/>
              </w:rPr>
              <w:fldChar w:fldCharType="end"/>
            </w:r>
          </w:hyperlink>
        </w:p>
        <w:p w14:paraId="6B586407" w14:textId="79614049"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3" w:history="1">
            <w:r w:rsidRPr="00012E9E">
              <w:rPr>
                <w:rStyle w:val="Hyperlink"/>
                <w:rFonts w:eastAsia="Times New Roman"/>
                <w:noProof/>
                <w:lang w:val="en-GB" w:eastAsia="en-GB"/>
              </w:rPr>
              <w:t>Impact of Organisational Culture on Performance &amp; Recommendations</w:t>
            </w:r>
            <w:r>
              <w:rPr>
                <w:noProof/>
                <w:webHidden/>
              </w:rPr>
              <w:tab/>
            </w:r>
            <w:r>
              <w:rPr>
                <w:noProof/>
                <w:webHidden/>
              </w:rPr>
              <w:fldChar w:fldCharType="begin"/>
            </w:r>
            <w:r>
              <w:rPr>
                <w:noProof/>
                <w:webHidden/>
              </w:rPr>
              <w:instrText xml:space="preserve"> PAGEREF _Toc211181323 \h </w:instrText>
            </w:r>
            <w:r>
              <w:rPr>
                <w:noProof/>
                <w:webHidden/>
              </w:rPr>
            </w:r>
            <w:r>
              <w:rPr>
                <w:noProof/>
                <w:webHidden/>
              </w:rPr>
              <w:fldChar w:fldCharType="separate"/>
            </w:r>
            <w:r>
              <w:rPr>
                <w:noProof/>
                <w:webHidden/>
              </w:rPr>
              <w:t>8</w:t>
            </w:r>
            <w:r>
              <w:rPr>
                <w:noProof/>
                <w:webHidden/>
              </w:rPr>
              <w:fldChar w:fldCharType="end"/>
            </w:r>
          </w:hyperlink>
        </w:p>
        <w:p w14:paraId="39025C40" w14:textId="5655E626"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4" w:history="1">
            <w:r w:rsidRPr="00012E9E">
              <w:rPr>
                <w:rStyle w:val="Hyperlink"/>
                <w:rFonts w:eastAsia="Times New Roman"/>
                <w:noProof/>
                <w:lang w:val="en-GB" w:eastAsia="en-GB"/>
              </w:rPr>
              <w:t>Impacts (Positive &amp; Negative)</w:t>
            </w:r>
            <w:r>
              <w:rPr>
                <w:noProof/>
                <w:webHidden/>
              </w:rPr>
              <w:tab/>
            </w:r>
            <w:r>
              <w:rPr>
                <w:noProof/>
                <w:webHidden/>
              </w:rPr>
              <w:fldChar w:fldCharType="begin"/>
            </w:r>
            <w:r>
              <w:rPr>
                <w:noProof/>
                <w:webHidden/>
              </w:rPr>
              <w:instrText xml:space="preserve"> PAGEREF _Toc211181324 \h </w:instrText>
            </w:r>
            <w:r>
              <w:rPr>
                <w:noProof/>
                <w:webHidden/>
              </w:rPr>
            </w:r>
            <w:r>
              <w:rPr>
                <w:noProof/>
                <w:webHidden/>
              </w:rPr>
              <w:fldChar w:fldCharType="separate"/>
            </w:r>
            <w:r>
              <w:rPr>
                <w:noProof/>
                <w:webHidden/>
              </w:rPr>
              <w:t>8</w:t>
            </w:r>
            <w:r>
              <w:rPr>
                <w:noProof/>
                <w:webHidden/>
              </w:rPr>
              <w:fldChar w:fldCharType="end"/>
            </w:r>
          </w:hyperlink>
        </w:p>
        <w:p w14:paraId="2A99D8E5" w14:textId="000B7D62" w:rsidR="009322E6" w:rsidRDefault="009322E6">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5" w:history="1">
            <w:r w:rsidRPr="00012E9E">
              <w:rPr>
                <w:rStyle w:val="Hyperlink"/>
                <w:rFonts w:eastAsia="Times New Roman"/>
                <w:noProof/>
                <w:lang w:val="en-GB" w:eastAsia="en-GB"/>
              </w:rPr>
              <w:t>Recommendations</w:t>
            </w:r>
            <w:r>
              <w:rPr>
                <w:noProof/>
                <w:webHidden/>
              </w:rPr>
              <w:tab/>
            </w:r>
            <w:r>
              <w:rPr>
                <w:noProof/>
                <w:webHidden/>
              </w:rPr>
              <w:fldChar w:fldCharType="begin"/>
            </w:r>
            <w:r>
              <w:rPr>
                <w:noProof/>
                <w:webHidden/>
              </w:rPr>
              <w:instrText xml:space="preserve"> PAGEREF _Toc211181325 \h </w:instrText>
            </w:r>
            <w:r>
              <w:rPr>
                <w:noProof/>
                <w:webHidden/>
              </w:rPr>
            </w:r>
            <w:r>
              <w:rPr>
                <w:noProof/>
                <w:webHidden/>
              </w:rPr>
              <w:fldChar w:fldCharType="separate"/>
            </w:r>
            <w:r>
              <w:rPr>
                <w:noProof/>
                <w:webHidden/>
              </w:rPr>
              <w:t>8</w:t>
            </w:r>
            <w:r>
              <w:rPr>
                <w:noProof/>
                <w:webHidden/>
              </w:rPr>
              <w:fldChar w:fldCharType="end"/>
            </w:r>
          </w:hyperlink>
        </w:p>
        <w:p w14:paraId="6B229444" w14:textId="4DC078E5" w:rsidR="009322E6" w:rsidRDefault="009322E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1181326" w:history="1">
            <w:r w:rsidRPr="00012E9E">
              <w:rPr>
                <w:rStyle w:val="Hyperlink"/>
                <w:rFonts w:eastAsia="Times New Roman"/>
                <w:noProof/>
                <w:lang w:val="en-GB" w:eastAsia="en-GB"/>
              </w:rPr>
              <w:t>Conclusion</w:t>
            </w:r>
            <w:r>
              <w:rPr>
                <w:noProof/>
                <w:webHidden/>
              </w:rPr>
              <w:tab/>
            </w:r>
            <w:r>
              <w:rPr>
                <w:noProof/>
                <w:webHidden/>
              </w:rPr>
              <w:fldChar w:fldCharType="begin"/>
            </w:r>
            <w:r>
              <w:rPr>
                <w:noProof/>
                <w:webHidden/>
              </w:rPr>
              <w:instrText xml:space="preserve"> PAGEREF _Toc211181326 \h </w:instrText>
            </w:r>
            <w:r>
              <w:rPr>
                <w:noProof/>
                <w:webHidden/>
              </w:rPr>
            </w:r>
            <w:r>
              <w:rPr>
                <w:noProof/>
                <w:webHidden/>
              </w:rPr>
              <w:fldChar w:fldCharType="separate"/>
            </w:r>
            <w:r>
              <w:rPr>
                <w:noProof/>
                <w:webHidden/>
              </w:rPr>
              <w:t>9</w:t>
            </w:r>
            <w:r>
              <w:rPr>
                <w:noProof/>
                <w:webHidden/>
              </w:rPr>
              <w:fldChar w:fldCharType="end"/>
            </w:r>
          </w:hyperlink>
        </w:p>
        <w:p w14:paraId="42EA6FF6" w14:textId="6BEAB744" w:rsidR="009322E6" w:rsidRDefault="009322E6">
          <w:r>
            <w:rPr>
              <w:b/>
              <w:bCs/>
            </w:rPr>
            <w:fldChar w:fldCharType="end"/>
          </w:r>
        </w:p>
      </w:sdtContent>
    </w:sdt>
    <w:p w14:paraId="6A00A866" w14:textId="77777777" w:rsidR="00896214" w:rsidRDefault="00896214" w:rsidP="00896214">
      <w:pPr>
        <w:jc w:val="center"/>
        <w:rPr>
          <w:rFonts w:ascii="Times New Roman" w:hAnsi="Times New Roman" w:cs="Times New Roman"/>
          <w:sz w:val="28"/>
          <w:szCs w:val="28"/>
          <w:lang w:val="en-GB"/>
        </w:rPr>
      </w:pPr>
    </w:p>
    <w:p w14:paraId="31CE300B" w14:textId="77777777" w:rsidR="00896214" w:rsidRDefault="00896214" w:rsidP="00896214">
      <w:pPr>
        <w:jc w:val="center"/>
        <w:rPr>
          <w:rFonts w:ascii="Times New Roman" w:hAnsi="Times New Roman" w:cs="Times New Roman"/>
          <w:sz w:val="28"/>
          <w:szCs w:val="28"/>
          <w:lang w:val="en-GB"/>
        </w:rPr>
      </w:pPr>
    </w:p>
    <w:p w14:paraId="38DB6AB8" w14:textId="77777777" w:rsidR="00896214" w:rsidRDefault="00896214" w:rsidP="00896214">
      <w:pPr>
        <w:jc w:val="center"/>
        <w:rPr>
          <w:rFonts w:ascii="Times New Roman" w:hAnsi="Times New Roman" w:cs="Times New Roman"/>
          <w:sz w:val="28"/>
          <w:szCs w:val="28"/>
          <w:lang w:val="en-GB"/>
        </w:rPr>
      </w:pPr>
    </w:p>
    <w:p w14:paraId="2F8EEAF2" w14:textId="77777777" w:rsidR="00896214" w:rsidRDefault="00896214" w:rsidP="00896214">
      <w:pPr>
        <w:jc w:val="center"/>
        <w:rPr>
          <w:rFonts w:ascii="Times New Roman" w:hAnsi="Times New Roman" w:cs="Times New Roman"/>
          <w:sz w:val="28"/>
          <w:szCs w:val="28"/>
          <w:lang w:val="en-GB"/>
        </w:rPr>
      </w:pPr>
    </w:p>
    <w:p w14:paraId="36891DD0" w14:textId="77777777" w:rsidR="00896214" w:rsidRDefault="00896214" w:rsidP="00896214">
      <w:pPr>
        <w:jc w:val="center"/>
        <w:rPr>
          <w:rFonts w:ascii="Times New Roman" w:hAnsi="Times New Roman" w:cs="Times New Roman"/>
          <w:sz w:val="28"/>
          <w:szCs w:val="28"/>
          <w:lang w:val="en-GB"/>
        </w:rPr>
      </w:pPr>
    </w:p>
    <w:p w14:paraId="2F22D709" w14:textId="77777777" w:rsidR="00896214" w:rsidRDefault="00896214" w:rsidP="00896214">
      <w:pPr>
        <w:jc w:val="center"/>
        <w:rPr>
          <w:rFonts w:ascii="Times New Roman" w:hAnsi="Times New Roman" w:cs="Times New Roman"/>
          <w:sz w:val="28"/>
          <w:szCs w:val="28"/>
          <w:lang w:val="en-GB"/>
        </w:rPr>
      </w:pPr>
    </w:p>
    <w:p w14:paraId="2C211988" w14:textId="77777777" w:rsidR="00896214" w:rsidRDefault="00896214" w:rsidP="00896214">
      <w:pPr>
        <w:jc w:val="center"/>
        <w:rPr>
          <w:rFonts w:ascii="Times New Roman" w:hAnsi="Times New Roman" w:cs="Times New Roman"/>
          <w:sz w:val="28"/>
          <w:szCs w:val="28"/>
          <w:lang w:val="en-GB"/>
        </w:rPr>
      </w:pPr>
    </w:p>
    <w:p w14:paraId="1D5FE079" w14:textId="77777777" w:rsidR="00896214" w:rsidRDefault="00896214" w:rsidP="00896214">
      <w:pPr>
        <w:jc w:val="center"/>
        <w:rPr>
          <w:rFonts w:ascii="Times New Roman" w:hAnsi="Times New Roman" w:cs="Times New Roman"/>
          <w:sz w:val="28"/>
          <w:szCs w:val="28"/>
          <w:lang w:val="en-GB"/>
        </w:rPr>
      </w:pPr>
    </w:p>
    <w:p w14:paraId="024ACCDA" w14:textId="77777777" w:rsidR="00896214" w:rsidRDefault="00896214" w:rsidP="00896214">
      <w:pPr>
        <w:jc w:val="center"/>
        <w:rPr>
          <w:rFonts w:ascii="Times New Roman" w:hAnsi="Times New Roman" w:cs="Times New Roman"/>
          <w:sz w:val="28"/>
          <w:szCs w:val="28"/>
          <w:lang w:val="en-GB"/>
        </w:rPr>
      </w:pPr>
    </w:p>
    <w:p w14:paraId="7130D28A" w14:textId="77777777" w:rsidR="00896214" w:rsidRDefault="00896214" w:rsidP="00896214">
      <w:pPr>
        <w:jc w:val="center"/>
        <w:rPr>
          <w:rFonts w:ascii="Times New Roman" w:hAnsi="Times New Roman" w:cs="Times New Roman"/>
          <w:sz w:val="28"/>
          <w:szCs w:val="28"/>
          <w:lang w:val="en-GB"/>
        </w:rPr>
      </w:pPr>
    </w:p>
    <w:p w14:paraId="7257FF48" w14:textId="77777777" w:rsidR="00896214" w:rsidRPr="00896214" w:rsidRDefault="00896214" w:rsidP="00896214">
      <w:pPr>
        <w:pStyle w:val="Heading1"/>
        <w:rPr>
          <w:rFonts w:eastAsia="Times New Roman"/>
          <w:lang w:val="en-GB" w:eastAsia="en-GB"/>
        </w:rPr>
      </w:pPr>
      <w:bookmarkStart w:id="1" w:name="_Toc211181311"/>
      <w:r w:rsidRPr="00896214">
        <w:rPr>
          <w:rFonts w:eastAsia="Times New Roman"/>
          <w:lang w:val="en-GB" w:eastAsia="en-GB"/>
        </w:rPr>
        <w:lastRenderedPageBreak/>
        <w:t>Introduction</w:t>
      </w:r>
      <w:bookmarkEnd w:id="1"/>
    </w:p>
    <w:p w14:paraId="34E94F17" w14:textId="77777777" w:rsidR="00896214" w:rsidRPr="00896214" w:rsidRDefault="00896214" w:rsidP="009322E6">
      <w:pPr>
        <w:widowControl/>
        <w:spacing w:before="100" w:beforeAutospacing="1" w:after="100" w:afterAutospacing="1"/>
        <w:rPr>
          <w:rFonts w:eastAsia="Times New Roman"/>
          <w:lang w:val="en-GB" w:eastAsia="en-GB"/>
        </w:rPr>
      </w:pPr>
      <w:r w:rsidRPr="00896214">
        <w:rPr>
          <w:rFonts w:eastAsia="Times New Roman"/>
          <w:lang w:val="en-GB" w:eastAsia="en-GB"/>
        </w:rPr>
        <w:t>Organisational culture is often described as “how things are done around here” — the shared values, beliefs, norms, assumptions and practices that shape behaviour and processes within a firm (Schein, 2010). Mullins &amp; Christy (2016) argue that culture influences decision-making, structure, group behaviour, motivation, control systems, and more, and that in global organisations, integrating diverse national cultural influences is increasingly critical.</w:t>
      </w:r>
    </w:p>
    <w:p w14:paraId="73D10ADA" w14:textId="32181530" w:rsidR="00AF4A3F" w:rsidRPr="00896214" w:rsidRDefault="00896214" w:rsidP="00896214">
      <w:pPr>
        <w:widowControl/>
        <w:spacing w:before="100" w:beforeAutospacing="1" w:after="100" w:afterAutospacing="1"/>
        <w:rPr>
          <w:rFonts w:eastAsia="Times New Roman"/>
          <w:lang w:val="en-GB" w:eastAsia="en-GB"/>
        </w:rPr>
      </w:pPr>
      <w:r w:rsidRPr="00896214">
        <w:rPr>
          <w:rFonts w:eastAsia="Times New Roman"/>
          <w:lang w:val="en-GB" w:eastAsia="en-GB"/>
        </w:rPr>
        <w:t>This report applies that perspective to Toyota Motor Corporation, a globally integrated automobile manufacturer known particularly for its strong culture via the Toyota Way / Toyota Production System (TPS). The objectives are to:</w:t>
      </w:r>
    </w:p>
    <w:p w14:paraId="13601A27" w14:textId="77777777" w:rsidR="00896214" w:rsidRDefault="00896214" w:rsidP="00896214">
      <w:pPr>
        <w:widowControl/>
        <w:numPr>
          <w:ilvl w:val="0"/>
          <w:numId w:val="1"/>
        </w:numPr>
        <w:spacing w:before="100" w:beforeAutospacing="1" w:after="100" w:afterAutospacing="1"/>
        <w:rPr>
          <w:rFonts w:eastAsia="Times New Roman"/>
          <w:lang w:val="en-GB" w:eastAsia="en-GB"/>
        </w:rPr>
      </w:pPr>
      <w:r w:rsidRPr="00896214">
        <w:rPr>
          <w:rFonts w:eastAsia="Times New Roman"/>
          <w:lang w:val="en-GB" w:eastAsia="en-GB"/>
        </w:rPr>
        <w:t>Critically assess how Toyota’s culture shapes its structure and decision-making.</w:t>
      </w:r>
    </w:p>
    <w:p w14:paraId="4864F553" w14:textId="77777777" w:rsidR="00896214" w:rsidRPr="00896214" w:rsidRDefault="00896214" w:rsidP="009322E6">
      <w:pPr>
        <w:widowControl/>
        <w:spacing w:before="100" w:beforeAutospacing="1" w:after="100" w:afterAutospacing="1"/>
        <w:rPr>
          <w:rFonts w:eastAsia="Times New Roman"/>
          <w:lang w:val="en-GB" w:eastAsia="en-GB"/>
        </w:rPr>
      </w:pPr>
    </w:p>
    <w:p w14:paraId="5FC25F6B" w14:textId="4327E65D" w:rsidR="00896214" w:rsidRDefault="00896214" w:rsidP="00896214">
      <w:pPr>
        <w:widowControl/>
        <w:numPr>
          <w:ilvl w:val="0"/>
          <w:numId w:val="1"/>
        </w:numPr>
        <w:spacing w:before="100" w:beforeAutospacing="1" w:after="100" w:afterAutospacing="1"/>
        <w:rPr>
          <w:rFonts w:eastAsia="Times New Roman"/>
          <w:lang w:val="en-GB" w:eastAsia="en-GB"/>
        </w:rPr>
      </w:pPr>
      <w:r w:rsidRPr="00896214">
        <w:rPr>
          <w:rFonts w:eastAsia="Times New Roman"/>
          <w:lang w:val="en-GB" w:eastAsia="en-GB"/>
        </w:rPr>
        <w:t>Use frameworks (Schein, Hofstede, Handy etc.) to analyse Toyota’s culture.</w:t>
      </w:r>
    </w:p>
    <w:p w14:paraId="36AF289C" w14:textId="77777777" w:rsidR="00896214" w:rsidRPr="00896214" w:rsidRDefault="00896214" w:rsidP="00896214">
      <w:pPr>
        <w:widowControl/>
        <w:spacing w:before="100" w:beforeAutospacing="1" w:after="100" w:afterAutospacing="1"/>
        <w:rPr>
          <w:rFonts w:eastAsia="Times New Roman"/>
          <w:lang w:val="en-GB" w:eastAsia="en-GB"/>
        </w:rPr>
      </w:pPr>
    </w:p>
    <w:p w14:paraId="44E4C9AD" w14:textId="77777777" w:rsidR="00896214" w:rsidRDefault="00896214" w:rsidP="00896214">
      <w:pPr>
        <w:widowControl/>
        <w:numPr>
          <w:ilvl w:val="0"/>
          <w:numId w:val="1"/>
        </w:numPr>
        <w:spacing w:before="100" w:beforeAutospacing="1" w:after="100" w:afterAutospacing="1"/>
        <w:rPr>
          <w:rFonts w:eastAsia="Times New Roman"/>
          <w:lang w:val="en-GB" w:eastAsia="en-GB"/>
        </w:rPr>
      </w:pPr>
      <w:r w:rsidRPr="00896214">
        <w:rPr>
          <w:rFonts w:eastAsia="Times New Roman"/>
          <w:lang w:val="en-GB" w:eastAsia="en-GB"/>
        </w:rPr>
        <w:t>Examine how Toyota uses culture to adapt to its external environment.</w:t>
      </w:r>
    </w:p>
    <w:p w14:paraId="7C5E714E" w14:textId="77777777" w:rsidR="00896214" w:rsidRPr="00896214" w:rsidRDefault="00896214" w:rsidP="00896214">
      <w:pPr>
        <w:widowControl/>
        <w:spacing w:before="100" w:beforeAutospacing="1" w:after="100" w:afterAutospacing="1"/>
        <w:rPr>
          <w:rFonts w:eastAsia="Times New Roman"/>
          <w:lang w:val="en-GB" w:eastAsia="en-GB"/>
        </w:rPr>
      </w:pPr>
    </w:p>
    <w:p w14:paraId="1819D821" w14:textId="77777777" w:rsidR="00896214" w:rsidRDefault="00896214" w:rsidP="00896214">
      <w:pPr>
        <w:widowControl/>
        <w:numPr>
          <w:ilvl w:val="0"/>
          <w:numId w:val="1"/>
        </w:numPr>
        <w:spacing w:before="100" w:beforeAutospacing="1" w:after="100" w:afterAutospacing="1"/>
        <w:rPr>
          <w:rFonts w:eastAsia="Times New Roman"/>
          <w:lang w:val="en-GB" w:eastAsia="en-GB"/>
        </w:rPr>
      </w:pPr>
      <w:r w:rsidRPr="00896214">
        <w:rPr>
          <w:rFonts w:eastAsia="Times New Roman"/>
          <w:lang w:val="en-GB" w:eastAsia="en-GB"/>
        </w:rPr>
        <w:t>Determine to what extent culture is a barrier for Toyota’s effectiveness.</w:t>
      </w:r>
    </w:p>
    <w:p w14:paraId="7AA0B00E" w14:textId="77777777" w:rsidR="00AF4A3F" w:rsidRPr="00896214" w:rsidRDefault="00AF4A3F" w:rsidP="00AF4A3F">
      <w:pPr>
        <w:widowControl/>
        <w:spacing w:before="100" w:beforeAutospacing="1" w:after="100" w:afterAutospacing="1"/>
        <w:rPr>
          <w:rFonts w:eastAsia="Times New Roman"/>
          <w:lang w:val="en-GB" w:eastAsia="en-GB"/>
        </w:rPr>
      </w:pPr>
    </w:p>
    <w:p w14:paraId="32851B24" w14:textId="77777777" w:rsidR="00896214" w:rsidRDefault="00896214" w:rsidP="00896214">
      <w:pPr>
        <w:widowControl/>
        <w:numPr>
          <w:ilvl w:val="0"/>
          <w:numId w:val="1"/>
        </w:numPr>
        <w:spacing w:before="100" w:beforeAutospacing="1" w:after="100" w:afterAutospacing="1"/>
        <w:rPr>
          <w:rFonts w:eastAsia="Times New Roman"/>
          <w:lang w:val="en-GB" w:eastAsia="en-GB"/>
        </w:rPr>
      </w:pPr>
      <w:r w:rsidRPr="00896214">
        <w:rPr>
          <w:rFonts w:eastAsia="Times New Roman"/>
          <w:lang w:val="en-GB" w:eastAsia="en-GB"/>
        </w:rPr>
        <w:t>Evaluate culture’s impact on organisational performance and make recommendations.</w:t>
      </w:r>
    </w:p>
    <w:p w14:paraId="055BD8DD" w14:textId="77777777" w:rsidR="00AF4A3F" w:rsidRDefault="00AF4A3F" w:rsidP="00AF4A3F">
      <w:pPr>
        <w:pStyle w:val="ListParagraph"/>
        <w:rPr>
          <w:rFonts w:eastAsia="Times New Roman"/>
          <w:lang w:val="en-GB" w:eastAsia="en-GB"/>
        </w:rPr>
      </w:pPr>
    </w:p>
    <w:p w14:paraId="79BDE735" w14:textId="77777777" w:rsidR="00AF4A3F" w:rsidRPr="00896214" w:rsidRDefault="00AF4A3F" w:rsidP="00AF4A3F">
      <w:pPr>
        <w:widowControl/>
        <w:spacing w:before="100" w:beforeAutospacing="1" w:after="100" w:afterAutospacing="1"/>
        <w:ind w:left="720"/>
        <w:rPr>
          <w:rFonts w:eastAsia="Times New Roman"/>
          <w:lang w:val="en-GB" w:eastAsia="en-GB"/>
        </w:rPr>
      </w:pPr>
    </w:p>
    <w:p w14:paraId="519C4706" w14:textId="77777777" w:rsidR="00AF4A3F" w:rsidRDefault="00AF4A3F" w:rsidP="00AF4A3F">
      <w:pPr>
        <w:pStyle w:val="Heading1"/>
        <w:rPr>
          <w:rFonts w:eastAsia="Times New Roman"/>
          <w:lang w:val="en-GB" w:eastAsia="en-GB"/>
        </w:rPr>
      </w:pPr>
      <w:bookmarkStart w:id="2" w:name="_Toc211181312"/>
      <w:r w:rsidRPr="00AF4A3F">
        <w:rPr>
          <w:rFonts w:eastAsia="Times New Roman"/>
          <w:lang w:val="en-GB" w:eastAsia="en-GB"/>
        </w:rPr>
        <w:t>How Organisational Culture Shapes Structure and Decision-Making at Toyota</w:t>
      </w:r>
      <w:bookmarkEnd w:id="2"/>
    </w:p>
    <w:p w14:paraId="389AFA54" w14:textId="77777777" w:rsidR="00AF4A3F" w:rsidRPr="00AF4A3F" w:rsidRDefault="00AF4A3F" w:rsidP="00AF4A3F">
      <w:pPr>
        <w:rPr>
          <w:sz w:val="24"/>
          <w:szCs w:val="24"/>
          <w:lang w:val="en-GB" w:eastAsia="en-GB"/>
        </w:rPr>
      </w:pPr>
    </w:p>
    <w:p w14:paraId="42568B31" w14:textId="34B90253" w:rsidR="00AF4A3F" w:rsidRPr="00AF4A3F" w:rsidRDefault="00AF4A3F" w:rsidP="00AF4A3F">
      <w:pPr>
        <w:rPr>
          <w:rFonts w:asciiTheme="majorHAnsi" w:eastAsia="Times New Roman" w:hAnsiTheme="majorHAnsi" w:cstheme="majorBidi"/>
          <w:sz w:val="24"/>
          <w:szCs w:val="24"/>
          <w:lang w:val="en-GB" w:eastAsia="en-GB"/>
        </w:rPr>
      </w:pPr>
      <w:r w:rsidRPr="00AF4A3F">
        <w:rPr>
          <w:sz w:val="24"/>
          <w:szCs w:val="24"/>
          <w:lang w:val="en-GB" w:eastAsia="en-GB"/>
        </w:rPr>
        <w:t>Culture as a structural foundation</w:t>
      </w:r>
    </w:p>
    <w:p w14:paraId="0D26B66A"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Toyota’s culture is more than slogans: it is embedded in its physical, organisational, and procedural structure. The Toyota Way and TPS are not simply process tools, but systems reflecting deeply held values. For example:</w:t>
      </w:r>
    </w:p>
    <w:p w14:paraId="2130AB4B" w14:textId="77777777" w:rsidR="00AF4A3F" w:rsidRPr="00AF4A3F" w:rsidRDefault="00AF4A3F" w:rsidP="00AF4A3F">
      <w:pPr>
        <w:widowControl/>
        <w:numPr>
          <w:ilvl w:val="0"/>
          <w:numId w:val="2"/>
        </w:numPr>
        <w:spacing w:before="100" w:beforeAutospacing="1" w:after="100" w:afterAutospacing="1"/>
        <w:rPr>
          <w:rFonts w:eastAsia="Times New Roman"/>
          <w:lang w:val="en-GB" w:eastAsia="en-GB"/>
        </w:rPr>
      </w:pPr>
      <w:r w:rsidRPr="00AF4A3F">
        <w:rPr>
          <w:rFonts w:eastAsia="Times New Roman"/>
          <w:lang w:val="en-GB" w:eastAsia="en-GB"/>
        </w:rPr>
        <w:t xml:space="preserve">The “go and see” (Genchi </w:t>
      </w:r>
      <w:proofErr w:type="spellStart"/>
      <w:r w:rsidRPr="00AF4A3F">
        <w:rPr>
          <w:rFonts w:eastAsia="Times New Roman"/>
          <w:lang w:val="en-GB" w:eastAsia="en-GB"/>
        </w:rPr>
        <w:t>Genbutsu</w:t>
      </w:r>
      <w:proofErr w:type="spellEnd"/>
      <w:r w:rsidRPr="00AF4A3F">
        <w:rPr>
          <w:rFonts w:eastAsia="Times New Roman"/>
          <w:lang w:val="en-GB" w:eastAsia="en-GB"/>
        </w:rPr>
        <w:t>) principle means that managers are expected to visit the shop floor and observe issues directly, which reduces layers of filtering between operations and decision-makers.</w:t>
      </w:r>
    </w:p>
    <w:p w14:paraId="63282B38" w14:textId="7DF4E111" w:rsidR="00AF4A3F" w:rsidRPr="00AF4A3F" w:rsidRDefault="00AF4A3F" w:rsidP="00AF4A3F">
      <w:pPr>
        <w:widowControl/>
        <w:numPr>
          <w:ilvl w:val="0"/>
          <w:numId w:val="2"/>
        </w:numPr>
        <w:spacing w:before="100" w:beforeAutospacing="1" w:after="100" w:afterAutospacing="1"/>
        <w:rPr>
          <w:rFonts w:eastAsia="Times New Roman"/>
          <w:lang w:val="en-GB" w:eastAsia="en-GB"/>
        </w:rPr>
      </w:pPr>
      <w:r w:rsidRPr="00AF4A3F">
        <w:rPr>
          <w:rFonts w:eastAsia="Times New Roman"/>
          <w:lang w:val="en-GB" w:eastAsia="en-GB"/>
        </w:rPr>
        <w:t xml:space="preserve">The practice </w:t>
      </w:r>
      <w:r w:rsidR="006D7253" w:rsidRPr="00AF4A3F">
        <w:rPr>
          <w:rFonts w:eastAsia="Times New Roman"/>
          <w:lang w:val="en-GB" w:eastAsia="en-GB"/>
        </w:rPr>
        <w:t>of autonomation</w:t>
      </w:r>
      <w:r w:rsidRPr="00AF4A3F">
        <w:rPr>
          <w:rFonts w:eastAsia="Times New Roman"/>
          <w:lang w:val="en-GB" w:eastAsia="en-GB"/>
        </w:rPr>
        <w:t xml:space="preserve"> </w:t>
      </w:r>
      <w:r w:rsidRPr="00AF4A3F">
        <w:rPr>
          <w:rFonts w:eastAsia="Times New Roman"/>
          <w:lang w:val="en-GB" w:eastAsia="en-GB"/>
        </w:rPr>
        <w:t>allows employees on the line to stop production if a defect is found; decision authority is thus distributed to lower levels.</w:t>
      </w:r>
    </w:p>
    <w:p w14:paraId="170EEE6B" w14:textId="51FA7A98" w:rsidR="00AF4A3F" w:rsidRPr="00AF4A3F" w:rsidRDefault="00AF4A3F" w:rsidP="00AF4A3F">
      <w:pPr>
        <w:widowControl/>
        <w:numPr>
          <w:ilvl w:val="0"/>
          <w:numId w:val="2"/>
        </w:numPr>
        <w:spacing w:before="100" w:beforeAutospacing="1" w:after="100" w:afterAutospacing="1"/>
        <w:rPr>
          <w:rFonts w:eastAsia="Times New Roman"/>
          <w:lang w:val="en-GB" w:eastAsia="en-GB"/>
        </w:rPr>
      </w:pPr>
      <w:r w:rsidRPr="00AF4A3F">
        <w:rPr>
          <w:rFonts w:eastAsia="Times New Roman"/>
          <w:lang w:val="en-GB" w:eastAsia="en-GB"/>
        </w:rPr>
        <w:lastRenderedPageBreak/>
        <w:t>Standard work, visual management, kaizen cycles and suggestion systems are built into Toyota’s structure to ensure continuous improvement (</w:t>
      </w:r>
      <w:proofErr w:type="spellStart"/>
      <w:r w:rsidRPr="00AF4A3F">
        <w:rPr>
          <w:rFonts w:eastAsia="Times New Roman"/>
          <w:lang w:val="en-GB" w:eastAsia="en-GB"/>
        </w:rPr>
        <w:t>Profiroiu</w:t>
      </w:r>
      <w:proofErr w:type="spellEnd"/>
      <w:r w:rsidRPr="00AF4A3F">
        <w:rPr>
          <w:rFonts w:eastAsia="Times New Roman"/>
          <w:lang w:val="en-GB" w:eastAsia="en-GB"/>
        </w:rPr>
        <w:t xml:space="preserve"> et al., 2020) </w:t>
      </w:r>
    </w:p>
    <w:p w14:paraId="32DD4801"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These structural features both reflect and reinforce cultural values such as respect for people, relentless focus on quality, and learning.</w:t>
      </w:r>
    </w:p>
    <w:p w14:paraId="6E200CA0" w14:textId="434AD690" w:rsidR="00AF4A3F" w:rsidRPr="00AF4A3F" w:rsidRDefault="00AF4A3F" w:rsidP="00AF4A3F">
      <w:pPr>
        <w:widowControl/>
        <w:spacing w:before="100" w:beforeAutospacing="1" w:after="100" w:afterAutospacing="1"/>
        <w:outlineLvl w:val="2"/>
        <w:rPr>
          <w:rFonts w:ascii="Times New Roman" w:eastAsia="Times New Roman" w:hAnsi="Times New Roman" w:cs="Times New Roman"/>
          <w:b/>
          <w:bCs/>
          <w:sz w:val="24"/>
          <w:szCs w:val="24"/>
          <w:lang w:val="en-GB" w:eastAsia="en-GB"/>
        </w:rPr>
      </w:pPr>
      <w:r w:rsidRPr="00AF4A3F">
        <w:rPr>
          <w:lang w:val="en-GB" w:eastAsia="en-GB"/>
        </w:rPr>
        <w:t xml:space="preserve"> </w:t>
      </w:r>
      <w:bookmarkStart w:id="3" w:name="_Toc211181313"/>
      <w:r w:rsidRPr="00AF4A3F">
        <w:rPr>
          <w:sz w:val="24"/>
          <w:szCs w:val="24"/>
          <w:lang w:val="en-GB" w:eastAsia="en-GB"/>
        </w:rPr>
        <w:t>Decision-making practices shaped by culture</w:t>
      </w:r>
      <w:bookmarkEnd w:id="3"/>
    </w:p>
    <w:p w14:paraId="5E915427" w14:textId="3A89A966"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Toyota decision-making often emphasises consensus (</w:t>
      </w:r>
      <w:proofErr w:type="spellStart"/>
      <w:r w:rsidRPr="00AF4A3F">
        <w:rPr>
          <w:rFonts w:eastAsia="Times New Roman"/>
          <w:lang w:val="en-GB" w:eastAsia="en-GB"/>
        </w:rPr>
        <w:t>Nemawashi</w:t>
      </w:r>
      <w:proofErr w:type="spellEnd"/>
      <w:r w:rsidRPr="00AF4A3F">
        <w:rPr>
          <w:rFonts w:eastAsia="Times New Roman"/>
          <w:lang w:val="en-GB" w:eastAsia="en-GB"/>
        </w:rPr>
        <w:t>), careful preparation, long</w:t>
      </w:r>
      <w:r w:rsidRPr="00AF4A3F">
        <w:rPr>
          <w:rFonts w:ascii="Cambria Math" w:eastAsia="Times New Roman" w:hAnsi="Cambria Math" w:cs="Cambria Math"/>
          <w:lang w:val="en-GB" w:eastAsia="en-GB"/>
        </w:rPr>
        <w:t>‐</w:t>
      </w:r>
      <w:r w:rsidRPr="00AF4A3F">
        <w:rPr>
          <w:rFonts w:eastAsia="Times New Roman"/>
          <w:lang w:val="en-GB" w:eastAsia="en-GB"/>
        </w:rPr>
        <w:t xml:space="preserve">term thinking, and collective involvement. The cultural norm is “make decisions slowly by consensus, thoroughly considering options; implement rapidly” (Toyota Way). In “The Contradictions That Drive Toyota’s Success,” Takeuchi, </w:t>
      </w:r>
      <w:proofErr w:type="spellStart"/>
      <w:r w:rsidRPr="00AF4A3F">
        <w:rPr>
          <w:rFonts w:eastAsia="Times New Roman"/>
          <w:lang w:val="en-GB" w:eastAsia="en-GB"/>
        </w:rPr>
        <w:t>Osono</w:t>
      </w:r>
      <w:proofErr w:type="spellEnd"/>
      <w:r w:rsidRPr="00AF4A3F">
        <w:rPr>
          <w:rFonts w:eastAsia="Times New Roman"/>
          <w:lang w:val="en-GB" w:eastAsia="en-GB"/>
        </w:rPr>
        <w:t xml:space="preserve"> &amp; Shimizu (2008) report that Toyota balances forces of expansion (like experimentation and customization) with forces of integration (founders’ values, open communication, people management) to make decisions that are both innovative and aligned with core culture. </w:t>
      </w:r>
    </w:p>
    <w:p w14:paraId="08564A17" w14:textId="1B94E7B4"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 xml:space="preserve">Cultural values also shape what criteria are considered important in decisions: e.g. quality, safety, long-term sustainability over short-term profit. When Toyota grew rapidly and globalised, some decisions (e.g. concerning scaling, outsourcing, speed) tested cultural limits. The recall crisis of 2009–2010 is one example; some decisions had loosened internal complementarities among elements of the Toyota Way, weakening internal fit (structure, human resources, supplier relations) which had implications for external fit (customer quality, reputation). </w:t>
      </w:r>
    </w:p>
    <w:p w14:paraId="4E994924" w14:textId="5F7602D3" w:rsidR="00AF4A3F" w:rsidRP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sz w:val="24"/>
          <w:szCs w:val="24"/>
          <w:lang w:val="en-GB" w:eastAsia="en-GB"/>
        </w:rPr>
        <w:pict w14:anchorId="59C76145">
          <v:rect id="_x0000_i1028" style="width:0;height:1.5pt" o:hralign="center" o:hrstd="t" o:hr="t" fillcolor="#a0a0a0" stroked="f"/>
        </w:pict>
      </w:r>
      <w:r w:rsidRPr="00AF4A3F">
        <w:rPr>
          <w:rFonts w:ascii="Times New Roman" w:eastAsia="Times New Roman" w:hAnsi="Times New Roman" w:cs="Times New Roman"/>
          <w:b/>
          <w:bCs/>
          <w:sz w:val="36"/>
          <w:szCs w:val="36"/>
          <w:lang w:val="en-GB" w:eastAsia="en-GB"/>
        </w:rPr>
        <w:t xml:space="preserve"> </w:t>
      </w:r>
      <w:r w:rsidRPr="00AF4A3F">
        <w:rPr>
          <w:rStyle w:val="Heading1Char"/>
          <w:lang w:val="en-GB" w:eastAsia="en-GB"/>
        </w:rPr>
        <w:t>Diagnosing Toyota’s Culture with Frameworks / Models</w:t>
      </w:r>
    </w:p>
    <w:p w14:paraId="6997D00E" w14:textId="31B125DE" w:rsidR="00AF4A3F" w:rsidRPr="00AF4A3F" w:rsidRDefault="00AF4A3F" w:rsidP="00AF4A3F">
      <w:pPr>
        <w:widowControl/>
        <w:spacing w:before="100" w:beforeAutospacing="1" w:after="100" w:afterAutospacing="1"/>
        <w:outlineLvl w:val="2"/>
        <w:rPr>
          <w:rFonts w:ascii="Times New Roman" w:eastAsia="Times New Roman" w:hAnsi="Times New Roman" w:cs="Times New Roman"/>
          <w:b/>
          <w:bCs/>
          <w:sz w:val="27"/>
          <w:szCs w:val="27"/>
          <w:lang w:val="en-GB" w:eastAsia="en-GB"/>
        </w:rPr>
      </w:pPr>
      <w:bookmarkStart w:id="4" w:name="_Toc211181314"/>
      <w:r w:rsidRPr="00AF4A3F">
        <w:rPr>
          <w:rFonts w:eastAsia="Times New Roman"/>
          <w:b/>
          <w:bCs/>
          <w:sz w:val="24"/>
          <w:szCs w:val="24"/>
          <w:lang w:val="en-GB" w:eastAsia="en-GB"/>
        </w:rPr>
        <w:t>Schein’s Levels</w:t>
      </w:r>
      <w:bookmarkEnd w:id="4"/>
    </w:p>
    <w:p w14:paraId="00158B19" w14:textId="77777777" w:rsidR="00AF4A3F" w:rsidRDefault="00AF4A3F" w:rsidP="00AF4A3F">
      <w:pPr>
        <w:widowControl/>
        <w:numPr>
          <w:ilvl w:val="0"/>
          <w:numId w:val="3"/>
        </w:numPr>
        <w:spacing w:before="100" w:beforeAutospacing="1" w:after="100" w:afterAutospacing="1"/>
        <w:rPr>
          <w:rFonts w:eastAsia="Times New Roman"/>
          <w:lang w:val="en-GB" w:eastAsia="en-GB"/>
        </w:rPr>
      </w:pPr>
      <w:r w:rsidRPr="00AF4A3F">
        <w:rPr>
          <w:rFonts w:eastAsia="Times New Roman"/>
          <w:b/>
          <w:bCs/>
          <w:lang w:val="en-GB" w:eastAsia="en-GB"/>
        </w:rPr>
        <w:t>Artifacts &amp; symbols</w:t>
      </w:r>
      <w:r w:rsidRPr="00AF4A3F">
        <w:rPr>
          <w:rFonts w:eastAsia="Times New Roman"/>
          <w:lang w:val="en-GB" w:eastAsia="en-GB"/>
        </w:rPr>
        <w:t xml:space="preserve">: visible practices such as kaizen boards, daily “huddle” meetings, visual management, </w:t>
      </w:r>
      <w:proofErr w:type="spellStart"/>
      <w:r w:rsidRPr="00AF4A3F">
        <w:rPr>
          <w:rFonts w:eastAsia="Times New Roman"/>
          <w:lang w:val="en-GB" w:eastAsia="en-GB"/>
        </w:rPr>
        <w:t>obeya</w:t>
      </w:r>
      <w:proofErr w:type="spellEnd"/>
      <w:r w:rsidRPr="00AF4A3F">
        <w:rPr>
          <w:rFonts w:eastAsia="Times New Roman"/>
          <w:lang w:val="en-GB" w:eastAsia="en-GB"/>
        </w:rPr>
        <w:t xml:space="preserve"> rooms; formalization in codes of conduct; uniforms; TPS artifacts.</w:t>
      </w:r>
    </w:p>
    <w:p w14:paraId="391813B8" w14:textId="77777777" w:rsidR="00AF4A3F" w:rsidRPr="00AF4A3F" w:rsidRDefault="00AF4A3F" w:rsidP="00AF4A3F">
      <w:pPr>
        <w:widowControl/>
        <w:spacing w:before="100" w:beforeAutospacing="1" w:after="100" w:afterAutospacing="1"/>
        <w:ind w:left="720"/>
        <w:rPr>
          <w:rFonts w:eastAsia="Times New Roman"/>
          <w:lang w:val="en-GB" w:eastAsia="en-GB"/>
        </w:rPr>
      </w:pPr>
    </w:p>
    <w:p w14:paraId="5585E1AC" w14:textId="38536505" w:rsidR="00AF4A3F" w:rsidRDefault="00AF4A3F" w:rsidP="00AF4A3F">
      <w:pPr>
        <w:widowControl/>
        <w:numPr>
          <w:ilvl w:val="0"/>
          <w:numId w:val="3"/>
        </w:numPr>
        <w:spacing w:before="100" w:beforeAutospacing="1" w:after="100" w:afterAutospacing="1"/>
        <w:rPr>
          <w:rFonts w:eastAsia="Times New Roman"/>
          <w:lang w:val="en-GB" w:eastAsia="en-GB"/>
        </w:rPr>
      </w:pPr>
      <w:r w:rsidRPr="00AF4A3F">
        <w:rPr>
          <w:rFonts w:eastAsia="Times New Roman"/>
          <w:b/>
          <w:bCs/>
          <w:lang w:val="en-GB" w:eastAsia="en-GB"/>
        </w:rPr>
        <w:t>Espoused values</w:t>
      </w:r>
      <w:r w:rsidRPr="00AF4A3F">
        <w:rPr>
          <w:rFonts w:eastAsia="Times New Roman"/>
          <w:lang w:val="en-GB" w:eastAsia="en-GB"/>
        </w:rPr>
        <w:t xml:space="preserve">: The 14 principles of the Toyota Way; values such as “continuous improvement,” “respect for people,” “long-term thinking,” “challenge,” “teamwork.” </w:t>
      </w:r>
      <w:proofErr w:type="spellStart"/>
      <w:r w:rsidRPr="00AF4A3F">
        <w:rPr>
          <w:rFonts w:eastAsia="Times New Roman"/>
          <w:lang w:val="en-GB" w:eastAsia="en-GB"/>
        </w:rPr>
        <w:t>Profiroiu</w:t>
      </w:r>
      <w:proofErr w:type="spellEnd"/>
      <w:r w:rsidRPr="00AF4A3F">
        <w:rPr>
          <w:rFonts w:eastAsia="Times New Roman"/>
          <w:lang w:val="en-GB" w:eastAsia="en-GB"/>
        </w:rPr>
        <w:t xml:space="preserve"> et al. (2020) note Toyota’s use of “talent engineering” and internal programmes to inculcate these values among leaders and employees. </w:t>
      </w:r>
    </w:p>
    <w:p w14:paraId="3EC69E04" w14:textId="77777777" w:rsidR="00AF4A3F" w:rsidRPr="00AF4A3F" w:rsidRDefault="00AF4A3F" w:rsidP="00AF4A3F">
      <w:pPr>
        <w:widowControl/>
        <w:spacing w:before="100" w:beforeAutospacing="1" w:after="100" w:afterAutospacing="1"/>
        <w:rPr>
          <w:rFonts w:eastAsia="Times New Roman"/>
          <w:lang w:val="en-GB" w:eastAsia="en-GB"/>
        </w:rPr>
      </w:pPr>
    </w:p>
    <w:p w14:paraId="4DDD0B41" w14:textId="15B9FFBE" w:rsidR="00AF4A3F" w:rsidRDefault="00AF4A3F" w:rsidP="00AF4A3F">
      <w:pPr>
        <w:widowControl/>
        <w:numPr>
          <w:ilvl w:val="0"/>
          <w:numId w:val="3"/>
        </w:numPr>
        <w:spacing w:before="100" w:beforeAutospacing="1" w:after="100" w:afterAutospacing="1"/>
        <w:rPr>
          <w:rFonts w:eastAsia="Times New Roman"/>
          <w:lang w:val="en-GB" w:eastAsia="en-GB"/>
        </w:rPr>
      </w:pPr>
      <w:r w:rsidRPr="00AF4A3F">
        <w:rPr>
          <w:rFonts w:eastAsia="Times New Roman"/>
          <w:b/>
          <w:bCs/>
          <w:lang w:val="en-GB" w:eastAsia="en-GB"/>
        </w:rPr>
        <w:t>Basic underlying assumptions</w:t>
      </w:r>
      <w:r w:rsidRPr="00AF4A3F">
        <w:rPr>
          <w:rFonts w:eastAsia="Times New Roman"/>
          <w:lang w:val="en-GB" w:eastAsia="en-GB"/>
        </w:rPr>
        <w:t xml:space="preserve">: that problems should be surfaced not hidden; that employees at every level can contribute; that stopping to fix a defect is preferable to letting defects accumulate; </w:t>
      </w:r>
      <w:r w:rsidR="006D7253" w:rsidRPr="00AF4A3F">
        <w:rPr>
          <w:rFonts w:eastAsia="Times New Roman"/>
          <w:lang w:val="en-GB" w:eastAsia="en-GB"/>
        </w:rPr>
        <w:t>those long-term outcomes</w:t>
      </w:r>
      <w:r w:rsidRPr="00AF4A3F">
        <w:rPr>
          <w:rFonts w:eastAsia="Times New Roman"/>
          <w:lang w:val="en-GB" w:eastAsia="en-GB"/>
        </w:rPr>
        <w:t xml:space="preserve"> matter; that customer safety and quality are non-negotiable.</w:t>
      </w:r>
    </w:p>
    <w:p w14:paraId="34059EEC" w14:textId="77777777" w:rsidR="00AF4A3F" w:rsidRDefault="00AF4A3F" w:rsidP="00AF4A3F">
      <w:pPr>
        <w:pStyle w:val="ListParagraph"/>
        <w:rPr>
          <w:rFonts w:ascii="Times New Roman" w:eastAsia="Times New Roman" w:hAnsi="Times New Roman" w:cs="Times New Roman"/>
          <w:b/>
          <w:bCs/>
          <w:sz w:val="27"/>
          <w:szCs w:val="27"/>
          <w:lang w:val="en-GB" w:eastAsia="en-GB"/>
        </w:rPr>
      </w:pPr>
    </w:p>
    <w:p w14:paraId="11B725F8" w14:textId="2670BBB0" w:rsidR="00AF4A3F" w:rsidRPr="00AF4A3F" w:rsidRDefault="00AF4A3F" w:rsidP="00AF4A3F">
      <w:pPr>
        <w:widowControl/>
        <w:spacing w:before="100" w:beforeAutospacing="1" w:after="100" w:afterAutospacing="1"/>
        <w:ind w:left="720"/>
        <w:rPr>
          <w:rFonts w:eastAsia="Times New Roman"/>
          <w:sz w:val="24"/>
          <w:szCs w:val="24"/>
          <w:lang w:val="en-GB" w:eastAsia="en-GB"/>
        </w:rPr>
      </w:pPr>
      <w:r w:rsidRPr="00AF4A3F">
        <w:rPr>
          <w:rFonts w:ascii="Times New Roman" w:eastAsia="Times New Roman" w:hAnsi="Times New Roman" w:cs="Times New Roman"/>
          <w:b/>
          <w:bCs/>
          <w:sz w:val="27"/>
          <w:szCs w:val="27"/>
          <w:lang w:val="en-GB" w:eastAsia="en-GB"/>
        </w:rPr>
        <w:t xml:space="preserve"> </w:t>
      </w:r>
      <w:r w:rsidRPr="00AF4A3F">
        <w:rPr>
          <w:rFonts w:eastAsia="Times New Roman"/>
          <w:sz w:val="24"/>
          <w:szCs w:val="24"/>
          <w:lang w:val="en-GB" w:eastAsia="en-GB"/>
        </w:rPr>
        <w:t>Hofstede’s Cultural Dimensions</w:t>
      </w:r>
    </w:p>
    <w:p w14:paraId="3A3868DF" w14:textId="4BCF65BD"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lastRenderedPageBreak/>
        <w:t xml:space="preserve">Since Toyota is </w:t>
      </w:r>
      <w:r w:rsidR="002E4AA8" w:rsidRPr="00AF4A3F">
        <w:rPr>
          <w:rFonts w:eastAsia="Times New Roman"/>
          <w:lang w:val="en-GB" w:eastAsia="en-GB"/>
        </w:rPr>
        <w:t>Japanese rooted</w:t>
      </w:r>
      <w:r w:rsidRPr="00AF4A3F">
        <w:rPr>
          <w:rFonts w:eastAsia="Times New Roman"/>
          <w:lang w:val="en-GB" w:eastAsia="en-GB"/>
        </w:rPr>
        <w:t>, the national culture influences its corporate culture. Relevant dimensions include:</w:t>
      </w:r>
    </w:p>
    <w:p w14:paraId="211BFB52" w14:textId="77777777" w:rsidR="00AF4A3F" w:rsidRDefault="00AF4A3F" w:rsidP="00AF4A3F">
      <w:pPr>
        <w:widowControl/>
        <w:numPr>
          <w:ilvl w:val="0"/>
          <w:numId w:val="4"/>
        </w:numPr>
        <w:spacing w:before="100" w:beforeAutospacing="1" w:after="100" w:afterAutospacing="1"/>
        <w:rPr>
          <w:rFonts w:eastAsia="Times New Roman"/>
          <w:lang w:val="en-GB" w:eastAsia="en-GB"/>
        </w:rPr>
      </w:pPr>
      <w:r w:rsidRPr="00AF4A3F">
        <w:rPr>
          <w:rFonts w:eastAsia="Times New Roman"/>
          <w:b/>
          <w:bCs/>
          <w:lang w:val="en-GB" w:eastAsia="en-GB"/>
        </w:rPr>
        <w:t>Long-Term Orientation</w:t>
      </w:r>
      <w:r w:rsidRPr="00AF4A3F">
        <w:rPr>
          <w:rFonts w:eastAsia="Times New Roman"/>
          <w:lang w:val="en-GB" w:eastAsia="en-GB"/>
        </w:rPr>
        <w:t>: Japanese culture, high in long-term orientation, aligns with Toyota’s emphasis on sustainability, continuous improvement, and investments that pay off over years.</w:t>
      </w:r>
    </w:p>
    <w:p w14:paraId="08DA0F4E" w14:textId="77777777" w:rsidR="00AF4A3F" w:rsidRPr="00AF4A3F" w:rsidRDefault="00AF4A3F" w:rsidP="00AF4A3F">
      <w:pPr>
        <w:widowControl/>
        <w:spacing w:before="100" w:beforeAutospacing="1" w:after="100" w:afterAutospacing="1"/>
        <w:ind w:left="360"/>
        <w:rPr>
          <w:rFonts w:eastAsia="Times New Roman"/>
          <w:lang w:val="en-GB" w:eastAsia="en-GB"/>
        </w:rPr>
      </w:pPr>
    </w:p>
    <w:p w14:paraId="35A63CD8" w14:textId="5C0219D3" w:rsidR="00AF4A3F" w:rsidRDefault="00AF4A3F" w:rsidP="00AF4A3F">
      <w:pPr>
        <w:widowControl/>
        <w:numPr>
          <w:ilvl w:val="0"/>
          <w:numId w:val="4"/>
        </w:numPr>
        <w:spacing w:before="100" w:beforeAutospacing="1" w:after="100" w:afterAutospacing="1"/>
        <w:rPr>
          <w:rFonts w:eastAsia="Times New Roman"/>
          <w:lang w:val="en-GB" w:eastAsia="en-GB"/>
        </w:rPr>
      </w:pPr>
      <w:r w:rsidRPr="00AF4A3F">
        <w:rPr>
          <w:rFonts w:eastAsia="Times New Roman"/>
          <w:b/>
          <w:bCs/>
          <w:lang w:val="en-GB" w:eastAsia="en-GB"/>
        </w:rPr>
        <w:t>Collectivism vs Individualism</w:t>
      </w:r>
      <w:r w:rsidRPr="00AF4A3F">
        <w:rPr>
          <w:rFonts w:eastAsia="Times New Roman"/>
          <w:lang w:val="en-GB" w:eastAsia="en-GB"/>
        </w:rPr>
        <w:t>: Japan tends toward collectivism; Toyota emphasizes teamwork, group problem solving, shared responsibility.</w:t>
      </w:r>
    </w:p>
    <w:p w14:paraId="072BD5B0" w14:textId="77777777" w:rsidR="00AF4A3F" w:rsidRPr="00AF4A3F" w:rsidRDefault="00AF4A3F" w:rsidP="00AF4A3F">
      <w:pPr>
        <w:widowControl/>
        <w:spacing w:before="100" w:beforeAutospacing="1" w:after="100" w:afterAutospacing="1"/>
        <w:rPr>
          <w:rFonts w:eastAsia="Times New Roman"/>
          <w:lang w:val="en-GB" w:eastAsia="en-GB"/>
        </w:rPr>
      </w:pPr>
    </w:p>
    <w:p w14:paraId="16A0CBA0" w14:textId="77777777" w:rsidR="00AF4A3F" w:rsidRDefault="00AF4A3F" w:rsidP="00AF4A3F">
      <w:pPr>
        <w:widowControl/>
        <w:numPr>
          <w:ilvl w:val="0"/>
          <w:numId w:val="4"/>
        </w:numPr>
        <w:spacing w:before="100" w:beforeAutospacing="1" w:after="100" w:afterAutospacing="1"/>
        <w:rPr>
          <w:rFonts w:eastAsia="Times New Roman"/>
          <w:lang w:val="en-GB" w:eastAsia="en-GB"/>
        </w:rPr>
      </w:pPr>
      <w:r w:rsidRPr="00AF4A3F">
        <w:rPr>
          <w:rFonts w:eastAsia="Times New Roman"/>
          <w:b/>
          <w:bCs/>
          <w:lang w:val="en-GB" w:eastAsia="en-GB"/>
        </w:rPr>
        <w:t>Uncertainty Avoidance</w:t>
      </w:r>
      <w:r w:rsidRPr="00AF4A3F">
        <w:rPr>
          <w:rFonts w:eastAsia="Times New Roman"/>
          <w:lang w:val="en-GB" w:eastAsia="en-GB"/>
        </w:rPr>
        <w:t>: Japan is relatively high; Toyota responds accordingly with standardised processes, rigorous analysis (root cause, 5 Whys), and cautious expansion.</w:t>
      </w:r>
    </w:p>
    <w:p w14:paraId="17BE9583" w14:textId="77777777" w:rsidR="00AF4A3F" w:rsidRPr="00AF4A3F" w:rsidRDefault="00AF4A3F" w:rsidP="00AF4A3F">
      <w:pPr>
        <w:widowControl/>
        <w:spacing w:before="100" w:beforeAutospacing="1" w:after="100" w:afterAutospacing="1"/>
        <w:rPr>
          <w:rFonts w:eastAsia="Times New Roman"/>
          <w:lang w:val="en-GB" w:eastAsia="en-GB"/>
        </w:rPr>
      </w:pPr>
    </w:p>
    <w:p w14:paraId="31B07C69" w14:textId="729424C4" w:rsidR="00AF4A3F" w:rsidRPr="00AF4A3F" w:rsidRDefault="00AF4A3F" w:rsidP="00AF4A3F">
      <w:pPr>
        <w:widowControl/>
        <w:numPr>
          <w:ilvl w:val="0"/>
          <w:numId w:val="4"/>
        </w:numPr>
        <w:spacing w:before="100" w:beforeAutospacing="1" w:after="100" w:afterAutospacing="1"/>
        <w:rPr>
          <w:rFonts w:eastAsia="Times New Roman"/>
          <w:lang w:val="en-GB" w:eastAsia="en-GB"/>
        </w:rPr>
      </w:pPr>
      <w:r w:rsidRPr="00AF4A3F">
        <w:rPr>
          <w:rFonts w:eastAsia="Times New Roman"/>
          <w:b/>
          <w:bCs/>
          <w:lang w:val="en-GB" w:eastAsia="en-GB"/>
        </w:rPr>
        <w:t>Power Distance</w:t>
      </w:r>
      <w:r w:rsidRPr="00AF4A3F">
        <w:rPr>
          <w:rFonts w:eastAsia="Times New Roman"/>
          <w:lang w:val="en-GB" w:eastAsia="en-GB"/>
        </w:rPr>
        <w:t xml:space="preserve">: Moderate; there is hierarchy in Toyota, but with an expectation of feedback, challenge from lower levels. The contradictions article notes that although there is strict hierarchy, employees are allowed to push back in certain contexts. </w:t>
      </w:r>
    </w:p>
    <w:p w14:paraId="5AA1A654"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These national cultural traits both enable Toyota’s culture and present potential tensions when operating in more individualistic, lower uncertainty-avoidance cultures.</w:t>
      </w:r>
    </w:p>
    <w:p w14:paraId="0676CAB9" w14:textId="2DFDCEDF" w:rsidR="00AF4A3F" w:rsidRPr="00AF4A3F" w:rsidRDefault="00AF4A3F" w:rsidP="00AF4A3F">
      <w:pPr>
        <w:widowControl/>
        <w:spacing w:before="100" w:beforeAutospacing="1" w:after="100" w:afterAutospacing="1"/>
        <w:outlineLvl w:val="2"/>
        <w:rPr>
          <w:rFonts w:eastAsia="Times New Roman"/>
          <w:sz w:val="24"/>
          <w:szCs w:val="24"/>
          <w:lang w:val="en-GB" w:eastAsia="en-GB"/>
        </w:rPr>
      </w:pPr>
      <w:bookmarkStart w:id="5" w:name="_Toc211181315"/>
      <w:r w:rsidRPr="00AF4A3F">
        <w:rPr>
          <w:rFonts w:eastAsia="Times New Roman"/>
          <w:sz w:val="24"/>
          <w:szCs w:val="24"/>
          <w:lang w:val="en-GB" w:eastAsia="en-GB"/>
        </w:rPr>
        <w:t>Handy’s Cultural Types</w:t>
      </w:r>
      <w:bookmarkEnd w:id="5"/>
    </w:p>
    <w:p w14:paraId="164BC565"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Using Handy’s typology (role, task, power, person cultures):</w:t>
      </w:r>
    </w:p>
    <w:p w14:paraId="73E07148" w14:textId="77777777" w:rsidR="00AF4A3F" w:rsidRPr="00AF4A3F" w:rsidRDefault="00AF4A3F" w:rsidP="00AF4A3F">
      <w:pPr>
        <w:widowControl/>
        <w:numPr>
          <w:ilvl w:val="0"/>
          <w:numId w:val="5"/>
        </w:numPr>
        <w:spacing w:before="100" w:beforeAutospacing="1" w:after="100" w:afterAutospacing="1"/>
        <w:rPr>
          <w:rFonts w:eastAsia="Times New Roman"/>
          <w:lang w:val="en-GB" w:eastAsia="en-GB"/>
        </w:rPr>
      </w:pPr>
      <w:r w:rsidRPr="00AF4A3F">
        <w:rPr>
          <w:rFonts w:eastAsia="Times New Roman"/>
          <w:b/>
          <w:bCs/>
          <w:lang w:val="en-GB" w:eastAsia="en-GB"/>
        </w:rPr>
        <w:t>Role culture</w:t>
      </w:r>
      <w:r w:rsidRPr="00AF4A3F">
        <w:rPr>
          <w:rFonts w:eastAsia="Times New Roman"/>
          <w:lang w:val="en-GB" w:eastAsia="en-GB"/>
        </w:rPr>
        <w:t>: Toyota has strong role culture elements: defined job descriptions, standard processes, formal planning, rules and procedures, especially in manufacturing.</w:t>
      </w:r>
    </w:p>
    <w:p w14:paraId="0466BCD7" w14:textId="77777777" w:rsidR="00AF4A3F" w:rsidRPr="00AF4A3F" w:rsidRDefault="00AF4A3F" w:rsidP="00AF4A3F">
      <w:pPr>
        <w:widowControl/>
        <w:numPr>
          <w:ilvl w:val="0"/>
          <w:numId w:val="5"/>
        </w:numPr>
        <w:spacing w:before="100" w:beforeAutospacing="1" w:after="100" w:afterAutospacing="1"/>
        <w:rPr>
          <w:rFonts w:eastAsia="Times New Roman"/>
          <w:lang w:val="en-GB" w:eastAsia="en-GB"/>
        </w:rPr>
      </w:pPr>
      <w:r w:rsidRPr="00AF4A3F">
        <w:rPr>
          <w:rFonts w:eastAsia="Times New Roman"/>
          <w:b/>
          <w:bCs/>
          <w:lang w:val="en-GB" w:eastAsia="en-GB"/>
        </w:rPr>
        <w:t>Task culture</w:t>
      </w:r>
      <w:r w:rsidRPr="00AF4A3F">
        <w:rPr>
          <w:rFonts w:eastAsia="Times New Roman"/>
          <w:lang w:val="en-GB" w:eastAsia="en-GB"/>
        </w:rPr>
        <w:t>: Problem-solving teams, improvement teams, cross-functional teams for new product development, continuous improvement projects—these are examples of task culture.</w:t>
      </w:r>
    </w:p>
    <w:p w14:paraId="746723F2" w14:textId="77777777" w:rsidR="00AF4A3F" w:rsidRPr="00AF4A3F" w:rsidRDefault="00AF4A3F" w:rsidP="00AF4A3F">
      <w:pPr>
        <w:widowControl/>
        <w:numPr>
          <w:ilvl w:val="0"/>
          <w:numId w:val="5"/>
        </w:numPr>
        <w:spacing w:before="100" w:beforeAutospacing="1" w:after="100" w:afterAutospacing="1"/>
        <w:rPr>
          <w:rFonts w:eastAsia="Times New Roman"/>
          <w:lang w:val="en-GB" w:eastAsia="en-GB"/>
        </w:rPr>
      </w:pPr>
      <w:r w:rsidRPr="00AF4A3F">
        <w:rPr>
          <w:rFonts w:eastAsia="Times New Roman"/>
          <w:lang w:val="en-GB" w:eastAsia="en-GB"/>
        </w:rPr>
        <w:t>Less prominent are power culture (centralized power) or person culture (individual prominence), except perhaps in leadership positions.</w:t>
      </w:r>
    </w:p>
    <w:p w14:paraId="33DB02AF" w14:textId="2EBF0E4B" w:rsidR="00AF4A3F" w:rsidRPr="00AF4A3F" w:rsidRDefault="00AF4A3F" w:rsidP="00AF4A3F">
      <w:pPr>
        <w:widowControl/>
        <w:numPr>
          <w:ilvl w:val="0"/>
          <w:numId w:val="5"/>
        </w:numPr>
        <w:spacing w:before="100" w:beforeAutospacing="1" w:after="100" w:afterAutospacing="1"/>
        <w:rPr>
          <w:rFonts w:eastAsia="Times New Roman"/>
          <w:lang w:val="en-GB" w:eastAsia="en-GB"/>
        </w:rPr>
      </w:pPr>
      <w:r w:rsidRPr="00AF4A3F">
        <w:rPr>
          <w:rFonts w:eastAsia="Times New Roman"/>
          <w:lang w:val="en-GB" w:eastAsia="en-GB"/>
        </w:rPr>
        <w:t xml:space="preserve">Social/caring / family culture as a sub-dimension: </w:t>
      </w:r>
      <w:proofErr w:type="spellStart"/>
      <w:r w:rsidRPr="00AF4A3F">
        <w:rPr>
          <w:rFonts w:eastAsia="Times New Roman"/>
          <w:lang w:val="en-GB" w:eastAsia="en-GB"/>
        </w:rPr>
        <w:t>Sosnovskikh</w:t>
      </w:r>
      <w:proofErr w:type="spellEnd"/>
      <w:r w:rsidRPr="00AF4A3F">
        <w:rPr>
          <w:rFonts w:eastAsia="Times New Roman"/>
          <w:lang w:val="en-GB" w:eastAsia="en-GB"/>
        </w:rPr>
        <w:t xml:space="preserve"> (2016) characterises Toyota’s management style as a “Family” type culture, consistent with collectivistic norms, long-term orientation, mutual trust, loyalty, etc. </w:t>
      </w:r>
    </w:p>
    <w:p w14:paraId="7402D281" w14:textId="0715B893" w:rsidR="00AF4A3F" w:rsidRPr="00AF4A3F" w:rsidRDefault="00AF4A3F" w:rsidP="00AF4A3F">
      <w:pPr>
        <w:widowControl/>
        <w:spacing w:before="100" w:beforeAutospacing="1" w:after="100" w:afterAutospacing="1"/>
        <w:outlineLvl w:val="2"/>
        <w:rPr>
          <w:rFonts w:eastAsia="Times New Roman"/>
          <w:sz w:val="24"/>
          <w:szCs w:val="24"/>
          <w:lang w:val="en-GB" w:eastAsia="en-GB"/>
        </w:rPr>
      </w:pPr>
      <w:r w:rsidRPr="00AF4A3F">
        <w:rPr>
          <w:rFonts w:ascii="Times New Roman" w:eastAsia="Times New Roman" w:hAnsi="Times New Roman" w:cs="Times New Roman"/>
          <w:b/>
          <w:bCs/>
          <w:sz w:val="27"/>
          <w:szCs w:val="27"/>
          <w:lang w:val="en-GB" w:eastAsia="en-GB"/>
        </w:rPr>
        <w:t xml:space="preserve"> </w:t>
      </w:r>
      <w:bookmarkStart w:id="6" w:name="_Toc211181316"/>
      <w:r w:rsidRPr="00AF4A3F">
        <w:rPr>
          <w:rFonts w:eastAsia="Times New Roman"/>
          <w:sz w:val="24"/>
          <w:szCs w:val="24"/>
          <w:lang w:val="en-GB" w:eastAsia="en-GB"/>
        </w:rPr>
        <w:t>Other relevant models</w:t>
      </w:r>
      <w:bookmarkEnd w:id="6"/>
    </w:p>
    <w:p w14:paraId="2B52A463" w14:textId="20747527" w:rsidR="00AF4A3F" w:rsidRPr="00AF4A3F" w:rsidRDefault="00AF4A3F" w:rsidP="00AF4A3F">
      <w:pPr>
        <w:widowControl/>
        <w:numPr>
          <w:ilvl w:val="0"/>
          <w:numId w:val="6"/>
        </w:numPr>
        <w:spacing w:before="100" w:beforeAutospacing="1" w:after="100" w:afterAutospacing="1"/>
        <w:rPr>
          <w:rFonts w:eastAsia="Times New Roman"/>
          <w:lang w:val="en-GB" w:eastAsia="en-GB"/>
        </w:rPr>
      </w:pPr>
      <w:r w:rsidRPr="00AF4A3F">
        <w:rPr>
          <w:rFonts w:eastAsia="Times New Roman"/>
          <w:lang w:val="en-GB" w:eastAsia="en-GB"/>
        </w:rPr>
        <w:t xml:space="preserve">Contradictions &amp; balance: Takeuchi et al. (2008) emphasise that Toyota succeeds not by being one way but by holding multiple tensions simultaneously: between stability and change, process discipline and experimentation. </w:t>
      </w:r>
    </w:p>
    <w:p w14:paraId="1C7937D1" w14:textId="39201FE5" w:rsidR="00AF4A3F" w:rsidRDefault="00AF4A3F" w:rsidP="00AF4A3F">
      <w:pPr>
        <w:widowControl/>
        <w:numPr>
          <w:ilvl w:val="0"/>
          <w:numId w:val="6"/>
        </w:numPr>
        <w:spacing w:before="100" w:beforeAutospacing="1" w:after="100" w:afterAutospacing="1"/>
        <w:rPr>
          <w:rFonts w:eastAsia="Times New Roman"/>
          <w:lang w:val="en-GB" w:eastAsia="en-GB"/>
        </w:rPr>
      </w:pPr>
      <w:r w:rsidRPr="00AF4A3F">
        <w:rPr>
          <w:rFonts w:eastAsia="Times New Roman"/>
          <w:lang w:val="en-GB" w:eastAsia="en-GB"/>
        </w:rPr>
        <w:t xml:space="preserve">Complementarity &amp; internal vs external fit: In the post-recall crisis, research has shown that Toyota’s performance was affected by deviations from internal fit (structure, HR, supplier policies) misaligned with environmental demands. </w:t>
      </w:r>
    </w:p>
    <w:p w14:paraId="24CE38D0" w14:textId="77777777" w:rsidR="006572B1" w:rsidRDefault="006572B1" w:rsidP="006572B1">
      <w:pPr>
        <w:widowControl/>
        <w:spacing w:before="100" w:beforeAutospacing="1" w:after="100" w:afterAutospacing="1"/>
        <w:ind w:left="720"/>
        <w:rPr>
          <w:rFonts w:eastAsia="Times New Roman"/>
          <w:lang w:val="en-GB" w:eastAsia="en-GB"/>
        </w:rPr>
      </w:pPr>
    </w:p>
    <w:p w14:paraId="7D4AFAF6" w14:textId="688E619A" w:rsidR="006572B1" w:rsidRPr="006572B1" w:rsidRDefault="006572B1" w:rsidP="006572B1">
      <w:pPr>
        <w:pStyle w:val="NormalWeb"/>
        <w:ind w:left="720"/>
        <w:rPr>
          <w:rFonts w:ascii="Arial" w:hAnsi="Arial" w:cs="Arial"/>
          <w:sz w:val="22"/>
          <w:szCs w:val="22"/>
        </w:rPr>
      </w:pPr>
      <w:r w:rsidRPr="006572B1">
        <w:rPr>
          <w:rFonts w:ascii="Arial" w:hAnsi="Arial" w:cs="Arial"/>
          <w:sz w:val="22"/>
          <w:szCs w:val="22"/>
        </w:rPr>
        <w:lastRenderedPageBreak/>
        <w:t xml:space="preserve">Toyota’s culture also has a profound impact on how it manages innovation, learning, and global integration. The kaizen philosophy encourages incremental improvement, but the organisation balances this with periods of radical innovation, such as the introduction of hybrid technology in the Prius. This duality—continuous improvement alongside disruptive change—demonstrates how cultural adaptability contributes to resilience. Moreover, Toyota’s emphasis on respect for people extends to suppliers and partners through the concept of “Keiretsu,” fostering long-term, trust-based relationships that enhance supply chain stability and </w:t>
      </w:r>
      <w:r w:rsidRPr="006572B1">
        <w:rPr>
          <w:rFonts w:ascii="Arial" w:hAnsi="Arial" w:cs="Arial"/>
          <w:sz w:val="22"/>
          <w:szCs w:val="22"/>
        </w:rPr>
        <w:t>innovation. The</w:t>
      </w:r>
      <w:r w:rsidRPr="006572B1">
        <w:rPr>
          <w:rFonts w:ascii="Arial" w:hAnsi="Arial" w:cs="Arial"/>
          <w:sz w:val="22"/>
          <w:szCs w:val="22"/>
        </w:rPr>
        <w:t xml:space="preserve"> interplay between culture and leadership is another key dimension. Toyota’s leaders often rise through the organisation after decades of experience, which reinforces cultural continuity and shared understanding of the Toyota Way. Leadership at Toyota is characterized less by charismatic authority and more by servant leadership—leaders are expected to coach, develop, and empower employees. This mirrors Schein’s (2010) assertion that leaders are both products and creators of organisational </w:t>
      </w:r>
      <w:r w:rsidRPr="006572B1">
        <w:rPr>
          <w:rFonts w:ascii="Arial" w:hAnsi="Arial" w:cs="Arial"/>
          <w:sz w:val="22"/>
          <w:szCs w:val="22"/>
        </w:rPr>
        <w:t>culture. When</w:t>
      </w:r>
      <w:r w:rsidRPr="006572B1">
        <w:rPr>
          <w:rFonts w:ascii="Arial" w:hAnsi="Arial" w:cs="Arial"/>
          <w:sz w:val="22"/>
          <w:szCs w:val="22"/>
        </w:rPr>
        <w:t xml:space="preserve"> Toyota internationalised, its ability to transfer its culture across contexts became a strategic capability. Plants in the U.S., Europe, and Southeast Asia adapted the Toyota Way principles while incorporating local practices. For example, in North America, Toyota adjusted its approach to encourage more direct communication, while retaining consensus-based decision-making and continuous improvement practices. This demonstrates cultural ambidexterity—the ability to maintain core cultural values while flexibly interpreting them to fit local environments.</w:t>
      </w:r>
      <w:r w:rsidRPr="006572B1">
        <w:rPr>
          <w:rFonts w:ascii="Arial" w:hAnsi="Arial" w:cs="Arial"/>
          <w:sz w:val="22"/>
          <w:szCs w:val="22"/>
        </w:rPr>
        <w:t xml:space="preserve"> </w:t>
      </w:r>
      <w:r w:rsidRPr="006572B1">
        <w:rPr>
          <w:rFonts w:ascii="Arial" w:hAnsi="Arial" w:cs="Arial"/>
          <w:sz w:val="22"/>
          <w:szCs w:val="22"/>
        </w:rPr>
        <w:t xml:space="preserve">At the same time, challenges persist. Scholars have noted that a strong culture, while beneficial for alignment, can also become a constraint when rapid change or external shocks occur. During the recall crisis, Toyota’s inward-looking communication norms and reluctance to escalate problems quickly revealed potential rigidity in its culture. Similarly, globalisation introduces cross-cultural tensions: in Western subsidiaries, employees accustomed to individualistic reward systems sometimes find Toyota’s collective focus less motivating. Thus, the same cultural traits that strengthen internal cohesion can create barriers to external responsiveness if not continuously </w:t>
      </w:r>
      <w:r w:rsidRPr="006572B1">
        <w:rPr>
          <w:rFonts w:ascii="Arial" w:hAnsi="Arial" w:cs="Arial"/>
          <w:sz w:val="22"/>
          <w:szCs w:val="22"/>
        </w:rPr>
        <w:t>reinterpreted. Overall</w:t>
      </w:r>
      <w:r w:rsidRPr="006572B1">
        <w:rPr>
          <w:rFonts w:ascii="Arial" w:hAnsi="Arial" w:cs="Arial"/>
          <w:sz w:val="22"/>
          <w:szCs w:val="22"/>
        </w:rPr>
        <w:t>, Toyota’s culture remains one of its greatest assets, sustaining world-class quality, employee engagement, and long-term success. However, sustaining this culture in an increasingly digital, global, and competitive environment requires deliberate effort—embedding flexibility, psychological safety, and cross-cultural learning within the very traditions that made Toyota exceptional.</w:t>
      </w:r>
    </w:p>
    <w:p w14:paraId="7E8321A5" w14:textId="77777777" w:rsidR="006572B1" w:rsidRPr="00AF4A3F" w:rsidRDefault="006572B1" w:rsidP="006572B1">
      <w:pPr>
        <w:widowControl/>
        <w:spacing w:before="100" w:beforeAutospacing="1" w:after="100" w:afterAutospacing="1"/>
        <w:ind w:left="720"/>
        <w:rPr>
          <w:rFonts w:eastAsia="Times New Roman"/>
          <w:lang w:val="en-GB" w:eastAsia="en-GB"/>
        </w:rPr>
      </w:pPr>
    </w:p>
    <w:p w14:paraId="4FFAFEAC" w14:textId="77777777" w:rsid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sz w:val="24"/>
          <w:szCs w:val="24"/>
          <w:lang w:val="en-GB" w:eastAsia="en-GB"/>
        </w:rPr>
        <w:pict w14:anchorId="50EB8668">
          <v:rect id="_x0000_i1029" style="width:0;height:1.5pt" o:hralign="center" o:hrstd="t" o:hr="t" fillcolor="#a0a0a0" stroked="f"/>
        </w:pict>
      </w:r>
    </w:p>
    <w:p w14:paraId="10DDB0D4" w14:textId="77777777" w:rsid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b/>
          <w:bCs/>
          <w:sz w:val="36"/>
          <w:szCs w:val="36"/>
          <w:lang w:val="en-GB" w:eastAsia="en-GB"/>
        </w:rPr>
        <w:t xml:space="preserve"> </w:t>
      </w:r>
      <w:bookmarkStart w:id="7" w:name="_Toc211181317"/>
      <w:r w:rsidRPr="00AF4A3F">
        <w:rPr>
          <w:rStyle w:val="Heading1Char"/>
          <w:lang w:val="en-GB" w:eastAsia="en-GB"/>
        </w:rPr>
        <w:t>How Toyota Uses Its Organisational Culture to Adapt to the External Environment</w:t>
      </w:r>
      <w:bookmarkEnd w:id="7"/>
    </w:p>
    <w:p w14:paraId="4C86C1E9" w14:textId="77777777" w:rsidR="00AF4A3F" w:rsidRDefault="00AF4A3F" w:rsidP="00AF4A3F">
      <w:pPr>
        <w:widowControl/>
        <w:rPr>
          <w:rFonts w:ascii="Times New Roman" w:eastAsia="Times New Roman" w:hAnsi="Times New Roman" w:cs="Times New Roman"/>
          <w:sz w:val="24"/>
          <w:szCs w:val="24"/>
          <w:lang w:val="en-GB" w:eastAsia="en-GB"/>
        </w:rPr>
      </w:pPr>
    </w:p>
    <w:p w14:paraId="17999679" w14:textId="77777777" w:rsidR="009322E6" w:rsidRDefault="00AF4A3F" w:rsidP="00AF4A3F">
      <w:pPr>
        <w:widowControl/>
        <w:rPr>
          <w:rFonts w:eastAsia="Times New Roman"/>
          <w:sz w:val="24"/>
          <w:szCs w:val="24"/>
          <w:lang w:val="en-GB" w:eastAsia="en-GB"/>
        </w:rPr>
      </w:pPr>
      <w:r w:rsidRPr="00AF4A3F">
        <w:rPr>
          <w:rFonts w:ascii="Times New Roman" w:eastAsia="Times New Roman" w:hAnsi="Times New Roman" w:cs="Times New Roman"/>
          <w:b/>
          <w:bCs/>
          <w:sz w:val="27"/>
          <w:szCs w:val="27"/>
          <w:lang w:val="en-GB" w:eastAsia="en-GB"/>
        </w:rPr>
        <w:t xml:space="preserve"> </w:t>
      </w:r>
      <w:r w:rsidRPr="00AF4A3F">
        <w:rPr>
          <w:rFonts w:eastAsia="Times New Roman"/>
          <w:sz w:val="24"/>
          <w:szCs w:val="24"/>
          <w:lang w:val="en-GB" w:eastAsia="en-GB"/>
        </w:rPr>
        <w:t>Learning &amp; crisis response</w:t>
      </w:r>
      <w:r w:rsidR="009322E6">
        <w:rPr>
          <w:rFonts w:eastAsia="Times New Roman"/>
          <w:sz w:val="24"/>
          <w:szCs w:val="24"/>
          <w:lang w:val="en-GB" w:eastAsia="en-GB"/>
        </w:rPr>
        <w:t xml:space="preserve"> </w:t>
      </w:r>
    </w:p>
    <w:p w14:paraId="5E381B83" w14:textId="77777777" w:rsidR="009322E6" w:rsidRDefault="009322E6" w:rsidP="00AF4A3F">
      <w:pPr>
        <w:widowControl/>
        <w:rPr>
          <w:rFonts w:eastAsia="Times New Roman"/>
          <w:sz w:val="24"/>
          <w:szCs w:val="24"/>
          <w:lang w:val="en-GB" w:eastAsia="en-GB"/>
        </w:rPr>
      </w:pPr>
    </w:p>
    <w:p w14:paraId="1C9C5E42" w14:textId="7A2E5321" w:rsidR="00AF4A3F" w:rsidRPr="00AF4A3F" w:rsidRDefault="009322E6" w:rsidP="00AF4A3F">
      <w:pPr>
        <w:widowControl/>
        <w:rPr>
          <w:rFonts w:eastAsia="Times New Roman"/>
          <w:sz w:val="24"/>
          <w:szCs w:val="24"/>
          <w:lang w:val="en-GB" w:eastAsia="en-GB"/>
        </w:rPr>
      </w:pPr>
      <w:r>
        <w:rPr>
          <w:rFonts w:eastAsia="Times New Roman"/>
          <w:sz w:val="24"/>
          <w:szCs w:val="24"/>
          <w:lang w:val="en-GB" w:eastAsia="en-GB"/>
        </w:rPr>
        <w:t>PESTEL analysis</w:t>
      </w:r>
    </w:p>
    <w:p w14:paraId="045CBBB5" w14:textId="0DA61FD6" w:rsid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 xml:space="preserve">Toyota’s culture of continuous improvement (kaizen), problem solving, root-cause analysis build learning capability. When faced with supply chain shocks, regulation changes (for emissions, safety), changing consumer preferences (e.g. for hybrids / EVs), Toyota leverages its culture to adapt. For example, the 2009-2010 recall crisis compelled Toyota to reassess how its internal configuration (decision-making, supplier oversight, HR systems) had drifted from the components of its culture that ensured fit. The “Complementarities and </w:t>
      </w:r>
      <w:r w:rsidRPr="00AF4A3F">
        <w:rPr>
          <w:rFonts w:eastAsia="Times New Roman"/>
          <w:lang w:val="en-GB" w:eastAsia="en-GB"/>
        </w:rPr>
        <w:lastRenderedPageBreak/>
        <w:t xml:space="preserve">organizational (Mis)fit” study (2016) shows how managerial choices that weakened internal fit had to be redressed. </w:t>
      </w:r>
    </w:p>
    <w:p w14:paraId="59CB9B93" w14:textId="7B73EDDE" w:rsidR="00AF4A3F" w:rsidRPr="00AF4A3F" w:rsidRDefault="006572B1" w:rsidP="00AF4A3F">
      <w:pPr>
        <w:widowControl/>
        <w:spacing w:before="100" w:beforeAutospacing="1" w:after="100" w:afterAutospacing="1"/>
        <w:rPr>
          <w:rFonts w:eastAsia="Times New Roman"/>
          <w:lang w:val="en-GB" w:eastAsia="en-GB"/>
        </w:rPr>
      </w:pPr>
      <w:r>
        <w:rPr>
          <w:rFonts w:eastAsia="Times New Roman"/>
          <w:lang w:val="en-GB" w:eastAsia="en-GB"/>
        </w:rPr>
        <w:t>I</w:t>
      </w:r>
      <w:r w:rsidR="00AF4A3F" w:rsidRPr="00AF4A3F">
        <w:rPr>
          <w:rFonts w:eastAsia="Times New Roman"/>
          <w:sz w:val="27"/>
          <w:szCs w:val="27"/>
          <w:lang w:val="en-GB" w:eastAsia="en-GB"/>
        </w:rPr>
        <w:t>nnovation &amp; sustainability</w:t>
      </w:r>
    </w:p>
    <w:p w14:paraId="731C3ED9" w14:textId="3CFB3ED4"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 xml:space="preserve">One case is the Prius: the radical innovation of hybrid propulsion required not only technical R&amp;D but culture that supports risk, vision, sustainability orientation. A study of the Prius case shows culture, vision, incentives matter in sustainable development and knowledge management. Tomlins, </w:t>
      </w:r>
      <w:r w:rsidR="006572B1" w:rsidRPr="00AF4A3F">
        <w:rPr>
          <w:rFonts w:eastAsia="Times New Roman"/>
          <w:lang w:val="en-GB" w:eastAsia="en-GB"/>
        </w:rPr>
        <w:t>Malinka</w:t>
      </w:r>
      <w:r w:rsidRPr="00AF4A3F">
        <w:rPr>
          <w:rFonts w:eastAsia="Times New Roman"/>
          <w:lang w:val="en-GB" w:eastAsia="en-GB"/>
        </w:rPr>
        <w:t xml:space="preserve"> et al. (2021) examine how Toyota’s culture enabled the Prius project by aligning knowledge management, sustainability goals, and incentives. </w:t>
      </w:r>
    </w:p>
    <w:p w14:paraId="1DA412FB" w14:textId="54939656"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Also, the 2020 study “Toyota Motor Corporation’s Culture Strategy” (</w:t>
      </w:r>
      <w:proofErr w:type="spellStart"/>
      <w:r w:rsidRPr="00AF4A3F">
        <w:rPr>
          <w:rFonts w:eastAsia="Times New Roman"/>
          <w:lang w:val="en-GB" w:eastAsia="en-GB"/>
        </w:rPr>
        <w:t>Profiroiu</w:t>
      </w:r>
      <w:proofErr w:type="spellEnd"/>
      <w:r w:rsidRPr="00AF4A3F">
        <w:rPr>
          <w:rFonts w:eastAsia="Times New Roman"/>
          <w:lang w:val="en-GB" w:eastAsia="en-GB"/>
        </w:rPr>
        <w:t xml:space="preserve"> et al., 2020) examines how Toyota uses talent engineering, sustainability, business transformation to achieve growth. The culture strategy is explicitly oriented toward business sustainability, innovation, and growth. </w:t>
      </w:r>
    </w:p>
    <w:p w14:paraId="3A78DC4F" w14:textId="4708B4CE" w:rsidR="00AF4A3F" w:rsidRPr="00AF4A3F" w:rsidRDefault="00AF4A3F" w:rsidP="00AF4A3F">
      <w:pPr>
        <w:widowControl/>
        <w:spacing w:before="100" w:beforeAutospacing="1" w:after="100" w:afterAutospacing="1"/>
        <w:outlineLvl w:val="2"/>
        <w:rPr>
          <w:rFonts w:eastAsia="Times New Roman"/>
          <w:sz w:val="24"/>
          <w:szCs w:val="24"/>
          <w:lang w:val="en-GB" w:eastAsia="en-GB"/>
        </w:rPr>
      </w:pPr>
      <w:bookmarkStart w:id="8" w:name="_Toc211181318"/>
      <w:r w:rsidRPr="00AF4A3F">
        <w:rPr>
          <w:rFonts w:eastAsia="Times New Roman"/>
          <w:sz w:val="24"/>
          <w:szCs w:val="24"/>
          <w:lang w:val="en-GB" w:eastAsia="en-GB"/>
        </w:rPr>
        <w:t>Stakeholder orientation</w:t>
      </w:r>
      <w:bookmarkEnd w:id="8"/>
    </w:p>
    <w:p w14:paraId="49A89439" w14:textId="0E57ACF9"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 xml:space="preserve">The case of Toyota Australia plant closure (Samson et al., 2022) provides insight into how culture shapes how Toyota handles external constraints (market decline, cost pressures etc.) with respect for employees and stakeholders. Even in a plant closure, Toyota Australia attempted to manage the psychological contract, treat employees with dignity, provide support for transitions. That shows how culture (respect, long-term thinking, stakeholder orientation) guides responses even in difficult situations. </w:t>
      </w:r>
    </w:p>
    <w:p w14:paraId="634B1A28" w14:textId="4CB9377D" w:rsidR="00AF4A3F" w:rsidRPr="00AF4A3F" w:rsidRDefault="00AF4A3F" w:rsidP="00AF4A3F">
      <w:pPr>
        <w:widowControl/>
        <w:spacing w:before="100" w:beforeAutospacing="1" w:after="100" w:afterAutospacing="1"/>
        <w:outlineLvl w:val="2"/>
        <w:rPr>
          <w:rFonts w:eastAsia="Times New Roman"/>
          <w:sz w:val="24"/>
          <w:szCs w:val="24"/>
          <w:lang w:val="en-GB" w:eastAsia="en-GB"/>
        </w:rPr>
      </w:pPr>
      <w:bookmarkStart w:id="9" w:name="_Toc211181319"/>
      <w:r w:rsidRPr="00AF4A3F">
        <w:rPr>
          <w:rFonts w:eastAsia="Times New Roman"/>
          <w:sz w:val="24"/>
          <w:szCs w:val="24"/>
          <w:lang w:val="en-GB" w:eastAsia="en-GB"/>
        </w:rPr>
        <w:t>Cultural adaptation in global operations</w:t>
      </w:r>
      <w:bookmarkEnd w:id="9"/>
    </w:p>
    <w:p w14:paraId="53376D5C" w14:textId="3CB88874"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 xml:space="preserve">Toyota’s globalisation has required balancing core culture from Japan with local adaptation. The contradictions paper notes that experimental, local customization is one of the forces of expansion, but this is balanced with integration via founders’ values etc. </w:t>
      </w:r>
    </w:p>
    <w:p w14:paraId="106B53CB" w14:textId="428D2B0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Also, “Toyota Motor Corporation’s Culture Strategy” (</w:t>
      </w:r>
      <w:proofErr w:type="spellStart"/>
      <w:r w:rsidRPr="00AF4A3F">
        <w:rPr>
          <w:rFonts w:eastAsia="Times New Roman"/>
          <w:lang w:val="en-GB" w:eastAsia="en-GB"/>
        </w:rPr>
        <w:t>Profiroiu</w:t>
      </w:r>
      <w:proofErr w:type="spellEnd"/>
      <w:r w:rsidRPr="00AF4A3F">
        <w:rPr>
          <w:rFonts w:eastAsia="Times New Roman"/>
          <w:lang w:val="en-GB" w:eastAsia="en-GB"/>
        </w:rPr>
        <w:t xml:space="preserve"> et al., 2020) describes how traditional Japanese business practices are considered when developing culture and talent strategy, but are adapted for global operations. </w:t>
      </w:r>
    </w:p>
    <w:p w14:paraId="007A3F68" w14:textId="77777777" w:rsidR="00AF4A3F" w:rsidRP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sz w:val="24"/>
          <w:szCs w:val="24"/>
          <w:lang w:val="en-GB" w:eastAsia="en-GB"/>
        </w:rPr>
        <w:pict w14:anchorId="769024A9">
          <v:rect id="_x0000_i1030" style="width:0;height:1.5pt" o:hralign="center" o:hrstd="t" o:hr="t" fillcolor="#a0a0a0" stroked="f"/>
        </w:pict>
      </w:r>
    </w:p>
    <w:p w14:paraId="6CDF3625" w14:textId="3242213D" w:rsidR="00AF4A3F" w:rsidRPr="00AF4A3F" w:rsidRDefault="00AF4A3F" w:rsidP="002E4AA8">
      <w:pPr>
        <w:pStyle w:val="Heading1"/>
        <w:rPr>
          <w:rFonts w:eastAsia="Times New Roman"/>
          <w:lang w:val="en-GB" w:eastAsia="en-GB"/>
        </w:rPr>
      </w:pPr>
      <w:r w:rsidRPr="00AF4A3F">
        <w:rPr>
          <w:rFonts w:eastAsia="Times New Roman"/>
          <w:lang w:val="en-GB" w:eastAsia="en-GB"/>
        </w:rPr>
        <w:t xml:space="preserve"> </w:t>
      </w:r>
      <w:bookmarkStart w:id="10" w:name="_Toc211181320"/>
      <w:r w:rsidRPr="00AF4A3F">
        <w:rPr>
          <w:rFonts w:eastAsia="Times New Roman"/>
          <w:lang w:val="en-GB" w:eastAsia="en-GB"/>
        </w:rPr>
        <w:t>Is Organisational Culture a Barrier to Effective Functioning at Toyota?</w:t>
      </w:r>
      <w:bookmarkEnd w:id="10"/>
    </w:p>
    <w:p w14:paraId="4A2D2094"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While Toyota’s culture gives many strengths, there are real situations in which that culture can act as a barrier. Some of these are documented in recent research.</w:t>
      </w:r>
    </w:p>
    <w:p w14:paraId="4047ABCD" w14:textId="30F7B507" w:rsidR="00AF4A3F" w:rsidRPr="00AF4A3F" w:rsidRDefault="00AF4A3F" w:rsidP="00AF4A3F">
      <w:pPr>
        <w:widowControl/>
        <w:spacing w:before="100" w:beforeAutospacing="1" w:after="100" w:afterAutospacing="1"/>
        <w:outlineLvl w:val="2"/>
        <w:rPr>
          <w:rFonts w:eastAsia="Times New Roman"/>
          <w:b/>
          <w:bCs/>
          <w:sz w:val="24"/>
          <w:szCs w:val="24"/>
          <w:lang w:val="en-GB" w:eastAsia="en-GB"/>
        </w:rPr>
      </w:pPr>
      <w:bookmarkStart w:id="11" w:name="_Toc211181321"/>
      <w:r w:rsidRPr="00AF4A3F">
        <w:rPr>
          <w:rFonts w:eastAsia="Times New Roman"/>
          <w:b/>
          <w:bCs/>
          <w:sz w:val="24"/>
          <w:szCs w:val="24"/>
          <w:lang w:val="en-GB" w:eastAsia="en-GB"/>
        </w:rPr>
        <w:t>Examples of culture as barrier</w:t>
      </w:r>
      <w:bookmarkEnd w:id="11"/>
    </w:p>
    <w:p w14:paraId="1896AFBE" w14:textId="19A74EF7" w:rsidR="00AF4A3F" w:rsidRPr="00AF4A3F" w:rsidRDefault="00AF4A3F" w:rsidP="00AF4A3F">
      <w:pPr>
        <w:widowControl/>
        <w:numPr>
          <w:ilvl w:val="0"/>
          <w:numId w:val="7"/>
        </w:numPr>
        <w:spacing w:before="100" w:beforeAutospacing="1" w:after="100" w:afterAutospacing="1"/>
        <w:rPr>
          <w:rFonts w:eastAsia="Times New Roman"/>
          <w:lang w:val="en-GB" w:eastAsia="en-GB"/>
        </w:rPr>
      </w:pPr>
      <w:r w:rsidRPr="00AF4A3F">
        <w:rPr>
          <w:rFonts w:eastAsia="Times New Roman"/>
          <w:lang w:val="en-GB" w:eastAsia="en-GB"/>
        </w:rPr>
        <w:t xml:space="preserve">Misfit &amp; ripple effects from scaling / globalization: The recall crisis (2009-2010) is a vivid example. Toyota’s rapid growth and globalization are argued to have loosened important complementarities in internal systems (supplier oversight, HR, quality control) which were part of its lean culture. As those fits weakened, quality suffered. </w:t>
      </w:r>
    </w:p>
    <w:p w14:paraId="67E0BE73" w14:textId="223D02F6" w:rsidR="00AF4A3F" w:rsidRPr="00AF4A3F" w:rsidRDefault="00AF4A3F" w:rsidP="00AF4A3F">
      <w:pPr>
        <w:widowControl/>
        <w:numPr>
          <w:ilvl w:val="0"/>
          <w:numId w:val="7"/>
        </w:numPr>
        <w:spacing w:before="100" w:beforeAutospacing="1" w:after="100" w:afterAutospacing="1"/>
        <w:rPr>
          <w:rFonts w:eastAsia="Times New Roman"/>
          <w:lang w:val="en-GB" w:eastAsia="en-GB"/>
        </w:rPr>
      </w:pPr>
      <w:r w:rsidRPr="00AF4A3F">
        <w:rPr>
          <w:rFonts w:eastAsia="Times New Roman"/>
          <w:lang w:val="en-GB" w:eastAsia="en-GB"/>
        </w:rPr>
        <w:t xml:space="preserve">Slowness in radical innovation: Because of norms </w:t>
      </w:r>
      <w:proofErr w:type="spellStart"/>
      <w:r w:rsidRPr="00AF4A3F">
        <w:rPr>
          <w:rFonts w:eastAsia="Times New Roman"/>
          <w:lang w:val="en-GB" w:eastAsia="en-GB"/>
        </w:rPr>
        <w:t>favoring</w:t>
      </w:r>
      <w:proofErr w:type="spellEnd"/>
      <w:r w:rsidRPr="00AF4A3F">
        <w:rPr>
          <w:rFonts w:eastAsia="Times New Roman"/>
          <w:lang w:val="en-GB" w:eastAsia="en-GB"/>
        </w:rPr>
        <w:t xml:space="preserve"> consensus, rigorous validation, standardization, Toyota has sometimes been slower than more nimble </w:t>
      </w:r>
      <w:r w:rsidRPr="00AF4A3F">
        <w:rPr>
          <w:rFonts w:eastAsia="Times New Roman"/>
          <w:lang w:val="en-GB" w:eastAsia="en-GB"/>
        </w:rPr>
        <w:lastRenderedPageBreak/>
        <w:t xml:space="preserve">rivals in software or digital transitions. For example, in reports following 2025, Toyota’s attempts at software platforms (e.g. its “Arene” system) are criticized for being underwhelming, with cultural or structural constraints slowing progress. (Financial Times, 2025) </w:t>
      </w:r>
    </w:p>
    <w:p w14:paraId="33F724FC" w14:textId="58D298CE" w:rsidR="00AF4A3F" w:rsidRPr="00AF4A3F" w:rsidRDefault="00AF4A3F" w:rsidP="00AF4A3F">
      <w:pPr>
        <w:widowControl/>
        <w:numPr>
          <w:ilvl w:val="0"/>
          <w:numId w:val="7"/>
        </w:numPr>
        <w:spacing w:before="100" w:beforeAutospacing="1" w:after="100" w:afterAutospacing="1"/>
        <w:rPr>
          <w:rFonts w:eastAsia="Times New Roman"/>
          <w:lang w:val="en-GB" w:eastAsia="en-GB"/>
        </w:rPr>
      </w:pPr>
      <w:r w:rsidRPr="00AF4A3F">
        <w:rPr>
          <w:rFonts w:eastAsia="Times New Roman"/>
          <w:lang w:val="en-GB" w:eastAsia="en-GB"/>
        </w:rPr>
        <w:t xml:space="preserve">Tension in plant closures and employment practices: The Toyota Australia case shows that when making hard decisions (closing plants), value commitments (respect, stakeholder orientation) place additional burdens and may slow the decision or make cost transitions more complex. But also, failing to manage expectations can lead to loss of trust. </w:t>
      </w:r>
    </w:p>
    <w:p w14:paraId="2B529DE8" w14:textId="5E7C5ED1" w:rsidR="00AF4A3F" w:rsidRPr="00AF4A3F" w:rsidRDefault="00AF4A3F" w:rsidP="00AF4A3F">
      <w:pPr>
        <w:widowControl/>
        <w:spacing w:before="100" w:beforeAutospacing="1" w:after="100" w:afterAutospacing="1"/>
        <w:outlineLvl w:val="2"/>
        <w:rPr>
          <w:rFonts w:eastAsia="Times New Roman"/>
          <w:sz w:val="24"/>
          <w:szCs w:val="24"/>
          <w:lang w:val="en-GB" w:eastAsia="en-GB"/>
        </w:rPr>
      </w:pPr>
      <w:bookmarkStart w:id="12" w:name="_Toc211181322"/>
      <w:r w:rsidRPr="00AF4A3F">
        <w:rPr>
          <w:rFonts w:eastAsia="Times New Roman"/>
          <w:sz w:val="24"/>
          <w:szCs w:val="24"/>
          <w:lang w:val="en-GB" w:eastAsia="en-GB"/>
        </w:rPr>
        <w:t>Degree &amp; mitigations</w:t>
      </w:r>
      <w:bookmarkEnd w:id="12"/>
    </w:p>
    <w:p w14:paraId="1B809644"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These barriers are not fatal; Toyota does mitigate them via:</w:t>
      </w:r>
    </w:p>
    <w:p w14:paraId="2F115F09" w14:textId="77777777" w:rsidR="00AF4A3F" w:rsidRPr="00AF4A3F" w:rsidRDefault="00AF4A3F" w:rsidP="00AF4A3F">
      <w:pPr>
        <w:widowControl/>
        <w:numPr>
          <w:ilvl w:val="0"/>
          <w:numId w:val="8"/>
        </w:numPr>
        <w:spacing w:before="100" w:beforeAutospacing="1" w:after="100" w:afterAutospacing="1"/>
        <w:rPr>
          <w:rFonts w:eastAsia="Times New Roman"/>
          <w:lang w:val="en-GB" w:eastAsia="en-GB"/>
        </w:rPr>
      </w:pPr>
      <w:r w:rsidRPr="00AF4A3F">
        <w:rPr>
          <w:rFonts w:eastAsia="Times New Roman"/>
          <w:lang w:val="en-GB" w:eastAsia="en-GB"/>
        </w:rPr>
        <w:t>Periodic reviews and audits of process and alignment.</w:t>
      </w:r>
    </w:p>
    <w:p w14:paraId="487795D0" w14:textId="77777777" w:rsidR="00AF4A3F" w:rsidRPr="00AF4A3F" w:rsidRDefault="00AF4A3F" w:rsidP="00AF4A3F">
      <w:pPr>
        <w:widowControl/>
        <w:numPr>
          <w:ilvl w:val="0"/>
          <w:numId w:val="8"/>
        </w:numPr>
        <w:spacing w:before="100" w:beforeAutospacing="1" w:after="100" w:afterAutospacing="1"/>
        <w:rPr>
          <w:rFonts w:eastAsia="Times New Roman"/>
          <w:lang w:val="en-GB" w:eastAsia="en-GB"/>
        </w:rPr>
      </w:pPr>
      <w:r w:rsidRPr="00AF4A3F">
        <w:rPr>
          <w:rFonts w:eastAsia="Times New Roman"/>
          <w:lang w:val="en-GB" w:eastAsia="en-GB"/>
        </w:rPr>
        <w:t>Adjusting governance or decision speed when needed (e.g. during crises).</w:t>
      </w:r>
    </w:p>
    <w:p w14:paraId="2EBB3996" w14:textId="77777777" w:rsidR="00AF4A3F" w:rsidRPr="00AF4A3F" w:rsidRDefault="00AF4A3F" w:rsidP="00AF4A3F">
      <w:pPr>
        <w:widowControl/>
        <w:numPr>
          <w:ilvl w:val="0"/>
          <w:numId w:val="8"/>
        </w:numPr>
        <w:spacing w:before="100" w:beforeAutospacing="1" w:after="100" w:afterAutospacing="1"/>
        <w:rPr>
          <w:rFonts w:eastAsia="Times New Roman"/>
          <w:lang w:val="en-GB" w:eastAsia="en-GB"/>
        </w:rPr>
      </w:pPr>
      <w:r w:rsidRPr="00AF4A3F">
        <w:rPr>
          <w:rFonts w:eastAsia="Times New Roman"/>
          <w:lang w:val="en-GB" w:eastAsia="en-GB"/>
        </w:rPr>
        <w:t>Delegating more authority to regional units.</w:t>
      </w:r>
    </w:p>
    <w:p w14:paraId="5F9CEDFB" w14:textId="77777777" w:rsidR="00AF4A3F" w:rsidRPr="00AF4A3F" w:rsidRDefault="00AF4A3F" w:rsidP="00AF4A3F">
      <w:pPr>
        <w:widowControl/>
        <w:numPr>
          <w:ilvl w:val="0"/>
          <w:numId w:val="8"/>
        </w:numPr>
        <w:spacing w:before="100" w:beforeAutospacing="1" w:after="100" w:afterAutospacing="1"/>
        <w:rPr>
          <w:rFonts w:eastAsia="Times New Roman"/>
          <w:lang w:val="en-GB" w:eastAsia="en-GB"/>
        </w:rPr>
      </w:pPr>
      <w:r w:rsidRPr="00AF4A3F">
        <w:rPr>
          <w:rFonts w:eastAsia="Times New Roman"/>
          <w:lang w:val="en-GB" w:eastAsia="en-GB"/>
        </w:rPr>
        <w:t>Leadership development so leaders can recognise when culture norms serve vs when they impede.</w:t>
      </w:r>
    </w:p>
    <w:p w14:paraId="2262A2C2"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So yes, organisational culture is sometimes a barrier, but Toyota is aware and takes steps to address the risks.</w:t>
      </w:r>
    </w:p>
    <w:p w14:paraId="3D0AA785" w14:textId="77777777" w:rsidR="00AF4A3F" w:rsidRP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sz w:val="24"/>
          <w:szCs w:val="24"/>
          <w:lang w:val="en-GB" w:eastAsia="en-GB"/>
        </w:rPr>
        <w:pict w14:anchorId="12DB6248">
          <v:rect id="_x0000_i1031" style="width:0;height:1.5pt" o:hralign="center" o:hrstd="t" o:hr="t" fillcolor="#a0a0a0" stroked="f"/>
        </w:pict>
      </w:r>
    </w:p>
    <w:p w14:paraId="5CC97840" w14:textId="2C6E3DC3" w:rsidR="00AF4A3F" w:rsidRPr="00AF4A3F" w:rsidRDefault="00AF4A3F" w:rsidP="002E4AA8">
      <w:pPr>
        <w:pStyle w:val="Heading1"/>
        <w:rPr>
          <w:rFonts w:eastAsia="Times New Roman"/>
          <w:lang w:val="en-GB" w:eastAsia="en-GB"/>
        </w:rPr>
      </w:pPr>
      <w:r w:rsidRPr="00AF4A3F">
        <w:rPr>
          <w:rFonts w:eastAsia="Times New Roman"/>
          <w:lang w:val="en-GB" w:eastAsia="en-GB"/>
        </w:rPr>
        <w:t xml:space="preserve"> </w:t>
      </w:r>
      <w:bookmarkStart w:id="13" w:name="_Toc211181323"/>
      <w:r w:rsidRPr="00AF4A3F">
        <w:rPr>
          <w:rFonts w:eastAsia="Times New Roman"/>
          <w:lang w:val="en-GB" w:eastAsia="en-GB"/>
        </w:rPr>
        <w:t>Impact of Organisational Culture on Performance &amp; Recommendations</w:t>
      </w:r>
      <w:bookmarkEnd w:id="13"/>
    </w:p>
    <w:p w14:paraId="38170E69" w14:textId="36B83291" w:rsidR="00AF4A3F" w:rsidRPr="00AF4A3F" w:rsidRDefault="00AF4A3F" w:rsidP="00AF4A3F">
      <w:pPr>
        <w:widowControl/>
        <w:spacing w:before="100" w:beforeAutospacing="1" w:after="100" w:afterAutospacing="1"/>
        <w:outlineLvl w:val="2"/>
        <w:rPr>
          <w:rFonts w:eastAsia="Times New Roman"/>
          <w:sz w:val="24"/>
          <w:szCs w:val="24"/>
          <w:lang w:val="en-GB" w:eastAsia="en-GB"/>
        </w:rPr>
      </w:pPr>
      <w:r w:rsidRPr="00AF4A3F">
        <w:rPr>
          <w:rFonts w:ascii="Times New Roman" w:eastAsia="Times New Roman" w:hAnsi="Times New Roman" w:cs="Times New Roman"/>
          <w:b/>
          <w:bCs/>
          <w:sz w:val="27"/>
          <w:szCs w:val="27"/>
          <w:lang w:val="en-GB" w:eastAsia="en-GB"/>
        </w:rPr>
        <w:t xml:space="preserve"> </w:t>
      </w:r>
      <w:bookmarkStart w:id="14" w:name="_Toc211181324"/>
      <w:r w:rsidRPr="00AF4A3F">
        <w:rPr>
          <w:rFonts w:eastAsia="Times New Roman"/>
          <w:sz w:val="24"/>
          <w:szCs w:val="24"/>
          <w:lang w:val="en-GB" w:eastAsia="en-GB"/>
        </w:rPr>
        <w:t>Impacts (Positive &amp; Negative)</w:t>
      </w:r>
      <w:bookmarkEnd w:id="14"/>
    </w:p>
    <w:p w14:paraId="67909FD8"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Positive impacts:</w:t>
      </w:r>
    </w:p>
    <w:p w14:paraId="3251092C" w14:textId="77777777" w:rsidR="00AF4A3F" w:rsidRPr="00AF4A3F" w:rsidRDefault="00AF4A3F" w:rsidP="00AF4A3F">
      <w:pPr>
        <w:widowControl/>
        <w:numPr>
          <w:ilvl w:val="0"/>
          <w:numId w:val="9"/>
        </w:numPr>
        <w:spacing w:before="100" w:beforeAutospacing="1" w:after="100" w:afterAutospacing="1"/>
        <w:rPr>
          <w:rFonts w:eastAsia="Times New Roman"/>
          <w:lang w:val="en-GB" w:eastAsia="en-GB"/>
        </w:rPr>
      </w:pPr>
      <w:r w:rsidRPr="00AF4A3F">
        <w:rPr>
          <w:rFonts w:eastAsia="Times New Roman"/>
          <w:lang w:val="en-GB" w:eastAsia="en-GB"/>
        </w:rPr>
        <w:t>Operational excellence &amp; consistent quality: Toyota’s TPS and cultural systems deliver high reliability, low defect rates, efficient operations. Its global reputation for quality rests heavily on its culture.</w:t>
      </w:r>
    </w:p>
    <w:p w14:paraId="69D99F72" w14:textId="77777777" w:rsidR="00AF4A3F" w:rsidRPr="00AF4A3F" w:rsidRDefault="00AF4A3F" w:rsidP="00AF4A3F">
      <w:pPr>
        <w:widowControl/>
        <w:numPr>
          <w:ilvl w:val="0"/>
          <w:numId w:val="9"/>
        </w:numPr>
        <w:spacing w:before="100" w:beforeAutospacing="1" w:after="100" w:afterAutospacing="1"/>
        <w:rPr>
          <w:rFonts w:eastAsia="Times New Roman"/>
          <w:lang w:val="en-GB" w:eastAsia="en-GB"/>
        </w:rPr>
      </w:pPr>
      <w:r w:rsidRPr="00AF4A3F">
        <w:rPr>
          <w:rFonts w:eastAsia="Times New Roman"/>
          <w:lang w:val="en-GB" w:eastAsia="en-GB"/>
        </w:rPr>
        <w:t>Employee commitment, retention &amp; motivation: Values such as respect for people, long-term employment, inclusion in problem solving contribute to motivation and lower turnover.</w:t>
      </w:r>
    </w:p>
    <w:p w14:paraId="5CC6B6AC" w14:textId="77777777" w:rsidR="00AF4A3F" w:rsidRPr="00AF4A3F" w:rsidRDefault="00AF4A3F" w:rsidP="00AF4A3F">
      <w:pPr>
        <w:widowControl/>
        <w:numPr>
          <w:ilvl w:val="0"/>
          <w:numId w:val="9"/>
        </w:numPr>
        <w:spacing w:before="100" w:beforeAutospacing="1" w:after="100" w:afterAutospacing="1"/>
        <w:rPr>
          <w:rFonts w:eastAsia="Times New Roman"/>
          <w:lang w:val="en-GB" w:eastAsia="en-GB"/>
        </w:rPr>
      </w:pPr>
      <w:r w:rsidRPr="00AF4A3F">
        <w:rPr>
          <w:rFonts w:eastAsia="Times New Roman"/>
          <w:lang w:val="en-GB" w:eastAsia="en-GB"/>
        </w:rPr>
        <w:t>Sustainability &amp; innovation: Cultural emphasis on continuous improvement and long-term thinking helps Toyota invest in sustainable technologies like hybrids (Prius) and environmental standards.</w:t>
      </w:r>
    </w:p>
    <w:p w14:paraId="4E5AD1A8" w14:textId="3D0736EB" w:rsidR="00AF4A3F" w:rsidRPr="00AF4A3F" w:rsidRDefault="00AF4A3F" w:rsidP="00AF4A3F">
      <w:pPr>
        <w:widowControl/>
        <w:numPr>
          <w:ilvl w:val="0"/>
          <w:numId w:val="9"/>
        </w:numPr>
        <w:spacing w:before="100" w:beforeAutospacing="1" w:after="100" w:afterAutospacing="1"/>
        <w:rPr>
          <w:rFonts w:eastAsia="Times New Roman"/>
          <w:lang w:val="en-GB" w:eastAsia="en-GB"/>
        </w:rPr>
      </w:pPr>
      <w:r w:rsidRPr="00AF4A3F">
        <w:rPr>
          <w:rFonts w:eastAsia="Times New Roman"/>
          <w:lang w:val="en-GB" w:eastAsia="en-GB"/>
        </w:rPr>
        <w:t xml:space="preserve">Reputation &amp; stakeholder trust: Culture helps Toyota manage relationships with regulators, suppliers, employees, customers; helps in handling crises. For example, handling stakeholder expectations in plant closures respectfully enhances reputation (Samson et al., 2022) </w:t>
      </w:r>
    </w:p>
    <w:p w14:paraId="0D29E676"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Negative or limiting impacts:</w:t>
      </w:r>
    </w:p>
    <w:p w14:paraId="1B7AFAD6" w14:textId="77777777" w:rsidR="00AF4A3F" w:rsidRPr="00AF4A3F" w:rsidRDefault="00AF4A3F" w:rsidP="00AF4A3F">
      <w:pPr>
        <w:widowControl/>
        <w:numPr>
          <w:ilvl w:val="0"/>
          <w:numId w:val="10"/>
        </w:numPr>
        <w:spacing w:before="100" w:beforeAutospacing="1" w:after="100" w:afterAutospacing="1"/>
        <w:rPr>
          <w:rFonts w:eastAsia="Times New Roman"/>
          <w:lang w:val="en-GB" w:eastAsia="en-GB"/>
        </w:rPr>
      </w:pPr>
      <w:r w:rsidRPr="00AF4A3F">
        <w:rPr>
          <w:rFonts w:eastAsia="Times New Roman"/>
          <w:lang w:val="en-GB" w:eastAsia="en-GB"/>
        </w:rPr>
        <w:lastRenderedPageBreak/>
        <w:t>Risk of rigidity &amp; slower adaptation: In high-pace innovation areas (software, electrification), culture favouring careful process and consensus can slow speed.</w:t>
      </w:r>
    </w:p>
    <w:p w14:paraId="57F59F89" w14:textId="77777777" w:rsidR="00AF4A3F" w:rsidRPr="00AF4A3F" w:rsidRDefault="00AF4A3F" w:rsidP="00AF4A3F">
      <w:pPr>
        <w:widowControl/>
        <w:numPr>
          <w:ilvl w:val="0"/>
          <w:numId w:val="10"/>
        </w:numPr>
        <w:spacing w:before="100" w:beforeAutospacing="1" w:after="100" w:afterAutospacing="1"/>
        <w:rPr>
          <w:rFonts w:eastAsia="Times New Roman"/>
          <w:lang w:val="en-GB" w:eastAsia="en-GB"/>
        </w:rPr>
      </w:pPr>
      <w:r w:rsidRPr="00AF4A3F">
        <w:rPr>
          <w:rFonts w:eastAsia="Times New Roman"/>
          <w:lang w:val="en-GB" w:eastAsia="en-GB"/>
        </w:rPr>
        <w:t>Cultural misfits &amp; global misalignment: Subsidiaries sometimes struggle with Japanese cultural norms, especially in countries with very different national cultures, which may reduce local responsiveness.</w:t>
      </w:r>
    </w:p>
    <w:p w14:paraId="04F622AA" w14:textId="77777777" w:rsidR="00AF4A3F" w:rsidRPr="00AF4A3F" w:rsidRDefault="00AF4A3F" w:rsidP="00AF4A3F">
      <w:pPr>
        <w:widowControl/>
        <w:numPr>
          <w:ilvl w:val="0"/>
          <w:numId w:val="10"/>
        </w:numPr>
        <w:spacing w:before="100" w:beforeAutospacing="1" w:after="100" w:afterAutospacing="1"/>
        <w:rPr>
          <w:rFonts w:eastAsia="Times New Roman"/>
          <w:lang w:val="en-GB" w:eastAsia="en-GB"/>
        </w:rPr>
      </w:pPr>
      <w:r w:rsidRPr="00AF4A3F">
        <w:rPr>
          <w:rFonts w:eastAsia="Times New Roman"/>
          <w:lang w:val="en-GB" w:eastAsia="en-GB"/>
        </w:rPr>
        <w:t>Possible stifling of dissent &amp; radical thinking: While Toyota encourages improvement, there may be fewer safe spaces for radical innovation outside the core (or pushing beyond existing paradigms).</w:t>
      </w:r>
    </w:p>
    <w:p w14:paraId="719C89B4" w14:textId="74670C9F" w:rsidR="00AF4A3F" w:rsidRPr="00AF4A3F" w:rsidRDefault="00AF4A3F" w:rsidP="00AF4A3F">
      <w:pPr>
        <w:widowControl/>
        <w:spacing w:before="100" w:beforeAutospacing="1" w:after="100" w:afterAutospacing="1"/>
        <w:outlineLvl w:val="2"/>
        <w:rPr>
          <w:rFonts w:eastAsia="Times New Roman"/>
          <w:sz w:val="24"/>
          <w:szCs w:val="24"/>
          <w:lang w:val="en-GB" w:eastAsia="en-GB"/>
        </w:rPr>
      </w:pPr>
      <w:bookmarkStart w:id="15" w:name="_Toc211181325"/>
      <w:r w:rsidRPr="00AF4A3F">
        <w:rPr>
          <w:rFonts w:eastAsia="Times New Roman"/>
          <w:sz w:val="24"/>
          <w:szCs w:val="24"/>
          <w:lang w:val="en-GB" w:eastAsia="en-GB"/>
        </w:rPr>
        <w:t>Recommendations</w:t>
      </w:r>
      <w:bookmarkEnd w:id="15"/>
    </w:p>
    <w:p w14:paraId="1D5BB634" w14:textId="77777777" w:rsidR="00AF4A3F" w:rsidRPr="00AF4A3F" w:rsidRDefault="00AF4A3F" w:rsidP="00AF4A3F">
      <w:pPr>
        <w:widowControl/>
        <w:spacing w:before="100" w:beforeAutospacing="1" w:after="100" w:afterAutospacing="1"/>
        <w:rPr>
          <w:rFonts w:eastAsia="Times New Roman"/>
          <w:lang w:val="en-GB" w:eastAsia="en-GB"/>
        </w:rPr>
      </w:pPr>
      <w:r w:rsidRPr="00AF4A3F">
        <w:rPr>
          <w:rFonts w:eastAsia="Times New Roman"/>
          <w:lang w:val="en-GB" w:eastAsia="en-GB"/>
        </w:rPr>
        <w:t>Based on the academic findings and observations, here are refined recommendations:</w:t>
      </w:r>
    </w:p>
    <w:p w14:paraId="6269AD73" w14:textId="77777777"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Establish “fast innovation cells”</w:t>
      </w:r>
      <w:r w:rsidRPr="00AF4A3F">
        <w:rPr>
          <w:rFonts w:eastAsia="Times New Roman"/>
          <w:lang w:val="en-GB" w:eastAsia="en-GB"/>
        </w:rPr>
        <w:t xml:space="preserve"> that are designed to operate under different cultural norms: looser structure, speed over full consensus, high autonomy, experimenting with digital, software, mobility technologies.</w:t>
      </w:r>
    </w:p>
    <w:p w14:paraId="0B2FF656" w14:textId="77777777"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Regular culture and performance audits</w:t>
      </w:r>
      <w:r w:rsidRPr="00AF4A3F">
        <w:rPr>
          <w:rFonts w:eastAsia="Times New Roman"/>
          <w:lang w:val="en-GB" w:eastAsia="en-GB"/>
        </w:rPr>
        <w:t>: Use tools (surveys, ethnographic studies, benchmarking) to detect drift from core cultural values or where culture is hindering performance (e.g. decision delays, innovation bottlenecks).</w:t>
      </w:r>
    </w:p>
    <w:p w14:paraId="4A0A07C0" w14:textId="77777777"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Strengthen cross-cultural leadership capabilities</w:t>
      </w:r>
      <w:r w:rsidRPr="00AF4A3F">
        <w:rPr>
          <w:rFonts w:eastAsia="Times New Roman"/>
          <w:lang w:val="en-GB" w:eastAsia="en-GB"/>
        </w:rPr>
        <w:t>: In global operations, ensure local leaders are trained to mediate between Toyota’s core cultural norms and their local national cultures; encourage more two-way adaptation.</w:t>
      </w:r>
    </w:p>
    <w:p w14:paraId="7DD827AA" w14:textId="77777777"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Encourage dissent and safe failures</w:t>
      </w:r>
      <w:r w:rsidRPr="00AF4A3F">
        <w:rPr>
          <w:rFonts w:eastAsia="Times New Roman"/>
          <w:lang w:val="en-GB" w:eastAsia="en-GB"/>
        </w:rPr>
        <w:t>: Create formal mechanisms (e.g. innovation incubators, sandbox projects) where employees can propose unconventional ideas, challenge assumptions, without cultural penalty.</w:t>
      </w:r>
    </w:p>
    <w:p w14:paraId="68769992" w14:textId="633490EC"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Balance centralization and decentralization</w:t>
      </w:r>
      <w:r w:rsidRPr="00AF4A3F">
        <w:rPr>
          <w:rFonts w:eastAsia="Times New Roman"/>
          <w:lang w:val="en-GB" w:eastAsia="en-GB"/>
        </w:rPr>
        <w:t xml:space="preserve">: For certain kinds of operational decision-making (e.g. quality, safety) maintain central </w:t>
      </w:r>
      <w:r w:rsidR="002E4AA8" w:rsidRPr="00AF4A3F">
        <w:rPr>
          <w:rFonts w:eastAsia="Times New Roman"/>
          <w:lang w:val="en-GB" w:eastAsia="en-GB"/>
        </w:rPr>
        <w:t>control but</w:t>
      </w:r>
      <w:r w:rsidRPr="00AF4A3F">
        <w:rPr>
          <w:rFonts w:eastAsia="Times New Roman"/>
          <w:lang w:val="en-GB" w:eastAsia="en-GB"/>
        </w:rPr>
        <w:t xml:space="preserve"> allow more flexibility at the regional and local levels for market responsiveness.</w:t>
      </w:r>
    </w:p>
    <w:p w14:paraId="28EE56C6" w14:textId="77777777" w:rsidR="00AF4A3F" w:rsidRPr="00AF4A3F" w:rsidRDefault="00AF4A3F" w:rsidP="00AF4A3F">
      <w:pPr>
        <w:widowControl/>
        <w:numPr>
          <w:ilvl w:val="0"/>
          <w:numId w:val="11"/>
        </w:numPr>
        <w:spacing w:before="100" w:beforeAutospacing="1" w:after="100" w:afterAutospacing="1"/>
        <w:rPr>
          <w:rFonts w:eastAsia="Times New Roman"/>
          <w:lang w:val="en-GB" w:eastAsia="en-GB"/>
        </w:rPr>
      </w:pPr>
      <w:r w:rsidRPr="00AF4A3F">
        <w:rPr>
          <w:rFonts w:eastAsia="Times New Roman"/>
          <w:b/>
          <w:bCs/>
          <w:lang w:val="en-GB" w:eastAsia="en-GB"/>
        </w:rPr>
        <w:t>Increase speed &amp; flexibility in strategic pivots</w:t>
      </w:r>
      <w:r w:rsidRPr="00AF4A3F">
        <w:rPr>
          <w:rFonts w:eastAsia="Times New Roman"/>
          <w:lang w:val="en-GB" w:eastAsia="en-GB"/>
        </w:rPr>
        <w:t>: Particularly around software, EV, digital transformation. Modify decision-making protocols when urgency and speed are required, while preserving the cultural checks when risk is higher.</w:t>
      </w:r>
    </w:p>
    <w:p w14:paraId="5A83B083" w14:textId="77777777" w:rsidR="00AF4A3F" w:rsidRPr="00AF4A3F" w:rsidRDefault="00AF4A3F" w:rsidP="00AF4A3F">
      <w:pPr>
        <w:widowControl/>
        <w:numPr>
          <w:ilvl w:val="0"/>
          <w:numId w:val="11"/>
        </w:numPr>
        <w:spacing w:before="100" w:beforeAutospacing="1" w:after="100" w:afterAutospacing="1"/>
        <w:rPr>
          <w:rFonts w:ascii="Times New Roman" w:eastAsia="Times New Roman" w:hAnsi="Times New Roman" w:cs="Times New Roman"/>
          <w:sz w:val="24"/>
          <w:szCs w:val="24"/>
          <w:lang w:val="en-GB" w:eastAsia="en-GB"/>
        </w:rPr>
      </w:pPr>
      <w:r w:rsidRPr="00AF4A3F">
        <w:rPr>
          <w:rFonts w:eastAsia="Times New Roman"/>
          <w:b/>
          <w:bCs/>
          <w:lang w:val="en-GB" w:eastAsia="en-GB"/>
        </w:rPr>
        <w:t>Ensure culture communicates externally &amp; internally</w:t>
      </w:r>
      <w:r w:rsidRPr="00AF4A3F">
        <w:rPr>
          <w:rFonts w:eastAsia="Times New Roman"/>
          <w:lang w:val="en-GB" w:eastAsia="en-GB"/>
        </w:rPr>
        <w:t>: In global hubs, make culture visible, trusted and understood; ensure that messages from headquarters do not become dogma, but are contextualised locally</w:t>
      </w:r>
      <w:r w:rsidRPr="00AF4A3F">
        <w:rPr>
          <w:rFonts w:ascii="Times New Roman" w:eastAsia="Times New Roman" w:hAnsi="Times New Roman" w:cs="Times New Roman"/>
          <w:sz w:val="24"/>
          <w:szCs w:val="24"/>
          <w:lang w:val="en-GB" w:eastAsia="en-GB"/>
        </w:rPr>
        <w:t>.</w:t>
      </w:r>
    </w:p>
    <w:p w14:paraId="09176F7B" w14:textId="77777777" w:rsidR="00AF4A3F" w:rsidRPr="00AF4A3F" w:rsidRDefault="00AF4A3F" w:rsidP="00AF4A3F">
      <w:pPr>
        <w:widowControl/>
        <w:rPr>
          <w:rFonts w:ascii="Times New Roman" w:eastAsia="Times New Roman" w:hAnsi="Times New Roman" w:cs="Times New Roman"/>
          <w:sz w:val="24"/>
          <w:szCs w:val="24"/>
          <w:lang w:val="en-GB" w:eastAsia="en-GB"/>
        </w:rPr>
      </w:pPr>
      <w:r w:rsidRPr="00AF4A3F">
        <w:rPr>
          <w:rFonts w:ascii="Times New Roman" w:eastAsia="Times New Roman" w:hAnsi="Times New Roman" w:cs="Times New Roman"/>
          <w:sz w:val="24"/>
          <w:szCs w:val="24"/>
          <w:lang w:val="en-GB" w:eastAsia="en-GB"/>
        </w:rPr>
        <w:pict w14:anchorId="05561371">
          <v:rect id="_x0000_i1032" style="width:0;height:1.5pt" o:hralign="center" o:hrstd="t" o:hr="t" fillcolor="#a0a0a0" stroked="f"/>
        </w:pict>
      </w:r>
    </w:p>
    <w:p w14:paraId="631C65A6" w14:textId="77777777" w:rsidR="00AF4A3F" w:rsidRPr="00AF4A3F" w:rsidRDefault="00AF4A3F" w:rsidP="002E4AA8">
      <w:pPr>
        <w:pStyle w:val="Heading1"/>
        <w:rPr>
          <w:rFonts w:eastAsia="Times New Roman"/>
          <w:lang w:val="en-GB" w:eastAsia="en-GB"/>
        </w:rPr>
      </w:pPr>
      <w:bookmarkStart w:id="16" w:name="_Toc211181326"/>
      <w:r w:rsidRPr="00AF4A3F">
        <w:rPr>
          <w:rFonts w:eastAsia="Times New Roman"/>
          <w:lang w:val="en-GB" w:eastAsia="en-GB"/>
        </w:rPr>
        <w:t>Conclusion</w:t>
      </w:r>
      <w:bookmarkEnd w:id="16"/>
    </w:p>
    <w:p w14:paraId="5023812B" w14:textId="77777777" w:rsidR="006572B1" w:rsidRPr="006572B1" w:rsidRDefault="006572B1" w:rsidP="006572B1">
      <w:pPr>
        <w:widowControl/>
        <w:rPr>
          <w:rFonts w:eastAsia="Times New Roman"/>
          <w:lang w:val="en-GB" w:eastAsia="en-GB"/>
        </w:rPr>
      </w:pPr>
      <w:r w:rsidRPr="006572B1">
        <w:rPr>
          <w:rFonts w:eastAsia="Times New Roman"/>
          <w:lang w:val="en-GB" w:eastAsia="en-GB"/>
        </w:rPr>
        <w:t>Toyota’s organisational culture is a deeply embedded, pervasive force shaping structure, decision-making, adaptation, performance, and stakeholder relations. Through models like Schein, Hofstede, Handy, and studies like “The Contradictions That Drive Toyota’s Success” (Takeuchi et al.), “Complementarities &amp; Organizational (Mis)fit” (post-recall analysis), “Toyota Culture Strategy” (</w:t>
      </w:r>
      <w:proofErr w:type="spellStart"/>
      <w:r w:rsidRPr="006572B1">
        <w:rPr>
          <w:rFonts w:eastAsia="Times New Roman"/>
          <w:lang w:val="en-GB" w:eastAsia="en-GB"/>
        </w:rPr>
        <w:t>Profiroiu</w:t>
      </w:r>
      <w:proofErr w:type="spellEnd"/>
      <w:r w:rsidRPr="006572B1">
        <w:rPr>
          <w:rFonts w:eastAsia="Times New Roman"/>
          <w:lang w:val="en-GB" w:eastAsia="en-GB"/>
        </w:rPr>
        <w:t xml:space="preserve"> et al.), and case studies like Toyota Australia, one sees that culture is simultaneously a strength and a potential source of rigidity.</w:t>
      </w:r>
      <w:r w:rsidRPr="006572B1">
        <w:rPr>
          <w:rFonts w:eastAsia="Times New Roman"/>
          <w:lang w:val="en-GB" w:eastAsia="en-GB"/>
        </w:rPr>
        <w:br/>
        <w:t>Overall, culture has delivered Toyota high quality, employee commitment, adaptability, reputation, and innovation, but in times of radical change, culture also puts constraints on speed, disruptive innovation, and sometimes local adaptation.</w:t>
      </w:r>
      <w:r w:rsidRPr="006572B1">
        <w:rPr>
          <w:rFonts w:eastAsia="Times New Roman"/>
          <w:lang w:val="en-GB" w:eastAsia="en-GB"/>
        </w:rPr>
        <w:br/>
        <w:t>The recommendations given above aim to preserve Toyota’s cultural strengths (continuous improvement, respect, long-term view) while introducing greater agility, safe innovation, local responsiveness, and systematic monitoring of where culture may be acting as a barrier.</w:t>
      </w:r>
    </w:p>
    <w:p w14:paraId="7D1F2310" w14:textId="77777777" w:rsidR="006572B1" w:rsidRPr="006572B1" w:rsidRDefault="006572B1" w:rsidP="006572B1">
      <w:pPr>
        <w:widowControl/>
        <w:rPr>
          <w:rFonts w:eastAsia="Times New Roman"/>
          <w:lang w:val="en-GB" w:eastAsia="en-GB"/>
        </w:rPr>
      </w:pPr>
      <w:r w:rsidRPr="006572B1">
        <w:rPr>
          <w:rFonts w:eastAsia="Times New Roman"/>
          <w:lang w:val="en-GB" w:eastAsia="en-GB"/>
        </w:rPr>
        <w:lastRenderedPageBreak/>
        <w:t xml:space="preserve">In essence, Toyota’s success demonstrates the powerful alignment between organisational culture and strategy. The Toyota Way has ensured consistency, reliability, and a shared sense of purpose across a vast global network, acting as a unifying force that binds employees, suppliers, and partners. The emphasis on kaizen, </w:t>
      </w:r>
      <w:proofErr w:type="spellStart"/>
      <w:r w:rsidRPr="006572B1">
        <w:rPr>
          <w:rFonts w:eastAsia="Times New Roman"/>
          <w:lang w:val="en-GB" w:eastAsia="en-GB"/>
        </w:rPr>
        <w:t>genchi</w:t>
      </w:r>
      <w:proofErr w:type="spellEnd"/>
      <w:r w:rsidRPr="006572B1">
        <w:rPr>
          <w:rFonts w:eastAsia="Times New Roman"/>
          <w:lang w:val="en-GB" w:eastAsia="en-GB"/>
        </w:rPr>
        <w:t xml:space="preserve"> </w:t>
      </w:r>
      <w:proofErr w:type="spellStart"/>
      <w:r w:rsidRPr="006572B1">
        <w:rPr>
          <w:rFonts w:eastAsia="Times New Roman"/>
          <w:lang w:val="en-GB" w:eastAsia="en-GB"/>
        </w:rPr>
        <w:t>genbutsu</w:t>
      </w:r>
      <w:proofErr w:type="spellEnd"/>
      <w:r w:rsidRPr="006572B1">
        <w:rPr>
          <w:rFonts w:eastAsia="Times New Roman"/>
          <w:lang w:val="en-GB" w:eastAsia="en-GB"/>
        </w:rPr>
        <w:t>, and respect for people has not only enhanced operational excellence but also fostered a learning organisation capable of sustaining innovation over decades. Yet, the same mechanisms that promote stability can also limit the organisation’s capacity to pivot rapidly when faced with disruptions such as digital transformation, electric mobility, or shifting global supply chains.</w:t>
      </w:r>
    </w:p>
    <w:p w14:paraId="2E9111DA" w14:textId="77777777" w:rsidR="006572B1" w:rsidRPr="006572B1" w:rsidRDefault="006572B1" w:rsidP="006572B1">
      <w:pPr>
        <w:widowControl/>
        <w:rPr>
          <w:rFonts w:eastAsia="Times New Roman"/>
          <w:lang w:val="en-GB" w:eastAsia="en-GB"/>
        </w:rPr>
      </w:pPr>
      <w:r w:rsidRPr="006572B1">
        <w:rPr>
          <w:rFonts w:eastAsia="Times New Roman"/>
          <w:lang w:val="en-GB" w:eastAsia="en-GB"/>
        </w:rPr>
        <w:t>A key insight from the analysis is that culture must be viewed as a dynamic system—one that evolves in response to environmental complexity rather than remaining static. Toyota’s post-recall introspection illustrates how self-correction and cultural learning are possible even within deeply institutionalised systems. The company’s efforts to globalise its leadership structure, integrate diverse perspectives, and digitise production systems all signal an awareness that its long-standing cultural framework must continue to adapt. Embedding agility within tradition is therefore not a contradiction, but a necessary evolution.</w:t>
      </w:r>
    </w:p>
    <w:p w14:paraId="0E66A78C" w14:textId="77777777" w:rsidR="006572B1" w:rsidRPr="006572B1" w:rsidRDefault="006572B1" w:rsidP="006572B1">
      <w:pPr>
        <w:widowControl/>
        <w:rPr>
          <w:rFonts w:eastAsia="Times New Roman"/>
          <w:lang w:val="en-GB" w:eastAsia="en-GB"/>
        </w:rPr>
      </w:pPr>
      <w:r w:rsidRPr="006572B1">
        <w:rPr>
          <w:rFonts w:eastAsia="Times New Roman"/>
          <w:lang w:val="en-GB" w:eastAsia="en-GB"/>
        </w:rPr>
        <w:t>Furthermore, culture’s influence extends beyond internal operations to stakeholder engagement and corporate social responsibility. Toyota’s long-term orientation aligns with sustainable business practices and community engagement, contributing to its reputation for ethical responsibility and environmental stewardship. As global stakeholders increasingly demand transparency, inclusivity, and ecological accountability, Toyota’s cultural values provide a strong foundation on which to build next-generation sustainability strategies. However, this will require expanding the notion of “respect for people” to encompass broader social and environmental ecosystems, integrating global ethical norms with Japanese cultural heritage.</w:t>
      </w:r>
    </w:p>
    <w:p w14:paraId="1336670D" w14:textId="6985745B" w:rsidR="006572B1" w:rsidRPr="006572B1" w:rsidRDefault="006572B1" w:rsidP="006572B1">
      <w:pPr>
        <w:widowControl/>
        <w:rPr>
          <w:rFonts w:eastAsia="Times New Roman"/>
          <w:lang w:val="en-GB" w:eastAsia="en-GB"/>
        </w:rPr>
      </w:pPr>
      <w:r w:rsidRPr="006572B1">
        <w:rPr>
          <w:rFonts w:eastAsia="Times New Roman"/>
          <w:lang w:val="en-GB" w:eastAsia="en-GB"/>
        </w:rPr>
        <w:t>To maintain its competitive edge, Toyota must continue nurturing a culture of psychological safety and open communication—conditions essential for innovation in the digital age. Empowering employees to question established routines without fear of blame will enable faster learning cycles and cross-functional creativity. At the same time, global operations should embrace greater local autonomy, allowing cultural translation of the Toyota Way so that principles, not rigid procedures, guide behaviour. This “</w:t>
      </w:r>
      <w:r w:rsidRPr="006572B1">
        <w:rPr>
          <w:rFonts w:eastAsia="Times New Roman"/>
          <w:lang w:val="en-GB" w:eastAsia="en-GB"/>
        </w:rPr>
        <w:t>local</w:t>
      </w:r>
      <w:r w:rsidRPr="006572B1">
        <w:rPr>
          <w:rFonts w:eastAsia="Times New Roman"/>
          <w:lang w:val="en-GB" w:eastAsia="en-GB"/>
        </w:rPr>
        <w:t>” approach can strengthen the balance between global identity and local adaptation, ensuring both coherence and responsiveness.</w:t>
      </w:r>
    </w:p>
    <w:p w14:paraId="291C1240" w14:textId="77777777" w:rsidR="006572B1" w:rsidRDefault="006572B1" w:rsidP="006572B1">
      <w:pPr>
        <w:widowControl/>
        <w:rPr>
          <w:rFonts w:eastAsia="Times New Roman"/>
          <w:lang w:val="en-GB" w:eastAsia="en-GB"/>
        </w:rPr>
      </w:pPr>
      <w:r w:rsidRPr="006572B1">
        <w:rPr>
          <w:rFonts w:eastAsia="Times New Roman"/>
          <w:lang w:val="en-GB" w:eastAsia="en-GB"/>
        </w:rPr>
        <w:t>In conclusion, Toyota’s culture remains a cornerstone of its enduring performance, resilience, and brand integrity. It demonstrates that organisational culture, when aligned with strategy and purpose, can be a powerful competitive advantage. Yet, as markets evolve and technological disruptions accelerate, the company’s challenge lies in reinterpreting its cultural DNA for a new era—one that values flexibility as much as discipline, experimentation as much as precision, and inclusivity as much as consensus. Sustaining excellence in the twenty-first century will require Toyota to honour its cultural legacy while continuously reinventing it—a process of ongoing cultural kaizen that may well define the next chapter of its global success.</w:t>
      </w:r>
    </w:p>
    <w:p w14:paraId="53DB0D17" w14:textId="77777777" w:rsidR="006572B1" w:rsidRDefault="006572B1" w:rsidP="006572B1">
      <w:pPr>
        <w:widowControl/>
        <w:rPr>
          <w:rFonts w:eastAsia="Times New Roman"/>
          <w:lang w:val="en-GB" w:eastAsia="en-GB"/>
        </w:rPr>
      </w:pPr>
    </w:p>
    <w:p w14:paraId="1E14BE62" w14:textId="77777777" w:rsidR="006572B1" w:rsidRDefault="006572B1" w:rsidP="006572B1">
      <w:pPr>
        <w:widowControl/>
        <w:rPr>
          <w:rFonts w:eastAsia="Times New Roman"/>
          <w:lang w:val="en-GB" w:eastAsia="en-GB"/>
        </w:rPr>
      </w:pPr>
    </w:p>
    <w:p w14:paraId="34F6596E" w14:textId="77777777" w:rsidR="006572B1" w:rsidRDefault="006572B1" w:rsidP="006572B1">
      <w:pPr>
        <w:widowControl/>
        <w:rPr>
          <w:rFonts w:eastAsia="Times New Roman"/>
          <w:lang w:val="en-GB" w:eastAsia="en-GB"/>
        </w:rPr>
      </w:pPr>
    </w:p>
    <w:p w14:paraId="2AEE7385" w14:textId="77777777" w:rsidR="006572B1" w:rsidRDefault="006572B1" w:rsidP="006572B1">
      <w:pPr>
        <w:widowControl/>
        <w:rPr>
          <w:rFonts w:eastAsia="Times New Roman"/>
          <w:lang w:val="en-GB" w:eastAsia="en-GB"/>
        </w:rPr>
      </w:pPr>
    </w:p>
    <w:p w14:paraId="5BAEDE0C" w14:textId="77777777" w:rsidR="006572B1" w:rsidRDefault="006572B1" w:rsidP="006572B1">
      <w:pPr>
        <w:widowControl/>
        <w:rPr>
          <w:rFonts w:eastAsia="Times New Roman"/>
          <w:lang w:val="en-GB" w:eastAsia="en-GB"/>
        </w:rPr>
      </w:pPr>
    </w:p>
    <w:p w14:paraId="5376BB1F" w14:textId="77777777" w:rsidR="006572B1" w:rsidRDefault="006572B1" w:rsidP="006572B1">
      <w:pPr>
        <w:widowControl/>
        <w:rPr>
          <w:rFonts w:eastAsia="Times New Roman"/>
          <w:lang w:val="en-GB" w:eastAsia="en-GB"/>
        </w:rPr>
      </w:pPr>
    </w:p>
    <w:p w14:paraId="40DAF29B" w14:textId="77777777" w:rsidR="006572B1" w:rsidRDefault="006572B1" w:rsidP="006572B1">
      <w:pPr>
        <w:widowControl/>
        <w:rPr>
          <w:rFonts w:eastAsia="Times New Roman"/>
          <w:lang w:val="en-GB" w:eastAsia="en-GB"/>
        </w:rPr>
      </w:pPr>
    </w:p>
    <w:p w14:paraId="7086EBAC" w14:textId="77777777" w:rsidR="006572B1" w:rsidRDefault="006572B1" w:rsidP="006572B1">
      <w:pPr>
        <w:widowControl/>
        <w:rPr>
          <w:rFonts w:eastAsia="Times New Roman"/>
          <w:lang w:val="en-GB" w:eastAsia="en-GB"/>
        </w:rPr>
      </w:pPr>
    </w:p>
    <w:p w14:paraId="02FD8EE6" w14:textId="77777777" w:rsidR="006572B1" w:rsidRDefault="006572B1" w:rsidP="006572B1">
      <w:pPr>
        <w:widowControl/>
        <w:rPr>
          <w:rFonts w:eastAsia="Times New Roman"/>
          <w:lang w:val="en-GB" w:eastAsia="en-GB"/>
        </w:rPr>
      </w:pPr>
    </w:p>
    <w:p w14:paraId="7999CBC5" w14:textId="77777777" w:rsidR="006572B1" w:rsidRDefault="006572B1" w:rsidP="006572B1">
      <w:pPr>
        <w:widowControl/>
        <w:rPr>
          <w:rFonts w:eastAsia="Times New Roman"/>
          <w:lang w:val="en-GB" w:eastAsia="en-GB"/>
        </w:rPr>
      </w:pPr>
    </w:p>
    <w:p w14:paraId="428150BF" w14:textId="77777777" w:rsidR="006572B1" w:rsidRDefault="006572B1" w:rsidP="006572B1">
      <w:pPr>
        <w:widowControl/>
        <w:rPr>
          <w:rFonts w:eastAsia="Times New Roman"/>
          <w:lang w:val="en-GB" w:eastAsia="en-GB"/>
        </w:rPr>
      </w:pPr>
    </w:p>
    <w:p w14:paraId="7EDFBCD2" w14:textId="77777777" w:rsidR="006572B1" w:rsidRDefault="006572B1" w:rsidP="006572B1">
      <w:pPr>
        <w:widowControl/>
        <w:rPr>
          <w:rFonts w:eastAsia="Times New Roman"/>
          <w:lang w:val="en-GB" w:eastAsia="en-GB"/>
        </w:rPr>
      </w:pPr>
    </w:p>
    <w:p w14:paraId="20AE08A1" w14:textId="77777777" w:rsidR="006572B1" w:rsidRDefault="006572B1" w:rsidP="006572B1">
      <w:pPr>
        <w:widowControl/>
        <w:rPr>
          <w:rFonts w:eastAsia="Times New Roman"/>
          <w:lang w:val="en-GB" w:eastAsia="en-GB"/>
        </w:rPr>
      </w:pPr>
    </w:p>
    <w:p w14:paraId="0F4AB80C" w14:textId="77777777" w:rsidR="006572B1" w:rsidRDefault="006572B1" w:rsidP="006572B1">
      <w:pPr>
        <w:widowControl/>
        <w:rPr>
          <w:rFonts w:eastAsia="Times New Roman"/>
          <w:lang w:val="en-GB" w:eastAsia="en-GB"/>
        </w:rPr>
      </w:pPr>
    </w:p>
    <w:p w14:paraId="0A9F54FA" w14:textId="77777777" w:rsidR="006572B1" w:rsidRDefault="006572B1" w:rsidP="006572B1">
      <w:pPr>
        <w:widowControl/>
        <w:rPr>
          <w:rFonts w:eastAsia="Times New Roman"/>
          <w:lang w:val="en-GB" w:eastAsia="en-GB"/>
        </w:rPr>
      </w:pPr>
    </w:p>
    <w:p w14:paraId="13820196" w14:textId="6CF34927" w:rsidR="006572B1" w:rsidRDefault="006572B1" w:rsidP="006572B1">
      <w:pPr>
        <w:pStyle w:val="Heading1"/>
        <w:rPr>
          <w:rFonts w:eastAsia="Times New Roman"/>
          <w:lang w:val="en-GB" w:eastAsia="en-GB"/>
        </w:rPr>
      </w:pPr>
      <w:r>
        <w:rPr>
          <w:rFonts w:eastAsia="Times New Roman"/>
          <w:lang w:val="en-GB" w:eastAsia="en-GB"/>
        </w:rPr>
        <w:t>Reference list</w:t>
      </w:r>
    </w:p>
    <w:p w14:paraId="44056232" w14:textId="77777777" w:rsidR="006572B1" w:rsidRDefault="006572B1" w:rsidP="006572B1">
      <w:pPr>
        <w:rPr>
          <w:lang w:val="en-GB" w:eastAsia="en-GB"/>
        </w:rPr>
      </w:pPr>
    </w:p>
    <w:p w14:paraId="78A7246B" w14:textId="77777777" w:rsidR="006572B1" w:rsidRDefault="006572B1" w:rsidP="006572B1">
      <w:pPr>
        <w:rPr>
          <w:lang w:val="en-GB" w:eastAsia="en-GB"/>
        </w:rPr>
      </w:pPr>
    </w:p>
    <w:p w14:paraId="3D3D7C34" w14:textId="77777777" w:rsidR="006572B1" w:rsidRPr="006572B1" w:rsidRDefault="006572B1" w:rsidP="006572B1">
      <w:pPr>
        <w:rPr>
          <w:lang w:val="en-GB" w:eastAsia="en-GB"/>
        </w:rPr>
      </w:pPr>
    </w:p>
    <w:p w14:paraId="376F13EA" w14:textId="50EB1B11" w:rsidR="00896214" w:rsidRPr="00896214" w:rsidRDefault="00896214" w:rsidP="00896214">
      <w:pPr>
        <w:widowControl/>
        <w:rPr>
          <w:rFonts w:ascii="Times New Roman" w:eastAsia="Times New Roman" w:hAnsi="Times New Roman" w:cs="Times New Roman"/>
          <w:sz w:val="24"/>
          <w:szCs w:val="24"/>
          <w:lang w:val="en-GB" w:eastAsia="en-GB"/>
        </w:rPr>
      </w:pPr>
    </w:p>
    <w:p w14:paraId="64ED49A4" w14:textId="2213CC57" w:rsidR="006572B1" w:rsidRDefault="006572B1" w:rsidP="006572B1">
      <w:pPr>
        <w:pStyle w:val="NormalWeb"/>
      </w:pPr>
      <w:r>
        <w:rPr>
          <w:rFonts w:hAnsi="Symbol"/>
        </w:rPr>
        <w:t></w:t>
      </w:r>
      <w:r>
        <w:t xml:space="preserve">  Takeuchi, H., </w:t>
      </w:r>
      <w:proofErr w:type="spellStart"/>
      <w:r>
        <w:t>Osono</w:t>
      </w:r>
      <w:proofErr w:type="spellEnd"/>
      <w:r>
        <w:t xml:space="preserve">, E. &amp; Shimizu, N. (2008) </w:t>
      </w:r>
      <w:r>
        <w:rPr>
          <w:rStyle w:val="Emphasis"/>
          <w:rFonts w:eastAsiaTheme="majorEastAsia"/>
        </w:rPr>
        <w:t>‘The Contradictions That Drive Toyota’s Success’</w:t>
      </w:r>
      <w:r>
        <w:t xml:space="preserve">, Harvard Business Review, 86(6), pp. 96-104. </w:t>
      </w:r>
      <w:hyperlink r:id="rId6" w:tgtFrame="_blank" w:history="1">
        <w:r>
          <w:rPr>
            <w:rStyle w:val="max-w-15ch"/>
            <w:rFonts w:eastAsiaTheme="majorEastAsia"/>
            <w:color w:val="0000FF"/>
            <w:u w:val="single"/>
          </w:rPr>
          <w:t>EconBiz</w:t>
        </w:r>
        <w:r>
          <w:rPr>
            <w:rStyle w:val="-me-1"/>
            <w:color w:val="0000FF"/>
            <w:u w:val="single"/>
          </w:rPr>
          <w:t>+2</w:t>
        </w:r>
        <w:r>
          <w:rPr>
            <w:rStyle w:val="max-w-15ch"/>
            <w:rFonts w:eastAsiaTheme="majorEastAsia"/>
            <w:color w:val="0000FF"/>
            <w:u w:val="single"/>
          </w:rPr>
          <w:t>documentacion.fundacionmapfre.org</w:t>
        </w:r>
        <w:r>
          <w:rPr>
            <w:rStyle w:val="-me-1"/>
            <w:color w:val="0000FF"/>
            <w:u w:val="single"/>
          </w:rPr>
          <w:t>+2</w:t>
        </w:r>
      </w:hyperlink>
    </w:p>
    <w:p w14:paraId="7E2F1029" w14:textId="07415817" w:rsidR="006572B1" w:rsidRDefault="006572B1" w:rsidP="006572B1">
      <w:pPr>
        <w:pStyle w:val="NormalWeb"/>
      </w:pPr>
      <w:r>
        <w:rPr>
          <w:rFonts w:hAnsi="Symbol"/>
        </w:rPr>
        <w:t></w:t>
      </w:r>
      <w:r>
        <w:t xml:space="preserve">  </w:t>
      </w:r>
      <w:proofErr w:type="spellStart"/>
      <w:r>
        <w:t>Profiroiu</w:t>
      </w:r>
      <w:proofErr w:type="spellEnd"/>
      <w:r>
        <w:t xml:space="preserve">, M., Kaneko, H., Vlad, C., </w:t>
      </w:r>
      <w:proofErr w:type="spellStart"/>
      <w:r>
        <w:t>Dutescu</w:t>
      </w:r>
      <w:proofErr w:type="spellEnd"/>
      <w:r>
        <w:t xml:space="preserve">, A. &amp; Ishida, H. (2020) ‘Toyota Motor Corporation’s Culture Strategy’, </w:t>
      </w:r>
      <w:r>
        <w:rPr>
          <w:rStyle w:val="Emphasis"/>
          <w:rFonts w:eastAsiaTheme="majorEastAsia"/>
        </w:rPr>
        <w:t>Review of International Comparative Management</w:t>
      </w:r>
      <w:r>
        <w:t xml:space="preserve">, 21(4), pp. 458-489. </w:t>
      </w:r>
      <w:hyperlink r:id="rId7" w:tgtFrame="_blank" w:history="1">
        <w:r>
          <w:rPr>
            <w:rStyle w:val="max-w-15ch"/>
            <w:rFonts w:eastAsiaTheme="majorEastAsia"/>
            <w:color w:val="0000FF"/>
            <w:u w:val="single"/>
          </w:rPr>
          <w:t>EconPapers</w:t>
        </w:r>
        <w:r>
          <w:rPr>
            <w:rStyle w:val="-me-1"/>
            <w:color w:val="0000FF"/>
            <w:u w:val="single"/>
          </w:rPr>
          <w:t>+1</w:t>
        </w:r>
      </w:hyperlink>
    </w:p>
    <w:p w14:paraId="6E8BF133" w14:textId="3C4AD66D" w:rsidR="006572B1" w:rsidRDefault="006572B1" w:rsidP="006572B1">
      <w:pPr>
        <w:pStyle w:val="NormalWeb"/>
      </w:pPr>
      <w:r>
        <w:rPr>
          <w:rFonts w:hAnsi="Symbol"/>
        </w:rPr>
        <w:t></w:t>
      </w:r>
      <w:r>
        <w:t xml:space="preserve">  </w:t>
      </w:r>
      <w:proofErr w:type="spellStart"/>
      <w:r>
        <w:t>Kuswara</w:t>
      </w:r>
      <w:proofErr w:type="spellEnd"/>
      <w:r>
        <w:t>, G. B., Rofaida, R. &amp; Senen, S. H. (2022) ‘Systematic Literature Review: “</w:t>
      </w:r>
      <w:proofErr w:type="spellStart"/>
      <w:r>
        <w:t>Horenso</w:t>
      </w:r>
      <w:proofErr w:type="spellEnd"/>
      <w:r>
        <w:t xml:space="preserve">” Communication and “Kaizen” Work Culture in Knowledge Management’, </w:t>
      </w:r>
      <w:r>
        <w:rPr>
          <w:rStyle w:val="Emphasis"/>
          <w:rFonts w:eastAsiaTheme="majorEastAsia"/>
        </w:rPr>
        <w:t>Journal of Business Management Education (JBME)</w:t>
      </w:r>
      <w:r>
        <w:t xml:space="preserve">, 14(3), pp. -. </w:t>
      </w:r>
      <w:hyperlink r:id="rId8" w:tgtFrame="_blank" w:history="1">
        <w:r>
          <w:rPr>
            <w:rStyle w:val="max-w-15ch"/>
            <w:rFonts w:eastAsiaTheme="majorEastAsia"/>
            <w:color w:val="0000FF"/>
            <w:u w:val="single"/>
          </w:rPr>
          <w:t>ejournal.upi.edu</w:t>
        </w:r>
      </w:hyperlink>
    </w:p>
    <w:p w14:paraId="09B1188F" w14:textId="42DE7710" w:rsidR="006572B1" w:rsidRDefault="006572B1" w:rsidP="006572B1">
      <w:pPr>
        <w:pStyle w:val="NormalWeb"/>
      </w:pPr>
      <w:r>
        <w:rPr>
          <w:rFonts w:hAnsi="Symbol"/>
        </w:rPr>
        <w:t></w:t>
      </w:r>
      <w:r>
        <w:t xml:space="preserve"> </w:t>
      </w:r>
      <w:r>
        <w:t xml:space="preserve"> </w:t>
      </w:r>
      <w:proofErr w:type="spellStart"/>
      <w:r>
        <w:t>Schlunze</w:t>
      </w:r>
      <w:proofErr w:type="spellEnd"/>
      <w:r>
        <w:t xml:space="preserve">, L., Hyttel-Srensen, J. &amp; Ji, Y. (2011) ‘Working Towards Hybrid Solutions: The Possibility of an IHRM Model in Japan’, </w:t>
      </w:r>
      <w:proofErr w:type="spellStart"/>
      <w:r>
        <w:rPr>
          <w:rStyle w:val="Emphasis"/>
          <w:rFonts w:eastAsiaTheme="majorEastAsia"/>
        </w:rPr>
        <w:t>Ritsumeikan</w:t>
      </w:r>
      <w:proofErr w:type="spellEnd"/>
      <w:r>
        <w:rPr>
          <w:rStyle w:val="Emphasis"/>
          <w:rFonts w:eastAsiaTheme="majorEastAsia"/>
        </w:rPr>
        <w:t xml:space="preserve"> Business Journal</w:t>
      </w:r>
      <w:r>
        <w:t xml:space="preserve">, 5, pp. 109-129. </w:t>
      </w:r>
      <w:hyperlink r:id="rId9" w:tgtFrame="_blank" w:history="1">
        <w:r>
          <w:rPr>
            <w:rStyle w:val="max-w-15ch"/>
            <w:rFonts w:eastAsiaTheme="majorEastAsia"/>
            <w:color w:val="0000FF"/>
            <w:u w:val="single"/>
          </w:rPr>
          <w:t>ritsumei.repo.nii.ac.jp</w:t>
        </w:r>
      </w:hyperlink>
    </w:p>
    <w:p w14:paraId="6A07D022" w14:textId="77777777" w:rsidR="006572B1" w:rsidRDefault="006572B1" w:rsidP="006572B1">
      <w:pPr>
        <w:pStyle w:val="NormalWeb"/>
      </w:pPr>
      <w:r>
        <w:rPr>
          <w:rFonts w:hAnsi="Symbol"/>
        </w:rPr>
        <w:t></w:t>
      </w:r>
      <w:r>
        <w:t xml:space="preserve">  </w:t>
      </w:r>
      <w:proofErr w:type="spellStart"/>
      <w:r>
        <w:t>Nasaireh</w:t>
      </w:r>
      <w:proofErr w:type="spellEnd"/>
      <w:r>
        <w:t xml:space="preserve">, M. A., Abdullah, A. H. &amp; Obeidat, K. A. (2019) ‘The Relationship Between Cultural Types According to Handy’s Model and Organizational Structure in Jordanian Public Universities’, </w:t>
      </w:r>
      <w:r>
        <w:rPr>
          <w:rStyle w:val="Emphasis"/>
          <w:rFonts w:eastAsiaTheme="majorEastAsia"/>
        </w:rPr>
        <w:t>International Journal of Academic Research in Business and Social Sciences</w:t>
      </w:r>
      <w:r>
        <w:t xml:space="preserve">, 9(1), pp. 973-985. </w:t>
      </w:r>
      <w:hyperlink r:id="rId10" w:tgtFrame="_blank" w:history="1">
        <w:proofErr w:type="spellStart"/>
        <w:r>
          <w:rPr>
            <w:rStyle w:val="max-w-15ch"/>
            <w:rFonts w:eastAsiaTheme="majorEastAsia"/>
            <w:color w:val="0000FF"/>
            <w:u w:val="single"/>
          </w:rPr>
          <w:t>HRMars</w:t>
        </w:r>
        <w:proofErr w:type="spellEnd"/>
      </w:hyperlink>
    </w:p>
    <w:p w14:paraId="48C88C4E" w14:textId="5779D90E" w:rsidR="006572B1" w:rsidRDefault="006572B1" w:rsidP="006572B1">
      <w:pPr>
        <w:pStyle w:val="NormalWeb"/>
      </w:pPr>
      <w:r>
        <w:rPr>
          <w:rFonts w:hAnsi="Symbol"/>
        </w:rPr>
        <w:t></w:t>
      </w:r>
      <w:r>
        <w:t xml:space="preserve">  </w:t>
      </w:r>
      <w:proofErr w:type="spellStart"/>
      <w:r>
        <w:t>Gasela</w:t>
      </w:r>
      <w:proofErr w:type="spellEnd"/>
      <w:r>
        <w:t xml:space="preserve">, D. (2021) ‘The influence of organisational culture on performance in public entities of South Africa’, </w:t>
      </w:r>
      <w:r>
        <w:rPr>
          <w:rStyle w:val="Emphasis"/>
          <w:rFonts w:eastAsiaTheme="majorEastAsia"/>
        </w:rPr>
        <w:t>Africa’s Public Service Delivery &amp; Performance Review</w:t>
      </w:r>
      <w:r>
        <w:t xml:space="preserve">, 9(–), pp. -. </w:t>
      </w:r>
      <w:hyperlink r:id="rId11" w:tgtFrame="_blank" w:history="1">
        <w:r>
          <w:rPr>
            <w:rStyle w:val="max-w-15ch"/>
            <w:rFonts w:eastAsiaTheme="majorEastAsia"/>
            <w:color w:val="0000FF"/>
            <w:u w:val="single"/>
          </w:rPr>
          <w:t>apsdpr.org</w:t>
        </w:r>
      </w:hyperlink>
    </w:p>
    <w:p w14:paraId="50BB7203" w14:textId="55A26590" w:rsidR="006572B1" w:rsidRDefault="006572B1" w:rsidP="006572B1">
      <w:pPr>
        <w:pStyle w:val="NormalWeb"/>
      </w:pPr>
      <w:r>
        <w:rPr>
          <w:rFonts w:hAnsi="Symbol"/>
        </w:rPr>
        <w:t></w:t>
      </w:r>
      <w:r>
        <w:t xml:space="preserve"> Westrum</w:t>
      </w:r>
      <w:r>
        <w:t xml:space="preserve">, R. (2004) ‘A typology of organisational cultures’, </w:t>
      </w:r>
      <w:r>
        <w:rPr>
          <w:rStyle w:val="Emphasis"/>
          <w:rFonts w:eastAsiaTheme="majorEastAsia"/>
        </w:rPr>
        <w:t>Qual Saf Health Care</w:t>
      </w:r>
      <w:r>
        <w:t>, 13(</w:t>
      </w:r>
      <w:proofErr w:type="spellStart"/>
      <w:r>
        <w:t>Suppl</w:t>
      </w:r>
      <w:proofErr w:type="spellEnd"/>
      <w:r>
        <w:t xml:space="preserve"> 2), pp. ii22-ii27. </w:t>
      </w:r>
      <w:hyperlink r:id="rId12" w:tgtFrame="_blank" w:history="1">
        <w:r>
          <w:rPr>
            <w:rStyle w:val="max-w-15ch"/>
            <w:rFonts w:eastAsiaTheme="majorEastAsia"/>
            <w:color w:val="0000FF"/>
            <w:u w:val="single"/>
          </w:rPr>
          <w:t>PMC</w:t>
        </w:r>
      </w:hyperlink>
    </w:p>
    <w:p w14:paraId="4211C996" w14:textId="18878FCB" w:rsidR="006572B1" w:rsidRDefault="006572B1" w:rsidP="006572B1">
      <w:pPr>
        <w:pStyle w:val="NormalWeb"/>
      </w:pPr>
      <w:r>
        <w:rPr>
          <w:rFonts w:hAnsi="Symbol"/>
        </w:rPr>
        <w:t></w:t>
      </w:r>
      <w:r>
        <w:t xml:space="preserve"> Hibino</w:t>
      </w:r>
      <w:r>
        <w:t xml:space="preserve">, S., Noguchi, K. &amp; Plenert, G. (2017) </w:t>
      </w:r>
      <w:r>
        <w:rPr>
          <w:rStyle w:val="Emphasis"/>
          <w:rFonts w:eastAsiaTheme="majorEastAsia"/>
        </w:rPr>
        <w:t>Toyota’s Global Marketing Strategy: Innovation through Breakthrough Thinking and Kaizen</w:t>
      </w:r>
      <w:r>
        <w:t xml:space="preserve">. Abingdon: Routledge. </w:t>
      </w:r>
      <w:hyperlink r:id="rId13" w:tgtFrame="_blank" w:history="1">
        <w:r>
          <w:rPr>
            <w:rStyle w:val="max-w-15ch"/>
            <w:rFonts w:eastAsiaTheme="majorEastAsia"/>
            <w:color w:val="0000FF"/>
            <w:u w:val="single"/>
          </w:rPr>
          <w:t>Routledge</w:t>
        </w:r>
        <w:r>
          <w:rPr>
            <w:rStyle w:val="-me-1"/>
            <w:color w:val="0000FF"/>
            <w:u w:val="single"/>
          </w:rPr>
          <w:t>+1</w:t>
        </w:r>
      </w:hyperlink>
    </w:p>
    <w:p w14:paraId="3F6F59EE" w14:textId="09A41BCE" w:rsidR="006572B1" w:rsidRDefault="006572B1" w:rsidP="006572B1">
      <w:pPr>
        <w:pStyle w:val="NormalWeb"/>
      </w:pPr>
      <w:r>
        <w:rPr>
          <w:rFonts w:hAnsi="Symbol"/>
        </w:rPr>
        <w:t></w:t>
      </w:r>
      <w:r>
        <w:t xml:space="preserve"> InternationalBusinessCenter.org</w:t>
      </w:r>
      <w:r>
        <w:t xml:space="preserve"> (2003/2007) ‘Japan – Japanese Geert Hofstede Cultural Dimensions Explained’, available at: [online]. </w:t>
      </w:r>
      <w:hyperlink r:id="rId14" w:tgtFrame="_blank" w:history="1">
        <w:r>
          <w:rPr>
            <w:rStyle w:val="max-w-15ch"/>
            <w:rFonts w:eastAsiaTheme="majorEastAsia"/>
            <w:color w:val="0000FF"/>
            <w:u w:val="single"/>
          </w:rPr>
          <w:t>internationalbusinesscenter.org</w:t>
        </w:r>
      </w:hyperlink>
    </w:p>
    <w:p w14:paraId="2DD9E284" w14:textId="199B9589" w:rsidR="006572B1" w:rsidRDefault="006572B1" w:rsidP="006572B1">
      <w:pPr>
        <w:pStyle w:val="NormalWeb"/>
      </w:pPr>
      <w:r>
        <w:rPr>
          <w:rFonts w:hAnsi="Symbol"/>
        </w:rPr>
        <w:t></w:t>
      </w:r>
      <w:r>
        <w:t xml:space="preserve"> Whatley</w:t>
      </w:r>
      <w:r>
        <w:t xml:space="preserve">, S. (n.d.) ‘The Toyota Way – Continuous improvement and respect for people’, available at: [online]. </w:t>
      </w:r>
      <w:hyperlink r:id="rId15" w:tgtFrame="_blank" w:history="1">
        <w:r>
          <w:rPr>
            <w:rStyle w:val="max-w-15ch"/>
            <w:rFonts w:eastAsiaTheme="majorEastAsia"/>
            <w:color w:val="0000FF"/>
            <w:u w:val="single"/>
          </w:rPr>
          <w:t>simonwhatley.co.uk</w:t>
        </w:r>
      </w:hyperlink>
    </w:p>
    <w:p w14:paraId="1AD3C0BD" w14:textId="63972518" w:rsidR="006572B1" w:rsidRDefault="006572B1" w:rsidP="006572B1">
      <w:pPr>
        <w:pStyle w:val="NormalWeb"/>
      </w:pPr>
      <w:r>
        <w:rPr>
          <w:rFonts w:hAnsi="Symbol"/>
        </w:rPr>
        <w:lastRenderedPageBreak/>
        <w:t></w:t>
      </w:r>
      <w:r>
        <w:t xml:space="preserve"> Dimitrov</w:t>
      </w:r>
      <w:r>
        <w:t xml:space="preserve">, K.(2018) ‘Critical review of models, containing cultural levels beyond the organizational one’, </w:t>
      </w:r>
      <w:proofErr w:type="spellStart"/>
      <w:r>
        <w:t>arXiv</w:t>
      </w:r>
      <w:proofErr w:type="spellEnd"/>
      <w:r>
        <w:t xml:space="preserve"> preprint arXiv:1810.03605. </w:t>
      </w:r>
      <w:hyperlink r:id="rId16" w:tgtFrame="_blank" w:history="1">
        <w:proofErr w:type="spellStart"/>
        <w:r>
          <w:rPr>
            <w:rStyle w:val="max-w-15ch"/>
            <w:rFonts w:eastAsiaTheme="majorEastAsia"/>
            <w:color w:val="0000FF"/>
            <w:u w:val="single"/>
          </w:rPr>
          <w:t>arXiv</w:t>
        </w:r>
        <w:proofErr w:type="spellEnd"/>
      </w:hyperlink>
    </w:p>
    <w:p w14:paraId="4895E3E2" w14:textId="6C92EC2F" w:rsidR="006572B1" w:rsidRDefault="006572B1" w:rsidP="006572B1">
      <w:pPr>
        <w:pStyle w:val="NormalWeb"/>
      </w:pPr>
      <w:r>
        <w:rPr>
          <w:rFonts w:hAnsi="Symbol"/>
        </w:rPr>
        <w:t></w:t>
      </w:r>
      <w:r>
        <w:t xml:space="preserve"> Hibino</w:t>
      </w:r>
      <w:r>
        <w:t xml:space="preserve">, S., Noguchi, K. &amp; Plenert, G. (2017) </w:t>
      </w:r>
      <w:r>
        <w:rPr>
          <w:rStyle w:val="Emphasis"/>
          <w:rFonts w:eastAsiaTheme="majorEastAsia"/>
        </w:rPr>
        <w:t>Toyota’s Global Marketing Strategy: Innovation Through Breakthrough Thinking and Kaizen</w:t>
      </w:r>
    </w:p>
    <w:p w14:paraId="22D83CD2" w14:textId="77777777" w:rsidR="00896214" w:rsidRPr="00896214" w:rsidRDefault="00896214" w:rsidP="00896214">
      <w:pPr>
        <w:jc w:val="center"/>
        <w:rPr>
          <w:rFonts w:ascii="Times New Roman" w:hAnsi="Times New Roman" w:cs="Times New Roman"/>
          <w:sz w:val="28"/>
          <w:szCs w:val="28"/>
          <w:lang w:val="en-GB"/>
        </w:rPr>
      </w:pPr>
    </w:p>
    <w:sectPr w:rsidR="00896214" w:rsidRPr="008962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1D6C"/>
    <w:multiLevelType w:val="multilevel"/>
    <w:tmpl w:val="F86C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C7427"/>
    <w:multiLevelType w:val="multilevel"/>
    <w:tmpl w:val="A81C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32EB8"/>
    <w:multiLevelType w:val="multilevel"/>
    <w:tmpl w:val="0186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E19EF"/>
    <w:multiLevelType w:val="multilevel"/>
    <w:tmpl w:val="599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0C07EB"/>
    <w:multiLevelType w:val="multilevel"/>
    <w:tmpl w:val="02B0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E12AB"/>
    <w:multiLevelType w:val="multilevel"/>
    <w:tmpl w:val="B7D2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B2757A"/>
    <w:multiLevelType w:val="multilevel"/>
    <w:tmpl w:val="4604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1857C8"/>
    <w:multiLevelType w:val="multilevel"/>
    <w:tmpl w:val="D1B0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8624F"/>
    <w:multiLevelType w:val="multilevel"/>
    <w:tmpl w:val="9DDEB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493059"/>
    <w:multiLevelType w:val="multilevel"/>
    <w:tmpl w:val="18EC8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BB78A1"/>
    <w:multiLevelType w:val="multilevel"/>
    <w:tmpl w:val="F9E4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586157">
    <w:abstractNumId w:val="8"/>
  </w:num>
  <w:num w:numId="2" w16cid:durableId="1958565642">
    <w:abstractNumId w:val="1"/>
  </w:num>
  <w:num w:numId="3" w16cid:durableId="1047488105">
    <w:abstractNumId w:val="10"/>
  </w:num>
  <w:num w:numId="4" w16cid:durableId="1068724371">
    <w:abstractNumId w:val="6"/>
  </w:num>
  <w:num w:numId="5" w16cid:durableId="925308949">
    <w:abstractNumId w:val="0"/>
  </w:num>
  <w:num w:numId="6" w16cid:durableId="1408381916">
    <w:abstractNumId w:val="2"/>
  </w:num>
  <w:num w:numId="7" w16cid:durableId="1336150753">
    <w:abstractNumId w:val="7"/>
  </w:num>
  <w:num w:numId="8" w16cid:durableId="464004649">
    <w:abstractNumId w:val="3"/>
  </w:num>
  <w:num w:numId="9" w16cid:durableId="914823112">
    <w:abstractNumId w:val="5"/>
  </w:num>
  <w:num w:numId="10" w16cid:durableId="80375463">
    <w:abstractNumId w:val="4"/>
  </w:num>
  <w:num w:numId="11" w16cid:durableId="19253404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214"/>
    <w:rsid w:val="00165C52"/>
    <w:rsid w:val="0021492A"/>
    <w:rsid w:val="002E4AA8"/>
    <w:rsid w:val="00585E11"/>
    <w:rsid w:val="006572B1"/>
    <w:rsid w:val="006D7253"/>
    <w:rsid w:val="00703B09"/>
    <w:rsid w:val="00896214"/>
    <w:rsid w:val="009322E6"/>
    <w:rsid w:val="00AF4A3F"/>
    <w:rsid w:val="00D7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011E0"/>
  <w15:chartTrackingRefBased/>
  <w15:docId w15:val="{A6F6F562-B9C0-4858-9966-37985CBFE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214"/>
    <w:pPr>
      <w:widowControl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8962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2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2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2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2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2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2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2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2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2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2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2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2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2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2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2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214"/>
    <w:rPr>
      <w:rFonts w:eastAsiaTheme="majorEastAsia" w:cstheme="majorBidi"/>
      <w:color w:val="272727" w:themeColor="text1" w:themeTint="D8"/>
    </w:rPr>
  </w:style>
  <w:style w:type="paragraph" w:styleId="Title">
    <w:name w:val="Title"/>
    <w:basedOn w:val="Normal"/>
    <w:next w:val="Normal"/>
    <w:link w:val="TitleChar"/>
    <w:uiPriority w:val="10"/>
    <w:qFormat/>
    <w:rsid w:val="008962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2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2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2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214"/>
    <w:pPr>
      <w:spacing w:before="160"/>
      <w:jc w:val="center"/>
    </w:pPr>
    <w:rPr>
      <w:i/>
      <w:iCs/>
      <w:color w:val="404040" w:themeColor="text1" w:themeTint="BF"/>
    </w:rPr>
  </w:style>
  <w:style w:type="character" w:customStyle="1" w:styleId="QuoteChar">
    <w:name w:val="Quote Char"/>
    <w:basedOn w:val="DefaultParagraphFont"/>
    <w:link w:val="Quote"/>
    <w:uiPriority w:val="29"/>
    <w:rsid w:val="00896214"/>
    <w:rPr>
      <w:i/>
      <w:iCs/>
      <w:color w:val="404040" w:themeColor="text1" w:themeTint="BF"/>
    </w:rPr>
  </w:style>
  <w:style w:type="paragraph" w:styleId="ListParagraph">
    <w:name w:val="List Paragraph"/>
    <w:basedOn w:val="Normal"/>
    <w:uiPriority w:val="34"/>
    <w:qFormat/>
    <w:rsid w:val="00896214"/>
    <w:pPr>
      <w:ind w:left="720"/>
      <w:contextualSpacing/>
    </w:pPr>
  </w:style>
  <w:style w:type="character" w:styleId="IntenseEmphasis">
    <w:name w:val="Intense Emphasis"/>
    <w:basedOn w:val="DefaultParagraphFont"/>
    <w:uiPriority w:val="21"/>
    <w:qFormat/>
    <w:rsid w:val="00896214"/>
    <w:rPr>
      <w:i/>
      <w:iCs/>
      <w:color w:val="0F4761" w:themeColor="accent1" w:themeShade="BF"/>
    </w:rPr>
  </w:style>
  <w:style w:type="paragraph" w:styleId="IntenseQuote">
    <w:name w:val="Intense Quote"/>
    <w:basedOn w:val="Normal"/>
    <w:next w:val="Normal"/>
    <w:link w:val="IntenseQuoteChar"/>
    <w:uiPriority w:val="30"/>
    <w:qFormat/>
    <w:rsid w:val="008962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214"/>
    <w:rPr>
      <w:i/>
      <w:iCs/>
      <w:color w:val="0F4761" w:themeColor="accent1" w:themeShade="BF"/>
    </w:rPr>
  </w:style>
  <w:style w:type="character" w:styleId="IntenseReference">
    <w:name w:val="Intense Reference"/>
    <w:basedOn w:val="DefaultParagraphFont"/>
    <w:uiPriority w:val="32"/>
    <w:qFormat/>
    <w:rsid w:val="00896214"/>
    <w:rPr>
      <w:b/>
      <w:bCs/>
      <w:smallCaps/>
      <w:color w:val="0F4761" w:themeColor="accent1" w:themeShade="BF"/>
      <w:spacing w:val="5"/>
    </w:rPr>
  </w:style>
  <w:style w:type="paragraph" w:customStyle="1" w:styleId="TableParagraph">
    <w:name w:val="Table Paragraph"/>
    <w:basedOn w:val="Normal"/>
    <w:uiPriority w:val="1"/>
    <w:qFormat/>
    <w:rsid w:val="00896214"/>
  </w:style>
  <w:style w:type="paragraph" w:styleId="TOCHeading">
    <w:name w:val="TOC Heading"/>
    <w:basedOn w:val="Heading1"/>
    <w:next w:val="Normal"/>
    <w:uiPriority w:val="39"/>
    <w:unhideWhenUsed/>
    <w:qFormat/>
    <w:rsid w:val="002E4AA8"/>
    <w:pPr>
      <w:widowControl/>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2E4AA8"/>
    <w:pPr>
      <w:spacing w:after="100"/>
    </w:pPr>
  </w:style>
  <w:style w:type="paragraph" w:styleId="TOC3">
    <w:name w:val="toc 3"/>
    <w:basedOn w:val="Normal"/>
    <w:next w:val="Normal"/>
    <w:autoRedefine/>
    <w:uiPriority w:val="39"/>
    <w:unhideWhenUsed/>
    <w:rsid w:val="002E4AA8"/>
    <w:pPr>
      <w:spacing w:after="100"/>
      <w:ind w:left="440"/>
    </w:pPr>
  </w:style>
  <w:style w:type="character" w:styleId="Hyperlink">
    <w:name w:val="Hyperlink"/>
    <w:basedOn w:val="DefaultParagraphFont"/>
    <w:uiPriority w:val="99"/>
    <w:unhideWhenUsed/>
    <w:rsid w:val="002E4AA8"/>
    <w:rPr>
      <w:color w:val="467886" w:themeColor="hyperlink"/>
      <w:u w:val="single"/>
    </w:rPr>
  </w:style>
  <w:style w:type="paragraph" w:styleId="NormalWeb">
    <w:name w:val="Normal (Web)"/>
    <w:basedOn w:val="Normal"/>
    <w:uiPriority w:val="99"/>
    <w:semiHidden/>
    <w:unhideWhenUsed/>
    <w:rsid w:val="006572B1"/>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6572B1"/>
    <w:rPr>
      <w:i/>
      <w:iCs/>
    </w:rPr>
  </w:style>
  <w:style w:type="character" w:customStyle="1" w:styleId="ms-1">
    <w:name w:val="ms-1"/>
    <w:basedOn w:val="DefaultParagraphFont"/>
    <w:rsid w:val="006572B1"/>
  </w:style>
  <w:style w:type="character" w:customStyle="1" w:styleId="max-w-15ch">
    <w:name w:val="max-w-[15ch]"/>
    <w:basedOn w:val="DefaultParagraphFont"/>
    <w:rsid w:val="006572B1"/>
  </w:style>
  <w:style w:type="character" w:customStyle="1" w:styleId="-me-1">
    <w:name w:val="-me-1"/>
    <w:basedOn w:val="DefaultParagraphFont"/>
    <w:rsid w:val="00657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journal.upi.edu/index.php/JBME/article/view/66135?utm_source=chatgpt.com" TargetMode="External"/><Relationship Id="rId13" Type="http://schemas.openxmlformats.org/officeDocument/2006/relationships/hyperlink" Target="https://www.routledge.com/Toyotas-Global-Marketing-Strategy-Innovation-through-Breakthrough-Thinking-and-Kaizen/Hibino-Noguchi-Plenert/p/book/9781138059412?srsltid=AfmBOopC1Edx4eIb6RA_-fjSjCihrik8fpITHh-rqvDIvEllnod2ddkn&amp;utm_source=chatgpt.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conpapers.repec.org/RePEc%3Arom%3Armcimn%3Av%3A21%3Ay%3A2020%3Ai%3A4%3Ap%3A458-489?utm_source=chatgpt.com" TargetMode="External"/><Relationship Id="rId12" Type="http://schemas.openxmlformats.org/officeDocument/2006/relationships/hyperlink" Target="https://pmc.ncbi.nlm.nih.gov/articles/PMC1765804/?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xiv.org/abs/1810.03605?utm_source=chatgpt.com" TargetMode="External"/><Relationship Id="rId1" Type="http://schemas.openxmlformats.org/officeDocument/2006/relationships/customXml" Target="../customXml/item1.xml"/><Relationship Id="rId6" Type="http://schemas.openxmlformats.org/officeDocument/2006/relationships/hyperlink" Target="https://www.econbiz.de/Record/the-contradictions-that-drive-toyota-s-success-takeuchi-hirotaka/10003733086?utm_source=chatgpt.com" TargetMode="External"/><Relationship Id="rId11" Type="http://schemas.openxmlformats.org/officeDocument/2006/relationships/hyperlink" Target="https://apsdpr.org/index.php/apsdpr/article/view/563/1108?utm_source=chatgpt.com" TargetMode="External"/><Relationship Id="rId5" Type="http://schemas.openxmlformats.org/officeDocument/2006/relationships/webSettings" Target="webSettings.xml"/><Relationship Id="rId15" Type="http://schemas.openxmlformats.org/officeDocument/2006/relationships/hyperlink" Target="https://www.simonwhatley.co.uk/writing/the-toyota-way/?utm_source=chatgpt.com" TargetMode="External"/><Relationship Id="rId10" Type="http://schemas.openxmlformats.org/officeDocument/2006/relationships/hyperlink" Target="https://www.hrmars.com/index.php/IJARBSS/article/view/5495/The-Relationship-Between-Cultural-Types-According-to-Handys-Model-and-Organizational-Structure-in-Jordanian-Public-Universities?utm_source=chatgpt.com" TargetMode="External"/><Relationship Id="rId4" Type="http://schemas.openxmlformats.org/officeDocument/2006/relationships/settings" Target="settings.xml"/><Relationship Id="rId9" Type="http://schemas.openxmlformats.org/officeDocument/2006/relationships/hyperlink" Target="https://ritsumei.repo.nii.ac.jp/record/555/files/BJ_5_schlunze.pdf?utm_source=chatgpt.com" TargetMode="External"/><Relationship Id="rId14" Type="http://schemas.openxmlformats.org/officeDocument/2006/relationships/hyperlink" Target="https://www.internationalbusinesscenter.org/geert-hofstede/hofstede_japan.s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EFBAF-A7B5-456B-B55B-19DF45500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4080</Words>
  <Characters>23258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Ariana-Gabriela Bonea (2314969)</dc:creator>
  <cp:keywords/>
  <dc:description/>
  <cp:lastModifiedBy>Ariana-Gabriela Bonea (2314969)</cp:lastModifiedBy>
  <cp:revision>2</cp:revision>
  <dcterms:created xsi:type="dcterms:W3CDTF">2025-11-12T09:23:00Z</dcterms:created>
  <dcterms:modified xsi:type="dcterms:W3CDTF">2025-11-12T09:23:00Z</dcterms:modified>
</cp:coreProperties>
</file>