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CD459"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UNIVERSITY OF WALES TRINITY SAINT DAVID</w:t>
      </w:r>
    </w:p>
    <w:p w14:paraId="149B24D0"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1EE0082C"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BSc (Hons) Health and Social Care</w:t>
      </w:r>
    </w:p>
    <w:p w14:paraId="13A633D6"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135FFDEC" w14:textId="193D5774"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Principles of Health and Social Care Practice</w:t>
      </w:r>
    </w:p>
    <w:p w14:paraId="649D00E0"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76378FC7"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Component 2: Written Assignment (Report)</w:t>
      </w:r>
    </w:p>
    <w:p w14:paraId="4C93AF8A"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5A86292B" w14:textId="58C230DA" w:rsidR="001E37E3"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Person-Centred Care and Partnership Working in Community Care</w:t>
      </w:r>
    </w:p>
    <w:p w14:paraId="78249418"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24C44986" w14:textId="19455CF8"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Student Name: Sajida Faraz</w:t>
      </w:r>
    </w:p>
    <w:p w14:paraId="57107E39"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2EC73BB5" w14:textId="295A60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Student ID:2423344</w:t>
      </w:r>
    </w:p>
    <w:p w14:paraId="6DF62EC4"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299F0231" w14:textId="0CD517DB"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Programme: BSc Health and Social Care</w:t>
      </w:r>
    </w:p>
    <w:p w14:paraId="7D6D8E47"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4DECA4EB" w14:textId="6047BF63"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Module Title: Principles of Health and Social Care Practice</w:t>
      </w:r>
    </w:p>
    <w:p w14:paraId="07517B1D"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24FFFD0C" w14:textId="5820E4D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Module Code: BMHP5016</w:t>
      </w:r>
    </w:p>
    <w:p w14:paraId="69A08B65"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42F232EE" w14:textId="5A6F739C"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Assignment Title: Component 2: Written Assignment (Report)</w:t>
      </w:r>
    </w:p>
    <w:p w14:paraId="526889CF"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3CF1F47F" w14:textId="3A44C86A"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Lecturer:</w:t>
      </w:r>
      <w:r w:rsidRPr="00321307">
        <w:rPr>
          <w:rFonts w:ascii="Segoe UI" w:hAnsi="Segoe UI" w:cs="Segoe UI"/>
          <w:color w:val="1D2125"/>
          <w:sz w:val="32"/>
          <w:szCs w:val="32"/>
          <w:shd w:val="clear" w:color="auto" w:fill="FFFFFF"/>
        </w:rPr>
        <w:t xml:space="preserve"> </w:t>
      </w:r>
      <w:r w:rsidRPr="00321307">
        <w:rPr>
          <w:rFonts w:ascii="Arial" w:hAnsi="Arial" w:cs="Arial"/>
          <w:b/>
          <w:bCs/>
          <w:sz w:val="32"/>
          <w:szCs w:val="32"/>
        </w:rPr>
        <w:t>Azida Zainol</w:t>
      </w:r>
    </w:p>
    <w:p w14:paraId="77C8FB4E"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05F9B03B" w14:textId="129998AD"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Submission Date: 26 July 2026</w:t>
      </w:r>
    </w:p>
    <w:p w14:paraId="7DF57D3E" w14:textId="77777777"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p>
    <w:p w14:paraId="64211A19" w14:textId="5B52CD44" w:rsidR="00C06E1A" w:rsidRPr="00321307" w:rsidRDefault="00C06E1A" w:rsidP="00C06E1A">
      <w:pPr>
        <w:pBdr>
          <w:top w:val="single" w:sz="4" w:space="1" w:color="auto"/>
          <w:left w:val="single" w:sz="4" w:space="1" w:color="auto"/>
          <w:bottom w:val="single" w:sz="4" w:space="1" w:color="auto"/>
          <w:right w:val="single" w:sz="4" w:space="1" w:color="auto"/>
        </w:pBdr>
        <w:spacing w:after="22"/>
        <w:jc w:val="center"/>
        <w:rPr>
          <w:rFonts w:ascii="Arial" w:hAnsi="Arial" w:cs="Arial"/>
          <w:b/>
          <w:bCs/>
          <w:sz w:val="32"/>
          <w:szCs w:val="32"/>
        </w:rPr>
      </w:pPr>
      <w:r w:rsidRPr="00321307">
        <w:rPr>
          <w:rFonts w:ascii="Arial" w:hAnsi="Arial" w:cs="Arial"/>
          <w:b/>
          <w:bCs/>
          <w:sz w:val="32"/>
          <w:szCs w:val="32"/>
        </w:rPr>
        <w:t>Academic Year: 2025–2026</w:t>
      </w:r>
    </w:p>
    <w:p w14:paraId="2D428677" w14:textId="77777777" w:rsidR="001E37E3"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p>
    <w:p w14:paraId="045116E1" w14:textId="77777777" w:rsidR="001E37E3"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p>
    <w:p w14:paraId="0B2F03F9"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79DD9890"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Table of Contents</w:t>
      </w:r>
    </w:p>
    <w:p w14:paraId="4532CE9D"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492D3214"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xml:space="preserve">Abstract ……………………………………………………………………. </w:t>
      </w:r>
      <w:proofErr w:type="spellStart"/>
      <w:proofErr w:type="gramStart"/>
      <w:r w:rsidRPr="007F6B4C">
        <w:rPr>
          <w:rFonts w:ascii="Arial" w:hAnsi="Arial" w:cs="Arial"/>
          <w:b/>
          <w:bCs/>
          <w:sz w:val="32"/>
          <w:szCs w:val="32"/>
        </w:rPr>
        <w:t>i</w:t>
      </w:r>
      <w:proofErr w:type="spellEnd"/>
      <w:proofErr w:type="gramEnd"/>
    </w:p>
    <w:p w14:paraId="65E70952"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6B5D89BE"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xml:space="preserve">Keywords …………………………………………………………………. </w:t>
      </w:r>
      <w:proofErr w:type="spellStart"/>
      <w:proofErr w:type="gramStart"/>
      <w:r w:rsidRPr="007F6B4C">
        <w:rPr>
          <w:rFonts w:ascii="Arial" w:hAnsi="Arial" w:cs="Arial"/>
          <w:b/>
          <w:bCs/>
          <w:sz w:val="32"/>
          <w:szCs w:val="32"/>
        </w:rPr>
        <w:t>i</w:t>
      </w:r>
      <w:proofErr w:type="spellEnd"/>
      <w:proofErr w:type="gramEnd"/>
    </w:p>
    <w:p w14:paraId="7E7A40FF"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331C63F5"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1. Introduction ………………………………………………………</w:t>
      </w:r>
      <w:proofErr w:type="gramStart"/>
      <w:r w:rsidRPr="007F6B4C">
        <w:rPr>
          <w:rFonts w:ascii="Arial" w:hAnsi="Arial" w:cs="Arial"/>
          <w:b/>
          <w:bCs/>
          <w:sz w:val="32"/>
          <w:szCs w:val="32"/>
        </w:rPr>
        <w:t>…..</w:t>
      </w:r>
      <w:proofErr w:type="gramEnd"/>
      <w:r w:rsidRPr="007F6B4C">
        <w:rPr>
          <w:rFonts w:ascii="Arial" w:hAnsi="Arial" w:cs="Arial"/>
          <w:b/>
          <w:bCs/>
          <w:sz w:val="32"/>
          <w:szCs w:val="32"/>
        </w:rPr>
        <w:t xml:space="preserve"> 1</w:t>
      </w:r>
    </w:p>
    <w:p w14:paraId="63338871"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4B063A1B"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2. Definition of Person-Centred Care (PCC) ……………………</w:t>
      </w:r>
      <w:proofErr w:type="gramStart"/>
      <w:r w:rsidRPr="007F6B4C">
        <w:rPr>
          <w:rFonts w:ascii="Arial" w:hAnsi="Arial" w:cs="Arial"/>
          <w:b/>
          <w:bCs/>
          <w:sz w:val="32"/>
          <w:szCs w:val="32"/>
        </w:rPr>
        <w:t>…..</w:t>
      </w:r>
      <w:proofErr w:type="gramEnd"/>
      <w:r w:rsidRPr="007F6B4C">
        <w:rPr>
          <w:rFonts w:ascii="Arial" w:hAnsi="Arial" w:cs="Arial"/>
          <w:b/>
          <w:bCs/>
          <w:sz w:val="32"/>
          <w:szCs w:val="32"/>
        </w:rPr>
        <w:t xml:space="preserve"> 2</w:t>
      </w:r>
    </w:p>
    <w:p w14:paraId="48EFFC98"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39BA2471"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3. Relevant Theories …………………………………………………</w:t>
      </w:r>
      <w:proofErr w:type="gramStart"/>
      <w:r w:rsidRPr="007F6B4C">
        <w:rPr>
          <w:rFonts w:ascii="Arial" w:hAnsi="Arial" w:cs="Arial"/>
          <w:b/>
          <w:bCs/>
          <w:sz w:val="32"/>
          <w:szCs w:val="32"/>
        </w:rPr>
        <w:t>…..</w:t>
      </w:r>
      <w:proofErr w:type="gramEnd"/>
      <w:r w:rsidRPr="007F6B4C">
        <w:rPr>
          <w:rFonts w:ascii="Arial" w:hAnsi="Arial" w:cs="Arial"/>
          <w:b/>
          <w:bCs/>
          <w:sz w:val="32"/>
          <w:szCs w:val="32"/>
        </w:rPr>
        <w:t xml:space="preserve"> 3</w:t>
      </w:r>
    </w:p>
    <w:p w14:paraId="3514D8FF"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7BD56F39"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 3.1 Carl Rogers’ Humanistic Theory ……………………………… 3</w:t>
      </w:r>
    </w:p>
    <w:p w14:paraId="4618CD93"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40936196"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 3.2 Maslow’s Hierarchy of Needs ……………………………</w:t>
      </w:r>
      <w:proofErr w:type="gramStart"/>
      <w:r w:rsidRPr="007F6B4C">
        <w:rPr>
          <w:rFonts w:ascii="Arial" w:hAnsi="Arial" w:cs="Arial"/>
          <w:b/>
          <w:bCs/>
          <w:sz w:val="32"/>
          <w:szCs w:val="32"/>
        </w:rPr>
        <w:t>…..</w:t>
      </w:r>
      <w:proofErr w:type="gramEnd"/>
      <w:r w:rsidRPr="007F6B4C">
        <w:rPr>
          <w:rFonts w:ascii="Arial" w:hAnsi="Arial" w:cs="Arial"/>
          <w:b/>
          <w:bCs/>
          <w:sz w:val="32"/>
          <w:szCs w:val="32"/>
        </w:rPr>
        <w:t xml:space="preserve"> 4</w:t>
      </w:r>
    </w:p>
    <w:p w14:paraId="71138185"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145CB6D7"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4. Ethical Fundamentals ………………………………………………… 5</w:t>
      </w:r>
    </w:p>
    <w:p w14:paraId="43DF22C2"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62453F58"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lastRenderedPageBreak/>
        <w:t> 4.1 Autonomy ……………………………………………………… 5</w:t>
      </w:r>
    </w:p>
    <w:p w14:paraId="159C0F21"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1EFD17A4"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 4.2 Beneficence …………………………………………………… 5</w:t>
      </w:r>
    </w:p>
    <w:p w14:paraId="6E80C053"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5C5F1082"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xml:space="preserve"> 4.3 </w:t>
      </w:r>
      <w:proofErr w:type="gramStart"/>
      <w:r w:rsidRPr="007F6B4C">
        <w:rPr>
          <w:rFonts w:ascii="Arial" w:hAnsi="Arial" w:cs="Arial"/>
          <w:b/>
          <w:bCs/>
          <w:sz w:val="32"/>
          <w:szCs w:val="32"/>
        </w:rPr>
        <w:t>Non-maleficence</w:t>
      </w:r>
      <w:proofErr w:type="gramEnd"/>
      <w:r w:rsidRPr="007F6B4C">
        <w:rPr>
          <w:rFonts w:ascii="Arial" w:hAnsi="Arial" w:cs="Arial"/>
          <w:b/>
          <w:bCs/>
          <w:sz w:val="32"/>
          <w:szCs w:val="32"/>
        </w:rPr>
        <w:t xml:space="preserve"> ……………………………………………… 6</w:t>
      </w:r>
    </w:p>
    <w:p w14:paraId="46093BD8"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6B49A788"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 4.4 Justice ………………………………………………………… 6</w:t>
      </w:r>
    </w:p>
    <w:p w14:paraId="03ACF2FD"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1CF27AA7"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 4.5 Ethical Dilemma, Practical Example and Resolution ……… 7</w:t>
      </w:r>
    </w:p>
    <w:p w14:paraId="1D5808A0"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554F9F31"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 4.6 Different Viewpoints ………………………………………</w:t>
      </w:r>
      <w:proofErr w:type="gramStart"/>
      <w:r w:rsidRPr="007F6B4C">
        <w:rPr>
          <w:rFonts w:ascii="Arial" w:hAnsi="Arial" w:cs="Arial"/>
          <w:b/>
          <w:bCs/>
          <w:sz w:val="32"/>
          <w:szCs w:val="32"/>
        </w:rPr>
        <w:t>…..</w:t>
      </w:r>
      <w:proofErr w:type="gramEnd"/>
      <w:r w:rsidRPr="007F6B4C">
        <w:rPr>
          <w:rFonts w:ascii="Arial" w:hAnsi="Arial" w:cs="Arial"/>
          <w:b/>
          <w:bCs/>
          <w:sz w:val="32"/>
          <w:szCs w:val="32"/>
        </w:rPr>
        <w:t xml:space="preserve"> 7</w:t>
      </w:r>
    </w:p>
    <w:p w14:paraId="6A9AF610"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55DEA6CB"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5. Evaluation of Partnership Working ……………………………</w:t>
      </w:r>
      <w:proofErr w:type="gramStart"/>
      <w:r w:rsidRPr="007F6B4C">
        <w:rPr>
          <w:rFonts w:ascii="Arial" w:hAnsi="Arial" w:cs="Arial"/>
          <w:b/>
          <w:bCs/>
          <w:sz w:val="32"/>
          <w:szCs w:val="32"/>
        </w:rPr>
        <w:t>…..</w:t>
      </w:r>
      <w:proofErr w:type="gramEnd"/>
      <w:r w:rsidRPr="007F6B4C">
        <w:rPr>
          <w:rFonts w:ascii="Arial" w:hAnsi="Arial" w:cs="Arial"/>
          <w:b/>
          <w:bCs/>
          <w:sz w:val="32"/>
          <w:szCs w:val="32"/>
        </w:rPr>
        <w:t xml:space="preserve"> 8</w:t>
      </w:r>
    </w:p>
    <w:p w14:paraId="59B19190"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0C2A16A9"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 5.1 Benefits of Partnership Working ……………………………. 8</w:t>
      </w:r>
    </w:p>
    <w:p w14:paraId="45B40099"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2587D80F"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 5.2 Challenges of Partnership Working …………………………. 8</w:t>
      </w:r>
    </w:p>
    <w:p w14:paraId="67786F32"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124EB067"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 5.3 Impact on Health and Social Care Services ………………… 9</w:t>
      </w:r>
    </w:p>
    <w:p w14:paraId="6FD20DB9"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686555C9"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lastRenderedPageBreak/>
        <w:t> 5.4 Practical Setting …………………………………………</w:t>
      </w:r>
      <w:proofErr w:type="gramStart"/>
      <w:r w:rsidRPr="007F6B4C">
        <w:rPr>
          <w:rFonts w:ascii="Arial" w:hAnsi="Arial" w:cs="Arial"/>
          <w:b/>
          <w:bCs/>
          <w:sz w:val="32"/>
          <w:szCs w:val="32"/>
        </w:rPr>
        <w:t>…..</w:t>
      </w:r>
      <w:proofErr w:type="gramEnd"/>
      <w:r w:rsidRPr="007F6B4C">
        <w:rPr>
          <w:rFonts w:ascii="Arial" w:hAnsi="Arial" w:cs="Arial"/>
          <w:b/>
          <w:bCs/>
          <w:sz w:val="32"/>
          <w:szCs w:val="32"/>
        </w:rPr>
        <w:t xml:space="preserve"> 9</w:t>
      </w:r>
    </w:p>
    <w:p w14:paraId="1298E94C"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0F3AC3F5"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 5.5 Evaluation …………………………………………………</w:t>
      </w:r>
      <w:proofErr w:type="gramStart"/>
      <w:r w:rsidRPr="007F6B4C">
        <w:rPr>
          <w:rFonts w:ascii="Arial" w:hAnsi="Arial" w:cs="Arial"/>
          <w:b/>
          <w:bCs/>
          <w:sz w:val="32"/>
          <w:szCs w:val="32"/>
        </w:rPr>
        <w:t>…..</w:t>
      </w:r>
      <w:proofErr w:type="gramEnd"/>
      <w:r w:rsidRPr="007F6B4C">
        <w:rPr>
          <w:rFonts w:ascii="Arial" w:hAnsi="Arial" w:cs="Arial"/>
          <w:b/>
          <w:bCs/>
          <w:sz w:val="32"/>
          <w:szCs w:val="32"/>
        </w:rPr>
        <w:t xml:space="preserve"> 9</w:t>
      </w:r>
    </w:p>
    <w:p w14:paraId="5C7C3C15"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2519E6AB"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6. Policy and Legislation ……………………………………………… 10</w:t>
      </w:r>
    </w:p>
    <w:p w14:paraId="6DB2FD51"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06AD0C68"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7. Recommendations ………………………………………………</w:t>
      </w:r>
      <w:proofErr w:type="gramStart"/>
      <w:r w:rsidRPr="007F6B4C">
        <w:rPr>
          <w:rFonts w:ascii="Arial" w:hAnsi="Arial" w:cs="Arial"/>
          <w:b/>
          <w:bCs/>
          <w:sz w:val="32"/>
          <w:szCs w:val="32"/>
        </w:rPr>
        <w:t>…..</w:t>
      </w:r>
      <w:proofErr w:type="gramEnd"/>
      <w:r w:rsidRPr="007F6B4C">
        <w:rPr>
          <w:rFonts w:ascii="Arial" w:hAnsi="Arial" w:cs="Arial"/>
          <w:b/>
          <w:bCs/>
          <w:sz w:val="32"/>
          <w:szCs w:val="32"/>
        </w:rPr>
        <w:t xml:space="preserve"> 11</w:t>
      </w:r>
    </w:p>
    <w:p w14:paraId="37C1AE8D"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1C52169D"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8. Conclusion …………………………………………………………… 11</w:t>
      </w:r>
    </w:p>
    <w:p w14:paraId="143A5224"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23AEABD5" w14:textId="1C6DDF09"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r w:rsidRPr="007F6B4C">
        <w:rPr>
          <w:rFonts w:ascii="Arial" w:hAnsi="Arial" w:cs="Arial"/>
          <w:b/>
          <w:bCs/>
          <w:sz w:val="32"/>
          <w:szCs w:val="32"/>
        </w:rPr>
        <w:t>References ……………………………………………………………… 12</w:t>
      </w:r>
    </w:p>
    <w:p w14:paraId="2BC677DB"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6CCCCADE"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294675E1"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1B52346F"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400F9742"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46F6A0F9"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1A81F516"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5DA44267"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2FB14EFA"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7EA683BD"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35E50B13"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5F8BE23E"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2612119A"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352E0DAF" w14:textId="77777777" w:rsidR="001E37E3" w:rsidRPr="007F6B4C"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1387FD6F" w14:textId="77777777" w:rsidR="007F6B4C" w:rsidRDefault="007F6B4C" w:rsidP="001E37E3">
      <w:pPr>
        <w:pBdr>
          <w:top w:val="single" w:sz="4" w:space="1" w:color="auto"/>
          <w:left w:val="single" w:sz="4" w:space="1" w:color="auto"/>
          <w:bottom w:val="single" w:sz="4" w:space="1" w:color="auto"/>
          <w:right w:val="single" w:sz="4" w:space="1" w:color="auto"/>
        </w:pBdr>
        <w:spacing w:after="22"/>
        <w:rPr>
          <w:rFonts w:ascii="Arial" w:hAnsi="Arial" w:cs="Arial"/>
          <w:b/>
          <w:bCs/>
          <w:sz w:val="32"/>
          <w:szCs w:val="32"/>
        </w:rPr>
      </w:pPr>
    </w:p>
    <w:p w14:paraId="1AB411D9" w14:textId="4A009604" w:rsidR="00356A37" w:rsidRPr="007F6B4C"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b/>
          <w:bCs/>
        </w:rPr>
      </w:pPr>
      <w:r w:rsidRPr="007F6B4C">
        <w:rPr>
          <w:rFonts w:ascii="Arial" w:hAnsi="Arial" w:cs="Arial"/>
          <w:b/>
          <w:bCs/>
        </w:rPr>
        <w:t>Abstract</w:t>
      </w:r>
    </w:p>
    <w:p w14:paraId="47851C37" w14:textId="667409AE" w:rsidR="00356A37"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This report examines the importance of person-centred care and partnership working within community care and explores how these approaches contribute to delivering safe, effective, and high-quality health and social care services. Person-centred care focuses on respecting individuals’ preferences, values, needs, and rights while promoting dignity, independence, and shared decision-making. Partnership working supports collaborative practice between health and social care professionals, family carers, voluntary organisations, and community services to ensure coordinated and holistic care. The report critically discusses McCormack and McCance’s Person-Centred Practice Framework and evaluates how it supports person-centred practice in community settings. It also examines key ethical principles, including autonomy, beneficence, non-maleficence, and justice, and analyses their role in professional decision-making. Furthermore, the report reviews relevant UK legislation, including the Care Act 2014, the Health and Care Act 2022, the Equality Act 2010, and the Human Rights Act 1998, highlighting their contribution to improving care quality and partnership working. The report concludes that effective community care depends on strong communication, multidisciplinary collaboration, skilled professionals, and active involvement of service users in decision-making. Continuous staff development, effective leadership, and integrated services are essential to achieving positive outcomes, improving quality of life, and delivering truly person-centred care.</w:t>
      </w:r>
    </w:p>
    <w:p w14:paraId="672D8D28" w14:textId="5898514E" w:rsidR="001A5C55"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b/>
          <w:bCs/>
          <w:sz w:val="22"/>
          <w:szCs w:val="22"/>
        </w:rPr>
        <w:t>Keywords:</w:t>
      </w:r>
      <w:r w:rsidRPr="001E37E3">
        <w:rPr>
          <w:rFonts w:ascii="Arial" w:hAnsi="Arial" w:cs="Arial"/>
          <w:sz w:val="22"/>
          <w:szCs w:val="22"/>
        </w:rPr>
        <w:t xml:space="preserve"> Person-centred care, partnership working, community care, ethics, integrated care, legislation.</w:t>
      </w:r>
    </w:p>
    <w:p w14:paraId="2E18D1E2" w14:textId="154E44F7" w:rsidR="00356A37"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Introduction</w:t>
      </w:r>
    </w:p>
    <w:p w14:paraId="59878C7A" w14:textId="76B88282" w:rsidR="00356A37"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Person-centred care (PCC) and partnership working (PW) are essential principles in health and social care, particularly within community care settings. Community care enables individuals to receive support in their own homes, promoting independence, dignity, wellbeing, and quality of life. Delivering effective community care requires collaboration between health and social care professionals, family carers, voluntary organisations, and other community services to meet individuals’ diverse needs (Health and Care Act, 2022).</w:t>
      </w:r>
    </w:p>
    <w:p w14:paraId="7444998F" w14:textId="76D62258" w:rsidR="00356A37"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t>Person-centred care places individuals at the centre of care by respecting their preferences, values, and choices, while partnership working ensures that professionals work together to provide coordinated and holistic support (McCormack and McCance, 2021). Together, these approaches improve communication, continuity of care, and health outcomes.</w:t>
      </w:r>
    </w:p>
    <w:p w14:paraId="2A73159B" w14:textId="7812D20E" w:rsidR="00356A37"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Person-Centred Care (PCC)</w:t>
      </w:r>
    </w:p>
    <w:p w14:paraId="461F5A34" w14:textId="3A4E4064" w:rsidR="00356A37"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 xml:space="preserve">Person-centred care (PCC) is an approach to health and social care that places the individual at the centre of all decisions regarding their care. It focuses on understanding each person’s values, preferences, needs, beliefs, and goals, ensuring that care is tailored to meet their individual circumstances rather than following a standardised approach. According to McCormack and McCance (2021), person-centred care promotes dignity, respect, choice, </w:t>
      </w:r>
      <w:r w:rsidRPr="001E37E3">
        <w:rPr>
          <w:rFonts w:ascii="Arial" w:hAnsi="Arial" w:cs="Arial"/>
          <w:sz w:val="22"/>
          <w:szCs w:val="22"/>
        </w:rPr>
        <w:lastRenderedPageBreak/>
        <w:t>independence, and shared decision-making by encouraging individuals to participate actively in planning and managing their care.</w:t>
      </w:r>
    </w:p>
    <w:p w14:paraId="5C43D347" w14:textId="6709168A" w:rsidR="00356A37"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Within community care, person-centred care enables individuals to receive support in their own homes while maintaining independence and control over their daily lives. Care professionals work collaboratively with service users, families, and other healthcare providers to develop personalised care plans that reflect each person’s physical, emotional, social, and cultural needs. This approach improves communication, builds trusting relationships, and enhances the overall quality of care (NICE, 2023).</w:t>
      </w:r>
    </w:p>
    <w:p w14:paraId="6093A8E7" w14:textId="33D65908" w:rsidR="00356A37"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It also promotes independence, improves emotional wellbeing, and contributes to better health outcomes by ensuring that care is tailored to individual needs. In community care, personalised support can reduce unnecessary hospital admissions and enable people to remain safely in their own homes for longer (SCIE, 2022).</w:t>
      </w:r>
    </w:p>
    <w:p w14:paraId="35EC4871" w14:textId="79C9C516" w:rsidR="00356A37"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Despite these benefits, implementing person-centred care can be challenging. Staff shortages, limited financial resources, increasing demand for community services, and time pressures may reduce opportunities for meaningful communication and shared decision-making. In addition, communication difficulties caused by dementia, learning disabilities, or language barriers can make it harder for professionals to understand an individual’s preferences. Therefore, successful implementation requires adequate staffing, effective leadership, ongoing professional training, and strong organisational support (Care Quality Commission, 2023).</w:t>
      </w:r>
    </w:p>
    <w:p w14:paraId="15F00A92" w14:textId="44A3F34A" w:rsidR="00356A37" w:rsidRPr="001E37E3" w:rsidRDefault="00356A37"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Overall, person-centred care is a fundamental principle of community care because it recognises every individual as unique and ensures that support is delivered in a respectful, personalised, and collaborative manner.</w:t>
      </w:r>
    </w:p>
    <w:p w14:paraId="03A278B0" w14:textId="59C57566" w:rsidR="00567476" w:rsidRPr="001E37E3" w:rsidRDefault="00567476"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Relevant Theories</w:t>
      </w:r>
    </w:p>
    <w:p w14:paraId="1BAA6346" w14:textId="0735A938" w:rsidR="00567476" w:rsidRPr="001E37E3" w:rsidRDefault="00567476"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Person-centred care (PCC) is supported by theories that promote respect, dignity and individualised care. Carl Rogers’ Humanistic Theory states that people should be treated with empathy, respect and unconditional positive regard (Rogers, 1961). This theory supports PCC by encouraging healthcare professionals to involve patients in decisions about their care and understand their personal values and preferences. For example, in domiciliary care, service users should be involved in decisions about their daily routines and care plans.</w:t>
      </w:r>
    </w:p>
    <w:p w14:paraId="490FED9C" w14:textId="30A970AF" w:rsidR="00567476" w:rsidRPr="001E37E3" w:rsidRDefault="00567476"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b/>
          <w:bCs/>
          <w:sz w:val="22"/>
          <w:szCs w:val="22"/>
        </w:rPr>
        <w:t>Analysis</w:t>
      </w:r>
      <w:r w:rsidRPr="001E37E3">
        <w:rPr>
          <w:rFonts w:ascii="Arial" w:hAnsi="Arial" w:cs="Arial"/>
          <w:sz w:val="22"/>
          <w:szCs w:val="22"/>
        </w:rPr>
        <w:t>: Rogers’ theory promotes trust, independence and shared decision-making, which improves patient satisfaction and quality of care (McCormack and McCance, 2021). However, staff shortages and limited time can make it difficult to provide fully personalised care in practice.</w:t>
      </w:r>
    </w:p>
    <w:p w14:paraId="4C598380" w14:textId="6F54AAE9" w:rsidR="00567476" w:rsidRPr="001E37E3" w:rsidRDefault="00567476"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Another important theory is Maslow’s Hierarchy of Needs, which explains that people have physical, emotional and social needs (Maslow, 1943). PCC reflects this theory by providing holistic care that addresses all aspects of a person’s wellbeing. For example, a domiciliary care worker may support medication, nutrition and personal hygiene while also encouraging emotional support and independence.</w:t>
      </w:r>
    </w:p>
    <w:p w14:paraId="7C646FD8" w14:textId="1E2D9579" w:rsidR="00567476" w:rsidRPr="001E37E3" w:rsidRDefault="00567476"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b/>
          <w:bCs/>
          <w:sz w:val="22"/>
          <w:szCs w:val="22"/>
        </w:rPr>
        <w:t>Analysis</w:t>
      </w:r>
      <w:r w:rsidRPr="001E37E3">
        <w:rPr>
          <w:rFonts w:ascii="Arial" w:hAnsi="Arial" w:cs="Arial"/>
          <w:sz w:val="22"/>
          <w:szCs w:val="22"/>
        </w:rPr>
        <w:t xml:space="preserve">: Maslow’s theory highlights the importance of treating the whole person rather than only the illness. However, not all individuals prioritise their needs in the same order, so healthcare professionals should </w:t>
      </w:r>
      <w:proofErr w:type="gramStart"/>
      <w:r w:rsidRPr="001E37E3">
        <w:rPr>
          <w:rFonts w:ascii="Arial" w:hAnsi="Arial" w:cs="Arial"/>
          <w:sz w:val="22"/>
          <w:szCs w:val="22"/>
        </w:rPr>
        <w:t>adapt care according</w:t>
      </w:r>
      <w:proofErr w:type="gramEnd"/>
      <w:r w:rsidRPr="001E37E3">
        <w:rPr>
          <w:rFonts w:ascii="Arial" w:hAnsi="Arial" w:cs="Arial"/>
          <w:sz w:val="22"/>
          <w:szCs w:val="22"/>
        </w:rPr>
        <w:t xml:space="preserve"> to each person’s circumstances instead of following the hierarchy rigidly (McCormack and McCance, 2021).</w:t>
      </w:r>
    </w:p>
    <w:p w14:paraId="17E63C88" w14:textId="6843C8DB" w:rsidR="003D443F" w:rsidRPr="001E37E3" w:rsidRDefault="003D443F"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Ethical Fundamentals</w:t>
      </w:r>
    </w:p>
    <w:p w14:paraId="10889252" w14:textId="601AE1E6" w:rsidR="003D443F" w:rsidRPr="001E37E3" w:rsidRDefault="003D443F"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lastRenderedPageBreak/>
        <w:t>Ethical principles are the foundation of professional practice in health and social care. They help professionals make appropriate decisions while protecting the rights, dignity, safety, and wellbeing of the Person We Support (PW). These principles also promote Person-Centred Care (PCC), where care is planned according to the individual’s preferences, values, and needs.</w:t>
      </w:r>
    </w:p>
    <w:p w14:paraId="56E80227" w14:textId="412268CA" w:rsidR="003D443F" w:rsidRPr="001E37E3" w:rsidRDefault="003D443F"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Autonomy</w:t>
      </w:r>
    </w:p>
    <w:p w14:paraId="3AF899A0" w14:textId="62621400" w:rsidR="003D443F" w:rsidRPr="001E37E3" w:rsidRDefault="003D443F"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Autonomy refers to an individual’s right to make informed decisions about their own care and treatment. In health and social care, professionals must respect a person’s choices, provided they have the mental capacity to make decisions.</w:t>
      </w:r>
    </w:p>
    <w:p w14:paraId="23593896" w14:textId="6E2A4FC9" w:rsidR="003D443F" w:rsidRPr="001E37E3" w:rsidRDefault="003D443F"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Autonomy is closely linked to Person-Centred Care (PCC) because it allows the Person We Support (PW) to participate actively in planning and making decisions about their care. Respecting personal choices promotes dignity, independence, and self-confidence.</w:t>
      </w:r>
    </w:p>
    <w:p w14:paraId="0B238161" w14:textId="0D553D8A" w:rsidR="00022145"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Beneficence</w:t>
      </w:r>
    </w:p>
    <w:p w14:paraId="3334D19A" w14:textId="1A26A1B0" w:rsidR="00022145"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Beneficence means acting in the best interests of the individual by promoting their health, wellbeing, and quality of life. Health and social care professionals should always provide care that benefits the person.</w:t>
      </w:r>
    </w:p>
    <w:p w14:paraId="7863CD32" w14:textId="7587F3AE" w:rsidR="00022145"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 xml:space="preserve">This principle supports PCC because care is based on </w:t>
      </w:r>
      <w:proofErr w:type="gramStart"/>
      <w:r w:rsidRPr="001E37E3">
        <w:rPr>
          <w:rFonts w:ascii="Arial" w:hAnsi="Arial" w:cs="Arial"/>
          <w:sz w:val="22"/>
          <w:szCs w:val="22"/>
        </w:rPr>
        <w:t>the PW’s</w:t>
      </w:r>
      <w:proofErr w:type="gramEnd"/>
      <w:r w:rsidRPr="001E37E3">
        <w:rPr>
          <w:rFonts w:ascii="Arial" w:hAnsi="Arial" w:cs="Arial"/>
          <w:sz w:val="22"/>
          <w:szCs w:val="22"/>
        </w:rPr>
        <w:t xml:space="preserve"> individual needs, goals, and preferences rather than a standard approach.</w:t>
      </w:r>
    </w:p>
    <w:p w14:paraId="22A56908" w14:textId="7B9C4F19" w:rsidR="00022145"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Non-maleficence</w:t>
      </w:r>
    </w:p>
    <w:p w14:paraId="6EA7C6AD" w14:textId="74267EDB" w:rsidR="003D443F"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 xml:space="preserve">Non-maleficence means avoiding harm and protecting individuals from injury, neglect, or unsafe practice. Professionals should always provide safe, effective, and evidence-based care. </w:t>
      </w:r>
      <w:proofErr w:type="gramStart"/>
      <w:r w:rsidRPr="001E37E3">
        <w:rPr>
          <w:rFonts w:ascii="Arial" w:hAnsi="Arial" w:cs="Arial"/>
          <w:sz w:val="22"/>
          <w:szCs w:val="22"/>
        </w:rPr>
        <w:t>Within  PCC</w:t>
      </w:r>
      <w:proofErr w:type="gramEnd"/>
      <w:r w:rsidRPr="001E37E3">
        <w:rPr>
          <w:rFonts w:ascii="Arial" w:hAnsi="Arial" w:cs="Arial"/>
          <w:sz w:val="22"/>
          <w:szCs w:val="22"/>
        </w:rPr>
        <w:t>, this principle ensures that the PW receives care that minimises risks while maintaining their dignity and independence.</w:t>
      </w:r>
    </w:p>
    <w:p w14:paraId="00473EC7" w14:textId="39860DB6" w:rsidR="00022145"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Justice</w:t>
      </w:r>
    </w:p>
    <w:p w14:paraId="4C885A8B" w14:textId="3FD97BF7" w:rsidR="00022145"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 xml:space="preserve">Justice means treating every individual fairly, equally, and without discrimination regardless of age, gender, ethnicity, religion, disability, or social background. Everyone should have equal access to health and social care </w:t>
      </w:r>
      <w:proofErr w:type="gramStart"/>
      <w:r w:rsidRPr="001E37E3">
        <w:rPr>
          <w:rFonts w:ascii="Arial" w:hAnsi="Arial" w:cs="Arial"/>
          <w:sz w:val="22"/>
          <w:szCs w:val="22"/>
        </w:rPr>
        <w:t>services.Justice</w:t>
      </w:r>
      <w:proofErr w:type="gramEnd"/>
      <w:r w:rsidRPr="001E37E3">
        <w:rPr>
          <w:rFonts w:ascii="Arial" w:hAnsi="Arial" w:cs="Arial"/>
          <w:sz w:val="22"/>
          <w:szCs w:val="22"/>
        </w:rPr>
        <w:t xml:space="preserve"> supports PCC by ensuring that every PW receives fair treatment based on their individual needs rather than personal bias or prejudice.</w:t>
      </w:r>
    </w:p>
    <w:p w14:paraId="03BC26F0" w14:textId="65C3C455" w:rsidR="00022145"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Ethical Dilemma, Practical Example and Resolution</w:t>
      </w:r>
    </w:p>
    <w:p w14:paraId="7B4BF10D" w14:textId="48AB53E7" w:rsidR="00022145"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 xml:space="preserve">A practical example of an ethical dilemma is when a Person We Support (PW) with diabetes chooses to eat sugary foods despite medical advice. This creates a conflict between autonomy, which respects the person’s right to make their own decisions, and beneficence and non-maleficence, which require healthcare professionals to promote wellbeing and prevent harm. The care worker should explain the potential health risks, encourage healthier alternatives, and respect the person’s decision if they have the mental capacity to choose. The discussion should be documented, and concerns shared with the multidisciplinary team </w:t>
      </w:r>
      <w:proofErr w:type="gramStart"/>
      <w:r w:rsidRPr="001E37E3">
        <w:rPr>
          <w:rFonts w:ascii="Arial" w:hAnsi="Arial" w:cs="Arial"/>
          <w:sz w:val="22"/>
          <w:szCs w:val="22"/>
        </w:rPr>
        <w:t>if</w:t>
      </w:r>
      <w:proofErr w:type="gramEnd"/>
      <w:r w:rsidRPr="001E37E3">
        <w:rPr>
          <w:rFonts w:ascii="Arial" w:hAnsi="Arial" w:cs="Arial"/>
          <w:sz w:val="22"/>
          <w:szCs w:val="22"/>
        </w:rPr>
        <w:t xml:space="preserve"> additional support is required. This approach supports Person-Centred Care (PCC) by balancing the person’s rights with their safety and wellbeing.</w:t>
      </w:r>
    </w:p>
    <w:p w14:paraId="2BC7FE7C" w14:textId="23A631C0" w:rsidR="00022145"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Different Viewpoints</w:t>
      </w:r>
    </w:p>
    <w:p w14:paraId="5067AD16" w14:textId="327A94AB" w:rsidR="00022145" w:rsidRPr="001E37E3" w:rsidRDefault="00022145"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In this situation, the Person We Support (PW) may value personal choice and independence, while family members may prioritise the person’s safety. Healthcare professionals focus on preventing harm and promoting wellbeing through evidence-based care. Considering these different viewpoints helps professionals make balanced decisions while maintaining Person-Centred Care (PCC).</w:t>
      </w:r>
    </w:p>
    <w:p w14:paraId="1D9FF330" w14:textId="027DE953"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lastRenderedPageBreak/>
        <w:t>Evaluation of Partnership Working</w:t>
      </w:r>
    </w:p>
    <w:p w14:paraId="0CA011C7" w14:textId="336CC795"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Partnership Working (PW) is when health and social care professionals, organisations, service users, and their families work together to provide safe, effective, and person-centred care. It improves communication, shared decision-making, and the quality of care. An example is the Integrated Care System (ICS), where the NHS, local authorities, and social care providers work together to meet people’s health and social care needs.</w:t>
      </w:r>
    </w:p>
    <w:p w14:paraId="0D4A701D" w14:textId="6F315BF8"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Benefits of Partnership Working</w:t>
      </w:r>
    </w:p>
    <w:p w14:paraId="7BBBC932" w14:textId="77777777"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 xml:space="preserve">Partnership </w:t>
      </w:r>
      <w:proofErr w:type="gramStart"/>
      <w:r w:rsidRPr="001E37E3">
        <w:rPr>
          <w:rFonts w:ascii="Arial" w:hAnsi="Arial" w:cs="Arial"/>
          <w:sz w:val="22"/>
          <w:szCs w:val="22"/>
        </w:rPr>
        <w:t>working</w:t>
      </w:r>
      <w:proofErr w:type="gramEnd"/>
      <w:r w:rsidRPr="001E37E3">
        <w:rPr>
          <w:rFonts w:ascii="Arial" w:hAnsi="Arial" w:cs="Arial"/>
          <w:sz w:val="22"/>
          <w:szCs w:val="22"/>
        </w:rPr>
        <w:t xml:space="preserve"> improves service delivery by promoting teamwork and better communication between professionals. It supports person-centred care, reduces duplication of services, and improves patient outcomes through coordinated care and timely interventions.</w:t>
      </w:r>
    </w:p>
    <w:p w14:paraId="4AB02329" w14:textId="53A23CD1"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Challenges of Partnership Working</w:t>
      </w:r>
    </w:p>
    <w:p w14:paraId="1072419D" w14:textId="1204045B"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Partnership working can face challenges such as poor communication, coordination issues, and differences in organisational policies. Information sharing may also be limited by confidentiality and data protection requirements, which can delay decision-making and affect continuity of care.</w:t>
      </w:r>
    </w:p>
    <w:p w14:paraId="1E0FC64D" w14:textId="3F27D626"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Impact on Health and Social Care Services</w:t>
      </w:r>
    </w:p>
    <w:p w14:paraId="0A1C97D1" w14:textId="764F4765"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 xml:space="preserve">Partnership working improves </w:t>
      </w:r>
      <w:proofErr w:type="gramStart"/>
      <w:r w:rsidRPr="001E37E3">
        <w:rPr>
          <w:rFonts w:ascii="Arial" w:hAnsi="Arial" w:cs="Arial"/>
          <w:sz w:val="22"/>
          <w:szCs w:val="22"/>
        </w:rPr>
        <w:t>the quality</w:t>
      </w:r>
      <w:proofErr w:type="gramEnd"/>
      <w:r w:rsidRPr="001E37E3">
        <w:rPr>
          <w:rFonts w:ascii="Arial" w:hAnsi="Arial" w:cs="Arial"/>
          <w:sz w:val="22"/>
          <w:szCs w:val="22"/>
        </w:rPr>
        <w:t>, safety, and continuity of care. It enables professionals to make informed decisions, respond to individuals’ needs more effectively, and achieve better health outcomes while using resources efficiently.</w:t>
      </w:r>
    </w:p>
    <w:p w14:paraId="394F6F5F" w14:textId="5A72D47E"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Practical Setting</w:t>
      </w:r>
    </w:p>
    <w:p w14:paraId="70160163" w14:textId="34BF1F4D"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 xml:space="preserve">In my domiciliary care setting, partnership working is essential. If I notice that </w:t>
      </w:r>
      <w:proofErr w:type="gramStart"/>
      <w:r w:rsidRPr="001E37E3">
        <w:rPr>
          <w:rFonts w:ascii="Arial" w:hAnsi="Arial" w:cs="Arial"/>
          <w:sz w:val="22"/>
          <w:szCs w:val="22"/>
        </w:rPr>
        <w:t>a service</w:t>
      </w:r>
      <w:proofErr w:type="gramEnd"/>
      <w:r w:rsidRPr="001E37E3">
        <w:rPr>
          <w:rFonts w:ascii="Arial" w:hAnsi="Arial" w:cs="Arial"/>
          <w:sz w:val="22"/>
          <w:szCs w:val="22"/>
        </w:rPr>
        <w:t xml:space="preserve"> user’s mobility has declined, I report this to my senior, who works with the GP, physiotherapist, and occupational therapist. Together, they review the care plan and arrange appropriate support. This collaborative approach improves the person’s safety, independence, and wellbeing.</w:t>
      </w:r>
    </w:p>
    <w:p w14:paraId="154B268C" w14:textId="2320ACCF" w:rsidR="00BE5E94"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Evaluation</w:t>
      </w:r>
    </w:p>
    <w:p w14:paraId="60CE64D8" w14:textId="7F127776" w:rsidR="00022145" w:rsidRPr="001E37E3" w:rsidRDefault="00BE5E94"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Although partnership working can be affected by communication and coordination challenges, its benefits outweigh the limitations. Considering the views of the service user, family members, and healthcare professionals helps ensure balanced decisions and high-quality, person-centred care.</w:t>
      </w:r>
    </w:p>
    <w:p w14:paraId="6E575F09" w14:textId="77777777" w:rsidR="001E37E3" w:rsidRPr="001E37E3" w:rsidRDefault="00B97B5B"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Policy and Legislation</w:t>
      </w:r>
      <w:r w:rsidR="001E37E3" w:rsidRPr="001E37E3">
        <w:rPr>
          <w:rFonts w:ascii="Arial" w:hAnsi="Arial" w:cs="Arial"/>
          <w:b/>
          <w:bCs/>
          <w:sz w:val="22"/>
          <w:szCs w:val="22"/>
        </w:rPr>
        <w:t xml:space="preserve"> </w:t>
      </w:r>
    </w:p>
    <w:p w14:paraId="4A07E371" w14:textId="11290953" w:rsidR="00B97B5B" w:rsidRPr="001E37E3" w:rsidRDefault="00B97B5B"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sz w:val="22"/>
          <w:szCs w:val="22"/>
        </w:rPr>
        <w:t>Policies and legislation provide a legal and professional framework for health and social care practice. They ensure that individuals receive safe, effective, and person-centred care while protecting their rights and promoting partnership working between professionals.</w:t>
      </w:r>
    </w:p>
    <w:p w14:paraId="468EFA08" w14:textId="0C5B6751" w:rsidR="00B97B5B" w:rsidRPr="001E37E3" w:rsidRDefault="00B97B5B"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p>
    <w:p w14:paraId="025E3A5A" w14:textId="28E5CAB7" w:rsidR="00B97B5B" w:rsidRPr="001E37E3" w:rsidRDefault="00B97B5B"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 xml:space="preserve">Policies and legislation provide a legal framework for safe, effective, and person-centred care (PCC) while supporting partnership working (PW). The Health and Care Act 2022 </w:t>
      </w:r>
      <w:proofErr w:type="gramStart"/>
      <w:r w:rsidRPr="001E37E3">
        <w:rPr>
          <w:rFonts w:ascii="Arial" w:hAnsi="Arial" w:cs="Arial"/>
          <w:sz w:val="22"/>
          <w:szCs w:val="22"/>
        </w:rPr>
        <w:t>promotes</w:t>
      </w:r>
      <w:proofErr w:type="gramEnd"/>
      <w:r w:rsidRPr="001E37E3">
        <w:rPr>
          <w:rFonts w:ascii="Arial" w:hAnsi="Arial" w:cs="Arial"/>
          <w:sz w:val="22"/>
          <w:szCs w:val="22"/>
        </w:rPr>
        <w:t xml:space="preserve"> collaboration through Integrated Care Systems (ICS). The Care Act 2014 promotes wellbeing, independence, and safeguarding. The Human Rights Act 1998 protects dignity and privacy, while the Equality Act 2010 ensures equal treatment without discrimination.</w:t>
      </w:r>
    </w:p>
    <w:p w14:paraId="0A535A5A" w14:textId="2CFE531D" w:rsidR="00B97B5B" w:rsidRPr="001E37E3" w:rsidRDefault="00B97B5B"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These laws support PCC by protecting individuals’ rights and promoting choice and independence. They support PW by encouraging professionals to work together. However, communication problems, staff shortages, and limited resources can reduce their effectiveness.</w:t>
      </w:r>
    </w:p>
    <w:p w14:paraId="20C5CD3B" w14:textId="33C752B5" w:rsidR="00B97B5B" w:rsidRPr="001E37E3" w:rsidRDefault="00B97B5B"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lastRenderedPageBreak/>
        <w:t xml:space="preserve">In my domiciliary care setting, these laws guide daily practice. For example, I obtain consent before providing personal care, </w:t>
      </w:r>
      <w:proofErr w:type="gramStart"/>
      <w:r w:rsidRPr="001E37E3">
        <w:rPr>
          <w:rFonts w:ascii="Arial" w:hAnsi="Arial" w:cs="Arial"/>
          <w:sz w:val="22"/>
          <w:szCs w:val="22"/>
        </w:rPr>
        <w:t>maintain</w:t>
      </w:r>
      <w:proofErr w:type="gramEnd"/>
      <w:r w:rsidRPr="001E37E3">
        <w:rPr>
          <w:rFonts w:ascii="Arial" w:hAnsi="Arial" w:cs="Arial"/>
          <w:sz w:val="22"/>
          <w:szCs w:val="22"/>
        </w:rPr>
        <w:t xml:space="preserve"> privacy, </w:t>
      </w:r>
      <w:proofErr w:type="gramStart"/>
      <w:r w:rsidRPr="001E37E3">
        <w:rPr>
          <w:rFonts w:ascii="Arial" w:hAnsi="Arial" w:cs="Arial"/>
          <w:sz w:val="22"/>
          <w:szCs w:val="22"/>
        </w:rPr>
        <w:t>treat</w:t>
      </w:r>
      <w:proofErr w:type="gramEnd"/>
      <w:r w:rsidRPr="001E37E3">
        <w:rPr>
          <w:rFonts w:ascii="Arial" w:hAnsi="Arial" w:cs="Arial"/>
          <w:sz w:val="22"/>
          <w:szCs w:val="22"/>
        </w:rPr>
        <w:t xml:space="preserve"> every service user equally, and </w:t>
      </w:r>
      <w:proofErr w:type="gramStart"/>
      <w:r w:rsidRPr="001E37E3">
        <w:rPr>
          <w:rFonts w:ascii="Arial" w:hAnsi="Arial" w:cs="Arial"/>
          <w:sz w:val="22"/>
          <w:szCs w:val="22"/>
        </w:rPr>
        <w:t>report</w:t>
      </w:r>
      <w:proofErr w:type="gramEnd"/>
      <w:r w:rsidRPr="001E37E3">
        <w:rPr>
          <w:rFonts w:ascii="Arial" w:hAnsi="Arial" w:cs="Arial"/>
          <w:sz w:val="22"/>
          <w:szCs w:val="22"/>
        </w:rPr>
        <w:t xml:space="preserve"> any changes in health to my senior so appropriate professionals can be informed. This demonstrates the Care Act 2014, Human Rights Act 1998, Equality Act 2010, and effective partnership working.</w:t>
      </w:r>
    </w:p>
    <w:p w14:paraId="66E5E7A7" w14:textId="5F5F0183" w:rsidR="00022145" w:rsidRPr="001E37E3" w:rsidRDefault="00B97B5B"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Although these policies improve care quality, better communication, regular staff training, and stronger information sharing would further improve PCC and PW and lead to better outcomes for service users.</w:t>
      </w:r>
    </w:p>
    <w:p w14:paraId="5D60FA38" w14:textId="77777777"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Recommendations</w:t>
      </w:r>
    </w:p>
    <w:p w14:paraId="6A30B488" w14:textId="3038315B" w:rsidR="001E37E3" w:rsidRPr="001E37E3" w:rsidRDefault="001E37E3"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Based on the research “Medical Team Meetings: Utilising Technology to Enhance Communication, Collaboration and Decision-Making,” health and social care organisations should improve digital communication and regular MDT meetings to strengthen partnership working. In domiciliary care, this would improve information sharing and person-centred care. Although staff training and technology costs may be barriers, investing in these areas would improve service user outcomes.</w:t>
      </w:r>
    </w:p>
    <w:p w14:paraId="684008B0" w14:textId="67F3E894"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Conclusion</w:t>
      </w:r>
    </w:p>
    <w:p w14:paraId="36958FB1" w14:textId="7B9A4271"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In conclusion, Person-Centred Care (PCC) and Partnership Working (PW) are essential for delivering safe, effective, and high-quality health and social care. Ethical principles, partnership working, and relevant legislation help protect individuals’ rights, promote independence, and improve wellbeing. Although challenges such as communication barriers and limited resources remain, strengthening collaboration, staff training, and digital communication can improve service delivery and achieve better outcomes for service users.</w:t>
      </w:r>
    </w:p>
    <w:p w14:paraId="64098F17" w14:textId="37C81589"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b/>
          <w:bCs/>
          <w:sz w:val="22"/>
          <w:szCs w:val="22"/>
        </w:rPr>
      </w:pPr>
      <w:r w:rsidRPr="001E37E3">
        <w:rPr>
          <w:rFonts w:ascii="Arial" w:hAnsi="Arial" w:cs="Arial"/>
          <w:b/>
          <w:bCs/>
          <w:sz w:val="22"/>
          <w:szCs w:val="22"/>
        </w:rPr>
        <w:t xml:space="preserve">References </w:t>
      </w:r>
    </w:p>
    <w:p w14:paraId="2AC02045" w14:textId="11EF08D5"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Bhattacharyya, K.K., Morgan, J.C. and Burgess, E.O. (2022) Person-Centered Care in Nursing Homes: Potential of Complementary and Alternative Approaches and Their Challenges. SAGE Journals.</w:t>
      </w:r>
    </w:p>
    <w:p w14:paraId="2C2106DC" w14:textId="1A32819D"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Care Quality Commission (2023) Guidance for providers on person-centred care. Available at: https://www.cqc.org.uk</w:t>
      </w:r>
    </w:p>
    <w:p w14:paraId="47B25EB6" w14:textId="1EA31A49"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Department of Health (2012) Health and Social Care Act 2012. London: HMSO.</w:t>
      </w:r>
    </w:p>
    <w:p w14:paraId="0B65E772" w14:textId="72342979"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Department of Health and Social Care (2014) Care Act 2014. London: HMSO.</w:t>
      </w:r>
    </w:p>
    <w:p w14:paraId="67552DF9" w14:textId="562807AF"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Department of Health and Social Care (2022) Health and Care Act 2022. London: HMSO.</w:t>
      </w:r>
    </w:p>
    <w:p w14:paraId="099D7EA2" w14:textId="58BBA0CF"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Equality Act 2010. London: The Stationery Office.</w:t>
      </w:r>
    </w:p>
    <w:p w14:paraId="49B6C3A9" w14:textId="3115160B"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General Medical Council (2024) Good Medical Practice. Available at: https://www.gmc-uk.org</w:t>
      </w:r>
    </w:p>
    <w:p w14:paraId="6F6B7435" w14:textId="10FB6C9B"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Health Education England (2019) Person-Centred Approaches Framework. Available at: https://www.hee.nhs.uk</w:t>
      </w:r>
    </w:p>
    <w:p w14:paraId="658E28C5" w14:textId="18822A29"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Human Rights Act 1998. London: The Stationery Office.</w:t>
      </w:r>
    </w:p>
    <w:p w14:paraId="51663167" w14:textId="5498350B"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National Institute for Health and Care Excellence (2023) People’s experience in adult social care. Available at: https://www.nice.org.uk</w:t>
      </w:r>
    </w:p>
    <w:p w14:paraId="115A96A0" w14:textId="6E37D224"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NHS England (2024) Integrated Care Systems. Available at: https://www.england.nhs.uk</w:t>
      </w:r>
    </w:p>
    <w:p w14:paraId="56A60639" w14:textId="6E85A58A"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Nursing and Midwifery Council (2018) The Code: Professional standards of practice and behaviour for nurses, midwives and nursing associates. London: NMC.</w:t>
      </w:r>
    </w:p>
    <w:p w14:paraId="37CF0542" w14:textId="182C7FB8"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lastRenderedPageBreak/>
        <w:t>West, D., et al. (2021) Medical team meetings: Utilising technology to enhance communication, collaboration and decision-making. Taylor &amp; Francis.</w:t>
      </w:r>
    </w:p>
    <w:p w14:paraId="3611D597" w14:textId="7E2C6E90"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World Health Organization (2021) Global Strategy on Integrated People-Centred Health Services. Geneva: WHO.</w:t>
      </w:r>
    </w:p>
    <w:p w14:paraId="7396B4A2" w14:textId="653BCE95" w:rsidR="005972C9" w:rsidRPr="001E37E3" w:rsidRDefault="005972C9" w:rsidP="001E37E3">
      <w:pPr>
        <w:pBdr>
          <w:top w:val="single" w:sz="4" w:space="1" w:color="auto"/>
          <w:left w:val="single" w:sz="4" w:space="1" w:color="auto"/>
          <w:bottom w:val="single" w:sz="4" w:space="1" w:color="auto"/>
          <w:right w:val="single" w:sz="4" w:space="1" w:color="auto"/>
        </w:pBdr>
        <w:spacing w:after="22"/>
        <w:rPr>
          <w:rFonts w:ascii="Arial" w:hAnsi="Arial" w:cs="Arial"/>
          <w:sz w:val="22"/>
          <w:szCs w:val="22"/>
        </w:rPr>
      </w:pPr>
      <w:r w:rsidRPr="001E37E3">
        <w:rPr>
          <w:rFonts w:ascii="Arial" w:hAnsi="Arial" w:cs="Arial"/>
          <w:sz w:val="22"/>
          <w:szCs w:val="22"/>
        </w:rPr>
        <w:t>World Health Organization (2024) Quality health services. Available at: https://www.who.int</w:t>
      </w:r>
    </w:p>
    <w:sectPr w:rsidR="005972C9" w:rsidRPr="001E37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A37"/>
    <w:rsid w:val="00022145"/>
    <w:rsid w:val="001A5C55"/>
    <w:rsid w:val="001B37C9"/>
    <w:rsid w:val="001E37E3"/>
    <w:rsid w:val="00321307"/>
    <w:rsid w:val="00356A37"/>
    <w:rsid w:val="003671C4"/>
    <w:rsid w:val="003B12A3"/>
    <w:rsid w:val="003D443F"/>
    <w:rsid w:val="00407F3E"/>
    <w:rsid w:val="00567476"/>
    <w:rsid w:val="005972C9"/>
    <w:rsid w:val="007F6B4C"/>
    <w:rsid w:val="00B62BA9"/>
    <w:rsid w:val="00B97B5B"/>
    <w:rsid w:val="00BE5E94"/>
    <w:rsid w:val="00C06E1A"/>
    <w:rsid w:val="00DD3616"/>
    <w:rsid w:val="00FC26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A8679"/>
  <w15:chartTrackingRefBased/>
  <w15:docId w15:val="{395520ED-BE34-4C03-A00B-C75DD8BE6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A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6A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A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A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A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A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A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A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A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A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6A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A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A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A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A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A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A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A37"/>
    <w:rPr>
      <w:rFonts w:eastAsiaTheme="majorEastAsia" w:cstheme="majorBidi"/>
      <w:color w:val="272727" w:themeColor="text1" w:themeTint="D8"/>
    </w:rPr>
  </w:style>
  <w:style w:type="paragraph" w:styleId="Title">
    <w:name w:val="Title"/>
    <w:basedOn w:val="Normal"/>
    <w:next w:val="Normal"/>
    <w:link w:val="TitleChar"/>
    <w:uiPriority w:val="10"/>
    <w:qFormat/>
    <w:rsid w:val="00356A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A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A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A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A37"/>
    <w:pPr>
      <w:spacing w:before="160"/>
      <w:jc w:val="center"/>
    </w:pPr>
    <w:rPr>
      <w:i/>
      <w:iCs/>
      <w:color w:val="404040" w:themeColor="text1" w:themeTint="BF"/>
    </w:rPr>
  </w:style>
  <w:style w:type="character" w:customStyle="1" w:styleId="QuoteChar">
    <w:name w:val="Quote Char"/>
    <w:basedOn w:val="DefaultParagraphFont"/>
    <w:link w:val="Quote"/>
    <w:uiPriority w:val="29"/>
    <w:rsid w:val="00356A37"/>
    <w:rPr>
      <w:i/>
      <w:iCs/>
      <w:color w:val="404040" w:themeColor="text1" w:themeTint="BF"/>
    </w:rPr>
  </w:style>
  <w:style w:type="paragraph" w:styleId="ListParagraph">
    <w:name w:val="List Paragraph"/>
    <w:basedOn w:val="Normal"/>
    <w:uiPriority w:val="34"/>
    <w:qFormat/>
    <w:rsid w:val="00356A37"/>
    <w:pPr>
      <w:ind w:left="720"/>
      <w:contextualSpacing/>
    </w:pPr>
  </w:style>
  <w:style w:type="character" w:styleId="IntenseEmphasis">
    <w:name w:val="Intense Emphasis"/>
    <w:basedOn w:val="DefaultParagraphFont"/>
    <w:uiPriority w:val="21"/>
    <w:qFormat/>
    <w:rsid w:val="00356A37"/>
    <w:rPr>
      <w:i/>
      <w:iCs/>
      <w:color w:val="0F4761" w:themeColor="accent1" w:themeShade="BF"/>
    </w:rPr>
  </w:style>
  <w:style w:type="paragraph" w:styleId="IntenseQuote">
    <w:name w:val="Intense Quote"/>
    <w:basedOn w:val="Normal"/>
    <w:next w:val="Normal"/>
    <w:link w:val="IntenseQuoteChar"/>
    <w:uiPriority w:val="30"/>
    <w:qFormat/>
    <w:rsid w:val="00356A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A37"/>
    <w:rPr>
      <w:i/>
      <w:iCs/>
      <w:color w:val="0F4761" w:themeColor="accent1" w:themeShade="BF"/>
    </w:rPr>
  </w:style>
  <w:style w:type="character" w:styleId="IntenseReference">
    <w:name w:val="Intense Reference"/>
    <w:basedOn w:val="DefaultParagraphFont"/>
    <w:uiPriority w:val="32"/>
    <w:qFormat/>
    <w:rsid w:val="00356A37"/>
    <w:rPr>
      <w:b/>
      <w:bCs/>
      <w:smallCaps/>
      <w:color w:val="0F4761" w:themeColor="accent1" w:themeShade="BF"/>
      <w:spacing w:val="5"/>
    </w:rPr>
  </w:style>
  <w:style w:type="paragraph" w:styleId="TOCHeading">
    <w:name w:val="TOC Heading"/>
    <w:basedOn w:val="Heading1"/>
    <w:next w:val="Normal"/>
    <w:uiPriority w:val="39"/>
    <w:unhideWhenUsed/>
    <w:qFormat/>
    <w:rsid w:val="001E37E3"/>
    <w:pPr>
      <w:spacing w:before="240" w:after="0" w:line="259" w:lineRule="auto"/>
      <w:outlineLvl w:val="9"/>
    </w:pPr>
    <w:rPr>
      <w:kern w:val="0"/>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95E8B0-EDBE-483F-AF61-B8AAD09A2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2625</Words>
  <Characters>14965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nouman shahpal</dc:creator>
  <cp:keywords/>
  <dc:description/>
  <cp:lastModifiedBy>nouman shahpal</cp:lastModifiedBy>
  <cp:revision>3</cp:revision>
  <dcterms:created xsi:type="dcterms:W3CDTF">2026-07-24T19:19:00Z</dcterms:created>
  <dcterms:modified xsi:type="dcterms:W3CDTF">2026-07-24T19:30:00Z</dcterms:modified>
</cp:coreProperties>
</file>