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19C81" w14:textId="77777777" w:rsidR="006D174E" w:rsidRDefault="006D174E" w:rsidP="006D174E">
      <w:pPr>
        <w:jc w:val="center"/>
        <w:rPr>
          <w:rStyle w:val="Strong"/>
          <w:rFonts w:ascii="Times New Roman" w:hAnsi="Times New Roman" w:cs="Times New Roman"/>
          <w:b w:val="0"/>
          <w:bCs w:val="0"/>
          <w:sz w:val="24"/>
          <w:szCs w:val="24"/>
        </w:rPr>
      </w:pPr>
      <w:r w:rsidRPr="006D174E">
        <w:rPr>
          <w:rStyle w:val="Strong"/>
          <w:rFonts w:ascii="Times New Roman" w:hAnsi="Times New Roman" w:cs="Times New Roman"/>
          <w:b w:val="0"/>
          <w:bCs w:val="0"/>
          <w:sz w:val="24"/>
          <w:szCs w:val="24"/>
        </w:rPr>
        <w:t>LCMB7002 – Financial Management</w:t>
      </w:r>
    </w:p>
    <w:p w14:paraId="657AA245" w14:textId="77777777" w:rsidR="00523CBD" w:rsidRPr="006D174E" w:rsidRDefault="00523CBD" w:rsidP="006D174E">
      <w:pPr>
        <w:jc w:val="center"/>
        <w:rPr>
          <w:rFonts w:ascii="Times New Roman" w:hAnsi="Times New Roman" w:cs="Times New Roman"/>
          <w:sz w:val="24"/>
          <w:szCs w:val="24"/>
        </w:rPr>
      </w:pPr>
    </w:p>
    <w:p w14:paraId="41B32CD5" w14:textId="5B8D52CD" w:rsidR="006D174E" w:rsidRPr="006D174E" w:rsidRDefault="006D174E" w:rsidP="00523CBD">
      <w:pPr>
        <w:rPr>
          <w:rFonts w:ascii="Times New Roman" w:hAnsi="Times New Roman" w:cs="Times New Roman"/>
          <w:sz w:val="24"/>
          <w:szCs w:val="24"/>
        </w:rPr>
      </w:pPr>
    </w:p>
    <w:p w14:paraId="66D471D0" w14:textId="77777777" w:rsidR="00523CBD" w:rsidRDefault="006D174E" w:rsidP="006D174E">
      <w:pPr>
        <w:jc w:val="center"/>
        <w:rPr>
          <w:rFonts w:ascii="Times New Roman" w:hAnsi="Times New Roman" w:cs="Times New Roman"/>
          <w:sz w:val="24"/>
          <w:szCs w:val="24"/>
        </w:rPr>
      </w:pPr>
      <w:r w:rsidRPr="006D174E">
        <w:rPr>
          <w:rStyle w:val="Strong"/>
          <w:rFonts w:ascii="Times New Roman" w:hAnsi="Times New Roman" w:cs="Times New Roman"/>
          <w:sz w:val="24"/>
          <w:szCs w:val="24"/>
        </w:rPr>
        <w:t>Module Code:</w:t>
      </w:r>
      <w:r w:rsidRPr="006D174E">
        <w:rPr>
          <w:rFonts w:ascii="Times New Roman" w:hAnsi="Times New Roman" w:cs="Times New Roman"/>
          <w:sz w:val="24"/>
          <w:szCs w:val="24"/>
        </w:rPr>
        <w:t xml:space="preserve"> LCMB7002</w:t>
      </w:r>
    </w:p>
    <w:p w14:paraId="594EF5C1" w14:textId="77777777" w:rsidR="00523CBD" w:rsidRDefault="00523CBD" w:rsidP="006D174E">
      <w:pPr>
        <w:jc w:val="center"/>
        <w:rPr>
          <w:rFonts w:ascii="Times New Roman" w:hAnsi="Times New Roman" w:cs="Times New Roman"/>
          <w:sz w:val="24"/>
          <w:szCs w:val="24"/>
        </w:rPr>
      </w:pPr>
    </w:p>
    <w:p w14:paraId="11CBB635" w14:textId="047DBD51" w:rsidR="006D174E" w:rsidRDefault="006D174E" w:rsidP="006D174E">
      <w:pPr>
        <w:jc w:val="center"/>
        <w:rPr>
          <w:rFonts w:ascii="Times New Roman" w:hAnsi="Times New Roman" w:cs="Times New Roman"/>
          <w:sz w:val="24"/>
          <w:szCs w:val="24"/>
        </w:rPr>
      </w:pPr>
      <w:r w:rsidRPr="006D174E">
        <w:rPr>
          <w:rFonts w:ascii="Times New Roman" w:hAnsi="Times New Roman" w:cs="Times New Roman"/>
          <w:sz w:val="24"/>
          <w:szCs w:val="24"/>
        </w:rPr>
        <w:br/>
      </w:r>
      <w:r w:rsidRPr="006D174E">
        <w:rPr>
          <w:rStyle w:val="Strong"/>
          <w:rFonts w:ascii="Times New Roman" w:hAnsi="Times New Roman" w:cs="Times New Roman"/>
          <w:sz w:val="24"/>
          <w:szCs w:val="24"/>
        </w:rPr>
        <w:t>Module Name:</w:t>
      </w:r>
      <w:r w:rsidRPr="006D174E">
        <w:rPr>
          <w:rFonts w:ascii="Times New Roman" w:hAnsi="Times New Roman" w:cs="Times New Roman"/>
          <w:sz w:val="24"/>
          <w:szCs w:val="24"/>
        </w:rPr>
        <w:t xml:space="preserve"> Financial Management</w:t>
      </w:r>
    </w:p>
    <w:p w14:paraId="69BDC0CC" w14:textId="77777777" w:rsidR="00523CBD" w:rsidRDefault="00523CBD" w:rsidP="006D174E">
      <w:pPr>
        <w:jc w:val="center"/>
        <w:rPr>
          <w:rFonts w:ascii="Times New Roman" w:hAnsi="Times New Roman" w:cs="Times New Roman"/>
          <w:sz w:val="24"/>
          <w:szCs w:val="24"/>
        </w:rPr>
      </w:pPr>
    </w:p>
    <w:p w14:paraId="4D8B61C9" w14:textId="77777777" w:rsidR="00523CBD" w:rsidRPr="006D174E" w:rsidRDefault="00523CBD" w:rsidP="006D174E">
      <w:pPr>
        <w:jc w:val="center"/>
        <w:rPr>
          <w:rFonts w:ascii="Times New Roman" w:hAnsi="Times New Roman" w:cs="Times New Roman"/>
          <w:sz w:val="24"/>
          <w:szCs w:val="24"/>
        </w:rPr>
      </w:pPr>
    </w:p>
    <w:p w14:paraId="059168F9" w14:textId="77777777" w:rsidR="00523CBD" w:rsidRDefault="006D174E" w:rsidP="00523CBD">
      <w:pPr>
        <w:jc w:val="center"/>
        <w:rPr>
          <w:rFonts w:ascii="Times New Roman" w:hAnsi="Times New Roman" w:cs="Times New Roman"/>
          <w:sz w:val="24"/>
          <w:szCs w:val="24"/>
        </w:rPr>
      </w:pPr>
      <w:r w:rsidRPr="006D174E">
        <w:rPr>
          <w:rStyle w:val="Strong"/>
          <w:rFonts w:ascii="Times New Roman" w:hAnsi="Times New Roman" w:cs="Times New Roman"/>
          <w:sz w:val="24"/>
          <w:szCs w:val="24"/>
        </w:rPr>
        <w:t>Student Name:</w:t>
      </w:r>
      <w:r w:rsidRPr="006D174E">
        <w:rPr>
          <w:rFonts w:ascii="Times New Roman" w:hAnsi="Times New Roman" w:cs="Times New Roman"/>
          <w:sz w:val="24"/>
          <w:szCs w:val="24"/>
        </w:rPr>
        <w:t xml:space="preserve"> </w:t>
      </w:r>
      <w:r w:rsidR="00523CBD">
        <w:rPr>
          <w:rFonts w:ascii="Times New Roman" w:hAnsi="Times New Roman" w:cs="Times New Roman"/>
          <w:sz w:val="24"/>
          <w:szCs w:val="24"/>
        </w:rPr>
        <w:t>Meet Malani</w:t>
      </w:r>
    </w:p>
    <w:p w14:paraId="3A1C5D5C" w14:textId="77777777" w:rsidR="00523CBD" w:rsidRDefault="00523CBD" w:rsidP="00523CBD">
      <w:pPr>
        <w:jc w:val="center"/>
        <w:rPr>
          <w:rFonts w:ascii="Times New Roman" w:hAnsi="Times New Roman" w:cs="Times New Roman"/>
          <w:sz w:val="24"/>
          <w:szCs w:val="24"/>
        </w:rPr>
      </w:pPr>
    </w:p>
    <w:p w14:paraId="5A71B3E3" w14:textId="3674CE55" w:rsidR="006D174E" w:rsidRPr="006D174E" w:rsidRDefault="006D174E" w:rsidP="00523CBD">
      <w:pPr>
        <w:jc w:val="center"/>
        <w:rPr>
          <w:rFonts w:ascii="Times New Roman" w:hAnsi="Times New Roman" w:cs="Times New Roman"/>
          <w:sz w:val="24"/>
          <w:szCs w:val="24"/>
        </w:rPr>
      </w:pPr>
      <w:r w:rsidRPr="006D174E">
        <w:rPr>
          <w:rFonts w:ascii="Times New Roman" w:hAnsi="Times New Roman" w:cs="Times New Roman"/>
          <w:sz w:val="24"/>
          <w:szCs w:val="24"/>
        </w:rPr>
        <w:br/>
      </w:r>
      <w:r w:rsidRPr="006D174E">
        <w:rPr>
          <w:rStyle w:val="Strong"/>
          <w:rFonts w:ascii="Times New Roman" w:hAnsi="Times New Roman" w:cs="Times New Roman"/>
          <w:sz w:val="24"/>
          <w:szCs w:val="24"/>
        </w:rPr>
        <w:t>Student ID:</w:t>
      </w:r>
      <w:r w:rsidRPr="006D174E">
        <w:rPr>
          <w:rFonts w:ascii="Times New Roman" w:hAnsi="Times New Roman" w:cs="Times New Roman"/>
          <w:sz w:val="24"/>
          <w:szCs w:val="24"/>
        </w:rPr>
        <w:t xml:space="preserve"> [</w:t>
      </w:r>
      <w:r w:rsidR="00523CBD">
        <w:rPr>
          <w:rFonts w:ascii="Times New Roman" w:hAnsi="Times New Roman" w:cs="Times New Roman"/>
          <w:sz w:val="24"/>
          <w:szCs w:val="24"/>
        </w:rPr>
        <w:t>2504764</w:t>
      </w:r>
      <w:r w:rsidRPr="006D174E">
        <w:rPr>
          <w:rFonts w:ascii="Times New Roman" w:hAnsi="Times New Roman" w:cs="Times New Roman"/>
          <w:sz w:val="24"/>
          <w:szCs w:val="24"/>
        </w:rPr>
        <w:t>]</w:t>
      </w:r>
      <w:r w:rsidRPr="006D174E">
        <w:rPr>
          <w:rFonts w:ascii="Times New Roman" w:hAnsi="Times New Roman" w:cs="Times New Roman"/>
          <w:sz w:val="24"/>
          <w:szCs w:val="24"/>
        </w:rPr>
        <w:br/>
      </w:r>
    </w:p>
    <w:p w14:paraId="570EEA2C" w14:textId="77777777" w:rsidR="006D174E" w:rsidRPr="006D174E" w:rsidRDefault="006D174E">
      <w:pPr>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br w:type="page"/>
      </w:r>
    </w:p>
    <w:p w14:paraId="723A8A99" w14:textId="77777777" w:rsidR="007D23FD" w:rsidRPr="006D174E" w:rsidRDefault="007D23FD"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lastRenderedPageBreak/>
        <w:t>Executive Summary</w:t>
      </w:r>
    </w:p>
    <w:p w14:paraId="4AE41002" w14:textId="77777777" w:rsidR="007D23FD" w:rsidRPr="006D174E" w:rsidRDefault="00452B40"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report, G</w:t>
      </w:r>
      <w:r w:rsidR="007D23FD" w:rsidRPr="006D174E">
        <w:rPr>
          <w:rFonts w:ascii="Times New Roman" w:eastAsia="Times New Roman" w:hAnsi="Times New Roman" w:cs="Times New Roman"/>
          <w:sz w:val="24"/>
          <w:szCs w:val="24"/>
        </w:rPr>
        <w:t>eneral Electronics</w:t>
      </w:r>
      <w:r>
        <w:rPr>
          <w:rFonts w:ascii="Times New Roman" w:eastAsia="Times New Roman" w:hAnsi="Times New Roman" w:cs="Times New Roman"/>
          <w:sz w:val="24"/>
          <w:szCs w:val="24"/>
        </w:rPr>
        <w:t xml:space="preserve"> Company has been taken for the financial analysis. It is a global company having </w:t>
      </w:r>
      <w:r w:rsidR="007D23FD" w:rsidRPr="006D174E">
        <w:rPr>
          <w:rFonts w:ascii="Times New Roman" w:eastAsia="Times New Roman" w:hAnsi="Times New Roman" w:cs="Times New Roman"/>
          <w:sz w:val="24"/>
          <w:szCs w:val="24"/>
        </w:rPr>
        <w:t xml:space="preserve">strong sales and profits in the consumer electronics market. </w:t>
      </w:r>
      <w:r>
        <w:rPr>
          <w:rFonts w:ascii="Times New Roman" w:eastAsia="Times New Roman" w:hAnsi="Times New Roman" w:cs="Times New Roman"/>
          <w:sz w:val="24"/>
          <w:szCs w:val="24"/>
        </w:rPr>
        <w:t xml:space="preserve">During the long five years, this </w:t>
      </w:r>
      <w:r w:rsidR="007D23FD" w:rsidRPr="006D174E">
        <w:rPr>
          <w:rFonts w:ascii="Times New Roman" w:eastAsia="Times New Roman" w:hAnsi="Times New Roman" w:cs="Times New Roman"/>
          <w:sz w:val="24"/>
          <w:szCs w:val="24"/>
        </w:rPr>
        <w:t xml:space="preserve">company has struggled to maintain its position as rising costs, falling demand, and poor financial decisions have weakened its overall </w:t>
      </w:r>
      <w:r>
        <w:rPr>
          <w:rFonts w:ascii="Times New Roman" w:eastAsia="Times New Roman" w:hAnsi="Times New Roman" w:cs="Times New Roman"/>
          <w:sz w:val="24"/>
          <w:szCs w:val="24"/>
        </w:rPr>
        <w:t xml:space="preserve">performance. In this report, being Chief Financial Officer, we are going to analysis financial performance and </w:t>
      </w:r>
      <w:r w:rsidR="007D23FD" w:rsidRPr="006D174E">
        <w:rPr>
          <w:rFonts w:ascii="Times New Roman" w:eastAsia="Times New Roman" w:hAnsi="Times New Roman" w:cs="Times New Roman"/>
          <w:sz w:val="24"/>
          <w:szCs w:val="24"/>
        </w:rPr>
        <w:t>understand what went wrong and to guide the company back to financial stability.</w:t>
      </w:r>
    </w:p>
    <w:p w14:paraId="2A470374" w14:textId="77777777" w:rsidR="007D23FD" w:rsidRPr="006D174E" w:rsidRDefault="00452B40"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evaluated that t</w:t>
      </w:r>
      <w:r w:rsidR="007D23FD" w:rsidRPr="006D174E">
        <w:rPr>
          <w:rFonts w:ascii="Times New Roman" w:eastAsia="Times New Roman" w:hAnsi="Times New Roman" w:cs="Times New Roman"/>
          <w:sz w:val="24"/>
          <w:szCs w:val="24"/>
        </w:rPr>
        <w:t>he financial results between 2020 and 2024 show how</w:t>
      </w:r>
      <w:r>
        <w:rPr>
          <w:rFonts w:ascii="Times New Roman" w:eastAsia="Times New Roman" w:hAnsi="Times New Roman" w:cs="Times New Roman"/>
          <w:sz w:val="24"/>
          <w:szCs w:val="24"/>
        </w:rPr>
        <w:t xml:space="preserve"> serious the decline has been. Here, the sale has</w:t>
      </w:r>
      <w:r w:rsidR="007D23FD" w:rsidRPr="006D174E">
        <w:rPr>
          <w:rFonts w:ascii="Times New Roman" w:eastAsia="Times New Roman" w:hAnsi="Times New Roman" w:cs="Times New Roman"/>
          <w:sz w:val="24"/>
          <w:szCs w:val="24"/>
        </w:rPr>
        <w:t xml:space="preserve"> dropped from £614,680 million in 2020 to £394,879 million in 2024, while profits of £38,572 million turned i</w:t>
      </w:r>
      <w:r>
        <w:rPr>
          <w:rFonts w:ascii="Times New Roman" w:eastAsia="Times New Roman" w:hAnsi="Times New Roman" w:cs="Times New Roman"/>
          <w:sz w:val="24"/>
          <w:szCs w:val="24"/>
        </w:rPr>
        <w:t>nto a loss of £24,029 million. However, t</w:t>
      </w:r>
      <w:r w:rsidR="007D23FD" w:rsidRPr="006D174E">
        <w:rPr>
          <w:rFonts w:ascii="Times New Roman" w:eastAsia="Times New Roman" w:hAnsi="Times New Roman" w:cs="Times New Roman"/>
          <w:sz w:val="24"/>
          <w:szCs w:val="24"/>
        </w:rPr>
        <w:t>he data also shows that operating expenses increased even as revenue fell, putt</w:t>
      </w:r>
      <w:r w:rsidR="00A5681D">
        <w:rPr>
          <w:rFonts w:ascii="Times New Roman" w:eastAsia="Times New Roman" w:hAnsi="Times New Roman" w:cs="Times New Roman"/>
          <w:sz w:val="24"/>
          <w:szCs w:val="24"/>
        </w:rPr>
        <w:t>ing heavy pressure on margins. Nonetheless, d</w:t>
      </w:r>
      <w:r w:rsidR="007D23FD" w:rsidRPr="006D174E">
        <w:rPr>
          <w:rFonts w:ascii="Times New Roman" w:eastAsia="Times New Roman" w:hAnsi="Times New Roman" w:cs="Times New Roman"/>
          <w:sz w:val="24"/>
          <w:szCs w:val="24"/>
        </w:rPr>
        <w:t>ebt levels rose sharply, and interest expenses reduced the company’s ability to invest in new p</w:t>
      </w:r>
      <w:r w:rsidR="00A5681D">
        <w:rPr>
          <w:rFonts w:ascii="Times New Roman" w:eastAsia="Times New Roman" w:hAnsi="Times New Roman" w:cs="Times New Roman"/>
          <w:sz w:val="24"/>
          <w:szCs w:val="24"/>
        </w:rPr>
        <w:t>rojects. In this, Liquidity as well as</w:t>
      </w:r>
      <w:r w:rsidR="007D23FD" w:rsidRPr="006D174E">
        <w:rPr>
          <w:rFonts w:ascii="Times New Roman" w:eastAsia="Times New Roman" w:hAnsi="Times New Roman" w:cs="Times New Roman"/>
          <w:sz w:val="24"/>
          <w:szCs w:val="24"/>
        </w:rPr>
        <w:t xml:space="preserve"> weakened, which means the firm started depending more on short-term loan</w:t>
      </w:r>
      <w:r>
        <w:rPr>
          <w:rFonts w:ascii="Times New Roman" w:eastAsia="Times New Roman" w:hAnsi="Times New Roman" w:cs="Times New Roman"/>
          <w:sz w:val="24"/>
          <w:szCs w:val="24"/>
        </w:rPr>
        <w:t>s to cover its daily operations undertaken.</w:t>
      </w:r>
    </w:p>
    <w:p w14:paraId="015C541C" w14:textId="77777777" w:rsidR="007D23FD" w:rsidRPr="006D174E" w:rsidRDefault="00A5681D"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to analysis, t</w:t>
      </w:r>
      <w:r w:rsidR="007D23FD" w:rsidRPr="006D174E">
        <w:rPr>
          <w:rFonts w:ascii="Times New Roman" w:eastAsia="Times New Roman" w:hAnsi="Times New Roman" w:cs="Times New Roman"/>
          <w:sz w:val="24"/>
          <w:szCs w:val="24"/>
        </w:rPr>
        <w:t xml:space="preserve">he working capital situation </w:t>
      </w:r>
      <w:r>
        <w:rPr>
          <w:rFonts w:ascii="Times New Roman" w:eastAsia="Times New Roman" w:hAnsi="Times New Roman" w:cs="Times New Roman"/>
          <w:sz w:val="24"/>
          <w:szCs w:val="24"/>
        </w:rPr>
        <w:t>became another major challenge. However, l</w:t>
      </w:r>
      <w:r w:rsidR="007D23FD" w:rsidRPr="006D174E">
        <w:rPr>
          <w:rFonts w:ascii="Times New Roman" w:eastAsia="Times New Roman" w:hAnsi="Times New Roman" w:cs="Times New Roman"/>
          <w:sz w:val="24"/>
          <w:szCs w:val="24"/>
        </w:rPr>
        <w:t>arge amounts of money were tied up in inventory and unpaid customer bills, while payments to</w:t>
      </w:r>
      <w:r>
        <w:rPr>
          <w:rFonts w:ascii="Times New Roman" w:eastAsia="Times New Roman" w:hAnsi="Times New Roman" w:cs="Times New Roman"/>
          <w:sz w:val="24"/>
          <w:szCs w:val="24"/>
        </w:rPr>
        <w:t xml:space="preserve"> suppliers were often delayed. In addition, t</w:t>
      </w:r>
      <w:r w:rsidR="007D23FD" w:rsidRPr="006D174E">
        <w:rPr>
          <w:rFonts w:ascii="Times New Roman" w:eastAsia="Times New Roman" w:hAnsi="Times New Roman" w:cs="Times New Roman"/>
          <w:sz w:val="24"/>
          <w:szCs w:val="24"/>
        </w:rPr>
        <w:t>his imbalance slowed down cash flow and made it harder for the com</w:t>
      </w:r>
      <w:r>
        <w:rPr>
          <w:rFonts w:ascii="Times New Roman" w:eastAsia="Times New Roman" w:hAnsi="Times New Roman" w:cs="Times New Roman"/>
          <w:sz w:val="24"/>
          <w:szCs w:val="24"/>
        </w:rPr>
        <w:t>pany to meet short-term needs. Therefore, t</w:t>
      </w:r>
      <w:r w:rsidR="007D23FD" w:rsidRPr="006D174E">
        <w:rPr>
          <w:rFonts w:ascii="Times New Roman" w:eastAsia="Times New Roman" w:hAnsi="Times New Roman" w:cs="Times New Roman"/>
          <w:sz w:val="24"/>
          <w:szCs w:val="24"/>
        </w:rPr>
        <w:t>o fix this, the report suggests reducing inventory levels, speeding up customer collections, and negotiating better pay</w:t>
      </w:r>
      <w:r>
        <w:rPr>
          <w:rFonts w:ascii="Times New Roman" w:eastAsia="Times New Roman" w:hAnsi="Times New Roman" w:cs="Times New Roman"/>
          <w:sz w:val="24"/>
          <w:szCs w:val="24"/>
        </w:rPr>
        <w:t>ment terms with suppliers. With these</w:t>
      </w:r>
      <w:r w:rsidR="007D23FD" w:rsidRPr="006D174E">
        <w:rPr>
          <w:rFonts w:ascii="Times New Roman" w:eastAsia="Times New Roman" w:hAnsi="Times New Roman" w:cs="Times New Roman"/>
          <w:sz w:val="24"/>
          <w:szCs w:val="24"/>
        </w:rPr>
        <w:t xml:space="preserve"> steps</w:t>
      </w:r>
      <w:r>
        <w:rPr>
          <w:rFonts w:ascii="Times New Roman" w:eastAsia="Times New Roman" w:hAnsi="Times New Roman" w:cs="Times New Roman"/>
          <w:sz w:val="24"/>
          <w:szCs w:val="24"/>
        </w:rPr>
        <w:t>, it</w:t>
      </w:r>
      <w:r w:rsidR="007D23FD" w:rsidRPr="006D174E">
        <w:rPr>
          <w:rFonts w:ascii="Times New Roman" w:eastAsia="Times New Roman" w:hAnsi="Times New Roman" w:cs="Times New Roman"/>
          <w:sz w:val="24"/>
          <w:szCs w:val="24"/>
        </w:rPr>
        <w:t xml:space="preserve"> will help improve cash movement and reduce the need for extra borrowing.</w:t>
      </w:r>
    </w:p>
    <w:p w14:paraId="4E1356EA" w14:textId="77777777" w:rsidR="006D174E" w:rsidRPr="001F5A23" w:rsidRDefault="00A5681D" w:rsidP="001F5A23">
      <w:pPr>
        <w:rPr>
          <w:rStyle w:val="Strong"/>
          <w:b w:val="0"/>
          <w:bCs w:val="0"/>
        </w:rPr>
      </w:pPr>
      <w:r>
        <w:br w:type="page"/>
      </w:r>
    </w:p>
    <w:bookmarkStart w:id="0" w:name="_Toc211680175" w:displacedByCustomXml="next"/>
    <w:sdt>
      <w:sdtPr>
        <w:rPr>
          <w:rFonts w:asciiTheme="minorHAnsi" w:eastAsiaTheme="minorHAnsi" w:hAnsiTheme="minorHAnsi" w:cs="Mangal"/>
          <w:color w:val="auto"/>
          <w:sz w:val="22"/>
          <w:szCs w:val="20"/>
          <w:lang w:bidi="hi-IN"/>
        </w:rPr>
        <w:id w:val="988677579"/>
        <w:docPartObj>
          <w:docPartGallery w:val="Table of Contents"/>
          <w:docPartUnique/>
        </w:docPartObj>
      </w:sdtPr>
      <w:sdtEndPr>
        <w:rPr>
          <w:b/>
          <w:bCs/>
          <w:noProof/>
        </w:rPr>
      </w:sdtEndPr>
      <w:sdtContent>
        <w:p w14:paraId="56FA374F" w14:textId="77777777" w:rsidR="001F5A23" w:rsidRDefault="001F5A23">
          <w:pPr>
            <w:pStyle w:val="TOCHeading"/>
          </w:pPr>
          <w:r>
            <w:t>Table of Contents</w:t>
          </w:r>
        </w:p>
        <w:p w14:paraId="5828B102" w14:textId="77777777" w:rsidR="00DD3CEF" w:rsidRDefault="001F5A23">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212192243" w:history="1">
            <w:r w:rsidR="00DD3CEF" w:rsidRPr="008E7DBF">
              <w:rPr>
                <w:rStyle w:val="Hyperlink"/>
                <w:noProof/>
              </w:rPr>
              <w:t>1.0 Introduction</w:t>
            </w:r>
            <w:r w:rsidR="00DD3CEF">
              <w:rPr>
                <w:noProof/>
                <w:webHidden/>
              </w:rPr>
              <w:tab/>
            </w:r>
            <w:r w:rsidR="00DD3CEF">
              <w:rPr>
                <w:noProof/>
                <w:webHidden/>
              </w:rPr>
              <w:fldChar w:fldCharType="begin"/>
            </w:r>
            <w:r w:rsidR="00DD3CEF">
              <w:rPr>
                <w:noProof/>
                <w:webHidden/>
              </w:rPr>
              <w:instrText xml:space="preserve"> PAGEREF _Toc212192243 \h </w:instrText>
            </w:r>
            <w:r w:rsidR="00DD3CEF">
              <w:rPr>
                <w:noProof/>
                <w:webHidden/>
              </w:rPr>
            </w:r>
            <w:r w:rsidR="00DD3CEF">
              <w:rPr>
                <w:noProof/>
                <w:webHidden/>
              </w:rPr>
              <w:fldChar w:fldCharType="separate"/>
            </w:r>
            <w:r w:rsidR="00DD3CEF">
              <w:rPr>
                <w:noProof/>
                <w:webHidden/>
              </w:rPr>
              <w:t>5</w:t>
            </w:r>
            <w:r w:rsidR="00DD3CEF">
              <w:rPr>
                <w:noProof/>
                <w:webHidden/>
              </w:rPr>
              <w:fldChar w:fldCharType="end"/>
            </w:r>
          </w:hyperlink>
        </w:p>
        <w:p w14:paraId="2C1B755E" w14:textId="77777777" w:rsidR="00DD3CEF" w:rsidRDefault="00DD3CEF">
          <w:pPr>
            <w:pStyle w:val="TOC1"/>
            <w:tabs>
              <w:tab w:val="right" w:leader="dot" w:pos="9350"/>
            </w:tabs>
            <w:rPr>
              <w:rFonts w:eastAsiaTheme="minorEastAsia"/>
              <w:noProof/>
            </w:rPr>
          </w:pPr>
          <w:hyperlink w:anchor="_Toc212192244" w:history="1">
            <w:r w:rsidRPr="008E7DBF">
              <w:rPr>
                <w:rStyle w:val="Hyperlink"/>
                <w:rFonts w:ascii="Times New Roman" w:hAnsi="Times New Roman" w:cs="Times New Roman"/>
                <w:noProof/>
              </w:rPr>
              <w:t>2.0 Financial Health Check</w:t>
            </w:r>
            <w:r>
              <w:rPr>
                <w:noProof/>
                <w:webHidden/>
              </w:rPr>
              <w:tab/>
            </w:r>
            <w:r>
              <w:rPr>
                <w:noProof/>
                <w:webHidden/>
              </w:rPr>
              <w:fldChar w:fldCharType="begin"/>
            </w:r>
            <w:r>
              <w:rPr>
                <w:noProof/>
                <w:webHidden/>
              </w:rPr>
              <w:instrText xml:space="preserve"> PAGEREF _Toc212192244 \h </w:instrText>
            </w:r>
            <w:r>
              <w:rPr>
                <w:noProof/>
                <w:webHidden/>
              </w:rPr>
            </w:r>
            <w:r>
              <w:rPr>
                <w:noProof/>
                <w:webHidden/>
              </w:rPr>
              <w:fldChar w:fldCharType="separate"/>
            </w:r>
            <w:r>
              <w:rPr>
                <w:noProof/>
                <w:webHidden/>
              </w:rPr>
              <w:t>6</w:t>
            </w:r>
            <w:r>
              <w:rPr>
                <w:noProof/>
                <w:webHidden/>
              </w:rPr>
              <w:fldChar w:fldCharType="end"/>
            </w:r>
          </w:hyperlink>
        </w:p>
        <w:p w14:paraId="3472503F" w14:textId="77777777" w:rsidR="00DD3CEF" w:rsidRDefault="00DD3CEF">
          <w:pPr>
            <w:pStyle w:val="TOC3"/>
            <w:tabs>
              <w:tab w:val="right" w:leader="dot" w:pos="9350"/>
            </w:tabs>
            <w:rPr>
              <w:rFonts w:eastAsiaTheme="minorEastAsia"/>
              <w:noProof/>
            </w:rPr>
          </w:pPr>
          <w:hyperlink w:anchor="_Toc212192245" w:history="1">
            <w:r w:rsidRPr="008E7DBF">
              <w:rPr>
                <w:rStyle w:val="Hyperlink"/>
                <w:rFonts w:ascii="Times New Roman" w:hAnsi="Times New Roman" w:cs="Times New Roman"/>
                <w:noProof/>
              </w:rPr>
              <w:t>2.1 Overview of Financial Performance</w:t>
            </w:r>
            <w:r>
              <w:rPr>
                <w:noProof/>
                <w:webHidden/>
              </w:rPr>
              <w:tab/>
            </w:r>
            <w:r>
              <w:rPr>
                <w:noProof/>
                <w:webHidden/>
              </w:rPr>
              <w:fldChar w:fldCharType="begin"/>
            </w:r>
            <w:r>
              <w:rPr>
                <w:noProof/>
                <w:webHidden/>
              </w:rPr>
              <w:instrText xml:space="preserve"> PAGEREF _Toc212192245 \h </w:instrText>
            </w:r>
            <w:r>
              <w:rPr>
                <w:noProof/>
                <w:webHidden/>
              </w:rPr>
            </w:r>
            <w:r>
              <w:rPr>
                <w:noProof/>
                <w:webHidden/>
              </w:rPr>
              <w:fldChar w:fldCharType="separate"/>
            </w:r>
            <w:r>
              <w:rPr>
                <w:noProof/>
                <w:webHidden/>
              </w:rPr>
              <w:t>6</w:t>
            </w:r>
            <w:r>
              <w:rPr>
                <w:noProof/>
                <w:webHidden/>
              </w:rPr>
              <w:fldChar w:fldCharType="end"/>
            </w:r>
          </w:hyperlink>
        </w:p>
        <w:p w14:paraId="207D441A" w14:textId="77777777" w:rsidR="00DD3CEF" w:rsidRDefault="00DD3CEF">
          <w:pPr>
            <w:pStyle w:val="TOC3"/>
            <w:tabs>
              <w:tab w:val="right" w:leader="dot" w:pos="9350"/>
            </w:tabs>
            <w:rPr>
              <w:rFonts w:eastAsiaTheme="minorEastAsia"/>
              <w:noProof/>
            </w:rPr>
          </w:pPr>
          <w:hyperlink w:anchor="_Toc212192246" w:history="1">
            <w:r w:rsidRPr="008E7DBF">
              <w:rPr>
                <w:rStyle w:val="Hyperlink"/>
                <w:b/>
                <w:bCs/>
                <w:noProof/>
              </w:rPr>
              <w:t>2.2 Profitability Ratios</w:t>
            </w:r>
            <w:r>
              <w:rPr>
                <w:noProof/>
                <w:webHidden/>
              </w:rPr>
              <w:tab/>
            </w:r>
            <w:r>
              <w:rPr>
                <w:noProof/>
                <w:webHidden/>
              </w:rPr>
              <w:fldChar w:fldCharType="begin"/>
            </w:r>
            <w:r>
              <w:rPr>
                <w:noProof/>
                <w:webHidden/>
              </w:rPr>
              <w:instrText xml:space="preserve"> PAGEREF _Toc212192246 \h </w:instrText>
            </w:r>
            <w:r>
              <w:rPr>
                <w:noProof/>
                <w:webHidden/>
              </w:rPr>
            </w:r>
            <w:r>
              <w:rPr>
                <w:noProof/>
                <w:webHidden/>
              </w:rPr>
              <w:fldChar w:fldCharType="separate"/>
            </w:r>
            <w:r>
              <w:rPr>
                <w:noProof/>
                <w:webHidden/>
              </w:rPr>
              <w:t>6</w:t>
            </w:r>
            <w:r>
              <w:rPr>
                <w:noProof/>
                <w:webHidden/>
              </w:rPr>
              <w:fldChar w:fldCharType="end"/>
            </w:r>
          </w:hyperlink>
        </w:p>
        <w:p w14:paraId="00AA4A4E" w14:textId="77777777" w:rsidR="00DD3CEF" w:rsidRDefault="00DD3CEF">
          <w:pPr>
            <w:pStyle w:val="TOC3"/>
            <w:tabs>
              <w:tab w:val="right" w:leader="dot" w:pos="9350"/>
            </w:tabs>
            <w:rPr>
              <w:rFonts w:eastAsiaTheme="minorEastAsia"/>
              <w:noProof/>
            </w:rPr>
          </w:pPr>
          <w:hyperlink w:anchor="_Toc212192247" w:history="1">
            <w:r w:rsidRPr="008E7DBF">
              <w:rPr>
                <w:rStyle w:val="Hyperlink"/>
                <w:b/>
                <w:bCs/>
                <w:noProof/>
              </w:rPr>
              <w:t>2.3 Liquidity Ratios</w:t>
            </w:r>
            <w:r>
              <w:rPr>
                <w:noProof/>
                <w:webHidden/>
              </w:rPr>
              <w:tab/>
            </w:r>
            <w:r>
              <w:rPr>
                <w:noProof/>
                <w:webHidden/>
              </w:rPr>
              <w:fldChar w:fldCharType="begin"/>
            </w:r>
            <w:r>
              <w:rPr>
                <w:noProof/>
                <w:webHidden/>
              </w:rPr>
              <w:instrText xml:space="preserve"> PAGEREF _Toc212192247 \h </w:instrText>
            </w:r>
            <w:r>
              <w:rPr>
                <w:noProof/>
                <w:webHidden/>
              </w:rPr>
            </w:r>
            <w:r>
              <w:rPr>
                <w:noProof/>
                <w:webHidden/>
              </w:rPr>
              <w:fldChar w:fldCharType="separate"/>
            </w:r>
            <w:r>
              <w:rPr>
                <w:noProof/>
                <w:webHidden/>
              </w:rPr>
              <w:t>11</w:t>
            </w:r>
            <w:r>
              <w:rPr>
                <w:noProof/>
                <w:webHidden/>
              </w:rPr>
              <w:fldChar w:fldCharType="end"/>
            </w:r>
          </w:hyperlink>
        </w:p>
        <w:p w14:paraId="1FF12FEF" w14:textId="77777777" w:rsidR="00DD3CEF" w:rsidRDefault="00DD3CEF">
          <w:pPr>
            <w:pStyle w:val="TOC3"/>
            <w:tabs>
              <w:tab w:val="right" w:leader="dot" w:pos="9350"/>
            </w:tabs>
            <w:rPr>
              <w:rFonts w:eastAsiaTheme="minorEastAsia"/>
              <w:noProof/>
            </w:rPr>
          </w:pPr>
          <w:hyperlink w:anchor="_Toc212192248" w:history="1">
            <w:r w:rsidRPr="008E7DBF">
              <w:rPr>
                <w:rStyle w:val="Hyperlink"/>
                <w:b/>
                <w:bCs/>
                <w:noProof/>
              </w:rPr>
              <w:t>2.4 Efficiency Ratios</w:t>
            </w:r>
            <w:r>
              <w:rPr>
                <w:noProof/>
                <w:webHidden/>
              </w:rPr>
              <w:tab/>
            </w:r>
            <w:r>
              <w:rPr>
                <w:noProof/>
                <w:webHidden/>
              </w:rPr>
              <w:fldChar w:fldCharType="begin"/>
            </w:r>
            <w:r>
              <w:rPr>
                <w:noProof/>
                <w:webHidden/>
              </w:rPr>
              <w:instrText xml:space="preserve"> PAGEREF _Toc212192248 \h </w:instrText>
            </w:r>
            <w:r>
              <w:rPr>
                <w:noProof/>
                <w:webHidden/>
              </w:rPr>
            </w:r>
            <w:r>
              <w:rPr>
                <w:noProof/>
                <w:webHidden/>
              </w:rPr>
              <w:fldChar w:fldCharType="separate"/>
            </w:r>
            <w:r>
              <w:rPr>
                <w:noProof/>
                <w:webHidden/>
              </w:rPr>
              <w:t>14</w:t>
            </w:r>
            <w:r>
              <w:rPr>
                <w:noProof/>
                <w:webHidden/>
              </w:rPr>
              <w:fldChar w:fldCharType="end"/>
            </w:r>
          </w:hyperlink>
        </w:p>
        <w:p w14:paraId="02C8B401" w14:textId="77777777" w:rsidR="00DD3CEF" w:rsidRDefault="00DD3CEF">
          <w:pPr>
            <w:pStyle w:val="TOC3"/>
            <w:tabs>
              <w:tab w:val="right" w:leader="dot" w:pos="9350"/>
            </w:tabs>
            <w:rPr>
              <w:rFonts w:eastAsiaTheme="minorEastAsia"/>
              <w:noProof/>
            </w:rPr>
          </w:pPr>
          <w:hyperlink w:anchor="_Toc212192249" w:history="1">
            <w:r w:rsidRPr="008E7DBF">
              <w:rPr>
                <w:rStyle w:val="Hyperlink"/>
                <w:b/>
                <w:bCs/>
                <w:noProof/>
              </w:rPr>
              <w:t>2.5 Gearing / Leverage Ratios</w:t>
            </w:r>
            <w:r>
              <w:rPr>
                <w:noProof/>
                <w:webHidden/>
              </w:rPr>
              <w:tab/>
            </w:r>
            <w:r>
              <w:rPr>
                <w:noProof/>
                <w:webHidden/>
              </w:rPr>
              <w:fldChar w:fldCharType="begin"/>
            </w:r>
            <w:r>
              <w:rPr>
                <w:noProof/>
                <w:webHidden/>
              </w:rPr>
              <w:instrText xml:space="preserve"> PAGEREF _Toc212192249 \h </w:instrText>
            </w:r>
            <w:r>
              <w:rPr>
                <w:noProof/>
                <w:webHidden/>
              </w:rPr>
            </w:r>
            <w:r>
              <w:rPr>
                <w:noProof/>
                <w:webHidden/>
              </w:rPr>
              <w:fldChar w:fldCharType="separate"/>
            </w:r>
            <w:r>
              <w:rPr>
                <w:noProof/>
                <w:webHidden/>
              </w:rPr>
              <w:t>18</w:t>
            </w:r>
            <w:r>
              <w:rPr>
                <w:noProof/>
                <w:webHidden/>
              </w:rPr>
              <w:fldChar w:fldCharType="end"/>
            </w:r>
          </w:hyperlink>
        </w:p>
        <w:p w14:paraId="68AE309D" w14:textId="77777777" w:rsidR="00DD3CEF" w:rsidRDefault="00DD3CEF">
          <w:pPr>
            <w:pStyle w:val="TOC3"/>
            <w:tabs>
              <w:tab w:val="right" w:leader="dot" w:pos="9350"/>
            </w:tabs>
            <w:rPr>
              <w:rFonts w:eastAsiaTheme="minorEastAsia"/>
              <w:noProof/>
            </w:rPr>
          </w:pPr>
          <w:hyperlink w:anchor="_Toc212192250" w:history="1">
            <w:r w:rsidRPr="008E7DBF">
              <w:rPr>
                <w:rStyle w:val="Hyperlink"/>
                <w:b/>
                <w:bCs/>
                <w:noProof/>
              </w:rPr>
              <w:t>2.6 Investment Ratios</w:t>
            </w:r>
            <w:r>
              <w:rPr>
                <w:noProof/>
                <w:webHidden/>
              </w:rPr>
              <w:tab/>
            </w:r>
            <w:r>
              <w:rPr>
                <w:noProof/>
                <w:webHidden/>
              </w:rPr>
              <w:fldChar w:fldCharType="begin"/>
            </w:r>
            <w:r>
              <w:rPr>
                <w:noProof/>
                <w:webHidden/>
              </w:rPr>
              <w:instrText xml:space="preserve"> PAGEREF _Toc212192250 \h </w:instrText>
            </w:r>
            <w:r>
              <w:rPr>
                <w:noProof/>
                <w:webHidden/>
              </w:rPr>
            </w:r>
            <w:r>
              <w:rPr>
                <w:noProof/>
                <w:webHidden/>
              </w:rPr>
              <w:fldChar w:fldCharType="separate"/>
            </w:r>
            <w:r>
              <w:rPr>
                <w:noProof/>
                <w:webHidden/>
              </w:rPr>
              <w:t>21</w:t>
            </w:r>
            <w:r>
              <w:rPr>
                <w:noProof/>
                <w:webHidden/>
              </w:rPr>
              <w:fldChar w:fldCharType="end"/>
            </w:r>
          </w:hyperlink>
        </w:p>
        <w:p w14:paraId="7D8BD99A" w14:textId="77777777" w:rsidR="00DD3CEF" w:rsidRDefault="00DD3CEF">
          <w:pPr>
            <w:pStyle w:val="TOC3"/>
            <w:tabs>
              <w:tab w:val="right" w:leader="dot" w:pos="9350"/>
            </w:tabs>
            <w:rPr>
              <w:rFonts w:eastAsiaTheme="minorEastAsia"/>
              <w:noProof/>
            </w:rPr>
          </w:pPr>
          <w:hyperlink w:anchor="_Toc212192251" w:history="1">
            <w:r w:rsidRPr="008E7DBF">
              <w:rPr>
                <w:rStyle w:val="Hyperlink"/>
                <w:b/>
                <w:bCs/>
                <w:noProof/>
              </w:rPr>
              <w:t>2.7 Corporate Failure Prediction (Altman Z-Score)</w:t>
            </w:r>
            <w:r>
              <w:rPr>
                <w:noProof/>
                <w:webHidden/>
              </w:rPr>
              <w:tab/>
            </w:r>
            <w:r>
              <w:rPr>
                <w:noProof/>
                <w:webHidden/>
              </w:rPr>
              <w:fldChar w:fldCharType="begin"/>
            </w:r>
            <w:r>
              <w:rPr>
                <w:noProof/>
                <w:webHidden/>
              </w:rPr>
              <w:instrText xml:space="preserve"> PAGEREF _Toc212192251 \h </w:instrText>
            </w:r>
            <w:r>
              <w:rPr>
                <w:noProof/>
                <w:webHidden/>
              </w:rPr>
            </w:r>
            <w:r>
              <w:rPr>
                <w:noProof/>
                <w:webHidden/>
              </w:rPr>
              <w:fldChar w:fldCharType="separate"/>
            </w:r>
            <w:r>
              <w:rPr>
                <w:noProof/>
                <w:webHidden/>
              </w:rPr>
              <w:t>25</w:t>
            </w:r>
            <w:r>
              <w:rPr>
                <w:noProof/>
                <w:webHidden/>
              </w:rPr>
              <w:fldChar w:fldCharType="end"/>
            </w:r>
          </w:hyperlink>
        </w:p>
        <w:p w14:paraId="7927EAF1" w14:textId="77777777" w:rsidR="00DD3CEF" w:rsidRDefault="00DD3CEF">
          <w:pPr>
            <w:pStyle w:val="TOC2"/>
            <w:tabs>
              <w:tab w:val="right" w:leader="dot" w:pos="9350"/>
            </w:tabs>
            <w:rPr>
              <w:rFonts w:eastAsiaTheme="minorEastAsia"/>
              <w:noProof/>
            </w:rPr>
          </w:pPr>
          <w:hyperlink w:anchor="_Toc212192252" w:history="1">
            <w:r w:rsidRPr="008E7DBF">
              <w:rPr>
                <w:rStyle w:val="Hyperlink"/>
                <w:noProof/>
              </w:rPr>
              <w:t>3.0  Working Capital Management Analysis</w:t>
            </w:r>
            <w:r>
              <w:rPr>
                <w:noProof/>
                <w:webHidden/>
              </w:rPr>
              <w:tab/>
            </w:r>
            <w:r>
              <w:rPr>
                <w:noProof/>
                <w:webHidden/>
              </w:rPr>
              <w:fldChar w:fldCharType="begin"/>
            </w:r>
            <w:r>
              <w:rPr>
                <w:noProof/>
                <w:webHidden/>
              </w:rPr>
              <w:instrText xml:space="preserve"> PAGEREF _Toc212192252 \h </w:instrText>
            </w:r>
            <w:r>
              <w:rPr>
                <w:noProof/>
                <w:webHidden/>
              </w:rPr>
            </w:r>
            <w:r>
              <w:rPr>
                <w:noProof/>
                <w:webHidden/>
              </w:rPr>
              <w:fldChar w:fldCharType="separate"/>
            </w:r>
            <w:r>
              <w:rPr>
                <w:noProof/>
                <w:webHidden/>
              </w:rPr>
              <w:t>27</w:t>
            </w:r>
            <w:r>
              <w:rPr>
                <w:noProof/>
                <w:webHidden/>
              </w:rPr>
              <w:fldChar w:fldCharType="end"/>
            </w:r>
          </w:hyperlink>
        </w:p>
        <w:p w14:paraId="0B6D2574" w14:textId="77777777" w:rsidR="00DD3CEF" w:rsidRDefault="00DD3CEF">
          <w:pPr>
            <w:pStyle w:val="TOC3"/>
            <w:tabs>
              <w:tab w:val="right" w:leader="dot" w:pos="9350"/>
            </w:tabs>
            <w:rPr>
              <w:rFonts w:eastAsiaTheme="minorEastAsia"/>
              <w:noProof/>
            </w:rPr>
          </w:pPr>
          <w:hyperlink w:anchor="_Toc212192253" w:history="1">
            <w:r w:rsidRPr="008E7DBF">
              <w:rPr>
                <w:rStyle w:val="Hyperlink"/>
                <w:rFonts w:ascii="Times New Roman" w:hAnsi="Times New Roman" w:cs="Times New Roman"/>
                <w:noProof/>
              </w:rPr>
              <w:t>Liquidity and Cash Flow Trends</w:t>
            </w:r>
            <w:r>
              <w:rPr>
                <w:noProof/>
                <w:webHidden/>
              </w:rPr>
              <w:tab/>
            </w:r>
            <w:r>
              <w:rPr>
                <w:noProof/>
                <w:webHidden/>
              </w:rPr>
              <w:fldChar w:fldCharType="begin"/>
            </w:r>
            <w:r>
              <w:rPr>
                <w:noProof/>
                <w:webHidden/>
              </w:rPr>
              <w:instrText xml:space="preserve"> PAGEREF _Toc212192253 \h </w:instrText>
            </w:r>
            <w:r>
              <w:rPr>
                <w:noProof/>
                <w:webHidden/>
              </w:rPr>
            </w:r>
            <w:r>
              <w:rPr>
                <w:noProof/>
                <w:webHidden/>
              </w:rPr>
              <w:fldChar w:fldCharType="separate"/>
            </w:r>
            <w:r>
              <w:rPr>
                <w:noProof/>
                <w:webHidden/>
              </w:rPr>
              <w:t>27</w:t>
            </w:r>
            <w:r>
              <w:rPr>
                <w:noProof/>
                <w:webHidden/>
              </w:rPr>
              <w:fldChar w:fldCharType="end"/>
            </w:r>
          </w:hyperlink>
        </w:p>
        <w:p w14:paraId="75427707" w14:textId="77777777" w:rsidR="00DD3CEF" w:rsidRDefault="00DD3CEF">
          <w:pPr>
            <w:pStyle w:val="TOC3"/>
            <w:tabs>
              <w:tab w:val="right" w:leader="dot" w:pos="9350"/>
            </w:tabs>
            <w:rPr>
              <w:rFonts w:eastAsiaTheme="minorEastAsia"/>
              <w:noProof/>
            </w:rPr>
          </w:pPr>
          <w:hyperlink w:anchor="_Toc212192254" w:history="1">
            <w:r w:rsidRPr="008E7DBF">
              <w:rPr>
                <w:rStyle w:val="Hyperlink"/>
                <w:rFonts w:ascii="Times New Roman" w:hAnsi="Times New Roman" w:cs="Times New Roman"/>
                <w:noProof/>
              </w:rPr>
              <w:t>Receivable Management</w:t>
            </w:r>
            <w:r>
              <w:rPr>
                <w:noProof/>
                <w:webHidden/>
              </w:rPr>
              <w:tab/>
            </w:r>
            <w:r>
              <w:rPr>
                <w:noProof/>
                <w:webHidden/>
              </w:rPr>
              <w:fldChar w:fldCharType="begin"/>
            </w:r>
            <w:r>
              <w:rPr>
                <w:noProof/>
                <w:webHidden/>
              </w:rPr>
              <w:instrText xml:space="preserve"> PAGEREF _Toc212192254 \h </w:instrText>
            </w:r>
            <w:r>
              <w:rPr>
                <w:noProof/>
                <w:webHidden/>
              </w:rPr>
            </w:r>
            <w:r>
              <w:rPr>
                <w:noProof/>
                <w:webHidden/>
              </w:rPr>
              <w:fldChar w:fldCharType="separate"/>
            </w:r>
            <w:r>
              <w:rPr>
                <w:noProof/>
                <w:webHidden/>
              </w:rPr>
              <w:t>28</w:t>
            </w:r>
            <w:r>
              <w:rPr>
                <w:noProof/>
                <w:webHidden/>
              </w:rPr>
              <w:fldChar w:fldCharType="end"/>
            </w:r>
          </w:hyperlink>
        </w:p>
        <w:p w14:paraId="11DD47F9" w14:textId="77777777" w:rsidR="00DD3CEF" w:rsidRDefault="00DD3CEF">
          <w:pPr>
            <w:pStyle w:val="TOC3"/>
            <w:tabs>
              <w:tab w:val="right" w:leader="dot" w:pos="9350"/>
            </w:tabs>
            <w:rPr>
              <w:rFonts w:eastAsiaTheme="minorEastAsia"/>
              <w:noProof/>
            </w:rPr>
          </w:pPr>
          <w:hyperlink w:anchor="_Toc212192255" w:history="1">
            <w:r w:rsidRPr="008E7DBF">
              <w:rPr>
                <w:rStyle w:val="Hyperlink"/>
                <w:rFonts w:ascii="Times New Roman" w:hAnsi="Times New Roman" w:cs="Times New Roman"/>
                <w:noProof/>
              </w:rPr>
              <w:t>Inventory Control</w:t>
            </w:r>
            <w:r>
              <w:rPr>
                <w:noProof/>
                <w:webHidden/>
              </w:rPr>
              <w:tab/>
            </w:r>
            <w:r>
              <w:rPr>
                <w:noProof/>
                <w:webHidden/>
              </w:rPr>
              <w:fldChar w:fldCharType="begin"/>
            </w:r>
            <w:r>
              <w:rPr>
                <w:noProof/>
                <w:webHidden/>
              </w:rPr>
              <w:instrText xml:space="preserve"> PAGEREF _Toc212192255 \h </w:instrText>
            </w:r>
            <w:r>
              <w:rPr>
                <w:noProof/>
                <w:webHidden/>
              </w:rPr>
            </w:r>
            <w:r>
              <w:rPr>
                <w:noProof/>
                <w:webHidden/>
              </w:rPr>
              <w:fldChar w:fldCharType="separate"/>
            </w:r>
            <w:r>
              <w:rPr>
                <w:noProof/>
                <w:webHidden/>
              </w:rPr>
              <w:t>29</w:t>
            </w:r>
            <w:r>
              <w:rPr>
                <w:noProof/>
                <w:webHidden/>
              </w:rPr>
              <w:fldChar w:fldCharType="end"/>
            </w:r>
          </w:hyperlink>
        </w:p>
        <w:p w14:paraId="711EDBD1" w14:textId="77777777" w:rsidR="00DD3CEF" w:rsidRDefault="00DD3CEF">
          <w:pPr>
            <w:pStyle w:val="TOC3"/>
            <w:tabs>
              <w:tab w:val="right" w:leader="dot" w:pos="9350"/>
            </w:tabs>
            <w:rPr>
              <w:rFonts w:eastAsiaTheme="minorEastAsia"/>
              <w:noProof/>
            </w:rPr>
          </w:pPr>
          <w:hyperlink w:anchor="_Toc212192256" w:history="1">
            <w:r w:rsidRPr="008E7DBF">
              <w:rPr>
                <w:rStyle w:val="Hyperlink"/>
                <w:rFonts w:ascii="Times New Roman" w:hAnsi="Times New Roman" w:cs="Times New Roman"/>
                <w:noProof/>
              </w:rPr>
              <w:t>Payables and Supplier Relationships</w:t>
            </w:r>
            <w:r>
              <w:rPr>
                <w:noProof/>
                <w:webHidden/>
              </w:rPr>
              <w:tab/>
            </w:r>
            <w:r>
              <w:rPr>
                <w:noProof/>
                <w:webHidden/>
              </w:rPr>
              <w:fldChar w:fldCharType="begin"/>
            </w:r>
            <w:r>
              <w:rPr>
                <w:noProof/>
                <w:webHidden/>
              </w:rPr>
              <w:instrText xml:space="preserve"> PAGEREF _Toc212192256 \h </w:instrText>
            </w:r>
            <w:r>
              <w:rPr>
                <w:noProof/>
                <w:webHidden/>
              </w:rPr>
            </w:r>
            <w:r>
              <w:rPr>
                <w:noProof/>
                <w:webHidden/>
              </w:rPr>
              <w:fldChar w:fldCharType="separate"/>
            </w:r>
            <w:r>
              <w:rPr>
                <w:noProof/>
                <w:webHidden/>
              </w:rPr>
              <w:t>29</w:t>
            </w:r>
            <w:r>
              <w:rPr>
                <w:noProof/>
                <w:webHidden/>
              </w:rPr>
              <w:fldChar w:fldCharType="end"/>
            </w:r>
          </w:hyperlink>
        </w:p>
        <w:p w14:paraId="47E3E240" w14:textId="77777777" w:rsidR="00DD3CEF" w:rsidRDefault="00DD3CEF">
          <w:pPr>
            <w:pStyle w:val="TOC3"/>
            <w:tabs>
              <w:tab w:val="right" w:leader="dot" w:pos="9350"/>
            </w:tabs>
            <w:rPr>
              <w:rFonts w:eastAsiaTheme="minorEastAsia"/>
              <w:noProof/>
            </w:rPr>
          </w:pPr>
          <w:hyperlink w:anchor="_Toc212192257" w:history="1">
            <w:r w:rsidRPr="008E7DBF">
              <w:rPr>
                <w:rStyle w:val="Hyperlink"/>
                <w:rFonts w:ascii="Times New Roman" w:hAnsi="Times New Roman" w:cs="Times New Roman"/>
                <w:noProof/>
              </w:rPr>
              <w:t>Operating Cash Flow</w:t>
            </w:r>
            <w:r>
              <w:rPr>
                <w:noProof/>
                <w:webHidden/>
              </w:rPr>
              <w:tab/>
            </w:r>
            <w:r>
              <w:rPr>
                <w:noProof/>
                <w:webHidden/>
              </w:rPr>
              <w:fldChar w:fldCharType="begin"/>
            </w:r>
            <w:r>
              <w:rPr>
                <w:noProof/>
                <w:webHidden/>
              </w:rPr>
              <w:instrText xml:space="preserve"> PAGEREF _Toc212192257 \h </w:instrText>
            </w:r>
            <w:r>
              <w:rPr>
                <w:noProof/>
                <w:webHidden/>
              </w:rPr>
            </w:r>
            <w:r>
              <w:rPr>
                <w:noProof/>
                <w:webHidden/>
              </w:rPr>
              <w:fldChar w:fldCharType="separate"/>
            </w:r>
            <w:r>
              <w:rPr>
                <w:noProof/>
                <w:webHidden/>
              </w:rPr>
              <w:t>29</w:t>
            </w:r>
            <w:r>
              <w:rPr>
                <w:noProof/>
                <w:webHidden/>
              </w:rPr>
              <w:fldChar w:fldCharType="end"/>
            </w:r>
          </w:hyperlink>
        </w:p>
        <w:p w14:paraId="0C6B9EE0" w14:textId="77777777" w:rsidR="00DD3CEF" w:rsidRDefault="00DD3CEF">
          <w:pPr>
            <w:pStyle w:val="TOC3"/>
            <w:tabs>
              <w:tab w:val="right" w:leader="dot" w:pos="9350"/>
            </w:tabs>
            <w:rPr>
              <w:rFonts w:eastAsiaTheme="minorEastAsia"/>
              <w:noProof/>
            </w:rPr>
          </w:pPr>
          <w:hyperlink w:anchor="_Toc212192258" w:history="1">
            <w:r w:rsidRPr="008E7DBF">
              <w:rPr>
                <w:rStyle w:val="Hyperlink"/>
                <w:rFonts w:ascii="Times New Roman" w:hAnsi="Times New Roman" w:cs="Times New Roman"/>
                <w:noProof/>
              </w:rPr>
              <w:t>Strategic Reforms for Efficiency</w:t>
            </w:r>
            <w:r>
              <w:rPr>
                <w:noProof/>
                <w:webHidden/>
              </w:rPr>
              <w:tab/>
            </w:r>
            <w:r>
              <w:rPr>
                <w:noProof/>
                <w:webHidden/>
              </w:rPr>
              <w:fldChar w:fldCharType="begin"/>
            </w:r>
            <w:r>
              <w:rPr>
                <w:noProof/>
                <w:webHidden/>
              </w:rPr>
              <w:instrText xml:space="preserve"> PAGEREF _Toc212192258 \h </w:instrText>
            </w:r>
            <w:r>
              <w:rPr>
                <w:noProof/>
                <w:webHidden/>
              </w:rPr>
            </w:r>
            <w:r>
              <w:rPr>
                <w:noProof/>
                <w:webHidden/>
              </w:rPr>
              <w:fldChar w:fldCharType="separate"/>
            </w:r>
            <w:r>
              <w:rPr>
                <w:noProof/>
                <w:webHidden/>
              </w:rPr>
              <w:t>30</w:t>
            </w:r>
            <w:r>
              <w:rPr>
                <w:noProof/>
                <w:webHidden/>
              </w:rPr>
              <w:fldChar w:fldCharType="end"/>
            </w:r>
          </w:hyperlink>
        </w:p>
        <w:p w14:paraId="17BAA0E3" w14:textId="77777777" w:rsidR="00DD3CEF" w:rsidRDefault="00DD3CEF">
          <w:pPr>
            <w:pStyle w:val="TOC3"/>
            <w:tabs>
              <w:tab w:val="right" w:leader="dot" w:pos="9350"/>
            </w:tabs>
            <w:rPr>
              <w:rFonts w:eastAsiaTheme="minorEastAsia"/>
              <w:noProof/>
            </w:rPr>
          </w:pPr>
          <w:hyperlink w:anchor="_Toc212192259" w:history="1">
            <w:r w:rsidRPr="008E7DBF">
              <w:rPr>
                <w:rStyle w:val="Hyperlink"/>
                <w:rFonts w:ascii="Times New Roman" w:hAnsi="Times New Roman" w:cs="Times New Roman"/>
                <w:noProof/>
              </w:rPr>
              <w:t>Financing and Short-Term Liquidity</w:t>
            </w:r>
            <w:r>
              <w:rPr>
                <w:noProof/>
                <w:webHidden/>
              </w:rPr>
              <w:tab/>
            </w:r>
            <w:r>
              <w:rPr>
                <w:noProof/>
                <w:webHidden/>
              </w:rPr>
              <w:fldChar w:fldCharType="begin"/>
            </w:r>
            <w:r>
              <w:rPr>
                <w:noProof/>
                <w:webHidden/>
              </w:rPr>
              <w:instrText xml:space="preserve"> PAGEREF _Toc212192259 \h </w:instrText>
            </w:r>
            <w:r>
              <w:rPr>
                <w:noProof/>
                <w:webHidden/>
              </w:rPr>
            </w:r>
            <w:r>
              <w:rPr>
                <w:noProof/>
                <w:webHidden/>
              </w:rPr>
              <w:fldChar w:fldCharType="separate"/>
            </w:r>
            <w:r>
              <w:rPr>
                <w:noProof/>
                <w:webHidden/>
              </w:rPr>
              <w:t>30</w:t>
            </w:r>
            <w:r>
              <w:rPr>
                <w:noProof/>
                <w:webHidden/>
              </w:rPr>
              <w:fldChar w:fldCharType="end"/>
            </w:r>
          </w:hyperlink>
        </w:p>
        <w:p w14:paraId="6DBAF011" w14:textId="77777777" w:rsidR="00DD3CEF" w:rsidRDefault="00DD3CEF">
          <w:pPr>
            <w:pStyle w:val="TOC2"/>
            <w:tabs>
              <w:tab w:val="right" w:leader="dot" w:pos="9350"/>
            </w:tabs>
            <w:rPr>
              <w:rFonts w:eastAsiaTheme="minorEastAsia"/>
              <w:noProof/>
            </w:rPr>
          </w:pPr>
          <w:hyperlink w:anchor="_Toc212192260" w:history="1">
            <w:r w:rsidRPr="008E7DBF">
              <w:rPr>
                <w:rStyle w:val="Hyperlink"/>
                <w:noProof/>
              </w:rPr>
              <w:t>4. Strategic Financial Restructuring Plan</w:t>
            </w:r>
            <w:r>
              <w:rPr>
                <w:noProof/>
                <w:webHidden/>
              </w:rPr>
              <w:tab/>
            </w:r>
            <w:r>
              <w:rPr>
                <w:noProof/>
                <w:webHidden/>
              </w:rPr>
              <w:fldChar w:fldCharType="begin"/>
            </w:r>
            <w:r>
              <w:rPr>
                <w:noProof/>
                <w:webHidden/>
              </w:rPr>
              <w:instrText xml:space="preserve"> PAGEREF _Toc212192260 \h </w:instrText>
            </w:r>
            <w:r>
              <w:rPr>
                <w:noProof/>
                <w:webHidden/>
              </w:rPr>
            </w:r>
            <w:r>
              <w:rPr>
                <w:noProof/>
                <w:webHidden/>
              </w:rPr>
              <w:fldChar w:fldCharType="separate"/>
            </w:r>
            <w:r>
              <w:rPr>
                <w:noProof/>
                <w:webHidden/>
              </w:rPr>
              <w:t>31</w:t>
            </w:r>
            <w:r>
              <w:rPr>
                <w:noProof/>
                <w:webHidden/>
              </w:rPr>
              <w:fldChar w:fldCharType="end"/>
            </w:r>
          </w:hyperlink>
        </w:p>
        <w:p w14:paraId="3798A095" w14:textId="77777777" w:rsidR="00DD3CEF" w:rsidRDefault="00DD3CEF">
          <w:pPr>
            <w:pStyle w:val="TOC3"/>
            <w:tabs>
              <w:tab w:val="right" w:leader="dot" w:pos="9350"/>
            </w:tabs>
            <w:rPr>
              <w:rFonts w:eastAsiaTheme="minorEastAsia"/>
              <w:noProof/>
            </w:rPr>
          </w:pPr>
          <w:hyperlink w:anchor="_Toc212192261" w:history="1">
            <w:r w:rsidRPr="008E7DBF">
              <w:rPr>
                <w:rStyle w:val="Hyperlink"/>
                <w:rFonts w:ascii="Times New Roman" w:hAnsi="Times New Roman" w:cs="Times New Roman"/>
                <w:noProof/>
              </w:rPr>
              <w:t>4.1 Purpose and Objectives of Restructuring</w:t>
            </w:r>
            <w:r>
              <w:rPr>
                <w:noProof/>
                <w:webHidden/>
              </w:rPr>
              <w:tab/>
            </w:r>
            <w:r>
              <w:rPr>
                <w:noProof/>
                <w:webHidden/>
              </w:rPr>
              <w:fldChar w:fldCharType="begin"/>
            </w:r>
            <w:r>
              <w:rPr>
                <w:noProof/>
                <w:webHidden/>
              </w:rPr>
              <w:instrText xml:space="preserve"> PAGEREF _Toc212192261 \h </w:instrText>
            </w:r>
            <w:r>
              <w:rPr>
                <w:noProof/>
                <w:webHidden/>
              </w:rPr>
            </w:r>
            <w:r>
              <w:rPr>
                <w:noProof/>
                <w:webHidden/>
              </w:rPr>
              <w:fldChar w:fldCharType="separate"/>
            </w:r>
            <w:r>
              <w:rPr>
                <w:noProof/>
                <w:webHidden/>
              </w:rPr>
              <w:t>31</w:t>
            </w:r>
            <w:r>
              <w:rPr>
                <w:noProof/>
                <w:webHidden/>
              </w:rPr>
              <w:fldChar w:fldCharType="end"/>
            </w:r>
          </w:hyperlink>
        </w:p>
        <w:p w14:paraId="755536E3" w14:textId="77777777" w:rsidR="00DD3CEF" w:rsidRDefault="00DD3CEF">
          <w:pPr>
            <w:pStyle w:val="TOC3"/>
            <w:tabs>
              <w:tab w:val="right" w:leader="dot" w:pos="9350"/>
            </w:tabs>
            <w:rPr>
              <w:rFonts w:eastAsiaTheme="minorEastAsia"/>
              <w:noProof/>
            </w:rPr>
          </w:pPr>
          <w:hyperlink w:anchor="_Toc212192262" w:history="1">
            <w:r w:rsidRPr="008E7DBF">
              <w:rPr>
                <w:rStyle w:val="Hyperlink"/>
                <w:rFonts w:ascii="Times New Roman" w:hAnsi="Times New Roman" w:cs="Times New Roman"/>
                <w:noProof/>
              </w:rPr>
              <w:t>4.2 Short-Term Stabilisation Measures</w:t>
            </w:r>
            <w:r>
              <w:rPr>
                <w:noProof/>
                <w:webHidden/>
              </w:rPr>
              <w:tab/>
            </w:r>
            <w:r>
              <w:rPr>
                <w:noProof/>
                <w:webHidden/>
              </w:rPr>
              <w:fldChar w:fldCharType="begin"/>
            </w:r>
            <w:r>
              <w:rPr>
                <w:noProof/>
                <w:webHidden/>
              </w:rPr>
              <w:instrText xml:space="preserve"> PAGEREF _Toc212192262 \h </w:instrText>
            </w:r>
            <w:r>
              <w:rPr>
                <w:noProof/>
                <w:webHidden/>
              </w:rPr>
            </w:r>
            <w:r>
              <w:rPr>
                <w:noProof/>
                <w:webHidden/>
              </w:rPr>
              <w:fldChar w:fldCharType="separate"/>
            </w:r>
            <w:r>
              <w:rPr>
                <w:noProof/>
                <w:webHidden/>
              </w:rPr>
              <w:t>31</w:t>
            </w:r>
            <w:r>
              <w:rPr>
                <w:noProof/>
                <w:webHidden/>
              </w:rPr>
              <w:fldChar w:fldCharType="end"/>
            </w:r>
          </w:hyperlink>
        </w:p>
        <w:p w14:paraId="61279C99" w14:textId="77777777" w:rsidR="00DD3CEF" w:rsidRDefault="00DD3CEF">
          <w:pPr>
            <w:pStyle w:val="TOC3"/>
            <w:tabs>
              <w:tab w:val="right" w:leader="dot" w:pos="9350"/>
            </w:tabs>
            <w:rPr>
              <w:rFonts w:eastAsiaTheme="minorEastAsia"/>
              <w:noProof/>
            </w:rPr>
          </w:pPr>
          <w:hyperlink w:anchor="_Toc212192263" w:history="1">
            <w:r w:rsidRPr="008E7DBF">
              <w:rPr>
                <w:rStyle w:val="Hyperlink"/>
                <w:rFonts w:ascii="Times New Roman" w:hAnsi="Times New Roman" w:cs="Times New Roman"/>
                <w:noProof/>
              </w:rPr>
              <w:t>4.3 Capital Structure Restructuring</w:t>
            </w:r>
            <w:r>
              <w:rPr>
                <w:noProof/>
                <w:webHidden/>
              </w:rPr>
              <w:tab/>
            </w:r>
            <w:r>
              <w:rPr>
                <w:noProof/>
                <w:webHidden/>
              </w:rPr>
              <w:fldChar w:fldCharType="begin"/>
            </w:r>
            <w:r>
              <w:rPr>
                <w:noProof/>
                <w:webHidden/>
              </w:rPr>
              <w:instrText xml:space="preserve"> PAGEREF _Toc212192263 \h </w:instrText>
            </w:r>
            <w:r>
              <w:rPr>
                <w:noProof/>
                <w:webHidden/>
              </w:rPr>
            </w:r>
            <w:r>
              <w:rPr>
                <w:noProof/>
                <w:webHidden/>
              </w:rPr>
              <w:fldChar w:fldCharType="separate"/>
            </w:r>
            <w:r>
              <w:rPr>
                <w:noProof/>
                <w:webHidden/>
              </w:rPr>
              <w:t>32</w:t>
            </w:r>
            <w:r>
              <w:rPr>
                <w:noProof/>
                <w:webHidden/>
              </w:rPr>
              <w:fldChar w:fldCharType="end"/>
            </w:r>
          </w:hyperlink>
        </w:p>
        <w:p w14:paraId="47AF766B" w14:textId="77777777" w:rsidR="00DD3CEF" w:rsidRDefault="00DD3CEF">
          <w:pPr>
            <w:pStyle w:val="TOC3"/>
            <w:tabs>
              <w:tab w:val="right" w:leader="dot" w:pos="9350"/>
            </w:tabs>
            <w:rPr>
              <w:rFonts w:eastAsiaTheme="minorEastAsia"/>
              <w:noProof/>
            </w:rPr>
          </w:pPr>
          <w:hyperlink w:anchor="_Toc212192264" w:history="1">
            <w:r w:rsidRPr="008E7DBF">
              <w:rPr>
                <w:rStyle w:val="Hyperlink"/>
                <w:rFonts w:ascii="Times New Roman" w:hAnsi="Times New Roman" w:cs="Times New Roman"/>
                <w:noProof/>
              </w:rPr>
              <w:t>4.4 Cost and Operational Restructuring</w:t>
            </w:r>
            <w:r>
              <w:rPr>
                <w:noProof/>
                <w:webHidden/>
              </w:rPr>
              <w:tab/>
            </w:r>
            <w:r>
              <w:rPr>
                <w:noProof/>
                <w:webHidden/>
              </w:rPr>
              <w:fldChar w:fldCharType="begin"/>
            </w:r>
            <w:r>
              <w:rPr>
                <w:noProof/>
                <w:webHidden/>
              </w:rPr>
              <w:instrText xml:space="preserve"> PAGEREF _Toc212192264 \h </w:instrText>
            </w:r>
            <w:r>
              <w:rPr>
                <w:noProof/>
                <w:webHidden/>
              </w:rPr>
            </w:r>
            <w:r>
              <w:rPr>
                <w:noProof/>
                <w:webHidden/>
              </w:rPr>
              <w:fldChar w:fldCharType="separate"/>
            </w:r>
            <w:r>
              <w:rPr>
                <w:noProof/>
                <w:webHidden/>
              </w:rPr>
              <w:t>32</w:t>
            </w:r>
            <w:r>
              <w:rPr>
                <w:noProof/>
                <w:webHidden/>
              </w:rPr>
              <w:fldChar w:fldCharType="end"/>
            </w:r>
          </w:hyperlink>
        </w:p>
        <w:p w14:paraId="315EC2BC" w14:textId="77777777" w:rsidR="00DD3CEF" w:rsidRDefault="00DD3CEF">
          <w:pPr>
            <w:pStyle w:val="TOC3"/>
            <w:tabs>
              <w:tab w:val="right" w:leader="dot" w:pos="9350"/>
            </w:tabs>
            <w:rPr>
              <w:rFonts w:eastAsiaTheme="minorEastAsia"/>
              <w:noProof/>
            </w:rPr>
          </w:pPr>
          <w:hyperlink w:anchor="_Toc212192265" w:history="1">
            <w:r w:rsidRPr="008E7DBF">
              <w:rPr>
                <w:rStyle w:val="Hyperlink"/>
                <w:rFonts w:ascii="Times New Roman" w:hAnsi="Times New Roman" w:cs="Times New Roman"/>
                <w:noProof/>
              </w:rPr>
              <w:t>4.5 Revenue Recovery and Business Repositioning</w:t>
            </w:r>
            <w:r>
              <w:rPr>
                <w:noProof/>
                <w:webHidden/>
              </w:rPr>
              <w:tab/>
            </w:r>
            <w:r>
              <w:rPr>
                <w:noProof/>
                <w:webHidden/>
              </w:rPr>
              <w:fldChar w:fldCharType="begin"/>
            </w:r>
            <w:r>
              <w:rPr>
                <w:noProof/>
                <w:webHidden/>
              </w:rPr>
              <w:instrText xml:space="preserve"> PAGEREF _Toc212192265 \h </w:instrText>
            </w:r>
            <w:r>
              <w:rPr>
                <w:noProof/>
                <w:webHidden/>
              </w:rPr>
            </w:r>
            <w:r>
              <w:rPr>
                <w:noProof/>
                <w:webHidden/>
              </w:rPr>
              <w:fldChar w:fldCharType="separate"/>
            </w:r>
            <w:r>
              <w:rPr>
                <w:noProof/>
                <w:webHidden/>
              </w:rPr>
              <w:t>33</w:t>
            </w:r>
            <w:r>
              <w:rPr>
                <w:noProof/>
                <w:webHidden/>
              </w:rPr>
              <w:fldChar w:fldCharType="end"/>
            </w:r>
          </w:hyperlink>
        </w:p>
        <w:p w14:paraId="1B61744D" w14:textId="77777777" w:rsidR="00DD3CEF" w:rsidRDefault="00DD3CEF">
          <w:pPr>
            <w:pStyle w:val="TOC3"/>
            <w:tabs>
              <w:tab w:val="right" w:leader="dot" w:pos="9350"/>
            </w:tabs>
            <w:rPr>
              <w:rFonts w:eastAsiaTheme="minorEastAsia"/>
              <w:noProof/>
            </w:rPr>
          </w:pPr>
          <w:hyperlink w:anchor="_Toc212192266" w:history="1">
            <w:r w:rsidRPr="008E7DBF">
              <w:rPr>
                <w:rStyle w:val="Hyperlink"/>
                <w:rFonts w:ascii="Times New Roman" w:hAnsi="Times New Roman" w:cs="Times New Roman"/>
                <w:noProof/>
              </w:rPr>
              <w:t>4.6 Governance and Risk Oversight</w:t>
            </w:r>
            <w:r>
              <w:rPr>
                <w:noProof/>
                <w:webHidden/>
              </w:rPr>
              <w:tab/>
            </w:r>
            <w:r>
              <w:rPr>
                <w:noProof/>
                <w:webHidden/>
              </w:rPr>
              <w:fldChar w:fldCharType="begin"/>
            </w:r>
            <w:r>
              <w:rPr>
                <w:noProof/>
                <w:webHidden/>
              </w:rPr>
              <w:instrText xml:space="preserve"> PAGEREF _Toc212192266 \h </w:instrText>
            </w:r>
            <w:r>
              <w:rPr>
                <w:noProof/>
                <w:webHidden/>
              </w:rPr>
            </w:r>
            <w:r>
              <w:rPr>
                <w:noProof/>
                <w:webHidden/>
              </w:rPr>
              <w:fldChar w:fldCharType="separate"/>
            </w:r>
            <w:r>
              <w:rPr>
                <w:noProof/>
                <w:webHidden/>
              </w:rPr>
              <w:t>33</w:t>
            </w:r>
            <w:r>
              <w:rPr>
                <w:noProof/>
                <w:webHidden/>
              </w:rPr>
              <w:fldChar w:fldCharType="end"/>
            </w:r>
          </w:hyperlink>
        </w:p>
        <w:p w14:paraId="04B764D3" w14:textId="77777777" w:rsidR="00DD3CEF" w:rsidRDefault="00DD3CEF">
          <w:pPr>
            <w:pStyle w:val="TOC3"/>
            <w:tabs>
              <w:tab w:val="right" w:leader="dot" w:pos="9350"/>
            </w:tabs>
            <w:rPr>
              <w:rFonts w:eastAsiaTheme="minorEastAsia"/>
              <w:noProof/>
            </w:rPr>
          </w:pPr>
          <w:hyperlink w:anchor="_Toc212192267" w:history="1">
            <w:r w:rsidRPr="008E7DBF">
              <w:rPr>
                <w:rStyle w:val="Hyperlink"/>
                <w:rFonts w:ascii="Times New Roman" w:hAnsi="Times New Roman" w:cs="Times New Roman"/>
                <w:noProof/>
              </w:rPr>
              <w:t>4.7 Long-Term Sustainability and Digital Finance</w:t>
            </w:r>
            <w:r>
              <w:rPr>
                <w:noProof/>
                <w:webHidden/>
              </w:rPr>
              <w:tab/>
            </w:r>
            <w:r>
              <w:rPr>
                <w:noProof/>
                <w:webHidden/>
              </w:rPr>
              <w:fldChar w:fldCharType="begin"/>
            </w:r>
            <w:r>
              <w:rPr>
                <w:noProof/>
                <w:webHidden/>
              </w:rPr>
              <w:instrText xml:space="preserve"> PAGEREF _Toc212192267 \h </w:instrText>
            </w:r>
            <w:r>
              <w:rPr>
                <w:noProof/>
                <w:webHidden/>
              </w:rPr>
            </w:r>
            <w:r>
              <w:rPr>
                <w:noProof/>
                <w:webHidden/>
              </w:rPr>
              <w:fldChar w:fldCharType="separate"/>
            </w:r>
            <w:r>
              <w:rPr>
                <w:noProof/>
                <w:webHidden/>
              </w:rPr>
              <w:t>33</w:t>
            </w:r>
            <w:r>
              <w:rPr>
                <w:noProof/>
                <w:webHidden/>
              </w:rPr>
              <w:fldChar w:fldCharType="end"/>
            </w:r>
          </w:hyperlink>
        </w:p>
        <w:p w14:paraId="0AA3A4A2" w14:textId="77777777" w:rsidR="00DD3CEF" w:rsidRDefault="00DD3CEF">
          <w:pPr>
            <w:pStyle w:val="TOC3"/>
            <w:tabs>
              <w:tab w:val="right" w:leader="dot" w:pos="9350"/>
            </w:tabs>
            <w:rPr>
              <w:rFonts w:eastAsiaTheme="minorEastAsia"/>
              <w:noProof/>
            </w:rPr>
          </w:pPr>
          <w:hyperlink w:anchor="_Toc212192268" w:history="1">
            <w:r w:rsidRPr="008E7DBF">
              <w:rPr>
                <w:rStyle w:val="Hyperlink"/>
                <w:rFonts w:ascii="Times New Roman" w:hAnsi="Times New Roman" w:cs="Times New Roman"/>
                <w:noProof/>
              </w:rPr>
              <w:t>4.8 Expected Outcomes and Critical Reflection</w:t>
            </w:r>
            <w:r>
              <w:rPr>
                <w:noProof/>
                <w:webHidden/>
              </w:rPr>
              <w:tab/>
            </w:r>
            <w:r>
              <w:rPr>
                <w:noProof/>
                <w:webHidden/>
              </w:rPr>
              <w:fldChar w:fldCharType="begin"/>
            </w:r>
            <w:r>
              <w:rPr>
                <w:noProof/>
                <w:webHidden/>
              </w:rPr>
              <w:instrText xml:space="preserve"> PAGEREF _Toc212192268 \h </w:instrText>
            </w:r>
            <w:r>
              <w:rPr>
                <w:noProof/>
                <w:webHidden/>
              </w:rPr>
            </w:r>
            <w:r>
              <w:rPr>
                <w:noProof/>
                <w:webHidden/>
              </w:rPr>
              <w:fldChar w:fldCharType="separate"/>
            </w:r>
            <w:r>
              <w:rPr>
                <w:noProof/>
                <w:webHidden/>
              </w:rPr>
              <w:t>34</w:t>
            </w:r>
            <w:r>
              <w:rPr>
                <w:noProof/>
                <w:webHidden/>
              </w:rPr>
              <w:fldChar w:fldCharType="end"/>
            </w:r>
          </w:hyperlink>
        </w:p>
        <w:p w14:paraId="42EF943F" w14:textId="77777777" w:rsidR="00DD3CEF" w:rsidRDefault="00DD3CEF">
          <w:pPr>
            <w:pStyle w:val="TOC1"/>
            <w:tabs>
              <w:tab w:val="right" w:leader="dot" w:pos="9350"/>
            </w:tabs>
            <w:rPr>
              <w:rFonts w:eastAsiaTheme="minorEastAsia"/>
              <w:noProof/>
            </w:rPr>
          </w:pPr>
          <w:hyperlink w:anchor="_Toc212192269" w:history="1">
            <w:r w:rsidRPr="008E7DBF">
              <w:rPr>
                <w:rStyle w:val="Hyperlink"/>
                <w:rFonts w:ascii="Times New Roman" w:hAnsi="Times New Roman" w:cs="Times New Roman"/>
                <w:noProof/>
              </w:rPr>
              <w:t>5.0: Investment Appraisal and Capital Budgeting</w:t>
            </w:r>
            <w:r>
              <w:rPr>
                <w:noProof/>
                <w:webHidden/>
              </w:rPr>
              <w:tab/>
            </w:r>
            <w:r>
              <w:rPr>
                <w:noProof/>
                <w:webHidden/>
              </w:rPr>
              <w:fldChar w:fldCharType="begin"/>
            </w:r>
            <w:r>
              <w:rPr>
                <w:noProof/>
                <w:webHidden/>
              </w:rPr>
              <w:instrText xml:space="preserve"> PAGEREF _Toc212192269 \h </w:instrText>
            </w:r>
            <w:r>
              <w:rPr>
                <w:noProof/>
                <w:webHidden/>
              </w:rPr>
            </w:r>
            <w:r>
              <w:rPr>
                <w:noProof/>
                <w:webHidden/>
              </w:rPr>
              <w:fldChar w:fldCharType="separate"/>
            </w:r>
            <w:r>
              <w:rPr>
                <w:noProof/>
                <w:webHidden/>
              </w:rPr>
              <w:t>35</w:t>
            </w:r>
            <w:r>
              <w:rPr>
                <w:noProof/>
                <w:webHidden/>
              </w:rPr>
              <w:fldChar w:fldCharType="end"/>
            </w:r>
          </w:hyperlink>
        </w:p>
        <w:p w14:paraId="7C1713F8" w14:textId="77777777" w:rsidR="00DD3CEF" w:rsidRDefault="00DD3CEF">
          <w:pPr>
            <w:pStyle w:val="TOC2"/>
            <w:tabs>
              <w:tab w:val="right" w:leader="dot" w:pos="9350"/>
            </w:tabs>
            <w:rPr>
              <w:rFonts w:eastAsiaTheme="minorEastAsia"/>
              <w:noProof/>
            </w:rPr>
          </w:pPr>
          <w:hyperlink w:anchor="_Toc212192270" w:history="1">
            <w:r w:rsidRPr="008E7DBF">
              <w:rPr>
                <w:rStyle w:val="Hyperlink"/>
                <w:noProof/>
              </w:rPr>
              <w:t>5.1 Payback Period Analysis</w:t>
            </w:r>
            <w:r>
              <w:rPr>
                <w:noProof/>
                <w:webHidden/>
              </w:rPr>
              <w:tab/>
            </w:r>
            <w:r>
              <w:rPr>
                <w:noProof/>
                <w:webHidden/>
              </w:rPr>
              <w:fldChar w:fldCharType="begin"/>
            </w:r>
            <w:r>
              <w:rPr>
                <w:noProof/>
                <w:webHidden/>
              </w:rPr>
              <w:instrText xml:space="preserve"> PAGEREF _Toc212192270 \h </w:instrText>
            </w:r>
            <w:r>
              <w:rPr>
                <w:noProof/>
                <w:webHidden/>
              </w:rPr>
            </w:r>
            <w:r>
              <w:rPr>
                <w:noProof/>
                <w:webHidden/>
              </w:rPr>
              <w:fldChar w:fldCharType="separate"/>
            </w:r>
            <w:r>
              <w:rPr>
                <w:noProof/>
                <w:webHidden/>
              </w:rPr>
              <w:t>35</w:t>
            </w:r>
            <w:r>
              <w:rPr>
                <w:noProof/>
                <w:webHidden/>
              </w:rPr>
              <w:fldChar w:fldCharType="end"/>
            </w:r>
          </w:hyperlink>
        </w:p>
        <w:p w14:paraId="1C65FE31" w14:textId="77777777" w:rsidR="00DD3CEF" w:rsidRDefault="00DD3CEF">
          <w:pPr>
            <w:pStyle w:val="TOC2"/>
            <w:tabs>
              <w:tab w:val="right" w:leader="dot" w:pos="9350"/>
            </w:tabs>
            <w:rPr>
              <w:rFonts w:eastAsiaTheme="minorEastAsia"/>
              <w:noProof/>
            </w:rPr>
          </w:pPr>
          <w:hyperlink w:anchor="_Toc212192271" w:history="1">
            <w:r w:rsidRPr="008E7DBF">
              <w:rPr>
                <w:rStyle w:val="Hyperlink"/>
                <w:noProof/>
              </w:rPr>
              <w:t>5.2 Accounting Rate of Return (ARR)</w:t>
            </w:r>
            <w:r>
              <w:rPr>
                <w:noProof/>
                <w:webHidden/>
              </w:rPr>
              <w:tab/>
            </w:r>
            <w:r>
              <w:rPr>
                <w:noProof/>
                <w:webHidden/>
              </w:rPr>
              <w:fldChar w:fldCharType="begin"/>
            </w:r>
            <w:r>
              <w:rPr>
                <w:noProof/>
                <w:webHidden/>
              </w:rPr>
              <w:instrText xml:space="preserve"> PAGEREF _Toc212192271 \h </w:instrText>
            </w:r>
            <w:r>
              <w:rPr>
                <w:noProof/>
                <w:webHidden/>
              </w:rPr>
            </w:r>
            <w:r>
              <w:rPr>
                <w:noProof/>
                <w:webHidden/>
              </w:rPr>
              <w:fldChar w:fldCharType="separate"/>
            </w:r>
            <w:r>
              <w:rPr>
                <w:noProof/>
                <w:webHidden/>
              </w:rPr>
              <w:t>36</w:t>
            </w:r>
            <w:r>
              <w:rPr>
                <w:noProof/>
                <w:webHidden/>
              </w:rPr>
              <w:fldChar w:fldCharType="end"/>
            </w:r>
          </w:hyperlink>
        </w:p>
        <w:p w14:paraId="0FD56343" w14:textId="77777777" w:rsidR="00DD3CEF" w:rsidRDefault="00DD3CEF">
          <w:pPr>
            <w:pStyle w:val="TOC2"/>
            <w:tabs>
              <w:tab w:val="right" w:leader="dot" w:pos="9350"/>
            </w:tabs>
            <w:rPr>
              <w:rFonts w:eastAsiaTheme="minorEastAsia"/>
              <w:noProof/>
            </w:rPr>
          </w:pPr>
          <w:hyperlink w:anchor="_Toc212192272" w:history="1">
            <w:r w:rsidRPr="008E7DBF">
              <w:rPr>
                <w:rStyle w:val="Hyperlink"/>
                <w:noProof/>
              </w:rPr>
              <w:t>5.3 Net Present Value (NPV)</w:t>
            </w:r>
            <w:r>
              <w:rPr>
                <w:noProof/>
                <w:webHidden/>
              </w:rPr>
              <w:tab/>
            </w:r>
            <w:r>
              <w:rPr>
                <w:noProof/>
                <w:webHidden/>
              </w:rPr>
              <w:fldChar w:fldCharType="begin"/>
            </w:r>
            <w:r>
              <w:rPr>
                <w:noProof/>
                <w:webHidden/>
              </w:rPr>
              <w:instrText xml:space="preserve"> PAGEREF _Toc212192272 \h </w:instrText>
            </w:r>
            <w:r>
              <w:rPr>
                <w:noProof/>
                <w:webHidden/>
              </w:rPr>
            </w:r>
            <w:r>
              <w:rPr>
                <w:noProof/>
                <w:webHidden/>
              </w:rPr>
              <w:fldChar w:fldCharType="separate"/>
            </w:r>
            <w:r>
              <w:rPr>
                <w:noProof/>
                <w:webHidden/>
              </w:rPr>
              <w:t>37</w:t>
            </w:r>
            <w:r>
              <w:rPr>
                <w:noProof/>
                <w:webHidden/>
              </w:rPr>
              <w:fldChar w:fldCharType="end"/>
            </w:r>
          </w:hyperlink>
        </w:p>
        <w:p w14:paraId="084DC36E" w14:textId="77777777" w:rsidR="00DD3CEF" w:rsidRDefault="00DD3CEF">
          <w:pPr>
            <w:pStyle w:val="TOC2"/>
            <w:tabs>
              <w:tab w:val="right" w:leader="dot" w:pos="9350"/>
            </w:tabs>
            <w:rPr>
              <w:rFonts w:eastAsiaTheme="minorEastAsia"/>
              <w:noProof/>
            </w:rPr>
          </w:pPr>
          <w:hyperlink w:anchor="_Toc212192273" w:history="1">
            <w:r w:rsidRPr="008E7DBF">
              <w:rPr>
                <w:rStyle w:val="Hyperlink"/>
                <w:noProof/>
              </w:rPr>
              <w:t>5.6 Sensitivity and Risk Analysis</w:t>
            </w:r>
            <w:r>
              <w:rPr>
                <w:noProof/>
                <w:webHidden/>
              </w:rPr>
              <w:tab/>
            </w:r>
            <w:r>
              <w:rPr>
                <w:noProof/>
                <w:webHidden/>
              </w:rPr>
              <w:fldChar w:fldCharType="begin"/>
            </w:r>
            <w:r>
              <w:rPr>
                <w:noProof/>
                <w:webHidden/>
              </w:rPr>
              <w:instrText xml:space="preserve"> PAGEREF _Toc212192273 \h </w:instrText>
            </w:r>
            <w:r>
              <w:rPr>
                <w:noProof/>
                <w:webHidden/>
              </w:rPr>
            </w:r>
            <w:r>
              <w:rPr>
                <w:noProof/>
                <w:webHidden/>
              </w:rPr>
              <w:fldChar w:fldCharType="separate"/>
            </w:r>
            <w:r>
              <w:rPr>
                <w:noProof/>
                <w:webHidden/>
              </w:rPr>
              <w:t>39</w:t>
            </w:r>
            <w:r>
              <w:rPr>
                <w:noProof/>
                <w:webHidden/>
              </w:rPr>
              <w:fldChar w:fldCharType="end"/>
            </w:r>
          </w:hyperlink>
        </w:p>
        <w:p w14:paraId="2A4F0E61" w14:textId="77777777" w:rsidR="00DD3CEF" w:rsidRDefault="00DD3CEF">
          <w:pPr>
            <w:pStyle w:val="TOC1"/>
            <w:tabs>
              <w:tab w:val="right" w:leader="dot" w:pos="9350"/>
            </w:tabs>
            <w:rPr>
              <w:rFonts w:eastAsiaTheme="minorEastAsia"/>
              <w:noProof/>
            </w:rPr>
          </w:pPr>
          <w:hyperlink w:anchor="_Toc212192274" w:history="1">
            <w:r w:rsidRPr="008E7DBF">
              <w:rPr>
                <w:rStyle w:val="Hyperlink"/>
                <w:rFonts w:ascii="Times New Roman" w:hAnsi="Times New Roman" w:cs="Times New Roman"/>
                <w:noProof/>
              </w:rPr>
              <w:t>6.0: Ethical, Global, and Governance Considerations</w:t>
            </w:r>
            <w:r>
              <w:rPr>
                <w:noProof/>
                <w:webHidden/>
              </w:rPr>
              <w:tab/>
            </w:r>
            <w:r>
              <w:rPr>
                <w:noProof/>
                <w:webHidden/>
              </w:rPr>
              <w:fldChar w:fldCharType="begin"/>
            </w:r>
            <w:r>
              <w:rPr>
                <w:noProof/>
                <w:webHidden/>
              </w:rPr>
              <w:instrText xml:space="preserve"> PAGEREF _Toc212192274 \h </w:instrText>
            </w:r>
            <w:r>
              <w:rPr>
                <w:noProof/>
                <w:webHidden/>
              </w:rPr>
            </w:r>
            <w:r>
              <w:rPr>
                <w:noProof/>
                <w:webHidden/>
              </w:rPr>
              <w:fldChar w:fldCharType="separate"/>
            </w:r>
            <w:r>
              <w:rPr>
                <w:noProof/>
                <w:webHidden/>
              </w:rPr>
              <w:t>41</w:t>
            </w:r>
            <w:r>
              <w:rPr>
                <w:noProof/>
                <w:webHidden/>
              </w:rPr>
              <w:fldChar w:fldCharType="end"/>
            </w:r>
          </w:hyperlink>
        </w:p>
        <w:p w14:paraId="35E77AA7" w14:textId="77777777" w:rsidR="00DD3CEF" w:rsidRDefault="00DD3CEF">
          <w:pPr>
            <w:pStyle w:val="TOC2"/>
            <w:tabs>
              <w:tab w:val="right" w:leader="dot" w:pos="9350"/>
            </w:tabs>
            <w:rPr>
              <w:rFonts w:eastAsiaTheme="minorEastAsia"/>
              <w:noProof/>
            </w:rPr>
          </w:pPr>
          <w:hyperlink w:anchor="_Toc212192275" w:history="1">
            <w:r w:rsidRPr="008E7DBF">
              <w:rPr>
                <w:rStyle w:val="Hyperlink"/>
                <w:noProof/>
              </w:rPr>
              <w:t>6.1 Ethical Financial Practices</w:t>
            </w:r>
            <w:r>
              <w:rPr>
                <w:noProof/>
                <w:webHidden/>
              </w:rPr>
              <w:tab/>
            </w:r>
            <w:r>
              <w:rPr>
                <w:noProof/>
                <w:webHidden/>
              </w:rPr>
              <w:fldChar w:fldCharType="begin"/>
            </w:r>
            <w:r>
              <w:rPr>
                <w:noProof/>
                <w:webHidden/>
              </w:rPr>
              <w:instrText xml:space="preserve"> PAGEREF _Toc212192275 \h </w:instrText>
            </w:r>
            <w:r>
              <w:rPr>
                <w:noProof/>
                <w:webHidden/>
              </w:rPr>
            </w:r>
            <w:r>
              <w:rPr>
                <w:noProof/>
                <w:webHidden/>
              </w:rPr>
              <w:fldChar w:fldCharType="separate"/>
            </w:r>
            <w:r>
              <w:rPr>
                <w:noProof/>
                <w:webHidden/>
              </w:rPr>
              <w:t>41</w:t>
            </w:r>
            <w:r>
              <w:rPr>
                <w:noProof/>
                <w:webHidden/>
              </w:rPr>
              <w:fldChar w:fldCharType="end"/>
            </w:r>
          </w:hyperlink>
        </w:p>
        <w:p w14:paraId="0C59233A" w14:textId="77777777" w:rsidR="00DD3CEF" w:rsidRDefault="00DD3CEF">
          <w:pPr>
            <w:pStyle w:val="TOC2"/>
            <w:tabs>
              <w:tab w:val="right" w:leader="dot" w:pos="9350"/>
            </w:tabs>
            <w:rPr>
              <w:rFonts w:eastAsiaTheme="minorEastAsia"/>
              <w:noProof/>
            </w:rPr>
          </w:pPr>
          <w:hyperlink w:anchor="_Toc212192276" w:history="1">
            <w:r w:rsidRPr="008E7DBF">
              <w:rPr>
                <w:rStyle w:val="Hyperlink"/>
                <w:noProof/>
              </w:rPr>
              <w:t>6.2 Corporate Governance and Board Accountability</w:t>
            </w:r>
            <w:r>
              <w:rPr>
                <w:noProof/>
                <w:webHidden/>
              </w:rPr>
              <w:tab/>
            </w:r>
            <w:r>
              <w:rPr>
                <w:noProof/>
                <w:webHidden/>
              </w:rPr>
              <w:fldChar w:fldCharType="begin"/>
            </w:r>
            <w:r>
              <w:rPr>
                <w:noProof/>
                <w:webHidden/>
              </w:rPr>
              <w:instrText xml:space="preserve"> PAGEREF _Toc212192276 \h </w:instrText>
            </w:r>
            <w:r>
              <w:rPr>
                <w:noProof/>
                <w:webHidden/>
              </w:rPr>
            </w:r>
            <w:r>
              <w:rPr>
                <w:noProof/>
                <w:webHidden/>
              </w:rPr>
              <w:fldChar w:fldCharType="separate"/>
            </w:r>
            <w:r>
              <w:rPr>
                <w:noProof/>
                <w:webHidden/>
              </w:rPr>
              <w:t>41</w:t>
            </w:r>
            <w:r>
              <w:rPr>
                <w:noProof/>
                <w:webHidden/>
              </w:rPr>
              <w:fldChar w:fldCharType="end"/>
            </w:r>
          </w:hyperlink>
        </w:p>
        <w:p w14:paraId="52A91148" w14:textId="77777777" w:rsidR="00DD3CEF" w:rsidRDefault="00DD3CEF">
          <w:pPr>
            <w:pStyle w:val="TOC2"/>
            <w:tabs>
              <w:tab w:val="right" w:leader="dot" w:pos="9350"/>
            </w:tabs>
            <w:rPr>
              <w:rFonts w:eastAsiaTheme="minorEastAsia"/>
              <w:noProof/>
            </w:rPr>
          </w:pPr>
          <w:hyperlink w:anchor="_Toc212192277" w:history="1">
            <w:r w:rsidRPr="008E7DBF">
              <w:rPr>
                <w:rStyle w:val="Hyperlink"/>
                <w:noProof/>
              </w:rPr>
              <w:t>6.3 Corporate Social Responsibility (CSR) and Environmental Ethics</w:t>
            </w:r>
            <w:r>
              <w:rPr>
                <w:noProof/>
                <w:webHidden/>
              </w:rPr>
              <w:tab/>
            </w:r>
            <w:r>
              <w:rPr>
                <w:noProof/>
                <w:webHidden/>
              </w:rPr>
              <w:fldChar w:fldCharType="begin"/>
            </w:r>
            <w:r>
              <w:rPr>
                <w:noProof/>
                <w:webHidden/>
              </w:rPr>
              <w:instrText xml:space="preserve"> PAGEREF _Toc212192277 \h </w:instrText>
            </w:r>
            <w:r>
              <w:rPr>
                <w:noProof/>
                <w:webHidden/>
              </w:rPr>
            </w:r>
            <w:r>
              <w:rPr>
                <w:noProof/>
                <w:webHidden/>
              </w:rPr>
              <w:fldChar w:fldCharType="separate"/>
            </w:r>
            <w:r>
              <w:rPr>
                <w:noProof/>
                <w:webHidden/>
              </w:rPr>
              <w:t>41</w:t>
            </w:r>
            <w:r>
              <w:rPr>
                <w:noProof/>
                <w:webHidden/>
              </w:rPr>
              <w:fldChar w:fldCharType="end"/>
            </w:r>
          </w:hyperlink>
        </w:p>
        <w:p w14:paraId="3B08CD40" w14:textId="77777777" w:rsidR="00DD3CEF" w:rsidRDefault="00DD3CEF">
          <w:pPr>
            <w:pStyle w:val="TOC2"/>
            <w:tabs>
              <w:tab w:val="right" w:leader="dot" w:pos="9350"/>
            </w:tabs>
            <w:rPr>
              <w:rFonts w:eastAsiaTheme="minorEastAsia"/>
              <w:noProof/>
            </w:rPr>
          </w:pPr>
          <w:hyperlink w:anchor="_Toc212192278" w:history="1">
            <w:r w:rsidRPr="008E7DBF">
              <w:rPr>
                <w:rStyle w:val="Hyperlink"/>
                <w:noProof/>
              </w:rPr>
              <w:t>6.4 Global Governance and Anti-Corruption Frameworks</w:t>
            </w:r>
            <w:r>
              <w:rPr>
                <w:noProof/>
                <w:webHidden/>
              </w:rPr>
              <w:tab/>
            </w:r>
            <w:r>
              <w:rPr>
                <w:noProof/>
                <w:webHidden/>
              </w:rPr>
              <w:fldChar w:fldCharType="begin"/>
            </w:r>
            <w:r>
              <w:rPr>
                <w:noProof/>
                <w:webHidden/>
              </w:rPr>
              <w:instrText xml:space="preserve"> PAGEREF _Toc212192278 \h </w:instrText>
            </w:r>
            <w:r>
              <w:rPr>
                <w:noProof/>
                <w:webHidden/>
              </w:rPr>
            </w:r>
            <w:r>
              <w:rPr>
                <w:noProof/>
                <w:webHidden/>
              </w:rPr>
              <w:fldChar w:fldCharType="separate"/>
            </w:r>
            <w:r>
              <w:rPr>
                <w:noProof/>
                <w:webHidden/>
              </w:rPr>
              <w:t>42</w:t>
            </w:r>
            <w:r>
              <w:rPr>
                <w:noProof/>
                <w:webHidden/>
              </w:rPr>
              <w:fldChar w:fldCharType="end"/>
            </w:r>
          </w:hyperlink>
        </w:p>
        <w:p w14:paraId="5BB6DEC6" w14:textId="77777777" w:rsidR="00DD3CEF" w:rsidRDefault="00DD3CEF">
          <w:pPr>
            <w:pStyle w:val="TOC2"/>
            <w:tabs>
              <w:tab w:val="right" w:leader="dot" w:pos="9350"/>
            </w:tabs>
            <w:rPr>
              <w:rFonts w:eastAsiaTheme="minorEastAsia"/>
              <w:noProof/>
            </w:rPr>
          </w:pPr>
          <w:hyperlink w:anchor="_Toc212192279" w:history="1">
            <w:r w:rsidRPr="008E7DBF">
              <w:rPr>
                <w:rStyle w:val="Hyperlink"/>
                <w:noProof/>
              </w:rPr>
              <w:t>6.5 Ethical Challenges in Financial Restructuring</w:t>
            </w:r>
            <w:r>
              <w:rPr>
                <w:noProof/>
                <w:webHidden/>
              </w:rPr>
              <w:tab/>
            </w:r>
            <w:r>
              <w:rPr>
                <w:noProof/>
                <w:webHidden/>
              </w:rPr>
              <w:fldChar w:fldCharType="begin"/>
            </w:r>
            <w:r>
              <w:rPr>
                <w:noProof/>
                <w:webHidden/>
              </w:rPr>
              <w:instrText xml:space="preserve"> PAGEREF _Toc212192279 \h </w:instrText>
            </w:r>
            <w:r>
              <w:rPr>
                <w:noProof/>
                <w:webHidden/>
              </w:rPr>
            </w:r>
            <w:r>
              <w:rPr>
                <w:noProof/>
                <w:webHidden/>
              </w:rPr>
              <w:fldChar w:fldCharType="separate"/>
            </w:r>
            <w:r>
              <w:rPr>
                <w:noProof/>
                <w:webHidden/>
              </w:rPr>
              <w:t>42</w:t>
            </w:r>
            <w:r>
              <w:rPr>
                <w:noProof/>
                <w:webHidden/>
              </w:rPr>
              <w:fldChar w:fldCharType="end"/>
            </w:r>
          </w:hyperlink>
        </w:p>
        <w:p w14:paraId="118D398F" w14:textId="77777777" w:rsidR="00DD3CEF" w:rsidRDefault="00DD3CEF">
          <w:pPr>
            <w:pStyle w:val="TOC2"/>
            <w:tabs>
              <w:tab w:val="right" w:leader="dot" w:pos="9350"/>
            </w:tabs>
            <w:rPr>
              <w:rFonts w:eastAsiaTheme="minorEastAsia"/>
              <w:noProof/>
            </w:rPr>
          </w:pPr>
          <w:hyperlink w:anchor="_Toc212192280" w:history="1">
            <w:r w:rsidRPr="008E7DBF">
              <w:rPr>
                <w:rStyle w:val="Hyperlink"/>
                <w:noProof/>
              </w:rPr>
              <w:t>6.6 Integration of Ethics with Corporate Performance</w:t>
            </w:r>
            <w:r>
              <w:rPr>
                <w:noProof/>
                <w:webHidden/>
              </w:rPr>
              <w:tab/>
            </w:r>
            <w:r>
              <w:rPr>
                <w:noProof/>
                <w:webHidden/>
              </w:rPr>
              <w:fldChar w:fldCharType="begin"/>
            </w:r>
            <w:r>
              <w:rPr>
                <w:noProof/>
                <w:webHidden/>
              </w:rPr>
              <w:instrText xml:space="preserve"> PAGEREF _Toc212192280 \h </w:instrText>
            </w:r>
            <w:r>
              <w:rPr>
                <w:noProof/>
                <w:webHidden/>
              </w:rPr>
            </w:r>
            <w:r>
              <w:rPr>
                <w:noProof/>
                <w:webHidden/>
              </w:rPr>
              <w:fldChar w:fldCharType="separate"/>
            </w:r>
            <w:r>
              <w:rPr>
                <w:noProof/>
                <w:webHidden/>
              </w:rPr>
              <w:t>42</w:t>
            </w:r>
            <w:r>
              <w:rPr>
                <w:noProof/>
                <w:webHidden/>
              </w:rPr>
              <w:fldChar w:fldCharType="end"/>
            </w:r>
          </w:hyperlink>
        </w:p>
        <w:p w14:paraId="71E5DE71" w14:textId="77777777" w:rsidR="00DD3CEF" w:rsidRDefault="00DD3CEF">
          <w:pPr>
            <w:pStyle w:val="TOC1"/>
            <w:tabs>
              <w:tab w:val="right" w:leader="dot" w:pos="9350"/>
            </w:tabs>
            <w:rPr>
              <w:rFonts w:eastAsiaTheme="minorEastAsia"/>
              <w:noProof/>
            </w:rPr>
          </w:pPr>
          <w:hyperlink w:anchor="_Toc212192281" w:history="1">
            <w:r w:rsidRPr="008E7DBF">
              <w:rPr>
                <w:rStyle w:val="Hyperlink"/>
                <w:rFonts w:ascii="Times New Roman" w:hAnsi="Times New Roman" w:cs="Times New Roman"/>
                <w:noProof/>
              </w:rPr>
              <w:t>7.0: Conclusion and Recommendations</w:t>
            </w:r>
            <w:r>
              <w:rPr>
                <w:noProof/>
                <w:webHidden/>
              </w:rPr>
              <w:tab/>
            </w:r>
            <w:r>
              <w:rPr>
                <w:noProof/>
                <w:webHidden/>
              </w:rPr>
              <w:fldChar w:fldCharType="begin"/>
            </w:r>
            <w:r>
              <w:rPr>
                <w:noProof/>
                <w:webHidden/>
              </w:rPr>
              <w:instrText xml:space="preserve"> PAGEREF _Toc212192281 \h </w:instrText>
            </w:r>
            <w:r>
              <w:rPr>
                <w:noProof/>
                <w:webHidden/>
              </w:rPr>
            </w:r>
            <w:r>
              <w:rPr>
                <w:noProof/>
                <w:webHidden/>
              </w:rPr>
              <w:fldChar w:fldCharType="separate"/>
            </w:r>
            <w:r>
              <w:rPr>
                <w:noProof/>
                <w:webHidden/>
              </w:rPr>
              <w:t>44</w:t>
            </w:r>
            <w:r>
              <w:rPr>
                <w:noProof/>
                <w:webHidden/>
              </w:rPr>
              <w:fldChar w:fldCharType="end"/>
            </w:r>
          </w:hyperlink>
        </w:p>
        <w:p w14:paraId="1A93776F" w14:textId="77777777" w:rsidR="00DD3CEF" w:rsidRDefault="00DD3CEF">
          <w:pPr>
            <w:pStyle w:val="TOC1"/>
            <w:tabs>
              <w:tab w:val="right" w:leader="dot" w:pos="9350"/>
            </w:tabs>
            <w:rPr>
              <w:rFonts w:eastAsiaTheme="minorEastAsia"/>
              <w:noProof/>
            </w:rPr>
          </w:pPr>
          <w:hyperlink w:anchor="_Toc212192282" w:history="1">
            <w:r w:rsidRPr="008E7DBF">
              <w:rPr>
                <w:rStyle w:val="Hyperlink"/>
                <w:rFonts w:eastAsia="Times New Roman"/>
                <w:noProof/>
              </w:rPr>
              <w:t>8.0 References</w:t>
            </w:r>
            <w:r>
              <w:rPr>
                <w:noProof/>
                <w:webHidden/>
              </w:rPr>
              <w:tab/>
            </w:r>
            <w:r>
              <w:rPr>
                <w:noProof/>
                <w:webHidden/>
              </w:rPr>
              <w:fldChar w:fldCharType="begin"/>
            </w:r>
            <w:r>
              <w:rPr>
                <w:noProof/>
                <w:webHidden/>
              </w:rPr>
              <w:instrText xml:space="preserve"> PAGEREF _Toc212192282 \h </w:instrText>
            </w:r>
            <w:r>
              <w:rPr>
                <w:noProof/>
                <w:webHidden/>
              </w:rPr>
            </w:r>
            <w:r>
              <w:rPr>
                <w:noProof/>
                <w:webHidden/>
              </w:rPr>
              <w:fldChar w:fldCharType="separate"/>
            </w:r>
            <w:r>
              <w:rPr>
                <w:noProof/>
                <w:webHidden/>
              </w:rPr>
              <w:t>45</w:t>
            </w:r>
            <w:r>
              <w:rPr>
                <w:noProof/>
                <w:webHidden/>
              </w:rPr>
              <w:fldChar w:fldCharType="end"/>
            </w:r>
          </w:hyperlink>
        </w:p>
        <w:p w14:paraId="2659A3D5" w14:textId="77777777" w:rsidR="001F5A23" w:rsidRDefault="001F5A23">
          <w:r>
            <w:rPr>
              <w:b/>
              <w:bCs/>
              <w:noProof/>
            </w:rPr>
            <w:fldChar w:fldCharType="end"/>
          </w:r>
        </w:p>
      </w:sdtContent>
    </w:sdt>
    <w:p w14:paraId="57EEF94B" w14:textId="77777777" w:rsidR="001F5A23" w:rsidRDefault="001F5A23">
      <w:pPr>
        <w:rPr>
          <w:rStyle w:val="Strong"/>
          <w:rFonts w:ascii="Times New Roman" w:eastAsia="Times New Roman" w:hAnsi="Times New Roman" w:cs="Times New Roman"/>
          <w:sz w:val="24"/>
          <w:szCs w:val="24"/>
        </w:rPr>
      </w:pPr>
      <w:r>
        <w:rPr>
          <w:rStyle w:val="Strong"/>
          <w:b w:val="0"/>
          <w:bCs w:val="0"/>
          <w:sz w:val="24"/>
          <w:szCs w:val="24"/>
        </w:rPr>
        <w:br w:type="page"/>
      </w:r>
    </w:p>
    <w:p w14:paraId="05DEA710" w14:textId="77777777" w:rsidR="007D23FD" w:rsidRPr="006D174E" w:rsidRDefault="006D174E" w:rsidP="006D174E">
      <w:pPr>
        <w:pStyle w:val="Heading2"/>
        <w:spacing w:before="240" w:beforeAutospacing="0" w:after="240" w:afterAutospacing="0" w:line="360" w:lineRule="auto"/>
        <w:jc w:val="both"/>
        <w:rPr>
          <w:sz w:val="24"/>
          <w:szCs w:val="24"/>
        </w:rPr>
      </w:pPr>
      <w:bookmarkStart w:id="1" w:name="_Toc212192243"/>
      <w:r>
        <w:rPr>
          <w:rStyle w:val="Strong"/>
          <w:b/>
          <w:bCs/>
          <w:sz w:val="24"/>
          <w:szCs w:val="24"/>
        </w:rPr>
        <w:lastRenderedPageBreak/>
        <w:t xml:space="preserve">1.0 </w:t>
      </w:r>
      <w:r w:rsidR="007D23FD" w:rsidRPr="006D174E">
        <w:rPr>
          <w:rStyle w:val="Strong"/>
          <w:b/>
          <w:bCs/>
          <w:sz w:val="24"/>
          <w:szCs w:val="24"/>
        </w:rPr>
        <w:t>Introduction</w:t>
      </w:r>
      <w:bookmarkEnd w:id="0"/>
      <w:bookmarkEnd w:id="1"/>
    </w:p>
    <w:p w14:paraId="49BBCB1B" w14:textId="77777777" w:rsidR="007D23FD" w:rsidRPr="006D174E" w:rsidRDefault="00A5681D" w:rsidP="006D174E">
      <w:pPr>
        <w:pStyle w:val="NormalWeb"/>
        <w:spacing w:before="240" w:beforeAutospacing="0" w:after="240" w:afterAutospacing="0" w:line="360" w:lineRule="auto"/>
        <w:jc w:val="both"/>
      </w:pPr>
      <w:r>
        <w:t xml:space="preserve">This report reflects the financial analysis of </w:t>
      </w:r>
      <w:r w:rsidR="007D23FD" w:rsidRPr="006D174E">
        <w:t>General Electronics</w:t>
      </w:r>
      <w:r>
        <w:t xml:space="preserve"> company which</w:t>
      </w:r>
      <w:r w:rsidR="007D23FD" w:rsidRPr="006D174E">
        <w:t xml:space="preserve"> is a large multinational company operating in the glob</w:t>
      </w:r>
      <w:r>
        <w:t>al consumer electronics industry</w:t>
      </w:r>
      <w:r w:rsidR="007D23FD" w:rsidRPr="006D174E">
        <w:t xml:space="preserve"> (Ramdhan et al., 2025).</w:t>
      </w:r>
      <w:r>
        <w:t xml:space="preserve"> It is evaluated that t</w:t>
      </w:r>
      <w:r w:rsidR="007D23FD" w:rsidRPr="006D174E">
        <w:t xml:space="preserve">he financial statements between 2020 and 2024 show </w:t>
      </w:r>
      <w:r>
        <w:t xml:space="preserve">a worrying pattern of decline. </w:t>
      </w:r>
      <w:r w:rsidR="00C204F9">
        <w:t>However</w:t>
      </w:r>
      <w:r>
        <w:t xml:space="preserve">, company ‘s </w:t>
      </w:r>
      <w:r w:rsidR="007D23FD" w:rsidRPr="006D174E">
        <w:t xml:space="preserve">ales dropped from </w:t>
      </w:r>
      <w:r w:rsidR="007D23FD" w:rsidRPr="006D174E">
        <w:rPr>
          <w:rStyle w:val="Strong"/>
        </w:rPr>
        <w:t>£614,680 million in 2020</w:t>
      </w:r>
      <w:r w:rsidR="007D23FD" w:rsidRPr="006D174E">
        <w:t xml:space="preserve"> to </w:t>
      </w:r>
      <w:r w:rsidR="007D23FD" w:rsidRPr="006D174E">
        <w:rPr>
          <w:rStyle w:val="Strong"/>
        </w:rPr>
        <w:t>£394,879 million in 2024</w:t>
      </w:r>
      <w:r w:rsidR="007D23FD" w:rsidRPr="006D174E">
        <w:t xml:space="preserve">, while </w:t>
      </w:r>
      <w:r w:rsidR="007D23FD" w:rsidRPr="006D174E">
        <w:rPr>
          <w:rStyle w:val="Strong"/>
        </w:rPr>
        <w:t>net income fell from £38,572 million to a loss of £24,029 million</w:t>
      </w:r>
      <w:r>
        <w:t xml:space="preserve">. </w:t>
      </w:r>
      <w:r w:rsidR="00A92884">
        <w:t>Nonetheless</w:t>
      </w:r>
      <w:r>
        <w:t>, deep</w:t>
      </w:r>
      <w:r w:rsidR="007D23FD" w:rsidRPr="006D174E">
        <w:t xml:space="preserve"> steep fall in profi</w:t>
      </w:r>
      <w:r>
        <w:t>tability has resulted to</w:t>
      </w:r>
      <w:r w:rsidR="007D23FD" w:rsidRPr="006D174E">
        <w:t xml:space="preserve"> rising costs, declining demand, and weak cost control measures </w:t>
      </w:r>
      <w:r>
        <w:t xml:space="preserve">undertaken </w:t>
      </w:r>
      <w:r w:rsidR="007D23FD" w:rsidRPr="006D174E">
        <w:t>(Sudacevschi &amp; Stefan Duicu, 2024).</w:t>
      </w:r>
    </w:p>
    <w:p w14:paraId="446BB0C9" w14:textId="77777777" w:rsidR="007D23FD" w:rsidRPr="006D174E" w:rsidRDefault="00A5681D" w:rsidP="006D174E">
      <w:pPr>
        <w:pStyle w:val="NormalWeb"/>
        <w:spacing w:before="240" w:beforeAutospacing="0" w:after="240" w:afterAutospacing="0" w:line="360" w:lineRule="auto"/>
        <w:jc w:val="both"/>
      </w:pPr>
      <w:r>
        <w:t>In addition to this, t</w:t>
      </w:r>
      <w:r w:rsidR="007D23FD" w:rsidRPr="006D174E">
        <w:t xml:space="preserve">he financial results </w:t>
      </w:r>
      <w:r>
        <w:t xml:space="preserve">of company </w:t>
      </w:r>
      <w:r w:rsidR="007D23FD" w:rsidRPr="006D174E">
        <w:t>also indicate a f</w:t>
      </w:r>
      <w:r>
        <w:t xml:space="preserve">all in operational efficiency. In context with the </w:t>
      </w:r>
      <w:r w:rsidR="00A92884">
        <w:t>profitability</w:t>
      </w:r>
      <w:r>
        <w:t>, g</w:t>
      </w:r>
      <w:r w:rsidR="00A92884">
        <w:t>ro</w:t>
      </w:r>
      <w:r w:rsidR="007D23FD" w:rsidRPr="006D174E">
        <w:t>ss profit margins narrowed, and operating income turned negative i</w:t>
      </w:r>
      <w:r>
        <w:t xml:space="preserve">n 2024 which is showing the expenses increased faster than revenue. </w:t>
      </w:r>
      <w:r w:rsidR="00A92884">
        <w:t>Nonetheless</w:t>
      </w:r>
      <w:r>
        <w:t>, g</w:t>
      </w:r>
      <w:r w:rsidR="007D23FD" w:rsidRPr="006D174E">
        <w:t>earing ratios highligh</w:t>
      </w:r>
      <w:r>
        <w:t>t a rise in financial leverage which resulted to company’s survival</w:t>
      </w:r>
      <w:r w:rsidR="007D23FD" w:rsidRPr="006D174E">
        <w:t xml:space="preserve"> heavily on borrowed funds to finance its operations (Mastilo et al., 2024).</w:t>
      </w:r>
      <w:r>
        <w:t xml:space="preserve"> In context with the Liquidity, it </w:t>
      </w:r>
      <w:r w:rsidR="007D23FD" w:rsidRPr="006D174E">
        <w:t>has deteriorated too, with current and quick ratios falling below acceptable levels. These signs together suggest that General Electronics is at risk of financial distress if corrective action is not taken immediately (Tron et al., 2023).</w:t>
      </w:r>
    </w:p>
    <w:p w14:paraId="7269F106" w14:textId="77777777" w:rsidR="007D23FD" w:rsidRPr="006D174E" w:rsidRDefault="00A5681D" w:rsidP="00A5681D">
      <w:pPr>
        <w:pStyle w:val="NormalWeb"/>
        <w:spacing w:before="240" w:beforeAutospacing="0" w:after="240" w:afterAutospacing="0" w:line="360" w:lineRule="auto"/>
        <w:jc w:val="both"/>
      </w:pPr>
      <w:r>
        <w:t>As being newly</w:t>
      </w:r>
      <w:r w:rsidR="007D23FD" w:rsidRPr="006D174E">
        <w:t xml:space="preserve"> appointed Chief Financial Officer, the main goal is to </w:t>
      </w:r>
      <w:proofErr w:type="spellStart"/>
      <w:r w:rsidR="007D23FD" w:rsidRPr="006D174E">
        <w:t>analyse</w:t>
      </w:r>
      <w:proofErr w:type="spellEnd"/>
      <w:r w:rsidR="007D23FD" w:rsidRPr="006D174E">
        <w:t xml:space="preserve"> these results in depth and identify</w:t>
      </w:r>
      <w:r>
        <w:t xml:space="preserve"> where the problems originate. However, t</w:t>
      </w:r>
      <w:r w:rsidR="007D23FD" w:rsidRPr="006D174E">
        <w:t>he approach focuses on a detailed financial health check supported by ratio and trend analysis, which will help reveal weaknesses in profitability, liquidity, efficiency, and solvency (</w:t>
      </w:r>
      <w:proofErr w:type="spellStart"/>
      <w:r w:rsidR="007D23FD" w:rsidRPr="006D174E">
        <w:t>Baliouskas</w:t>
      </w:r>
      <w:proofErr w:type="spellEnd"/>
      <w:r w:rsidR="007D23FD" w:rsidRPr="006D174E">
        <w:t xml:space="preserve">, 2022). </w:t>
      </w:r>
      <w:r>
        <w:t xml:space="preserve"> Further to this, r</w:t>
      </w:r>
      <w:r w:rsidR="007D23FD" w:rsidRPr="006D174E">
        <w:t xml:space="preserve">eport will also explore </w:t>
      </w:r>
      <w:r w:rsidR="007D23FD" w:rsidRPr="006D174E">
        <w:rPr>
          <w:rStyle w:val="Strong"/>
        </w:rPr>
        <w:t>working capital management</w:t>
      </w:r>
      <w:r w:rsidR="007D23FD" w:rsidRPr="006D174E">
        <w:t>. The data shows that the company’s inventory levels and receivables have increased, while cash reserves have declined.</w:t>
      </w:r>
      <w:r>
        <w:t xml:space="preserve"> </w:t>
      </w:r>
    </w:p>
    <w:p w14:paraId="6550637F" w14:textId="77777777" w:rsidR="007D23FD" w:rsidRPr="006D174E" w:rsidRDefault="00A5681D" w:rsidP="006D174E">
      <w:pPr>
        <w:pStyle w:val="NormalWeb"/>
        <w:spacing w:before="240" w:beforeAutospacing="0" w:after="240" w:afterAutospacing="0" w:line="360" w:lineRule="auto"/>
        <w:jc w:val="both"/>
      </w:pPr>
      <w:r>
        <w:t>In the end of</w:t>
      </w:r>
      <w:r w:rsidR="007D23FD" w:rsidRPr="006D174E">
        <w:t xml:space="preserve"> report</w:t>
      </w:r>
      <w:r>
        <w:t xml:space="preserve">, there is evaluation of  </w:t>
      </w:r>
      <w:r w:rsidR="007D23FD" w:rsidRPr="006D174E">
        <w:t xml:space="preserve"> three new investment projects using Payback Period, ARR, NPV, I</w:t>
      </w:r>
      <w:r>
        <w:t xml:space="preserve">RR, and Profitability Index </w:t>
      </w:r>
      <w:r w:rsidRPr="006D174E">
        <w:t xml:space="preserve">(Saputra &amp; </w:t>
      </w:r>
      <w:proofErr w:type="spellStart"/>
      <w:r w:rsidRPr="006D174E">
        <w:t>Nirawati</w:t>
      </w:r>
      <w:proofErr w:type="spellEnd"/>
      <w:r w:rsidRPr="006D174E">
        <w:t>, 2025).</w:t>
      </w:r>
      <w:r>
        <w:t xml:space="preserve"> However, </w:t>
      </w:r>
      <w:r w:rsidR="007D23FD" w:rsidRPr="006D174E">
        <w:t xml:space="preserve">company faces a </w:t>
      </w:r>
      <w:r w:rsidR="007D23FD" w:rsidRPr="006D174E">
        <w:rPr>
          <w:rStyle w:val="Strong"/>
        </w:rPr>
        <w:t>capital-rationing limit of £60 million</w:t>
      </w:r>
      <w:r>
        <w:t xml:space="preserve"> and the main g</w:t>
      </w:r>
      <w:r w:rsidR="007D23FD" w:rsidRPr="006D174E">
        <w:t>oal is to select the project that offers the highest return with acceptable risk (</w:t>
      </w:r>
      <w:proofErr w:type="spellStart"/>
      <w:r w:rsidR="007D23FD" w:rsidRPr="006D174E">
        <w:t>Darmansyah</w:t>
      </w:r>
      <w:proofErr w:type="spellEnd"/>
      <w:r w:rsidR="007D23FD" w:rsidRPr="006D174E">
        <w:t>, 2025).</w:t>
      </w:r>
    </w:p>
    <w:p w14:paraId="5805E3C4" w14:textId="77777777" w:rsidR="00E37281" w:rsidRPr="006D174E" w:rsidRDefault="006D174E" w:rsidP="006D174E">
      <w:pPr>
        <w:pStyle w:val="Heading1"/>
        <w:spacing w:after="240" w:line="360" w:lineRule="auto"/>
        <w:jc w:val="both"/>
        <w:rPr>
          <w:rFonts w:ascii="Times New Roman" w:hAnsi="Times New Roman" w:cs="Times New Roman"/>
          <w:sz w:val="24"/>
          <w:szCs w:val="24"/>
        </w:rPr>
      </w:pPr>
      <w:bookmarkStart w:id="2" w:name="_Toc211680176"/>
      <w:bookmarkStart w:id="3" w:name="_Toc212192244"/>
      <w:r>
        <w:rPr>
          <w:rFonts w:ascii="Times New Roman" w:hAnsi="Times New Roman" w:cs="Times New Roman"/>
          <w:sz w:val="24"/>
          <w:szCs w:val="24"/>
        </w:rPr>
        <w:lastRenderedPageBreak/>
        <w:t xml:space="preserve">2.0 </w:t>
      </w:r>
      <w:r w:rsidR="007D23FD" w:rsidRPr="006D174E">
        <w:rPr>
          <w:rFonts w:ascii="Times New Roman" w:hAnsi="Times New Roman" w:cs="Times New Roman"/>
          <w:sz w:val="24"/>
          <w:szCs w:val="24"/>
        </w:rPr>
        <w:t>Financial Health Check</w:t>
      </w:r>
      <w:bookmarkEnd w:id="2"/>
      <w:bookmarkEnd w:id="3"/>
    </w:p>
    <w:p w14:paraId="74FFADDE" w14:textId="77777777" w:rsidR="007D23FD" w:rsidRPr="006D174E" w:rsidRDefault="007D23FD" w:rsidP="006D174E">
      <w:pPr>
        <w:pStyle w:val="Heading3"/>
        <w:spacing w:before="240" w:after="240" w:line="360" w:lineRule="auto"/>
        <w:jc w:val="both"/>
        <w:rPr>
          <w:rFonts w:ascii="Times New Roman" w:hAnsi="Times New Roman" w:cs="Times New Roman"/>
          <w:szCs w:val="24"/>
        </w:rPr>
      </w:pPr>
      <w:bookmarkStart w:id="4" w:name="_Toc211680177"/>
      <w:bookmarkStart w:id="5" w:name="_Toc212192245"/>
      <w:r w:rsidRPr="006D174E">
        <w:rPr>
          <w:rStyle w:val="Strong"/>
          <w:rFonts w:ascii="Times New Roman" w:hAnsi="Times New Roman" w:cs="Times New Roman"/>
          <w:b w:val="0"/>
          <w:bCs w:val="0"/>
          <w:szCs w:val="24"/>
        </w:rPr>
        <w:t>2.1 Overview of Financial Performance</w:t>
      </w:r>
      <w:bookmarkEnd w:id="4"/>
      <w:bookmarkEnd w:id="5"/>
    </w:p>
    <w:p w14:paraId="0FBE0B6C" w14:textId="77777777" w:rsidR="007D23FD" w:rsidRPr="006D174E" w:rsidRDefault="00A92884" w:rsidP="006D174E">
      <w:pPr>
        <w:pStyle w:val="NormalWeb"/>
        <w:spacing w:before="240" w:beforeAutospacing="0" w:after="240" w:afterAutospacing="0" w:line="360" w:lineRule="auto"/>
        <w:jc w:val="both"/>
      </w:pPr>
      <w:r>
        <w:t xml:space="preserve">In context with the financial performance in five year i.e. </w:t>
      </w:r>
      <w:r w:rsidR="007D23FD" w:rsidRPr="006D174E">
        <w:t xml:space="preserve"> 2020 and 2024, General Electronics </w:t>
      </w:r>
      <w:r w:rsidR="00243650">
        <w:t xml:space="preserve">Company has </w:t>
      </w:r>
      <w:r w:rsidR="007D23FD" w:rsidRPr="006D174E">
        <w:t>experienced a significant de</w:t>
      </w:r>
      <w:r w:rsidR="00243650">
        <w:t>cline in its financial health. However, the s</w:t>
      </w:r>
      <w:r w:rsidR="007D23FD" w:rsidRPr="006D174E">
        <w:t xml:space="preserve">ales fell from </w:t>
      </w:r>
      <w:r w:rsidR="007D23FD" w:rsidRPr="006D174E">
        <w:rPr>
          <w:rStyle w:val="Strong"/>
        </w:rPr>
        <w:t>£614,680 million</w:t>
      </w:r>
      <w:r w:rsidR="007D23FD" w:rsidRPr="006D174E">
        <w:t xml:space="preserve"> in 2020 to </w:t>
      </w:r>
      <w:r w:rsidR="007D23FD" w:rsidRPr="006D174E">
        <w:rPr>
          <w:rStyle w:val="Strong"/>
        </w:rPr>
        <w:t>£394,879 million</w:t>
      </w:r>
      <w:r w:rsidR="007D23FD" w:rsidRPr="006D174E">
        <w:t xml:space="preserve"> in 2024, </w:t>
      </w:r>
      <w:r w:rsidR="00243650">
        <w:t xml:space="preserve">showing </w:t>
      </w:r>
      <w:r w:rsidR="007D23FD" w:rsidRPr="006D174E">
        <w:t xml:space="preserve">a steady loss of market momentum. </w:t>
      </w:r>
      <w:r w:rsidR="00243650">
        <w:t xml:space="preserve"> Therefore, the </w:t>
      </w:r>
      <w:r w:rsidR="007D23FD" w:rsidRPr="006D174E">
        <w:t xml:space="preserve">net income </w:t>
      </w:r>
      <w:r w:rsidR="00243650">
        <w:t xml:space="preserve">also has </w:t>
      </w:r>
      <w:r w:rsidR="007D23FD" w:rsidRPr="006D174E">
        <w:t xml:space="preserve">collapsed from a profit of </w:t>
      </w:r>
      <w:r w:rsidR="007D23FD" w:rsidRPr="006D174E">
        <w:rPr>
          <w:rStyle w:val="Strong"/>
        </w:rPr>
        <w:t>£38,572 million</w:t>
      </w:r>
      <w:r w:rsidR="007D23FD" w:rsidRPr="006D174E">
        <w:t xml:space="preserve"> to a loss of </w:t>
      </w:r>
      <w:r w:rsidR="007D23FD" w:rsidRPr="006D174E">
        <w:rPr>
          <w:rStyle w:val="Strong"/>
        </w:rPr>
        <w:t>£24,029 million</w:t>
      </w:r>
      <w:r w:rsidR="007D23FD" w:rsidRPr="006D174E">
        <w:t xml:space="preserve">, </w:t>
      </w:r>
      <w:r w:rsidR="00243650">
        <w:t>and resulted to increased</w:t>
      </w:r>
      <w:r w:rsidR="007D23FD" w:rsidRPr="006D174E">
        <w:t xml:space="preserve"> costs and falling profit mar</w:t>
      </w:r>
      <w:r w:rsidR="00243650">
        <w:t>gins (Ramdhan et al., 2025). Further, the</w:t>
      </w:r>
      <w:r w:rsidR="007D23FD" w:rsidRPr="006D174E">
        <w:t xml:space="preserve"> gross profit margin </w:t>
      </w:r>
      <w:r w:rsidR="00243650">
        <w:t xml:space="preserve">also reduced and </w:t>
      </w:r>
      <w:r w:rsidR="007D23FD" w:rsidRPr="006D174E">
        <w:t>operat</w:t>
      </w:r>
      <w:r w:rsidR="00243650">
        <w:t xml:space="preserve">ing expenses continued to rise which resulted to </w:t>
      </w:r>
      <w:r w:rsidR="007D23FD" w:rsidRPr="006D174E">
        <w:t>pushing operating income into negative territory in the final two years of review (Sudacevschi &amp; Stefan Duicu, 2024).</w:t>
      </w:r>
    </w:p>
    <w:p w14:paraId="08C8E5C3" w14:textId="77777777" w:rsidR="007D23FD" w:rsidRPr="006D174E" w:rsidRDefault="00243650" w:rsidP="006D174E">
      <w:pPr>
        <w:pStyle w:val="NormalWeb"/>
        <w:spacing w:before="240" w:beforeAutospacing="0" w:after="240" w:afterAutospacing="0" w:line="360" w:lineRule="auto"/>
        <w:jc w:val="both"/>
      </w:pPr>
      <w:r>
        <w:t>In context with the t</w:t>
      </w:r>
      <w:r w:rsidR="007D23FD" w:rsidRPr="006D174E">
        <w:t>otal assets</w:t>
      </w:r>
      <w:r>
        <w:t>, it</w:t>
      </w:r>
      <w:r w:rsidR="007D23FD" w:rsidRPr="006D174E">
        <w:t xml:space="preserve"> also declined from </w:t>
      </w:r>
      <w:r w:rsidR="007D23FD" w:rsidRPr="006D174E">
        <w:rPr>
          <w:rStyle w:val="Strong"/>
        </w:rPr>
        <w:t>£510,290 million to £323,354 million</w:t>
      </w:r>
      <w:r w:rsidR="007D23FD" w:rsidRPr="006D174E">
        <w:t xml:space="preserve">, while liabilities remained high at </w:t>
      </w:r>
      <w:r w:rsidR="007D23FD" w:rsidRPr="006D174E">
        <w:rPr>
          <w:rStyle w:val="Strong"/>
        </w:rPr>
        <w:t>£170,249 million</w:t>
      </w:r>
      <w:r w:rsidR="007D23FD" w:rsidRPr="006D174E">
        <w:t xml:space="preserve">, </w:t>
      </w:r>
      <w:r>
        <w:t>showing</w:t>
      </w:r>
      <w:r w:rsidR="007D23FD" w:rsidRPr="006D174E">
        <w:t xml:space="preserve"> rising financial pressure on the balance sheet. </w:t>
      </w:r>
      <w:r>
        <w:t>With these data, it</w:t>
      </w:r>
      <w:r w:rsidR="007D23FD" w:rsidRPr="006D174E">
        <w:t xml:space="preserve"> reveal</w:t>
      </w:r>
      <w:r>
        <w:t>s</w:t>
      </w:r>
      <w:r w:rsidR="007D23FD" w:rsidRPr="006D174E">
        <w:t xml:space="preserve"> shrinking liquidity and an increasing dependence on debt financing (Mastilo et al., 2024). </w:t>
      </w:r>
    </w:p>
    <w:p w14:paraId="1E230DCF" w14:textId="77777777" w:rsidR="007D23FD" w:rsidRPr="006D174E" w:rsidRDefault="007D23FD" w:rsidP="001F5A23">
      <w:pPr>
        <w:pStyle w:val="Heading3"/>
      </w:pPr>
      <w:bookmarkStart w:id="6" w:name="_Toc211680178"/>
      <w:bookmarkStart w:id="7" w:name="_Toc212192246"/>
      <w:r w:rsidRPr="006D174E">
        <w:rPr>
          <w:rStyle w:val="Strong"/>
          <w:szCs w:val="24"/>
        </w:rPr>
        <w:t>2.2 Profitability Ratios</w:t>
      </w:r>
      <w:bookmarkEnd w:id="6"/>
      <w:bookmarkEnd w:id="7"/>
    </w:p>
    <w:p w14:paraId="41D578DE" w14:textId="77777777" w:rsidR="007D23FD" w:rsidRPr="006D174E" w:rsidRDefault="00243650" w:rsidP="006D174E">
      <w:pPr>
        <w:pStyle w:val="NormalWeb"/>
        <w:spacing w:before="240" w:beforeAutospacing="0" w:after="240" w:afterAutospacing="0" w:line="360" w:lineRule="auto"/>
        <w:jc w:val="both"/>
      </w:pPr>
      <w:r>
        <w:t xml:space="preserve">This ratio </w:t>
      </w:r>
      <w:r w:rsidR="007D23FD" w:rsidRPr="006D174E">
        <w:t xml:space="preserve">show how efficiently General Electronics earns profit from its sales, assets, and shareholder equity. </w:t>
      </w:r>
      <w:r>
        <w:t xml:space="preserve">During five year, </w:t>
      </w:r>
      <w:r w:rsidR="007D23FD" w:rsidRPr="006D174E">
        <w:t xml:space="preserve">the company’s profit performance weakened sharply, mainly due to falling revenue, rising costs, and higher borrowing expenses (Ramdhan et al., 2025). </w:t>
      </w:r>
    </w:p>
    <w:tbl>
      <w:tblPr>
        <w:tblW w:w="5000" w:type="pct"/>
        <w:tblLayout w:type="fixed"/>
        <w:tblLook w:val="04A0" w:firstRow="1" w:lastRow="0" w:firstColumn="1" w:lastColumn="0" w:noHBand="0" w:noVBand="1"/>
      </w:tblPr>
      <w:tblGrid>
        <w:gridCol w:w="1130"/>
        <w:gridCol w:w="982"/>
        <w:gridCol w:w="1290"/>
        <w:gridCol w:w="1290"/>
        <w:gridCol w:w="1290"/>
        <w:gridCol w:w="1236"/>
        <w:gridCol w:w="1290"/>
        <w:gridCol w:w="842"/>
      </w:tblGrid>
      <w:tr w:rsidR="007D23FD" w:rsidRPr="006D174E" w14:paraId="12868510" w14:textId="77777777" w:rsidTr="007D23FD">
        <w:trPr>
          <w:trHeight w:val="864"/>
        </w:trPr>
        <w:tc>
          <w:tcPr>
            <w:tcW w:w="604" w:type="pct"/>
            <w:tcBorders>
              <w:top w:val="single" w:sz="4" w:space="0" w:color="auto"/>
              <w:left w:val="single" w:sz="4" w:space="0" w:color="auto"/>
              <w:bottom w:val="single" w:sz="4" w:space="0" w:color="auto"/>
              <w:right w:val="single" w:sz="4" w:space="0" w:color="auto"/>
            </w:tcBorders>
            <w:vAlign w:val="center"/>
            <w:hideMark/>
          </w:tcPr>
          <w:p w14:paraId="358ABF1B"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Ratio</w:t>
            </w:r>
          </w:p>
        </w:tc>
        <w:tc>
          <w:tcPr>
            <w:tcW w:w="525" w:type="pct"/>
            <w:tcBorders>
              <w:top w:val="single" w:sz="4" w:space="0" w:color="auto"/>
              <w:left w:val="nil"/>
              <w:bottom w:val="single" w:sz="4" w:space="0" w:color="auto"/>
              <w:right w:val="single" w:sz="4" w:space="0" w:color="auto"/>
            </w:tcBorders>
            <w:vAlign w:val="center"/>
            <w:hideMark/>
          </w:tcPr>
          <w:p w14:paraId="26D23C36"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Formula (Excel format)</w:t>
            </w:r>
          </w:p>
        </w:tc>
        <w:tc>
          <w:tcPr>
            <w:tcW w:w="690" w:type="pct"/>
            <w:tcBorders>
              <w:top w:val="single" w:sz="4" w:space="0" w:color="auto"/>
              <w:left w:val="nil"/>
              <w:bottom w:val="single" w:sz="4" w:space="0" w:color="auto"/>
              <w:right w:val="single" w:sz="4" w:space="0" w:color="auto"/>
            </w:tcBorders>
            <w:vAlign w:val="center"/>
            <w:hideMark/>
          </w:tcPr>
          <w:p w14:paraId="6A5CAF71"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2020</w:t>
            </w:r>
          </w:p>
        </w:tc>
        <w:tc>
          <w:tcPr>
            <w:tcW w:w="690" w:type="pct"/>
            <w:tcBorders>
              <w:top w:val="single" w:sz="4" w:space="0" w:color="auto"/>
              <w:left w:val="nil"/>
              <w:bottom w:val="single" w:sz="4" w:space="0" w:color="auto"/>
              <w:right w:val="single" w:sz="4" w:space="0" w:color="auto"/>
            </w:tcBorders>
            <w:vAlign w:val="center"/>
            <w:hideMark/>
          </w:tcPr>
          <w:p w14:paraId="00C37B5D"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2021</w:t>
            </w:r>
          </w:p>
        </w:tc>
        <w:tc>
          <w:tcPr>
            <w:tcW w:w="690" w:type="pct"/>
            <w:tcBorders>
              <w:top w:val="single" w:sz="4" w:space="0" w:color="auto"/>
              <w:left w:val="nil"/>
              <w:bottom w:val="single" w:sz="4" w:space="0" w:color="auto"/>
              <w:right w:val="single" w:sz="4" w:space="0" w:color="auto"/>
            </w:tcBorders>
            <w:vAlign w:val="center"/>
            <w:hideMark/>
          </w:tcPr>
          <w:p w14:paraId="6660552E"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2022</w:t>
            </w:r>
          </w:p>
        </w:tc>
        <w:tc>
          <w:tcPr>
            <w:tcW w:w="661" w:type="pct"/>
            <w:tcBorders>
              <w:top w:val="single" w:sz="4" w:space="0" w:color="auto"/>
              <w:left w:val="nil"/>
              <w:bottom w:val="single" w:sz="4" w:space="0" w:color="auto"/>
              <w:right w:val="single" w:sz="4" w:space="0" w:color="auto"/>
            </w:tcBorders>
            <w:vAlign w:val="center"/>
            <w:hideMark/>
          </w:tcPr>
          <w:p w14:paraId="18B0C0F9"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2023</w:t>
            </w:r>
          </w:p>
        </w:tc>
        <w:tc>
          <w:tcPr>
            <w:tcW w:w="690" w:type="pct"/>
            <w:tcBorders>
              <w:top w:val="single" w:sz="4" w:space="0" w:color="auto"/>
              <w:left w:val="nil"/>
              <w:bottom w:val="single" w:sz="4" w:space="0" w:color="auto"/>
              <w:right w:val="single" w:sz="4" w:space="0" w:color="auto"/>
            </w:tcBorders>
            <w:vAlign w:val="center"/>
            <w:hideMark/>
          </w:tcPr>
          <w:p w14:paraId="4FE7C7AE"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2024</w:t>
            </w:r>
          </w:p>
        </w:tc>
        <w:tc>
          <w:tcPr>
            <w:tcW w:w="451" w:type="pct"/>
            <w:tcBorders>
              <w:top w:val="single" w:sz="4" w:space="0" w:color="auto"/>
              <w:left w:val="nil"/>
              <w:bottom w:val="single" w:sz="4" w:space="0" w:color="auto"/>
              <w:right w:val="single" w:sz="4" w:space="0" w:color="auto"/>
            </w:tcBorders>
            <w:vAlign w:val="center"/>
            <w:hideMark/>
          </w:tcPr>
          <w:p w14:paraId="09E43309"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Interpretation</w:t>
            </w:r>
          </w:p>
        </w:tc>
      </w:tr>
      <w:tr w:rsidR="007D23FD" w:rsidRPr="006D174E" w14:paraId="5CBA53C1" w14:textId="77777777" w:rsidTr="007D23FD">
        <w:trPr>
          <w:trHeight w:val="2592"/>
        </w:trPr>
        <w:tc>
          <w:tcPr>
            <w:tcW w:w="604" w:type="pct"/>
            <w:tcBorders>
              <w:top w:val="nil"/>
              <w:left w:val="single" w:sz="4" w:space="0" w:color="auto"/>
              <w:bottom w:val="single" w:sz="4" w:space="0" w:color="auto"/>
              <w:right w:val="single" w:sz="4" w:space="0" w:color="auto"/>
            </w:tcBorders>
            <w:vAlign w:val="center"/>
            <w:hideMark/>
          </w:tcPr>
          <w:p w14:paraId="4DAB7168"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Gross Profit Margin (%)</w:t>
            </w:r>
          </w:p>
        </w:tc>
        <w:tc>
          <w:tcPr>
            <w:tcW w:w="525" w:type="pct"/>
            <w:tcBorders>
              <w:top w:val="nil"/>
              <w:left w:val="nil"/>
              <w:bottom w:val="single" w:sz="4" w:space="0" w:color="auto"/>
              <w:right w:val="single" w:sz="4" w:space="0" w:color="auto"/>
            </w:tcBorders>
            <w:vAlign w:val="center"/>
            <w:hideMark/>
          </w:tcPr>
          <w:p w14:paraId="452A7E45"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Gross_Profit</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Net_Sales</w:t>
            </w:r>
            <w:proofErr w:type="spellEnd"/>
            <w:r w:rsidRPr="006D174E">
              <w:rPr>
                <w:rFonts w:ascii="Times New Roman" w:eastAsia="Arial Unicode MS" w:hAnsi="Times New Roman" w:cs="Times New Roman"/>
                <w:color w:val="000000"/>
                <w:sz w:val="24"/>
                <w:szCs w:val="24"/>
              </w:rPr>
              <w:t>)*100</w:t>
            </w:r>
          </w:p>
        </w:tc>
        <w:tc>
          <w:tcPr>
            <w:tcW w:w="690" w:type="pct"/>
            <w:tcBorders>
              <w:top w:val="nil"/>
              <w:left w:val="nil"/>
              <w:bottom w:val="single" w:sz="4" w:space="0" w:color="auto"/>
              <w:right w:val="single" w:sz="4" w:space="0" w:color="auto"/>
            </w:tcBorders>
            <w:vAlign w:val="center"/>
            <w:hideMark/>
          </w:tcPr>
          <w:p w14:paraId="0A3AEE98"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=(176,256/614,680)*100 = </w:t>
            </w:r>
            <w:r w:rsidRPr="006D174E">
              <w:rPr>
                <w:rFonts w:ascii="Times New Roman" w:eastAsia="Times New Roman" w:hAnsi="Times New Roman" w:cs="Times New Roman"/>
                <w:b/>
                <w:bCs/>
                <w:color w:val="000000"/>
                <w:sz w:val="24"/>
                <w:szCs w:val="24"/>
              </w:rPr>
              <w:t>28.7%</w:t>
            </w:r>
          </w:p>
        </w:tc>
        <w:tc>
          <w:tcPr>
            <w:tcW w:w="690" w:type="pct"/>
            <w:tcBorders>
              <w:top w:val="nil"/>
              <w:left w:val="nil"/>
              <w:bottom w:val="single" w:sz="4" w:space="0" w:color="auto"/>
              <w:right w:val="single" w:sz="4" w:space="0" w:color="auto"/>
            </w:tcBorders>
            <w:vAlign w:val="center"/>
            <w:hideMark/>
          </w:tcPr>
          <w:p w14:paraId="11DFE250"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=(173,016/601,602)*100 = </w:t>
            </w:r>
            <w:r w:rsidRPr="006D174E">
              <w:rPr>
                <w:rFonts w:ascii="Times New Roman" w:eastAsia="Times New Roman" w:hAnsi="Times New Roman" w:cs="Times New Roman"/>
                <w:b/>
                <w:bCs/>
                <w:color w:val="000000"/>
                <w:sz w:val="24"/>
                <w:szCs w:val="24"/>
              </w:rPr>
              <w:t>28.8%</w:t>
            </w:r>
          </w:p>
        </w:tc>
        <w:tc>
          <w:tcPr>
            <w:tcW w:w="690" w:type="pct"/>
            <w:tcBorders>
              <w:top w:val="nil"/>
              <w:left w:val="nil"/>
              <w:bottom w:val="single" w:sz="4" w:space="0" w:color="auto"/>
              <w:right w:val="single" w:sz="4" w:space="0" w:color="auto"/>
            </w:tcBorders>
            <w:vAlign w:val="center"/>
            <w:hideMark/>
          </w:tcPr>
          <w:p w14:paraId="54F9C72A"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=(152,292/542,751)*100 = </w:t>
            </w:r>
            <w:r w:rsidRPr="006D174E">
              <w:rPr>
                <w:rFonts w:ascii="Times New Roman" w:eastAsia="Times New Roman" w:hAnsi="Times New Roman" w:cs="Times New Roman"/>
                <w:b/>
                <w:bCs/>
                <w:color w:val="000000"/>
                <w:sz w:val="24"/>
                <w:szCs w:val="24"/>
              </w:rPr>
              <w:t>28.1%</w:t>
            </w:r>
          </w:p>
        </w:tc>
        <w:tc>
          <w:tcPr>
            <w:tcW w:w="661" w:type="pct"/>
            <w:tcBorders>
              <w:top w:val="nil"/>
              <w:left w:val="nil"/>
              <w:bottom w:val="single" w:sz="4" w:space="0" w:color="auto"/>
              <w:right w:val="single" w:sz="4" w:space="0" w:color="auto"/>
            </w:tcBorders>
            <w:vAlign w:val="center"/>
            <w:hideMark/>
          </w:tcPr>
          <w:p w14:paraId="0D5A87A1"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=(97,560/420,457)*100 = </w:t>
            </w:r>
            <w:r w:rsidRPr="006D174E">
              <w:rPr>
                <w:rFonts w:ascii="Times New Roman" w:eastAsia="Times New Roman" w:hAnsi="Times New Roman" w:cs="Times New Roman"/>
                <w:b/>
                <w:bCs/>
                <w:color w:val="000000"/>
                <w:sz w:val="24"/>
                <w:szCs w:val="24"/>
              </w:rPr>
              <w:t>23.2%</w:t>
            </w:r>
          </w:p>
        </w:tc>
        <w:tc>
          <w:tcPr>
            <w:tcW w:w="690" w:type="pct"/>
            <w:tcBorders>
              <w:top w:val="nil"/>
              <w:left w:val="nil"/>
              <w:bottom w:val="single" w:sz="4" w:space="0" w:color="auto"/>
              <w:right w:val="single" w:sz="4" w:space="0" w:color="auto"/>
            </w:tcBorders>
            <w:vAlign w:val="center"/>
            <w:hideMark/>
          </w:tcPr>
          <w:p w14:paraId="6511D825"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=(113,994/394,879)*100 = </w:t>
            </w:r>
            <w:r w:rsidRPr="006D174E">
              <w:rPr>
                <w:rFonts w:ascii="Times New Roman" w:eastAsia="Times New Roman" w:hAnsi="Times New Roman" w:cs="Times New Roman"/>
                <w:b/>
                <w:bCs/>
                <w:color w:val="000000"/>
                <w:sz w:val="24"/>
                <w:szCs w:val="24"/>
              </w:rPr>
              <w:t>28.9%</w:t>
            </w:r>
          </w:p>
        </w:tc>
        <w:tc>
          <w:tcPr>
            <w:tcW w:w="451" w:type="pct"/>
            <w:tcBorders>
              <w:top w:val="nil"/>
              <w:left w:val="nil"/>
              <w:bottom w:val="single" w:sz="4" w:space="0" w:color="auto"/>
              <w:right w:val="single" w:sz="4" w:space="0" w:color="auto"/>
            </w:tcBorders>
            <w:vAlign w:val="center"/>
            <w:hideMark/>
          </w:tcPr>
          <w:p w14:paraId="789DE72B"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Production costs remained stable but sales volatility reduced margins in 2023.</w:t>
            </w:r>
          </w:p>
        </w:tc>
      </w:tr>
      <w:tr w:rsidR="007D23FD" w:rsidRPr="006D174E" w14:paraId="6A621B5D" w14:textId="77777777" w:rsidTr="007D23FD">
        <w:trPr>
          <w:trHeight w:val="3456"/>
        </w:trPr>
        <w:tc>
          <w:tcPr>
            <w:tcW w:w="604" w:type="pct"/>
            <w:tcBorders>
              <w:top w:val="nil"/>
              <w:left w:val="single" w:sz="4" w:space="0" w:color="auto"/>
              <w:bottom w:val="single" w:sz="4" w:space="0" w:color="auto"/>
              <w:right w:val="single" w:sz="4" w:space="0" w:color="auto"/>
            </w:tcBorders>
            <w:vAlign w:val="center"/>
            <w:hideMark/>
          </w:tcPr>
          <w:p w14:paraId="732C0C1F"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Net Profit Margin (%)</w:t>
            </w:r>
          </w:p>
        </w:tc>
        <w:tc>
          <w:tcPr>
            <w:tcW w:w="525" w:type="pct"/>
            <w:tcBorders>
              <w:top w:val="nil"/>
              <w:left w:val="nil"/>
              <w:bottom w:val="single" w:sz="4" w:space="0" w:color="auto"/>
              <w:right w:val="single" w:sz="4" w:space="0" w:color="auto"/>
            </w:tcBorders>
            <w:vAlign w:val="center"/>
            <w:hideMark/>
          </w:tcPr>
          <w:p w14:paraId="7BD9E882"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Net_Income</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Net_Sales</w:t>
            </w:r>
            <w:proofErr w:type="spellEnd"/>
            <w:r w:rsidRPr="006D174E">
              <w:rPr>
                <w:rFonts w:ascii="Times New Roman" w:eastAsia="Arial Unicode MS" w:hAnsi="Times New Roman" w:cs="Times New Roman"/>
                <w:color w:val="000000"/>
                <w:sz w:val="24"/>
                <w:szCs w:val="24"/>
              </w:rPr>
              <w:t>)*100</w:t>
            </w:r>
          </w:p>
        </w:tc>
        <w:tc>
          <w:tcPr>
            <w:tcW w:w="690" w:type="pct"/>
            <w:tcBorders>
              <w:top w:val="nil"/>
              <w:left w:val="nil"/>
              <w:bottom w:val="single" w:sz="4" w:space="0" w:color="auto"/>
              <w:right w:val="single" w:sz="4" w:space="0" w:color="auto"/>
            </w:tcBorders>
            <w:vAlign w:val="center"/>
            <w:hideMark/>
          </w:tcPr>
          <w:p w14:paraId="71B9CF1D"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=(38,572/614,680)*100 = </w:t>
            </w:r>
            <w:r w:rsidRPr="006D174E">
              <w:rPr>
                <w:rFonts w:ascii="Times New Roman" w:eastAsia="Times New Roman" w:hAnsi="Times New Roman" w:cs="Times New Roman"/>
                <w:b/>
                <w:bCs/>
                <w:color w:val="000000"/>
                <w:sz w:val="24"/>
                <w:szCs w:val="24"/>
              </w:rPr>
              <w:t>6.3%</w:t>
            </w:r>
          </w:p>
        </w:tc>
        <w:tc>
          <w:tcPr>
            <w:tcW w:w="690" w:type="pct"/>
            <w:tcBorders>
              <w:top w:val="nil"/>
              <w:left w:val="nil"/>
              <w:bottom w:val="single" w:sz="4" w:space="0" w:color="auto"/>
              <w:right w:val="single" w:sz="4" w:space="0" w:color="auto"/>
            </w:tcBorders>
            <w:vAlign w:val="center"/>
            <w:hideMark/>
          </w:tcPr>
          <w:p w14:paraId="004B9089"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=(5,301/601,602)*100 = </w:t>
            </w:r>
            <w:r w:rsidRPr="006D174E">
              <w:rPr>
                <w:rFonts w:ascii="Times New Roman" w:eastAsia="Times New Roman" w:hAnsi="Times New Roman" w:cs="Times New Roman"/>
                <w:b/>
                <w:bCs/>
                <w:color w:val="000000"/>
                <w:sz w:val="24"/>
                <w:szCs w:val="24"/>
              </w:rPr>
              <w:t>0.9%</w:t>
            </w:r>
          </w:p>
        </w:tc>
        <w:tc>
          <w:tcPr>
            <w:tcW w:w="690" w:type="pct"/>
            <w:tcBorders>
              <w:top w:val="nil"/>
              <w:left w:val="nil"/>
              <w:bottom w:val="single" w:sz="4" w:space="0" w:color="auto"/>
              <w:right w:val="single" w:sz="4" w:space="0" w:color="auto"/>
            </w:tcBorders>
            <w:vAlign w:val="center"/>
            <w:hideMark/>
          </w:tcPr>
          <w:p w14:paraId="6DF49B21"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=(407/542,751)*100 = </w:t>
            </w:r>
            <w:r w:rsidRPr="006D174E">
              <w:rPr>
                <w:rFonts w:ascii="Times New Roman" w:eastAsia="Times New Roman" w:hAnsi="Times New Roman" w:cs="Times New Roman"/>
                <w:b/>
                <w:bCs/>
                <w:color w:val="000000"/>
                <w:sz w:val="24"/>
                <w:szCs w:val="24"/>
              </w:rPr>
              <w:t>0.1%</w:t>
            </w:r>
          </w:p>
        </w:tc>
        <w:tc>
          <w:tcPr>
            <w:tcW w:w="661" w:type="pct"/>
            <w:tcBorders>
              <w:top w:val="nil"/>
              <w:left w:val="nil"/>
              <w:bottom w:val="single" w:sz="4" w:space="0" w:color="auto"/>
              <w:right w:val="single" w:sz="4" w:space="0" w:color="auto"/>
            </w:tcBorders>
            <w:vAlign w:val="center"/>
            <w:hideMark/>
          </w:tcPr>
          <w:p w14:paraId="5BF02624"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=(-98,238/420,457)*100 = </w:t>
            </w:r>
            <w:r w:rsidRPr="006D174E">
              <w:rPr>
                <w:rFonts w:ascii="Times New Roman" w:eastAsia="Times New Roman" w:hAnsi="Times New Roman" w:cs="Times New Roman"/>
                <w:b/>
                <w:bCs/>
                <w:color w:val="000000"/>
                <w:sz w:val="24"/>
                <w:szCs w:val="24"/>
              </w:rPr>
              <w:t>-23.4%</w:t>
            </w:r>
          </w:p>
        </w:tc>
        <w:tc>
          <w:tcPr>
            <w:tcW w:w="690" w:type="pct"/>
            <w:tcBorders>
              <w:top w:val="nil"/>
              <w:left w:val="nil"/>
              <w:bottom w:val="single" w:sz="4" w:space="0" w:color="auto"/>
              <w:right w:val="single" w:sz="4" w:space="0" w:color="auto"/>
            </w:tcBorders>
            <w:vAlign w:val="center"/>
            <w:hideMark/>
          </w:tcPr>
          <w:p w14:paraId="26F4238C"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=(-24,029/394,879)*100 = </w:t>
            </w:r>
            <w:r w:rsidRPr="006D174E">
              <w:rPr>
                <w:rFonts w:ascii="Times New Roman" w:eastAsia="Times New Roman" w:hAnsi="Times New Roman" w:cs="Times New Roman"/>
                <w:b/>
                <w:bCs/>
                <w:color w:val="000000"/>
                <w:sz w:val="24"/>
                <w:szCs w:val="24"/>
              </w:rPr>
              <w:t>-6.1%</w:t>
            </w:r>
          </w:p>
        </w:tc>
        <w:tc>
          <w:tcPr>
            <w:tcW w:w="451" w:type="pct"/>
            <w:tcBorders>
              <w:top w:val="nil"/>
              <w:left w:val="nil"/>
              <w:bottom w:val="single" w:sz="4" w:space="0" w:color="auto"/>
              <w:right w:val="single" w:sz="4" w:space="0" w:color="auto"/>
            </w:tcBorders>
            <w:vAlign w:val="center"/>
            <w:hideMark/>
          </w:tcPr>
          <w:p w14:paraId="7F047DFC"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Net profits collapsed due to rising expenses and declining reven</w:t>
            </w:r>
            <w:r w:rsidRPr="006D174E">
              <w:rPr>
                <w:rFonts w:ascii="Times New Roman" w:eastAsia="Times New Roman" w:hAnsi="Times New Roman" w:cs="Times New Roman"/>
                <w:color w:val="000000"/>
                <w:sz w:val="24"/>
                <w:szCs w:val="24"/>
              </w:rPr>
              <w:lastRenderedPageBreak/>
              <w:t>ue (Fadillah et al., 2024).</w:t>
            </w:r>
          </w:p>
        </w:tc>
      </w:tr>
      <w:tr w:rsidR="007D23FD" w:rsidRPr="006D174E" w14:paraId="43581635" w14:textId="77777777" w:rsidTr="007D23FD">
        <w:trPr>
          <w:trHeight w:val="4608"/>
        </w:trPr>
        <w:tc>
          <w:tcPr>
            <w:tcW w:w="604" w:type="pct"/>
            <w:tcBorders>
              <w:top w:val="nil"/>
              <w:left w:val="single" w:sz="4" w:space="0" w:color="auto"/>
              <w:bottom w:val="single" w:sz="4" w:space="0" w:color="auto"/>
              <w:right w:val="single" w:sz="4" w:space="0" w:color="auto"/>
            </w:tcBorders>
            <w:vAlign w:val="center"/>
            <w:hideMark/>
          </w:tcPr>
          <w:p w14:paraId="50C0B180"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Return on Assets (ROA %)</w:t>
            </w:r>
          </w:p>
        </w:tc>
        <w:tc>
          <w:tcPr>
            <w:tcW w:w="525" w:type="pct"/>
            <w:tcBorders>
              <w:top w:val="nil"/>
              <w:left w:val="nil"/>
              <w:bottom w:val="single" w:sz="4" w:space="0" w:color="auto"/>
              <w:right w:val="single" w:sz="4" w:space="0" w:color="auto"/>
            </w:tcBorders>
            <w:vAlign w:val="center"/>
            <w:hideMark/>
          </w:tcPr>
          <w:p w14:paraId="0B6658DD"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Net_Income</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Total_Assets</w:t>
            </w:r>
            <w:proofErr w:type="spellEnd"/>
            <w:r w:rsidRPr="006D174E">
              <w:rPr>
                <w:rFonts w:ascii="Times New Roman" w:eastAsia="Arial Unicode MS" w:hAnsi="Times New Roman" w:cs="Times New Roman"/>
                <w:color w:val="000000"/>
                <w:sz w:val="24"/>
                <w:szCs w:val="24"/>
              </w:rPr>
              <w:t>)*100</w:t>
            </w:r>
          </w:p>
        </w:tc>
        <w:tc>
          <w:tcPr>
            <w:tcW w:w="690" w:type="pct"/>
            <w:tcBorders>
              <w:top w:val="nil"/>
              <w:left w:val="nil"/>
              <w:bottom w:val="single" w:sz="4" w:space="0" w:color="auto"/>
              <w:right w:val="single" w:sz="4" w:space="0" w:color="auto"/>
            </w:tcBorders>
            <w:vAlign w:val="center"/>
            <w:hideMark/>
          </w:tcPr>
          <w:p w14:paraId="706BD632"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=(38,572/510,290)*100 = </w:t>
            </w:r>
            <w:r w:rsidRPr="006D174E">
              <w:rPr>
                <w:rFonts w:ascii="Times New Roman" w:eastAsia="Times New Roman" w:hAnsi="Times New Roman" w:cs="Times New Roman"/>
                <w:b/>
                <w:bCs/>
                <w:color w:val="000000"/>
                <w:sz w:val="24"/>
                <w:szCs w:val="24"/>
              </w:rPr>
              <w:t>7.6%</w:t>
            </w:r>
          </w:p>
        </w:tc>
        <w:tc>
          <w:tcPr>
            <w:tcW w:w="690" w:type="pct"/>
            <w:tcBorders>
              <w:top w:val="nil"/>
              <w:left w:val="nil"/>
              <w:bottom w:val="single" w:sz="4" w:space="0" w:color="auto"/>
              <w:right w:val="single" w:sz="4" w:space="0" w:color="auto"/>
            </w:tcBorders>
            <w:vAlign w:val="center"/>
            <w:hideMark/>
          </w:tcPr>
          <w:p w14:paraId="74053A0A"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=(5,301/493,138)*100 = </w:t>
            </w:r>
            <w:r w:rsidRPr="006D174E">
              <w:rPr>
                <w:rFonts w:ascii="Times New Roman" w:eastAsia="Times New Roman" w:hAnsi="Times New Roman" w:cs="Times New Roman"/>
                <w:b/>
                <w:bCs/>
                <w:color w:val="000000"/>
                <w:sz w:val="24"/>
                <w:szCs w:val="24"/>
              </w:rPr>
              <w:t>1.1%</w:t>
            </w:r>
          </w:p>
        </w:tc>
        <w:tc>
          <w:tcPr>
            <w:tcW w:w="690" w:type="pct"/>
            <w:tcBorders>
              <w:top w:val="nil"/>
              <w:left w:val="nil"/>
              <w:bottom w:val="single" w:sz="4" w:space="0" w:color="auto"/>
              <w:right w:val="single" w:sz="4" w:space="0" w:color="auto"/>
            </w:tcBorders>
            <w:vAlign w:val="center"/>
            <w:hideMark/>
          </w:tcPr>
          <w:p w14:paraId="079097D5"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=(407/432,052)*100 = </w:t>
            </w:r>
            <w:r w:rsidRPr="006D174E">
              <w:rPr>
                <w:rFonts w:ascii="Times New Roman" w:eastAsia="Times New Roman" w:hAnsi="Times New Roman" w:cs="Times New Roman"/>
                <w:b/>
                <w:bCs/>
                <w:color w:val="000000"/>
                <w:sz w:val="24"/>
                <w:szCs w:val="24"/>
              </w:rPr>
              <w:t>0.09%</w:t>
            </w:r>
          </w:p>
        </w:tc>
        <w:tc>
          <w:tcPr>
            <w:tcW w:w="661" w:type="pct"/>
            <w:tcBorders>
              <w:top w:val="nil"/>
              <w:left w:val="nil"/>
              <w:bottom w:val="single" w:sz="4" w:space="0" w:color="auto"/>
              <w:right w:val="single" w:sz="4" w:space="0" w:color="auto"/>
            </w:tcBorders>
            <w:vAlign w:val="center"/>
            <w:hideMark/>
          </w:tcPr>
          <w:p w14:paraId="511D8624"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=(-98,238/359,087)*100 = </w:t>
            </w:r>
            <w:r w:rsidRPr="006D174E">
              <w:rPr>
                <w:rFonts w:ascii="Times New Roman" w:eastAsia="Times New Roman" w:hAnsi="Times New Roman" w:cs="Times New Roman"/>
                <w:b/>
                <w:bCs/>
                <w:color w:val="000000"/>
                <w:sz w:val="24"/>
                <w:szCs w:val="24"/>
              </w:rPr>
              <w:t>-27.3%</w:t>
            </w:r>
          </w:p>
        </w:tc>
        <w:tc>
          <w:tcPr>
            <w:tcW w:w="690" w:type="pct"/>
            <w:tcBorders>
              <w:top w:val="nil"/>
              <w:left w:val="nil"/>
              <w:bottom w:val="single" w:sz="4" w:space="0" w:color="auto"/>
              <w:right w:val="single" w:sz="4" w:space="0" w:color="auto"/>
            </w:tcBorders>
            <w:vAlign w:val="center"/>
            <w:hideMark/>
          </w:tcPr>
          <w:p w14:paraId="74B00305"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=(-24,029/323,354)*100 = </w:t>
            </w:r>
            <w:r w:rsidRPr="006D174E">
              <w:rPr>
                <w:rFonts w:ascii="Times New Roman" w:eastAsia="Times New Roman" w:hAnsi="Times New Roman" w:cs="Times New Roman"/>
                <w:b/>
                <w:bCs/>
                <w:color w:val="000000"/>
                <w:sz w:val="24"/>
                <w:szCs w:val="24"/>
              </w:rPr>
              <w:t>-7.4%</w:t>
            </w:r>
          </w:p>
        </w:tc>
        <w:tc>
          <w:tcPr>
            <w:tcW w:w="451" w:type="pct"/>
            <w:tcBorders>
              <w:top w:val="nil"/>
              <w:left w:val="nil"/>
              <w:bottom w:val="single" w:sz="4" w:space="0" w:color="auto"/>
              <w:right w:val="single" w:sz="4" w:space="0" w:color="auto"/>
            </w:tcBorders>
            <w:vAlign w:val="center"/>
            <w:hideMark/>
          </w:tcPr>
          <w:p w14:paraId="1F70BEE5"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Shows declining asset efficiency — assets no longer generate positive returns (Sudacevschi &amp; Stefan </w:t>
            </w:r>
            <w:r w:rsidRPr="006D174E">
              <w:rPr>
                <w:rFonts w:ascii="Times New Roman" w:eastAsia="Times New Roman" w:hAnsi="Times New Roman" w:cs="Times New Roman"/>
                <w:color w:val="000000"/>
                <w:sz w:val="24"/>
                <w:szCs w:val="24"/>
              </w:rPr>
              <w:lastRenderedPageBreak/>
              <w:t>Duicu, 2024).</w:t>
            </w:r>
          </w:p>
        </w:tc>
      </w:tr>
      <w:tr w:rsidR="007D23FD" w:rsidRPr="006D174E" w14:paraId="71431375" w14:textId="77777777" w:rsidTr="007D23FD">
        <w:trPr>
          <w:trHeight w:val="3744"/>
        </w:trPr>
        <w:tc>
          <w:tcPr>
            <w:tcW w:w="604" w:type="pct"/>
            <w:tcBorders>
              <w:top w:val="nil"/>
              <w:left w:val="single" w:sz="4" w:space="0" w:color="auto"/>
              <w:bottom w:val="single" w:sz="4" w:space="0" w:color="auto"/>
              <w:right w:val="single" w:sz="4" w:space="0" w:color="auto"/>
            </w:tcBorders>
            <w:vAlign w:val="center"/>
            <w:hideMark/>
          </w:tcPr>
          <w:p w14:paraId="2558BFE1"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Return on Equity (ROE %)</w:t>
            </w:r>
          </w:p>
        </w:tc>
        <w:tc>
          <w:tcPr>
            <w:tcW w:w="525" w:type="pct"/>
            <w:tcBorders>
              <w:top w:val="nil"/>
              <w:left w:val="nil"/>
              <w:bottom w:val="single" w:sz="4" w:space="0" w:color="auto"/>
              <w:right w:val="single" w:sz="4" w:space="0" w:color="auto"/>
            </w:tcBorders>
            <w:vAlign w:val="center"/>
            <w:hideMark/>
          </w:tcPr>
          <w:p w14:paraId="58C5DF4C"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Net_Income</w:t>
            </w:r>
            <w:proofErr w:type="spellEnd"/>
            <w:r w:rsidRPr="006D174E">
              <w:rPr>
                <w:rFonts w:ascii="Times New Roman" w:eastAsia="Arial Unicode MS" w:hAnsi="Times New Roman" w:cs="Times New Roman"/>
                <w:color w:val="000000"/>
                <w:sz w:val="24"/>
                <w:szCs w:val="24"/>
              </w:rPr>
              <w:t>/Equity)*100</w:t>
            </w:r>
          </w:p>
        </w:tc>
        <w:tc>
          <w:tcPr>
            <w:tcW w:w="690" w:type="pct"/>
            <w:tcBorders>
              <w:top w:val="nil"/>
              <w:left w:val="nil"/>
              <w:bottom w:val="single" w:sz="4" w:space="0" w:color="auto"/>
              <w:right w:val="single" w:sz="4" w:space="0" w:color="auto"/>
            </w:tcBorders>
            <w:vAlign w:val="center"/>
            <w:hideMark/>
          </w:tcPr>
          <w:p w14:paraId="3A14482B"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=(38,572/340,041)*100 = </w:t>
            </w:r>
            <w:r w:rsidRPr="006D174E">
              <w:rPr>
                <w:rFonts w:ascii="Times New Roman" w:eastAsia="Times New Roman" w:hAnsi="Times New Roman" w:cs="Times New Roman"/>
                <w:b/>
                <w:bCs/>
                <w:color w:val="000000"/>
                <w:sz w:val="24"/>
                <w:szCs w:val="24"/>
              </w:rPr>
              <w:t>11.3%</w:t>
            </w:r>
          </w:p>
        </w:tc>
        <w:tc>
          <w:tcPr>
            <w:tcW w:w="690" w:type="pct"/>
            <w:tcBorders>
              <w:top w:val="nil"/>
              <w:left w:val="nil"/>
              <w:bottom w:val="single" w:sz="4" w:space="0" w:color="auto"/>
              <w:right w:val="single" w:sz="4" w:space="0" w:color="auto"/>
            </w:tcBorders>
            <w:vAlign w:val="center"/>
            <w:hideMark/>
          </w:tcPr>
          <w:p w14:paraId="37216021"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=(5,301/325,134)*100 = </w:t>
            </w:r>
            <w:r w:rsidRPr="006D174E">
              <w:rPr>
                <w:rFonts w:ascii="Times New Roman" w:eastAsia="Times New Roman" w:hAnsi="Times New Roman" w:cs="Times New Roman"/>
                <w:b/>
                <w:bCs/>
                <w:color w:val="000000"/>
                <w:sz w:val="24"/>
                <w:szCs w:val="24"/>
              </w:rPr>
              <w:t>1.6%</w:t>
            </w:r>
          </w:p>
        </w:tc>
        <w:tc>
          <w:tcPr>
            <w:tcW w:w="690" w:type="pct"/>
            <w:tcBorders>
              <w:top w:val="nil"/>
              <w:left w:val="nil"/>
              <w:bottom w:val="single" w:sz="4" w:space="0" w:color="auto"/>
              <w:right w:val="single" w:sz="4" w:space="0" w:color="auto"/>
            </w:tcBorders>
            <w:vAlign w:val="center"/>
            <w:hideMark/>
          </w:tcPr>
          <w:p w14:paraId="1671A8E8"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=(407/282,030)*100 = </w:t>
            </w:r>
            <w:r w:rsidRPr="006D174E">
              <w:rPr>
                <w:rFonts w:ascii="Times New Roman" w:eastAsia="Times New Roman" w:hAnsi="Times New Roman" w:cs="Times New Roman"/>
                <w:b/>
                <w:bCs/>
                <w:color w:val="000000"/>
                <w:sz w:val="24"/>
                <w:szCs w:val="24"/>
              </w:rPr>
              <w:t>0.14%</w:t>
            </w:r>
          </w:p>
        </w:tc>
        <w:tc>
          <w:tcPr>
            <w:tcW w:w="661" w:type="pct"/>
            <w:tcBorders>
              <w:top w:val="nil"/>
              <w:left w:val="nil"/>
              <w:bottom w:val="single" w:sz="4" w:space="0" w:color="auto"/>
              <w:right w:val="single" w:sz="4" w:space="0" w:color="auto"/>
            </w:tcBorders>
            <w:vAlign w:val="center"/>
            <w:hideMark/>
          </w:tcPr>
          <w:p w14:paraId="21699ABC"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=(-98,238/202,102)*100 = </w:t>
            </w:r>
            <w:r w:rsidRPr="006D174E">
              <w:rPr>
                <w:rFonts w:ascii="Times New Roman" w:eastAsia="Times New Roman" w:hAnsi="Times New Roman" w:cs="Times New Roman"/>
                <w:b/>
                <w:bCs/>
                <w:color w:val="000000"/>
                <w:sz w:val="24"/>
                <w:szCs w:val="24"/>
              </w:rPr>
              <w:t>-48.6%</w:t>
            </w:r>
          </w:p>
        </w:tc>
        <w:tc>
          <w:tcPr>
            <w:tcW w:w="690" w:type="pct"/>
            <w:tcBorders>
              <w:top w:val="nil"/>
              <w:left w:val="nil"/>
              <w:bottom w:val="single" w:sz="4" w:space="0" w:color="auto"/>
              <w:right w:val="single" w:sz="4" w:space="0" w:color="auto"/>
            </w:tcBorders>
            <w:vAlign w:val="center"/>
            <w:hideMark/>
          </w:tcPr>
          <w:p w14:paraId="6B61D897"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=(-24,029/153,105)*100 = </w:t>
            </w:r>
            <w:r w:rsidRPr="006D174E">
              <w:rPr>
                <w:rFonts w:ascii="Times New Roman" w:eastAsia="Times New Roman" w:hAnsi="Times New Roman" w:cs="Times New Roman"/>
                <w:b/>
                <w:bCs/>
                <w:color w:val="000000"/>
                <w:sz w:val="24"/>
                <w:szCs w:val="24"/>
              </w:rPr>
              <w:t>-15.7%</w:t>
            </w:r>
          </w:p>
        </w:tc>
        <w:tc>
          <w:tcPr>
            <w:tcW w:w="451" w:type="pct"/>
            <w:tcBorders>
              <w:top w:val="nil"/>
              <w:left w:val="nil"/>
              <w:bottom w:val="single" w:sz="4" w:space="0" w:color="auto"/>
              <w:right w:val="single" w:sz="4" w:space="0" w:color="auto"/>
            </w:tcBorders>
            <w:vAlign w:val="center"/>
            <w:hideMark/>
          </w:tcPr>
          <w:p w14:paraId="23BEFED6"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Shareholder returns dropped sharply, turning negative from 2023 onwards (Akash et </w:t>
            </w:r>
            <w:r w:rsidRPr="006D174E">
              <w:rPr>
                <w:rFonts w:ascii="Times New Roman" w:eastAsia="Times New Roman" w:hAnsi="Times New Roman" w:cs="Times New Roman"/>
                <w:color w:val="000000"/>
                <w:sz w:val="24"/>
                <w:szCs w:val="24"/>
              </w:rPr>
              <w:lastRenderedPageBreak/>
              <w:t>al., 2024).</w:t>
            </w:r>
          </w:p>
        </w:tc>
      </w:tr>
    </w:tbl>
    <w:p w14:paraId="354E66CA" w14:textId="77777777" w:rsidR="007D23FD" w:rsidRPr="006D174E" w:rsidRDefault="007D23FD" w:rsidP="001F5A23">
      <w:bookmarkStart w:id="8" w:name="_Toc211680179"/>
      <w:r w:rsidRPr="006D174E">
        <w:rPr>
          <w:rStyle w:val="Strong"/>
          <w:rFonts w:ascii="Times New Roman" w:hAnsi="Times New Roman" w:cs="Times New Roman"/>
          <w:b w:val="0"/>
          <w:bCs w:val="0"/>
          <w:szCs w:val="24"/>
        </w:rPr>
        <w:lastRenderedPageBreak/>
        <w:t>Interpretation</w:t>
      </w:r>
      <w:bookmarkEnd w:id="8"/>
    </w:p>
    <w:p w14:paraId="1BCA33D1" w14:textId="77777777" w:rsidR="006D174E" w:rsidRDefault="00243650" w:rsidP="006D174E">
      <w:pPr>
        <w:pStyle w:val="NormalWeb"/>
        <w:spacing w:before="240" w:beforeAutospacing="0" w:after="240" w:afterAutospacing="0" w:line="360" w:lineRule="auto"/>
        <w:jc w:val="both"/>
      </w:pPr>
      <w:r>
        <w:t>The table reveals how well</w:t>
      </w:r>
      <w:r w:rsidR="007D23FD" w:rsidRPr="006D174E">
        <w:t xml:space="preserve"> company’s</w:t>
      </w:r>
      <w:r>
        <w:t xml:space="preserve"> profitability steadily eroded and g</w:t>
      </w:r>
      <w:r w:rsidR="007D23FD" w:rsidRPr="006D174E">
        <w:t>ross profit margins remain</w:t>
      </w:r>
      <w:r>
        <w:t>ed near 28–29% for most years, showing</w:t>
      </w:r>
      <w:r w:rsidR="007D23FD" w:rsidRPr="006D174E">
        <w:t xml:space="preserve"> stable production efficiency (Ramdhan et al., 2025). </w:t>
      </w:r>
    </w:p>
    <w:p w14:paraId="3732AA00" w14:textId="77777777" w:rsidR="006D174E" w:rsidRDefault="006D174E" w:rsidP="006D174E">
      <w:pPr>
        <w:pStyle w:val="NormalWeb"/>
      </w:pPr>
      <w:r>
        <w:rPr>
          <w:noProof/>
        </w:rPr>
        <w:drawing>
          <wp:inline distT="0" distB="0" distL="0" distR="0" wp14:anchorId="27A12494" wp14:editId="6C0512B0">
            <wp:extent cx="4870297" cy="3043259"/>
            <wp:effectExtent l="0" t="0" r="6985" b="5080"/>
            <wp:docPr id="1" name="Picture 1" descr="C:\Users\admin\Downloads\Profitability_Rat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Users\admin\Downloads\Profitability_Ratio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80716" cy="3049770"/>
                    </a:xfrm>
                    <a:prstGeom prst="rect">
                      <a:avLst/>
                    </a:prstGeom>
                    <a:noFill/>
                    <a:ln>
                      <a:noFill/>
                    </a:ln>
                  </pic:spPr>
                </pic:pic>
              </a:graphicData>
            </a:graphic>
          </wp:inline>
        </w:drawing>
      </w:r>
    </w:p>
    <w:p w14:paraId="2DB08A02" w14:textId="77777777" w:rsidR="007D23FD" w:rsidRPr="006D174E" w:rsidRDefault="000B539D" w:rsidP="006D174E">
      <w:pPr>
        <w:pStyle w:val="NormalWeb"/>
        <w:spacing w:before="240" w:beforeAutospacing="0" w:after="240" w:afterAutospacing="0" w:line="360" w:lineRule="auto"/>
        <w:jc w:val="both"/>
      </w:pPr>
      <w:r>
        <w:t xml:space="preserve">Further to this, </w:t>
      </w:r>
      <w:r w:rsidR="00765EEC">
        <w:t xml:space="preserve">in the same analysis, </w:t>
      </w:r>
      <w:r w:rsidR="007D23FD" w:rsidRPr="006D174E">
        <w:t xml:space="preserve">net profit margin fell drastically from </w:t>
      </w:r>
      <w:r w:rsidR="007D23FD" w:rsidRPr="006D174E">
        <w:rPr>
          <w:rStyle w:val="Strong"/>
        </w:rPr>
        <w:t>6.3% in 2020</w:t>
      </w:r>
      <w:r w:rsidR="007D23FD" w:rsidRPr="006D174E">
        <w:t xml:space="preserve"> to </w:t>
      </w:r>
      <w:r w:rsidR="007D23FD" w:rsidRPr="006D174E">
        <w:rPr>
          <w:rStyle w:val="Strong"/>
        </w:rPr>
        <w:t>–6.1% in 2024</w:t>
      </w:r>
      <w:r w:rsidR="00765EEC">
        <w:t>, which resulted to c</w:t>
      </w:r>
      <w:r w:rsidR="007D23FD" w:rsidRPr="006D174E">
        <w:t>onfirming that overheads, finance costs, and market contracti</w:t>
      </w:r>
      <w:r w:rsidR="00765EEC">
        <w:t>on have reduced profitability. In the analysis of same,</w:t>
      </w:r>
      <w:r w:rsidR="007D23FD" w:rsidRPr="006D174E">
        <w:t xml:space="preserve"> </w:t>
      </w:r>
      <w:r w:rsidR="007D23FD" w:rsidRPr="006D174E">
        <w:rPr>
          <w:rStyle w:val="Strong"/>
        </w:rPr>
        <w:t>ROA</w:t>
      </w:r>
      <w:r w:rsidR="007D23FD" w:rsidRPr="006D174E">
        <w:t xml:space="preserve"> and </w:t>
      </w:r>
      <w:r w:rsidR="007D23FD" w:rsidRPr="006D174E">
        <w:rPr>
          <w:rStyle w:val="Strong"/>
        </w:rPr>
        <w:t>ROE</w:t>
      </w:r>
      <w:r w:rsidR="007D23FD" w:rsidRPr="006D174E">
        <w:t xml:space="preserve"> turned negative in the last two years, </w:t>
      </w:r>
      <w:r w:rsidR="00765EEC">
        <w:t>resulted to showing that the</w:t>
      </w:r>
      <w:r w:rsidR="007D23FD" w:rsidRPr="006D174E">
        <w:t xml:space="preserve"> firm’s assets and equity are generating losses instead of returns </w:t>
      </w:r>
      <w:r w:rsidR="007D23FD" w:rsidRPr="006D174E">
        <w:lastRenderedPageBreak/>
        <w:t>(Sudac</w:t>
      </w:r>
      <w:r w:rsidR="00765EEC">
        <w:t>evschi &amp; Stefan Duicu, 2024). However, th</w:t>
      </w:r>
      <w:r w:rsidR="007D23FD" w:rsidRPr="006D174E">
        <w:t>ese findings clearly show that General Electronics has moved from a profit</w:t>
      </w:r>
      <w:r w:rsidR="00765EEC">
        <w:t xml:space="preserve">able to a loss-making position and resulted to </w:t>
      </w:r>
      <w:r w:rsidR="007D23FD" w:rsidRPr="006D174E">
        <w:t>urgent need for cost control, capital restructuring, and operational improvement (Fadillah et al., 2024; Akash et al., 2024).</w:t>
      </w:r>
    </w:p>
    <w:p w14:paraId="68AB378E" w14:textId="77777777" w:rsidR="007D23FD" w:rsidRPr="006D174E" w:rsidRDefault="007D23FD" w:rsidP="001F5A23">
      <w:pPr>
        <w:pStyle w:val="Heading3"/>
      </w:pPr>
      <w:bookmarkStart w:id="9" w:name="_Toc211680180"/>
      <w:bookmarkStart w:id="10" w:name="_Toc212192247"/>
      <w:r w:rsidRPr="006D174E">
        <w:rPr>
          <w:rStyle w:val="Strong"/>
          <w:szCs w:val="24"/>
        </w:rPr>
        <w:t>2.3 Liquidity Ratios</w:t>
      </w:r>
      <w:bookmarkEnd w:id="9"/>
      <w:bookmarkEnd w:id="10"/>
    </w:p>
    <w:p w14:paraId="0B7F31B5" w14:textId="77777777" w:rsidR="007D23FD" w:rsidRPr="006D174E" w:rsidRDefault="00765EEC" w:rsidP="006D174E">
      <w:pPr>
        <w:pStyle w:val="NormalWeb"/>
        <w:spacing w:before="240" w:beforeAutospacing="0" w:after="240" w:afterAutospacing="0" w:line="360" w:lineRule="auto"/>
        <w:jc w:val="both"/>
      </w:pPr>
      <w:r>
        <w:t>This ratio also</w:t>
      </w:r>
      <w:r w:rsidR="007D23FD" w:rsidRPr="006D174E">
        <w:t xml:space="preserve"> measure whether General Electronics has enough short-term assets to meet its short-term obligations. </w:t>
      </w:r>
      <w:r>
        <w:t xml:space="preserve">However, </w:t>
      </w:r>
      <w:r w:rsidRPr="006D174E">
        <w:t>current</w:t>
      </w:r>
      <w:r w:rsidR="007D23FD" w:rsidRPr="006D174E">
        <w:rPr>
          <w:rStyle w:val="Strong"/>
        </w:rPr>
        <w:t xml:space="preserve"> ratio above 1.5</w:t>
      </w:r>
      <w:r w:rsidR="007D23FD" w:rsidRPr="006D174E">
        <w:t xml:space="preserve"> and a </w:t>
      </w:r>
      <w:r w:rsidR="007D23FD" w:rsidRPr="006D174E">
        <w:rPr>
          <w:rStyle w:val="Strong"/>
        </w:rPr>
        <w:t>quick ratio above 1.0</w:t>
      </w:r>
      <w:r w:rsidR="007D23FD" w:rsidRPr="006D174E">
        <w:t xml:space="preserve"> to ensure smoo</w:t>
      </w:r>
      <w:r>
        <w:t>th cash flow (Tan &amp; F., 2021). Here in this, t</w:t>
      </w:r>
      <w:r w:rsidR="007D23FD" w:rsidRPr="006D174E">
        <w:t xml:space="preserve">he five-year data clearly shows a deterioration in liquidity, </w:t>
      </w:r>
      <w:r>
        <w:t xml:space="preserve">resulted to showing company ‘inability </w:t>
      </w:r>
      <w:r w:rsidR="007D23FD" w:rsidRPr="006D174E">
        <w:t>to pay its immediate debts without relying on external financing (Mastilo et al., 2024).</w:t>
      </w:r>
    </w:p>
    <w:p w14:paraId="29A2AE8B" w14:textId="77777777" w:rsidR="007D23FD" w:rsidRPr="006D174E" w:rsidRDefault="007D23FD" w:rsidP="006D174E">
      <w:pPr>
        <w:pStyle w:val="NormalWeb"/>
        <w:spacing w:before="240" w:beforeAutospacing="0" w:after="240" w:afterAutospacing="0" w:line="360" w:lineRule="auto"/>
        <w:jc w:val="both"/>
      </w:pPr>
    </w:p>
    <w:p w14:paraId="610ED067" w14:textId="77777777" w:rsidR="007D23FD" w:rsidRPr="006D174E" w:rsidRDefault="007D23FD" w:rsidP="006D174E">
      <w:pPr>
        <w:pStyle w:val="NormalWeb"/>
        <w:spacing w:before="240" w:beforeAutospacing="0" w:after="240" w:afterAutospacing="0" w:line="360" w:lineRule="auto"/>
        <w:jc w:val="both"/>
      </w:pPr>
    </w:p>
    <w:tbl>
      <w:tblPr>
        <w:tblW w:w="5000" w:type="pct"/>
        <w:tblLayout w:type="fixed"/>
        <w:tblLook w:val="04A0" w:firstRow="1" w:lastRow="0" w:firstColumn="1" w:lastColumn="0" w:noHBand="0" w:noVBand="1"/>
      </w:tblPr>
      <w:tblGrid>
        <w:gridCol w:w="666"/>
        <w:gridCol w:w="1032"/>
        <w:gridCol w:w="991"/>
        <w:gridCol w:w="709"/>
        <w:gridCol w:w="993"/>
        <w:gridCol w:w="1133"/>
        <w:gridCol w:w="851"/>
        <w:gridCol w:w="828"/>
        <w:gridCol w:w="1098"/>
        <w:gridCol w:w="1049"/>
      </w:tblGrid>
      <w:tr w:rsidR="007D23FD" w:rsidRPr="006D174E" w14:paraId="5CD95BE9" w14:textId="77777777" w:rsidTr="007D23FD">
        <w:trPr>
          <w:trHeight w:val="576"/>
        </w:trPr>
        <w:tc>
          <w:tcPr>
            <w:tcW w:w="356" w:type="pct"/>
            <w:tcBorders>
              <w:top w:val="single" w:sz="4" w:space="0" w:color="auto"/>
              <w:left w:val="single" w:sz="4" w:space="0" w:color="auto"/>
              <w:bottom w:val="single" w:sz="4" w:space="0" w:color="auto"/>
              <w:right w:val="single" w:sz="4" w:space="0" w:color="auto"/>
            </w:tcBorders>
            <w:vAlign w:val="center"/>
            <w:hideMark/>
          </w:tcPr>
          <w:p w14:paraId="105DEB51"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Ratio</w:t>
            </w:r>
          </w:p>
        </w:tc>
        <w:tc>
          <w:tcPr>
            <w:tcW w:w="552" w:type="pct"/>
            <w:tcBorders>
              <w:top w:val="single" w:sz="4" w:space="0" w:color="auto"/>
              <w:left w:val="nil"/>
              <w:bottom w:val="single" w:sz="4" w:space="0" w:color="auto"/>
              <w:right w:val="single" w:sz="4" w:space="0" w:color="auto"/>
            </w:tcBorders>
            <w:vAlign w:val="center"/>
            <w:hideMark/>
          </w:tcPr>
          <w:p w14:paraId="7E194B7A"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Formula (Excel format)</w:t>
            </w:r>
          </w:p>
        </w:tc>
        <w:tc>
          <w:tcPr>
            <w:tcW w:w="530" w:type="pct"/>
            <w:tcBorders>
              <w:top w:val="single" w:sz="4" w:space="0" w:color="auto"/>
              <w:left w:val="nil"/>
              <w:bottom w:val="single" w:sz="4" w:space="0" w:color="auto"/>
              <w:right w:val="single" w:sz="4" w:space="0" w:color="auto"/>
            </w:tcBorders>
            <w:vAlign w:val="center"/>
            <w:hideMark/>
          </w:tcPr>
          <w:p w14:paraId="2B718B58"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2020</w:t>
            </w:r>
          </w:p>
        </w:tc>
        <w:tc>
          <w:tcPr>
            <w:tcW w:w="379" w:type="pct"/>
            <w:tcBorders>
              <w:top w:val="single" w:sz="4" w:space="0" w:color="auto"/>
              <w:left w:val="nil"/>
              <w:bottom w:val="single" w:sz="4" w:space="0" w:color="auto"/>
              <w:right w:val="single" w:sz="4" w:space="0" w:color="auto"/>
            </w:tcBorders>
            <w:vAlign w:val="center"/>
            <w:hideMark/>
          </w:tcPr>
          <w:p w14:paraId="3DFB8AE8"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2021</w:t>
            </w:r>
          </w:p>
        </w:tc>
        <w:tc>
          <w:tcPr>
            <w:tcW w:w="531" w:type="pct"/>
            <w:tcBorders>
              <w:top w:val="single" w:sz="4" w:space="0" w:color="auto"/>
              <w:left w:val="nil"/>
              <w:bottom w:val="single" w:sz="4" w:space="0" w:color="auto"/>
              <w:right w:val="single" w:sz="4" w:space="0" w:color="auto"/>
            </w:tcBorders>
            <w:vAlign w:val="center"/>
            <w:hideMark/>
          </w:tcPr>
          <w:p w14:paraId="760CBB3F"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2022</w:t>
            </w:r>
          </w:p>
        </w:tc>
        <w:tc>
          <w:tcPr>
            <w:tcW w:w="606" w:type="pct"/>
            <w:tcBorders>
              <w:top w:val="single" w:sz="4" w:space="0" w:color="auto"/>
              <w:left w:val="nil"/>
              <w:bottom w:val="single" w:sz="4" w:space="0" w:color="auto"/>
              <w:right w:val="single" w:sz="4" w:space="0" w:color="auto"/>
            </w:tcBorders>
            <w:vAlign w:val="center"/>
            <w:hideMark/>
          </w:tcPr>
          <w:p w14:paraId="61785F57"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2023</w:t>
            </w:r>
          </w:p>
        </w:tc>
        <w:tc>
          <w:tcPr>
            <w:tcW w:w="455" w:type="pct"/>
            <w:tcBorders>
              <w:top w:val="single" w:sz="4" w:space="0" w:color="auto"/>
              <w:left w:val="nil"/>
              <w:bottom w:val="single" w:sz="4" w:space="0" w:color="auto"/>
              <w:right w:val="single" w:sz="4" w:space="0" w:color="auto"/>
            </w:tcBorders>
            <w:vAlign w:val="center"/>
            <w:hideMark/>
          </w:tcPr>
          <w:p w14:paraId="61EE6565"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2024</w:t>
            </w:r>
          </w:p>
        </w:tc>
        <w:tc>
          <w:tcPr>
            <w:tcW w:w="1591" w:type="pct"/>
            <w:gridSpan w:val="3"/>
            <w:tcBorders>
              <w:top w:val="single" w:sz="4" w:space="0" w:color="auto"/>
              <w:left w:val="nil"/>
              <w:bottom w:val="single" w:sz="4" w:space="0" w:color="auto"/>
              <w:right w:val="single" w:sz="4" w:space="0" w:color="auto"/>
            </w:tcBorders>
            <w:vAlign w:val="center"/>
            <w:hideMark/>
          </w:tcPr>
          <w:p w14:paraId="11B4B6E6"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Interpretation</w:t>
            </w:r>
          </w:p>
        </w:tc>
      </w:tr>
      <w:tr w:rsidR="007D23FD" w:rsidRPr="006D174E" w14:paraId="05490564" w14:textId="77777777" w:rsidTr="007D23FD">
        <w:trPr>
          <w:trHeight w:val="5760"/>
        </w:trPr>
        <w:tc>
          <w:tcPr>
            <w:tcW w:w="356" w:type="pct"/>
            <w:tcBorders>
              <w:top w:val="nil"/>
              <w:left w:val="single" w:sz="4" w:space="0" w:color="auto"/>
              <w:bottom w:val="single" w:sz="4" w:space="0" w:color="auto"/>
              <w:right w:val="single" w:sz="4" w:space="0" w:color="auto"/>
            </w:tcBorders>
            <w:vAlign w:val="center"/>
            <w:hideMark/>
          </w:tcPr>
          <w:p w14:paraId="19A7E8FE"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Current Ratio</w:t>
            </w:r>
          </w:p>
        </w:tc>
        <w:tc>
          <w:tcPr>
            <w:tcW w:w="552" w:type="pct"/>
            <w:tcBorders>
              <w:top w:val="nil"/>
              <w:left w:val="nil"/>
              <w:bottom w:val="single" w:sz="4" w:space="0" w:color="auto"/>
              <w:right w:val="single" w:sz="4" w:space="0" w:color="auto"/>
            </w:tcBorders>
            <w:vAlign w:val="center"/>
            <w:hideMark/>
          </w:tcPr>
          <w:p w14:paraId="59A2089A"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Current_Assets</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Current_Liabilities</w:t>
            </w:r>
            <w:proofErr w:type="spellEnd"/>
          </w:p>
        </w:tc>
        <w:tc>
          <w:tcPr>
            <w:tcW w:w="530" w:type="pct"/>
            <w:tcBorders>
              <w:top w:val="nil"/>
              <w:left w:val="nil"/>
              <w:bottom w:val="single" w:sz="4" w:space="0" w:color="auto"/>
              <w:right w:val="single" w:sz="4" w:space="0" w:color="auto"/>
            </w:tcBorders>
            <w:vAlign w:val="center"/>
            <w:hideMark/>
          </w:tcPr>
          <w:p w14:paraId="3830DBDB"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=(153,122 / 90,650) = </w:t>
            </w:r>
            <w:r w:rsidRPr="006D174E">
              <w:rPr>
                <w:rFonts w:ascii="Times New Roman" w:eastAsia="Times New Roman" w:hAnsi="Times New Roman" w:cs="Times New Roman"/>
                <w:b/>
                <w:bCs/>
                <w:color w:val="000000"/>
                <w:sz w:val="24"/>
                <w:szCs w:val="24"/>
              </w:rPr>
              <w:t>1.69</w:t>
            </w:r>
          </w:p>
        </w:tc>
        <w:tc>
          <w:tcPr>
            <w:tcW w:w="379" w:type="pct"/>
            <w:tcBorders>
              <w:top w:val="nil"/>
              <w:left w:val="nil"/>
              <w:bottom w:val="single" w:sz="4" w:space="0" w:color="auto"/>
              <w:right w:val="single" w:sz="4" w:space="0" w:color="auto"/>
            </w:tcBorders>
            <w:vAlign w:val="center"/>
            <w:hideMark/>
          </w:tcPr>
          <w:p w14:paraId="456F2737"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=(150,174 / 91,009) = </w:t>
            </w:r>
            <w:r w:rsidRPr="006D174E">
              <w:rPr>
                <w:rFonts w:ascii="Times New Roman" w:eastAsia="Times New Roman" w:hAnsi="Times New Roman" w:cs="Times New Roman"/>
                <w:b/>
                <w:bCs/>
                <w:color w:val="000000"/>
                <w:sz w:val="24"/>
                <w:szCs w:val="24"/>
              </w:rPr>
              <w:t>1.65</w:t>
            </w:r>
          </w:p>
        </w:tc>
        <w:tc>
          <w:tcPr>
            <w:tcW w:w="531" w:type="pct"/>
            <w:tcBorders>
              <w:top w:val="nil"/>
              <w:left w:val="nil"/>
              <w:bottom w:val="single" w:sz="4" w:space="0" w:color="auto"/>
              <w:right w:val="single" w:sz="4" w:space="0" w:color="auto"/>
            </w:tcBorders>
            <w:vAlign w:val="center"/>
            <w:hideMark/>
          </w:tcPr>
          <w:p w14:paraId="54404DD5"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=(131,062 / 88,786) = </w:t>
            </w:r>
            <w:r w:rsidRPr="006D174E">
              <w:rPr>
                <w:rFonts w:ascii="Times New Roman" w:eastAsia="Times New Roman" w:hAnsi="Times New Roman" w:cs="Times New Roman"/>
                <w:b/>
                <w:bCs/>
                <w:color w:val="000000"/>
                <w:sz w:val="24"/>
                <w:szCs w:val="24"/>
              </w:rPr>
              <w:t>1.47</w:t>
            </w:r>
          </w:p>
        </w:tc>
        <w:tc>
          <w:tcPr>
            <w:tcW w:w="1504" w:type="pct"/>
            <w:gridSpan w:val="3"/>
            <w:tcBorders>
              <w:top w:val="nil"/>
              <w:left w:val="nil"/>
              <w:bottom w:val="single" w:sz="4" w:space="0" w:color="auto"/>
              <w:right w:val="single" w:sz="4" w:space="0" w:color="auto"/>
            </w:tcBorders>
            <w:vAlign w:val="center"/>
            <w:hideMark/>
          </w:tcPr>
          <w:p w14:paraId="41F6D0F3"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=(104,964 / 85,625) = </w:t>
            </w:r>
            <w:r w:rsidRPr="006D174E">
              <w:rPr>
                <w:rFonts w:ascii="Times New Roman" w:eastAsia="Times New Roman" w:hAnsi="Times New Roman" w:cs="Times New Roman"/>
                <w:b/>
                <w:bCs/>
                <w:color w:val="000000"/>
                <w:sz w:val="24"/>
                <w:szCs w:val="24"/>
              </w:rPr>
              <w:t>1.23</w:t>
            </w:r>
          </w:p>
        </w:tc>
        <w:tc>
          <w:tcPr>
            <w:tcW w:w="587" w:type="pct"/>
            <w:tcBorders>
              <w:top w:val="nil"/>
              <w:left w:val="nil"/>
              <w:bottom w:val="single" w:sz="4" w:space="0" w:color="auto"/>
              <w:right w:val="single" w:sz="4" w:space="0" w:color="auto"/>
            </w:tcBorders>
            <w:vAlign w:val="center"/>
            <w:hideMark/>
          </w:tcPr>
          <w:p w14:paraId="34BADBAF"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=(87,250 / 81,642) = </w:t>
            </w:r>
            <w:r w:rsidRPr="006D174E">
              <w:rPr>
                <w:rFonts w:ascii="Times New Roman" w:eastAsia="Times New Roman" w:hAnsi="Times New Roman" w:cs="Times New Roman"/>
                <w:b/>
                <w:bCs/>
                <w:color w:val="000000"/>
                <w:sz w:val="24"/>
                <w:szCs w:val="24"/>
              </w:rPr>
              <w:t>1.07</w:t>
            </w:r>
          </w:p>
        </w:tc>
        <w:tc>
          <w:tcPr>
            <w:tcW w:w="561" w:type="pct"/>
            <w:tcBorders>
              <w:top w:val="nil"/>
              <w:left w:val="nil"/>
              <w:bottom w:val="single" w:sz="4" w:space="0" w:color="auto"/>
              <w:right w:val="single" w:sz="4" w:space="0" w:color="auto"/>
            </w:tcBorders>
            <w:vAlign w:val="center"/>
            <w:hideMark/>
          </w:tcPr>
          <w:p w14:paraId="7F8AA781"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The ratio declined steadily from 1.69 to 1.07, showing weakening liquidity and growing reliance on short-term borrowing (Ramdhan et al., 2025).</w:t>
            </w:r>
          </w:p>
        </w:tc>
      </w:tr>
      <w:tr w:rsidR="007D23FD" w:rsidRPr="006D174E" w14:paraId="13F7F654" w14:textId="77777777" w:rsidTr="007D23FD">
        <w:trPr>
          <w:trHeight w:val="6048"/>
        </w:trPr>
        <w:tc>
          <w:tcPr>
            <w:tcW w:w="356" w:type="pct"/>
            <w:tcBorders>
              <w:top w:val="nil"/>
              <w:left w:val="single" w:sz="4" w:space="0" w:color="auto"/>
              <w:bottom w:val="single" w:sz="4" w:space="0" w:color="auto"/>
              <w:right w:val="single" w:sz="4" w:space="0" w:color="auto"/>
            </w:tcBorders>
            <w:vAlign w:val="center"/>
            <w:hideMark/>
          </w:tcPr>
          <w:p w14:paraId="5D6074D0"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Quick Ratio</w:t>
            </w:r>
          </w:p>
        </w:tc>
        <w:tc>
          <w:tcPr>
            <w:tcW w:w="552" w:type="pct"/>
            <w:tcBorders>
              <w:top w:val="nil"/>
              <w:left w:val="nil"/>
              <w:bottom w:val="single" w:sz="4" w:space="0" w:color="auto"/>
              <w:right w:val="single" w:sz="4" w:space="0" w:color="auto"/>
            </w:tcBorders>
            <w:vAlign w:val="center"/>
            <w:hideMark/>
          </w:tcPr>
          <w:p w14:paraId="586E4533"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Current_Assets</w:t>
            </w:r>
            <w:proofErr w:type="spellEnd"/>
            <w:r w:rsidRPr="006D174E">
              <w:rPr>
                <w:rFonts w:ascii="Times New Roman" w:eastAsia="Arial Unicode MS" w:hAnsi="Times New Roman" w:cs="Times New Roman"/>
                <w:color w:val="000000"/>
                <w:sz w:val="24"/>
                <w:szCs w:val="24"/>
              </w:rPr>
              <w:t xml:space="preserve"> – Inventory)/</w:t>
            </w:r>
            <w:proofErr w:type="spellStart"/>
            <w:r w:rsidRPr="006D174E">
              <w:rPr>
                <w:rFonts w:ascii="Times New Roman" w:eastAsia="Arial Unicode MS" w:hAnsi="Times New Roman" w:cs="Times New Roman"/>
                <w:color w:val="000000"/>
                <w:sz w:val="24"/>
                <w:szCs w:val="24"/>
              </w:rPr>
              <w:t>Current_Liabilities</w:t>
            </w:r>
            <w:proofErr w:type="spellEnd"/>
          </w:p>
        </w:tc>
        <w:tc>
          <w:tcPr>
            <w:tcW w:w="530" w:type="pct"/>
            <w:tcBorders>
              <w:top w:val="nil"/>
              <w:left w:val="nil"/>
              <w:bottom w:val="single" w:sz="4" w:space="0" w:color="auto"/>
              <w:right w:val="single" w:sz="4" w:space="0" w:color="auto"/>
            </w:tcBorders>
            <w:vAlign w:val="center"/>
            <w:hideMark/>
          </w:tcPr>
          <w:p w14:paraId="1961961D"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=(153,122 – 56,740)/90,650 = </w:t>
            </w:r>
            <w:r w:rsidRPr="006D174E">
              <w:rPr>
                <w:rFonts w:ascii="Times New Roman" w:eastAsia="Times New Roman" w:hAnsi="Times New Roman" w:cs="Times New Roman"/>
                <w:b/>
                <w:bCs/>
                <w:color w:val="000000"/>
                <w:sz w:val="24"/>
                <w:szCs w:val="24"/>
              </w:rPr>
              <w:t>1.06</w:t>
            </w:r>
          </w:p>
        </w:tc>
        <w:tc>
          <w:tcPr>
            <w:tcW w:w="379" w:type="pct"/>
            <w:tcBorders>
              <w:top w:val="nil"/>
              <w:left w:val="nil"/>
              <w:bottom w:val="single" w:sz="4" w:space="0" w:color="auto"/>
              <w:right w:val="single" w:sz="4" w:space="0" w:color="auto"/>
            </w:tcBorders>
            <w:vAlign w:val="center"/>
            <w:hideMark/>
          </w:tcPr>
          <w:p w14:paraId="4FC88F2E"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=(150,174 – 54,964)/91,009 = </w:t>
            </w:r>
            <w:r w:rsidRPr="006D174E">
              <w:rPr>
                <w:rFonts w:ascii="Times New Roman" w:eastAsia="Times New Roman" w:hAnsi="Times New Roman" w:cs="Times New Roman"/>
                <w:b/>
                <w:bCs/>
                <w:color w:val="000000"/>
                <w:sz w:val="24"/>
                <w:szCs w:val="24"/>
              </w:rPr>
              <w:t>1.04</w:t>
            </w:r>
          </w:p>
        </w:tc>
        <w:tc>
          <w:tcPr>
            <w:tcW w:w="531" w:type="pct"/>
            <w:tcBorders>
              <w:top w:val="nil"/>
              <w:left w:val="nil"/>
              <w:bottom w:val="single" w:sz="4" w:space="0" w:color="auto"/>
              <w:right w:val="single" w:sz="4" w:space="0" w:color="auto"/>
            </w:tcBorders>
            <w:vAlign w:val="center"/>
            <w:hideMark/>
          </w:tcPr>
          <w:p w14:paraId="5C29BDD6"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=(131,062 – 51,287)/88,786 = </w:t>
            </w:r>
            <w:r w:rsidRPr="006D174E">
              <w:rPr>
                <w:rFonts w:ascii="Times New Roman" w:eastAsia="Times New Roman" w:hAnsi="Times New Roman" w:cs="Times New Roman"/>
                <w:b/>
                <w:bCs/>
                <w:color w:val="000000"/>
                <w:sz w:val="24"/>
                <w:szCs w:val="24"/>
              </w:rPr>
              <w:t>0.90</w:t>
            </w:r>
          </w:p>
        </w:tc>
        <w:tc>
          <w:tcPr>
            <w:tcW w:w="1504" w:type="pct"/>
            <w:gridSpan w:val="3"/>
            <w:tcBorders>
              <w:top w:val="nil"/>
              <w:left w:val="nil"/>
              <w:bottom w:val="single" w:sz="4" w:space="0" w:color="auto"/>
              <w:right w:val="single" w:sz="4" w:space="0" w:color="auto"/>
            </w:tcBorders>
            <w:vAlign w:val="center"/>
            <w:hideMark/>
          </w:tcPr>
          <w:p w14:paraId="4864AAAF"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=(104,964 – 45,302)/85,625 = </w:t>
            </w:r>
            <w:r w:rsidRPr="006D174E">
              <w:rPr>
                <w:rFonts w:ascii="Times New Roman" w:eastAsia="Times New Roman" w:hAnsi="Times New Roman" w:cs="Times New Roman"/>
                <w:b/>
                <w:bCs/>
                <w:color w:val="000000"/>
                <w:sz w:val="24"/>
                <w:szCs w:val="24"/>
              </w:rPr>
              <w:t>0.70</w:t>
            </w:r>
          </w:p>
        </w:tc>
        <w:tc>
          <w:tcPr>
            <w:tcW w:w="587" w:type="pct"/>
            <w:tcBorders>
              <w:top w:val="nil"/>
              <w:left w:val="nil"/>
              <w:bottom w:val="single" w:sz="4" w:space="0" w:color="auto"/>
              <w:right w:val="single" w:sz="4" w:space="0" w:color="auto"/>
            </w:tcBorders>
            <w:vAlign w:val="center"/>
            <w:hideMark/>
          </w:tcPr>
          <w:p w14:paraId="58F4E3A6"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=(87,250 – 42,975)/81,642 = </w:t>
            </w:r>
            <w:r w:rsidRPr="006D174E">
              <w:rPr>
                <w:rFonts w:ascii="Times New Roman" w:eastAsia="Times New Roman" w:hAnsi="Times New Roman" w:cs="Times New Roman"/>
                <w:b/>
                <w:bCs/>
                <w:color w:val="000000"/>
                <w:sz w:val="24"/>
                <w:szCs w:val="24"/>
              </w:rPr>
              <w:t>0.54</w:t>
            </w:r>
          </w:p>
        </w:tc>
        <w:tc>
          <w:tcPr>
            <w:tcW w:w="561" w:type="pct"/>
            <w:tcBorders>
              <w:top w:val="nil"/>
              <w:left w:val="nil"/>
              <w:bottom w:val="single" w:sz="4" w:space="0" w:color="auto"/>
              <w:right w:val="single" w:sz="4" w:space="0" w:color="auto"/>
            </w:tcBorders>
            <w:vAlign w:val="center"/>
            <w:hideMark/>
          </w:tcPr>
          <w:p w14:paraId="45CE3C9C"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The quick ratio fell below 1.0 after 2022, </w:t>
            </w:r>
            <w:proofErr w:type="spellStart"/>
            <w:r w:rsidRPr="006D174E">
              <w:rPr>
                <w:rFonts w:ascii="Times New Roman" w:eastAsia="Times New Roman" w:hAnsi="Times New Roman" w:cs="Times New Roman"/>
                <w:color w:val="000000"/>
                <w:sz w:val="24"/>
                <w:szCs w:val="24"/>
              </w:rPr>
              <w:t>signalling</w:t>
            </w:r>
            <w:proofErr w:type="spellEnd"/>
            <w:r w:rsidRPr="006D174E">
              <w:rPr>
                <w:rFonts w:ascii="Times New Roman" w:eastAsia="Times New Roman" w:hAnsi="Times New Roman" w:cs="Times New Roman"/>
                <w:color w:val="000000"/>
                <w:sz w:val="24"/>
                <w:szCs w:val="24"/>
              </w:rPr>
              <w:t xml:space="preserve"> that the firm cannot cover current liabilities without selling inventory (Liu et al., 2024; Fadillah et al., 2024).</w:t>
            </w:r>
          </w:p>
        </w:tc>
      </w:tr>
    </w:tbl>
    <w:p w14:paraId="2AB1BD33" w14:textId="77777777" w:rsidR="007D23FD" w:rsidRPr="006D174E" w:rsidRDefault="007D23FD" w:rsidP="001F5A23">
      <w:bookmarkStart w:id="11" w:name="_Toc211680181"/>
      <w:r w:rsidRPr="006D174E">
        <w:rPr>
          <w:rStyle w:val="Strong"/>
          <w:rFonts w:ascii="Times New Roman" w:hAnsi="Times New Roman" w:cs="Times New Roman"/>
          <w:b w:val="0"/>
          <w:bCs w:val="0"/>
          <w:szCs w:val="24"/>
        </w:rPr>
        <w:t>Interpretation</w:t>
      </w:r>
      <w:bookmarkEnd w:id="11"/>
    </w:p>
    <w:p w14:paraId="7FB40858" w14:textId="77777777" w:rsidR="006D174E" w:rsidRDefault="00765EEC" w:rsidP="006D174E">
      <w:pPr>
        <w:pStyle w:val="NormalWeb"/>
        <w:spacing w:before="240" w:beforeAutospacing="0" w:after="240" w:afterAutospacing="0" w:line="360" w:lineRule="auto"/>
        <w:jc w:val="both"/>
      </w:pPr>
      <w:r>
        <w:t>With these above data, company has failed in</w:t>
      </w:r>
      <w:r w:rsidR="007D23FD" w:rsidRPr="006D174E">
        <w:t xml:space="preserve"> both c</w:t>
      </w:r>
      <w:r>
        <w:t xml:space="preserve">urrent and quick ratios and showing </w:t>
      </w:r>
      <w:r w:rsidRPr="006D174E">
        <w:t>poor</w:t>
      </w:r>
      <w:r w:rsidR="007D23FD" w:rsidRPr="006D174E">
        <w:t xml:space="preserve"> liquidity management. In 2020, General Electronics had reasonable short-term sol</w:t>
      </w:r>
      <w:r>
        <w:t xml:space="preserve">vency as well </w:t>
      </w:r>
      <w:r w:rsidR="007D23FD" w:rsidRPr="006D174E">
        <w:t>but by 2024 it was struggling to maintain even a 1:1 current ratio.</w:t>
      </w:r>
    </w:p>
    <w:p w14:paraId="38B1085D" w14:textId="77777777" w:rsidR="006D174E" w:rsidRDefault="006D174E" w:rsidP="006D174E">
      <w:pPr>
        <w:pStyle w:val="NormalWeb"/>
      </w:pPr>
      <w:r>
        <w:rPr>
          <w:noProof/>
        </w:rPr>
        <w:lastRenderedPageBreak/>
        <w:drawing>
          <wp:inline distT="0" distB="0" distL="0" distR="0" wp14:anchorId="19AACA5F" wp14:editId="48226FA9">
            <wp:extent cx="5256918" cy="3284844"/>
            <wp:effectExtent l="0" t="0" r="1270" b="0"/>
            <wp:docPr id="2" name="Picture 2" descr="C:\Users\admin\Downloads\Liquidity_Rat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Users\admin\Downloads\Liquidity_Ratio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6215" cy="3290653"/>
                    </a:xfrm>
                    <a:prstGeom prst="rect">
                      <a:avLst/>
                    </a:prstGeom>
                    <a:noFill/>
                    <a:ln>
                      <a:noFill/>
                    </a:ln>
                  </pic:spPr>
                </pic:pic>
              </a:graphicData>
            </a:graphic>
          </wp:inline>
        </w:drawing>
      </w:r>
    </w:p>
    <w:p w14:paraId="7A9A9CF1" w14:textId="77777777" w:rsidR="007D23FD" w:rsidRPr="006D174E" w:rsidRDefault="00765EEC" w:rsidP="006D174E">
      <w:pPr>
        <w:pStyle w:val="NormalWeb"/>
        <w:spacing w:before="240" w:beforeAutospacing="0" w:after="240" w:afterAutospacing="0" w:line="360" w:lineRule="auto"/>
        <w:jc w:val="both"/>
      </w:pPr>
      <w:r>
        <w:t xml:space="preserve"> In addition to this, the</w:t>
      </w:r>
      <w:r w:rsidR="007D23FD" w:rsidRPr="006D174E">
        <w:t xml:space="preserve"> </w:t>
      </w:r>
      <w:r>
        <w:t xml:space="preserve">sharp fall in quick ratio i.e. 1.06 to 0.54 </w:t>
      </w:r>
      <w:r w:rsidR="007D23FD" w:rsidRPr="006D174E">
        <w:t>shows that cash and receivables have declined faster than payables, tightening operatio</w:t>
      </w:r>
      <w:r>
        <w:t>nal cash flow (Zouaghi, 2024). However, t</w:t>
      </w:r>
      <w:r w:rsidR="007D23FD" w:rsidRPr="006D174E">
        <w:t>his trend confirms that the company’s liquidity position has become critical and must be addressed through improved working-capital control</w:t>
      </w:r>
      <w:r>
        <w:t>. Further to this, it also impacts</w:t>
      </w:r>
      <w:r w:rsidR="007D23FD" w:rsidRPr="006D174E">
        <w:t xml:space="preserve"> faster receivable collection, and better inventory turnover </w:t>
      </w:r>
      <w:r>
        <w:t xml:space="preserve">in business </w:t>
      </w:r>
      <w:r w:rsidR="007D23FD" w:rsidRPr="006D174E">
        <w:t>(Tan &amp; F., 2021; Ramdhan et al., 2025).</w:t>
      </w:r>
    </w:p>
    <w:p w14:paraId="1883BC7E" w14:textId="77777777" w:rsidR="007D23FD" w:rsidRPr="006D174E" w:rsidRDefault="007D23FD" w:rsidP="001F5A23">
      <w:pPr>
        <w:pStyle w:val="Heading3"/>
      </w:pPr>
      <w:bookmarkStart w:id="12" w:name="_Toc211680182"/>
      <w:bookmarkStart w:id="13" w:name="_Toc212192248"/>
      <w:r w:rsidRPr="006D174E">
        <w:rPr>
          <w:rStyle w:val="Strong"/>
          <w:szCs w:val="24"/>
        </w:rPr>
        <w:t>2.4 Efficiency Ratios</w:t>
      </w:r>
      <w:bookmarkEnd w:id="12"/>
      <w:bookmarkEnd w:id="13"/>
    </w:p>
    <w:p w14:paraId="10E2F9D4" w14:textId="77777777" w:rsidR="007D23FD" w:rsidRPr="006D174E" w:rsidRDefault="00765EEC" w:rsidP="006D174E">
      <w:pPr>
        <w:pStyle w:val="NormalWeb"/>
        <w:spacing w:before="240" w:beforeAutospacing="0" w:after="240" w:afterAutospacing="0" w:line="360" w:lineRule="auto"/>
        <w:jc w:val="both"/>
      </w:pPr>
      <w:r>
        <w:t>This ratio reflects</w:t>
      </w:r>
      <w:r w:rsidR="007D23FD" w:rsidRPr="006D174E">
        <w:t xml:space="preserve"> General Electronics uses its assets to generate sales and manage working capital. </w:t>
      </w:r>
      <w:r>
        <w:t xml:space="preserve">However, it has failed to manage its efficiency and </w:t>
      </w:r>
      <w:r w:rsidR="007D23FD" w:rsidRPr="006D174E">
        <w:t xml:space="preserve">indicates poor internal control or slower asset </w:t>
      </w:r>
      <w:proofErr w:type="spellStart"/>
      <w:r w:rsidR="007D23FD" w:rsidRPr="006D174E">
        <w:t>utilisa</w:t>
      </w:r>
      <w:r>
        <w:t>tion</w:t>
      </w:r>
      <w:proofErr w:type="spellEnd"/>
      <w:r>
        <w:t xml:space="preserve"> (</w:t>
      </w:r>
      <w:proofErr w:type="spellStart"/>
      <w:r>
        <w:t>Fadillah</w:t>
      </w:r>
      <w:proofErr w:type="spellEnd"/>
      <w:r>
        <w:t xml:space="preserve"> et al., 2024). However, during </w:t>
      </w:r>
      <w:r w:rsidR="007D23FD" w:rsidRPr="006D174E">
        <w:t xml:space="preserve">2020 to </w:t>
      </w:r>
      <w:r>
        <w:t xml:space="preserve">2024, it </w:t>
      </w:r>
      <w:r w:rsidR="007D23FD" w:rsidRPr="006D174E">
        <w:t>reflects such a decline, particularly in inventory and receivable management.</w:t>
      </w:r>
    </w:p>
    <w:tbl>
      <w:tblPr>
        <w:tblW w:w="0" w:type="auto"/>
        <w:tblLook w:val="04A0" w:firstRow="1" w:lastRow="0" w:firstColumn="1" w:lastColumn="0" w:noHBand="0" w:noVBand="1"/>
      </w:tblPr>
      <w:tblGrid>
        <w:gridCol w:w="662"/>
        <w:gridCol w:w="1555"/>
        <w:gridCol w:w="1265"/>
        <w:gridCol w:w="1265"/>
        <w:gridCol w:w="1265"/>
        <w:gridCol w:w="1265"/>
        <w:gridCol w:w="1265"/>
        <w:gridCol w:w="808"/>
      </w:tblGrid>
      <w:tr w:rsidR="007D23FD" w:rsidRPr="006D174E" w14:paraId="70635D37" w14:textId="77777777" w:rsidTr="007D23FD">
        <w:trPr>
          <w:trHeight w:val="576"/>
        </w:trPr>
        <w:tc>
          <w:tcPr>
            <w:tcW w:w="0" w:type="auto"/>
            <w:tcBorders>
              <w:top w:val="single" w:sz="4" w:space="0" w:color="auto"/>
              <w:left w:val="single" w:sz="4" w:space="0" w:color="auto"/>
              <w:bottom w:val="single" w:sz="4" w:space="0" w:color="auto"/>
              <w:right w:val="single" w:sz="4" w:space="0" w:color="auto"/>
            </w:tcBorders>
            <w:vAlign w:val="center"/>
            <w:hideMark/>
          </w:tcPr>
          <w:p w14:paraId="6E96FB80"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Ratio</w:t>
            </w:r>
          </w:p>
        </w:tc>
        <w:tc>
          <w:tcPr>
            <w:tcW w:w="0" w:type="auto"/>
            <w:tcBorders>
              <w:top w:val="single" w:sz="4" w:space="0" w:color="auto"/>
              <w:left w:val="nil"/>
              <w:bottom w:val="single" w:sz="4" w:space="0" w:color="auto"/>
              <w:right w:val="single" w:sz="4" w:space="0" w:color="auto"/>
            </w:tcBorders>
            <w:vAlign w:val="center"/>
            <w:hideMark/>
          </w:tcPr>
          <w:p w14:paraId="313B5443"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Formula (Excel format)</w:t>
            </w:r>
          </w:p>
        </w:tc>
        <w:tc>
          <w:tcPr>
            <w:tcW w:w="0" w:type="auto"/>
            <w:tcBorders>
              <w:top w:val="single" w:sz="4" w:space="0" w:color="auto"/>
              <w:left w:val="nil"/>
              <w:bottom w:val="single" w:sz="4" w:space="0" w:color="auto"/>
              <w:right w:val="single" w:sz="4" w:space="0" w:color="auto"/>
            </w:tcBorders>
            <w:vAlign w:val="center"/>
            <w:hideMark/>
          </w:tcPr>
          <w:p w14:paraId="4C1C646F"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2020</w:t>
            </w:r>
          </w:p>
        </w:tc>
        <w:tc>
          <w:tcPr>
            <w:tcW w:w="0" w:type="auto"/>
            <w:tcBorders>
              <w:top w:val="single" w:sz="4" w:space="0" w:color="auto"/>
              <w:left w:val="nil"/>
              <w:bottom w:val="single" w:sz="4" w:space="0" w:color="auto"/>
              <w:right w:val="single" w:sz="4" w:space="0" w:color="auto"/>
            </w:tcBorders>
            <w:vAlign w:val="center"/>
            <w:hideMark/>
          </w:tcPr>
          <w:p w14:paraId="7845C4D9"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2021</w:t>
            </w:r>
          </w:p>
        </w:tc>
        <w:tc>
          <w:tcPr>
            <w:tcW w:w="0" w:type="auto"/>
            <w:tcBorders>
              <w:top w:val="single" w:sz="4" w:space="0" w:color="auto"/>
              <w:left w:val="nil"/>
              <w:bottom w:val="single" w:sz="4" w:space="0" w:color="auto"/>
              <w:right w:val="single" w:sz="4" w:space="0" w:color="auto"/>
            </w:tcBorders>
            <w:vAlign w:val="center"/>
            <w:hideMark/>
          </w:tcPr>
          <w:p w14:paraId="279DA076"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2022</w:t>
            </w:r>
          </w:p>
        </w:tc>
        <w:tc>
          <w:tcPr>
            <w:tcW w:w="0" w:type="auto"/>
            <w:tcBorders>
              <w:top w:val="single" w:sz="4" w:space="0" w:color="auto"/>
              <w:left w:val="nil"/>
              <w:bottom w:val="single" w:sz="4" w:space="0" w:color="auto"/>
              <w:right w:val="single" w:sz="4" w:space="0" w:color="auto"/>
            </w:tcBorders>
            <w:vAlign w:val="center"/>
            <w:hideMark/>
          </w:tcPr>
          <w:p w14:paraId="65218A6F"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2023</w:t>
            </w:r>
          </w:p>
        </w:tc>
        <w:tc>
          <w:tcPr>
            <w:tcW w:w="0" w:type="auto"/>
            <w:tcBorders>
              <w:top w:val="single" w:sz="4" w:space="0" w:color="auto"/>
              <w:left w:val="nil"/>
              <w:bottom w:val="single" w:sz="4" w:space="0" w:color="auto"/>
              <w:right w:val="single" w:sz="4" w:space="0" w:color="auto"/>
            </w:tcBorders>
            <w:vAlign w:val="center"/>
            <w:hideMark/>
          </w:tcPr>
          <w:p w14:paraId="52C8ADAC"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2024</w:t>
            </w:r>
          </w:p>
        </w:tc>
        <w:tc>
          <w:tcPr>
            <w:tcW w:w="0" w:type="auto"/>
            <w:tcBorders>
              <w:top w:val="single" w:sz="4" w:space="0" w:color="auto"/>
              <w:left w:val="nil"/>
              <w:bottom w:val="single" w:sz="4" w:space="0" w:color="auto"/>
              <w:right w:val="single" w:sz="4" w:space="0" w:color="auto"/>
            </w:tcBorders>
            <w:vAlign w:val="center"/>
            <w:hideMark/>
          </w:tcPr>
          <w:p w14:paraId="77BB8828"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Interpretation</w:t>
            </w:r>
          </w:p>
        </w:tc>
      </w:tr>
      <w:tr w:rsidR="007D23FD" w:rsidRPr="006D174E" w14:paraId="67C05B04" w14:textId="77777777" w:rsidTr="007D23FD">
        <w:trPr>
          <w:trHeight w:val="3744"/>
        </w:trPr>
        <w:tc>
          <w:tcPr>
            <w:tcW w:w="0" w:type="auto"/>
            <w:tcBorders>
              <w:top w:val="nil"/>
              <w:left w:val="single" w:sz="4" w:space="0" w:color="auto"/>
              <w:bottom w:val="single" w:sz="4" w:space="0" w:color="auto"/>
              <w:right w:val="single" w:sz="4" w:space="0" w:color="auto"/>
            </w:tcBorders>
            <w:vAlign w:val="center"/>
            <w:hideMark/>
          </w:tcPr>
          <w:p w14:paraId="2EFBFC65"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Inventory Turnover (times)</w:t>
            </w:r>
          </w:p>
        </w:tc>
        <w:tc>
          <w:tcPr>
            <w:tcW w:w="0" w:type="auto"/>
            <w:tcBorders>
              <w:top w:val="nil"/>
              <w:left w:val="nil"/>
              <w:bottom w:val="single" w:sz="4" w:space="0" w:color="auto"/>
              <w:right w:val="single" w:sz="4" w:space="0" w:color="auto"/>
            </w:tcBorders>
            <w:vAlign w:val="center"/>
            <w:hideMark/>
          </w:tcPr>
          <w:p w14:paraId="140E7A72"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Cost_of_Sales</w:t>
            </w:r>
            <w:proofErr w:type="spellEnd"/>
            <w:r w:rsidRPr="006D174E">
              <w:rPr>
                <w:rFonts w:ascii="Times New Roman" w:eastAsia="Arial Unicode MS" w:hAnsi="Times New Roman" w:cs="Times New Roman"/>
                <w:color w:val="000000"/>
                <w:sz w:val="24"/>
                <w:szCs w:val="24"/>
              </w:rPr>
              <w:t>/Average_Inventory</w:t>
            </w:r>
          </w:p>
        </w:tc>
        <w:tc>
          <w:tcPr>
            <w:tcW w:w="0" w:type="auto"/>
            <w:tcBorders>
              <w:top w:val="nil"/>
              <w:left w:val="nil"/>
              <w:bottom w:val="single" w:sz="4" w:space="0" w:color="auto"/>
              <w:right w:val="single" w:sz="4" w:space="0" w:color="auto"/>
            </w:tcBorders>
            <w:vAlign w:val="center"/>
            <w:hideMark/>
          </w:tcPr>
          <w:p w14:paraId="0A7C3365"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=(438,424/127,450)=</w:t>
            </w:r>
            <w:r w:rsidRPr="006D174E">
              <w:rPr>
                <w:rFonts w:ascii="Times New Roman" w:eastAsia="Times New Roman" w:hAnsi="Times New Roman" w:cs="Times New Roman"/>
                <w:b/>
                <w:bCs/>
                <w:color w:val="000000"/>
                <w:sz w:val="24"/>
                <w:szCs w:val="24"/>
              </w:rPr>
              <w:t>3.44x</w:t>
            </w:r>
          </w:p>
        </w:tc>
        <w:tc>
          <w:tcPr>
            <w:tcW w:w="0" w:type="auto"/>
            <w:tcBorders>
              <w:top w:val="nil"/>
              <w:left w:val="nil"/>
              <w:bottom w:val="single" w:sz="4" w:space="0" w:color="auto"/>
              <w:right w:val="single" w:sz="4" w:space="0" w:color="auto"/>
            </w:tcBorders>
            <w:vAlign w:val="center"/>
            <w:hideMark/>
          </w:tcPr>
          <w:p w14:paraId="59CC6436"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=(428,586/132,449)=</w:t>
            </w:r>
            <w:r w:rsidRPr="006D174E">
              <w:rPr>
                <w:rFonts w:ascii="Times New Roman" w:eastAsia="Times New Roman" w:hAnsi="Times New Roman" w:cs="Times New Roman"/>
                <w:b/>
                <w:bCs/>
                <w:color w:val="000000"/>
                <w:sz w:val="24"/>
                <w:szCs w:val="24"/>
              </w:rPr>
              <w:t>3.23x</w:t>
            </w:r>
          </w:p>
        </w:tc>
        <w:tc>
          <w:tcPr>
            <w:tcW w:w="0" w:type="auto"/>
            <w:tcBorders>
              <w:top w:val="nil"/>
              <w:left w:val="nil"/>
              <w:bottom w:val="single" w:sz="4" w:space="0" w:color="auto"/>
              <w:right w:val="single" w:sz="4" w:space="0" w:color="auto"/>
            </w:tcBorders>
            <w:vAlign w:val="center"/>
            <w:hideMark/>
          </w:tcPr>
          <w:p w14:paraId="112D4024"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=(390,459/137,325)=</w:t>
            </w:r>
            <w:r w:rsidRPr="006D174E">
              <w:rPr>
                <w:rFonts w:ascii="Times New Roman" w:eastAsia="Times New Roman" w:hAnsi="Times New Roman" w:cs="Times New Roman"/>
                <w:b/>
                <w:bCs/>
                <w:color w:val="000000"/>
                <w:sz w:val="24"/>
                <w:szCs w:val="24"/>
              </w:rPr>
              <w:t>2.84x</w:t>
            </w:r>
          </w:p>
        </w:tc>
        <w:tc>
          <w:tcPr>
            <w:tcW w:w="0" w:type="auto"/>
            <w:tcBorders>
              <w:top w:val="nil"/>
              <w:left w:val="nil"/>
              <w:bottom w:val="single" w:sz="4" w:space="0" w:color="auto"/>
              <w:right w:val="single" w:sz="4" w:space="0" w:color="auto"/>
            </w:tcBorders>
            <w:vAlign w:val="center"/>
            <w:hideMark/>
          </w:tcPr>
          <w:p w14:paraId="1002545C"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=(322,897/137,325)=</w:t>
            </w:r>
            <w:r w:rsidRPr="006D174E">
              <w:rPr>
                <w:rFonts w:ascii="Times New Roman" w:eastAsia="Times New Roman" w:hAnsi="Times New Roman" w:cs="Times New Roman"/>
                <w:b/>
                <w:bCs/>
                <w:color w:val="000000"/>
                <w:sz w:val="24"/>
                <w:szCs w:val="24"/>
              </w:rPr>
              <w:t>2.35x</w:t>
            </w:r>
          </w:p>
        </w:tc>
        <w:tc>
          <w:tcPr>
            <w:tcW w:w="0" w:type="auto"/>
            <w:tcBorders>
              <w:top w:val="nil"/>
              <w:left w:val="nil"/>
              <w:bottom w:val="single" w:sz="4" w:space="0" w:color="auto"/>
              <w:right w:val="single" w:sz="4" w:space="0" w:color="auto"/>
            </w:tcBorders>
            <w:vAlign w:val="center"/>
            <w:hideMark/>
          </w:tcPr>
          <w:p w14:paraId="446B1880"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=(280,885/124,400)=</w:t>
            </w:r>
            <w:r w:rsidRPr="006D174E">
              <w:rPr>
                <w:rFonts w:ascii="Times New Roman" w:eastAsia="Times New Roman" w:hAnsi="Times New Roman" w:cs="Times New Roman"/>
                <w:b/>
                <w:bCs/>
                <w:color w:val="000000"/>
                <w:sz w:val="24"/>
                <w:szCs w:val="24"/>
              </w:rPr>
              <w:t>2.26x</w:t>
            </w:r>
          </w:p>
        </w:tc>
        <w:tc>
          <w:tcPr>
            <w:tcW w:w="0" w:type="auto"/>
            <w:tcBorders>
              <w:top w:val="nil"/>
              <w:left w:val="nil"/>
              <w:bottom w:val="single" w:sz="4" w:space="0" w:color="auto"/>
              <w:right w:val="single" w:sz="4" w:space="0" w:color="auto"/>
            </w:tcBorders>
            <w:vAlign w:val="center"/>
            <w:hideMark/>
          </w:tcPr>
          <w:p w14:paraId="5B97C07D"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Slower inventory movement shows weak demand and overstocking (Ramdhan et al., 2025).</w:t>
            </w:r>
          </w:p>
        </w:tc>
      </w:tr>
      <w:tr w:rsidR="007D23FD" w:rsidRPr="006D174E" w14:paraId="2FCEC5BD" w14:textId="77777777" w:rsidTr="007D23FD">
        <w:trPr>
          <w:trHeight w:val="4032"/>
        </w:trPr>
        <w:tc>
          <w:tcPr>
            <w:tcW w:w="0" w:type="auto"/>
            <w:tcBorders>
              <w:top w:val="nil"/>
              <w:left w:val="single" w:sz="4" w:space="0" w:color="auto"/>
              <w:bottom w:val="single" w:sz="4" w:space="0" w:color="auto"/>
              <w:right w:val="single" w:sz="4" w:space="0" w:color="auto"/>
            </w:tcBorders>
            <w:vAlign w:val="center"/>
            <w:hideMark/>
          </w:tcPr>
          <w:p w14:paraId="59709FF6"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Receivable Turnover (times)</w:t>
            </w:r>
          </w:p>
        </w:tc>
        <w:tc>
          <w:tcPr>
            <w:tcW w:w="0" w:type="auto"/>
            <w:tcBorders>
              <w:top w:val="nil"/>
              <w:left w:val="nil"/>
              <w:bottom w:val="single" w:sz="4" w:space="0" w:color="auto"/>
              <w:right w:val="single" w:sz="4" w:space="0" w:color="auto"/>
            </w:tcBorders>
            <w:vAlign w:val="center"/>
            <w:hideMark/>
          </w:tcPr>
          <w:p w14:paraId="50B595B4"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Net_Sales</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Average_Receivables</w:t>
            </w:r>
            <w:proofErr w:type="spellEnd"/>
          </w:p>
        </w:tc>
        <w:tc>
          <w:tcPr>
            <w:tcW w:w="0" w:type="auto"/>
            <w:tcBorders>
              <w:top w:val="nil"/>
              <w:left w:val="nil"/>
              <w:bottom w:val="single" w:sz="4" w:space="0" w:color="auto"/>
              <w:right w:val="single" w:sz="4" w:space="0" w:color="auto"/>
            </w:tcBorders>
            <w:vAlign w:val="center"/>
            <w:hideMark/>
          </w:tcPr>
          <w:p w14:paraId="613D0576"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=(614,680/129,324)=</w:t>
            </w:r>
            <w:r w:rsidRPr="006D174E">
              <w:rPr>
                <w:rFonts w:ascii="Times New Roman" w:eastAsia="Times New Roman" w:hAnsi="Times New Roman" w:cs="Times New Roman"/>
                <w:b/>
                <w:bCs/>
                <w:color w:val="000000"/>
                <w:sz w:val="24"/>
                <w:szCs w:val="24"/>
              </w:rPr>
              <w:t>4.75x</w:t>
            </w:r>
          </w:p>
        </w:tc>
        <w:tc>
          <w:tcPr>
            <w:tcW w:w="0" w:type="auto"/>
            <w:tcBorders>
              <w:top w:val="nil"/>
              <w:left w:val="nil"/>
              <w:bottom w:val="single" w:sz="4" w:space="0" w:color="auto"/>
              <w:right w:val="single" w:sz="4" w:space="0" w:color="auto"/>
            </w:tcBorders>
            <w:vAlign w:val="center"/>
            <w:hideMark/>
          </w:tcPr>
          <w:p w14:paraId="7D076F5B"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=(601,602/120,000)=</w:t>
            </w:r>
            <w:r w:rsidRPr="006D174E">
              <w:rPr>
                <w:rFonts w:ascii="Times New Roman" w:eastAsia="Times New Roman" w:hAnsi="Times New Roman" w:cs="Times New Roman"/>
                <w:b/>
                <w:bCs/>
                <w:color w:val="000000"/>
                <w:sz w:val="24"/>
                <w:szCs w:val="24"/>
              </w:rPr>
              <w:t>5.01x</w:t>
            </w:r>
          </w:p>
        </w:tc>
        <w:tc>
          <w:tcPr>
            <w:tcW w:w="0" w:type="auto"/>
            <w:tcBorders>
              <w:top w:val="nil"/>
              <w:left w:val="nil"/>
              <w:bottom w:val="single" w:sz="4" w:space="0" w:color="auto"/>
              <w:right w:val="single" w:sz="4" w:space="0" w:color="auto"/>
            </w:tcBorders>
            <w:vAlign w:val="center"/>
            <w:hideMark/>
          </w:tcPr>
          <w:p w14:paraId="2148010E"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=(542,751/120,780)=</w:t>
            </w:r>
            <w:r w:rsidRPr="006D174E">
              <w:rPr>
                <w:rFonts w:ascii="Times New Roman" w:eastAsia="Times New Roman" w:hAnsi="Times New Roman" w:cs="Times New Roman"/>
                <w:b/>
                <w:bCs/>
                <w:color w:val="000000"/>
                <w:sz w:val="24"/>
                <w:szCs w:val="24"/>
              </w:rPr>
              <w:t>4.49x</w:t>
            </w:r>
          </w:p>
        </w:tc>
        <w:tc>
          <w:tcPr>
            <w:tcW w:w="0" w:type="auto"/>
            <w:tcBorders>
              <w:top w:val="nil"/>
              <w:left w:val="nil"/>
              <w:bottom w:val="single" w:sz="4" w:space="0" w:color="auto"/>
              <w:right w:val="single" w:sz="4" w:space="0" w:color="auto"/>
            </w:tcBorders>
            <w:vAlign w:val="center"/>
            <w:hideMark/>
          </w:tcPr>
          <w:p w14:paraId="625D2776"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=(420,457/120,505)=</w:t>
            </w:r>
            <w:r w:rsidRPr="006D174E">
              <w:rPr>
                <w:rFonts w:ascii="Times New Roman" w:eastAsia="Times New Roman" w:hAnsi="Times New Roman" w:cs="Times New Roman"/>
                <w:b/>
                <w:bCs/>
                <w:color w:val="000000"/>
                <w:sz w:val="24"/>
                <w:szCs w:val="24"/>
              </w:rPr>
              <w:t>3.49x</w:t>
            </w:r>
          </w:p>
        </w:tc>
        <w:tc>
          <w:tcPr>
            <w:tcW w:w="0" w:type="auto"/>
            <w:tcBorders>
              <w:top w:val="nil"/>
              <w:left w:val="nil"/>
              <w:bottom w:val="single" w:sz="4" w:space="0" w:color="auto"/>
              <w:right w:val="single" w:sz="4" w:space="0" w:color="auto"/>
            </w:tcBorders>
            <w:vAlign w:val="center"/>
            <w:hideMark/>
          </w:tcPr>
          <w:p w14:paraId="2ABFCE9B"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=(394,879/113,389)=</w:t>
            </w:r>
            <w:r w:rsidRPr="006D174E">
              <w:rPr>
                <w:rFonts w:ascii="Times New Roman" w:eastAsia="Times New Roman" w:hAnsi="Times New Roman" w:cs="Times New Roman"/>
                <w:b/>
                <w:bCs/>
                <w:color w:val="000000"/>
                <w:sz w:val="24"/>
                <w:szCs w:val="24"/>
              </w:rPr>
              <w:t>3.48x</w:t>
            </w:r>
          </w:p>
        </w:tc>
        <w:tc>
          <w:tcPr>
            <w:tcW w:w="0" w:type="auto"/>
            <w:tcBorders>
              <w:top w:val="nil"/>
              <w:left w:val="nil"/>
              <w:bottom w:val="single" w:sz="4" w:space="0" w:color="auto"/>
              <w:right w:val="single" w:sz="4" w:space="0" w:color="auto"/>
            </w:tcBorders>
            <w:vAlign w:val="center"/>
            <w:hideMark/>
          </w:tcPr>
          <w:p w14:paraId="1B65EA00"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Declining turnover signals delayed customer payments and weaker credit control (Liu et al., 2024).</w:t>
            </w:r>
          </w:p>
        </w:tc>
      </w:tr>
      <w:tr w:rsidR="007D23FD" w:rsidRPr="006D174E" w14:paraId="38DBB469" w14:textId="77777777" w:rsidTr="007D23FD">
        <w:trPr>
          <w:trHeight w:val="4320"/>
        </w:trPr>
        <w:tc>
          <w:tcPr>
            <w:tcW w:w="0" w:type="auto"/>
            <w:tcBorders>
              <w:top w:val="nil"/>
              <w:left w:val="single" w:sz="4" w:space="0" w:color="auto"/>
              <w:bottom w:val="single" w:sz="4" w:space="0" w:color="auto"/>
              <w:right w:val="single" w:sz="4" w:space="0" w:color="auto"/>
            </w:tcBorders>
            <w:vAlign w:val="center"/>
            <w:hideMark/>
          </w:tcPr>
          <w:p w14:paraId="2A849EEE"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Total Asset Turnover (times)</w:t>
            </w:r>
          </w:p>
        </w:tc>
        <w:tc>
          <w:tcPr>
            <w:tcW w:w="0" w:type="auto"/>
            <w:tcBorders>
              <w:top w:val="nil"/>
              <w:left w:val="nil"/>
              <w:bottom w:val="single" w:sz="4" w:space="0" w:color="auto"/>
              <w:right w:val="single" w:sz="4" w:space="0" w:color="auto"/>
            </w:tcBorders>
            <w:vAlign w:val="center"/>
            <w:hideMark/>
          </w:tcPr>
          <w:p w14:paraId="3CD1DDF0"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Net_Sales</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Total_Assets</w:t>
            </w:r>
            <w:proofErr w:type="spellEnd"/>
          </w:p>
        </w:tc>
        <w:tc>
          <w:tcPr>
            <w:tcW w:w="0" w:type="auto"/>
            <w:tcBorders>
              <w:top w:val="nil"/>
              <w:left w:val="nil"/>
              <w:bottom w:val="single" w:sz="4" w:space="0" w:color="auto"/>
              <w:right w:val="single" w:sz="4" w:space="0" w:color="auto"/>
            </w:tcBorders>
            <w:vAlign w:val="center"/>
            <w:hideMark/>
          </w:tcPr>
          <w:p w14:paraId="5A3C12FB"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=(614,680/510,290)=</w:t>
            </w:r>
            <w:r w:rsidRPr="006D174E">
              <w:rPr>
                <w:rFonts w:ascii="Times New Roman" w:eastAsia="Times New Roman" w:hAnsi="Times New Roman" w:cs="Times New Roman"/>
                <w:b/>
                <w:bCs/>
                <w:color w:val="000000"/>
                <w:sz w:val="24"/>
                <w:szCs w:val="24"/>
              </w:rPr>
              <w:t>1.20x</w:t>
            </w:r>
          </w:p>
        </w:tc>
        <w:tc>
          <w:tcPr>
            <w:tcW w:w="0" w:type="auto"/>
            <w:tcBorders>
              <w:top w:val="nil"/>
              <w:left w:val="nil"/>
              <w:bottom w:val="single" w:sz="4" w:space="0" w:color="auto"/>
              <w:right w:val="single" w:sz="4" w:space="0" w:color="auto"/>
            </w:tcBorders>
            <w:vAlign w:val="center"/>
            <w:hideMark/>
          </w:tcPr>
          <w:p w14:paraId="4DB11C5F"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=(601,602/493,138)=</w:t>
            </w:r>
            <w:r w:rsidRPr="006D174E">
              <w:rPr>
                <w:rFonts w:ascii="Times New Roman" w:eastAsia="Times New Roman" w:hAnsi="Times New Roman" w:cs="Times New Roman"/>
                <w:b/>
                <w:bCs/>
                <w:color w:val="000000"/>
                <w:sz w:val="24"/>
                <w:szCs w:val="24"/>
              </w:rPr>
              <w:t>1.22x</w:t>
            </w:r>
          </w:p>
        </w:tc>
        <w:tc>
          <w:tcPr>
            <w:tcW w:w="0" w:type="auto"/>
            <w:tcBorders>
              <w:top w:val="nil"/>
              <w:left w:val="nil"/>
              <w:bottom w:val="single" w:sz="4" w:space="0" w:color="auto"/>
              <w:right w:val="single" w:sz="4" w:space="0" w:color="auto"/>
            </w:tcBorders>
            <w:vAlign w:val="center"/>
            <w:hideMark/>
          </w:tcPr>
          <w:p w14:paraId="1E9A45A6"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=(542,751/432,052)=</w:t>
            </w:r>
            <w:r w:rsidRPr="006D174E">
              <w:rPr>
                <w:rFonts w:ascii="Times New Roman" w:eastAsia="Times New Roman" w:hAnsi="Times New Roman" w:cs="Times New Roman"/>
                <w:b/>
                <w:bCs/>
                <w:color w:val="000000"/>
                <w:sz w:val="24"/>
                <w:szCs w:val="24"/>
              </w:rPr>
              <w:t>1.26x</w:t>
            </w:r>
          </w:p>
        </w:tc>
        <w:tc>
          <w:tcPr>
            <w:tcW w:w="0" w:type="auto"/>
            <w:tcBorders>
              <w:top w:val="nil"/>
              <w:left w:val="nil"/>
              <w:bottom w:val="single" w:sz="4" w:space="0" w:color="auto"/>
              <w:right w:val="single" w:sz="4" w:space="0" w:color="auto"/>
            </w:tcBorders>
            <w:vAlign w:val="center"/>
            <w:hideMark/>
          </w:tcPr>
          <w:p w14:paraId="1F6EC2AE"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=(420,457/359,087)=</w:t>
            </w:r>
            <w:r w:rsidRPr="006D174E">
              <w:rPr>
                <w:rFonts w:ascii="Times New Roman" w:eastAsia="Times New Roman" w:hAnsi="Times New Roman" w:cs="Times New Roman"/>
                <w:b/>
                <w:bCs/>
                <w:color w:val="000000"/>
                <w:sz w:val="24"/>
                <w:szCs w:val="24"/>
              </w:rPr>
              <w:t>1.17x</w:t>
            </w:r>
          </w:p>
        </w:tc>
        <w:tc>
          <w:tcPr>
            <w:tcW w:w="0" w:type="auto"/>
            <w:tcBorders>
              <w:top w:val="nil"/>
              <w:left w:val="nil"/>
              <w:bottom w:val="single" w:sz="4" w:space="0" w:color="auto"/>
              <w:right w:val="single" w:sz="4" w:space="0" w:color="auto"/>
            </w:tcBorders>
            <w:vAlign w:val="center"/>
            <w:hideMark/>
          </w:tcPr>
          <w:p w14:paraId="772F4AB9"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=(394,879/323,354)=</w:t>
            </w:r>
            <w:r w:rsidRPr="006D174E">
              <w:rPr>
                <w:rFonts w:ascii="Times New Roman" w:eastAsia="Times New Roman" w:hAnsi="Times New Roman" w:cs="Times New Roman"/>
                <w:b/>
                <w:bCs/>
                <w:color w:val="000000"/>
                <w:sz w:val="24"/>
                <w:szCs w:val="24"/>
              </w:rPr>
              <w:t>1.22x</w:t>
            </w:r>
          </w:p>
        </w:tc>
        <w:tc>
          <w:tcPr>
            <w:tcW w:w="0" w:type="auto"/>
            <w:tcBorders>
              <w:top w:val="nil"/>
              <w:left w:val="nil"/>
              <w:bottom w:val="single" w:sz="4" w:space="0" w:color="auto"/>
              <w:right w:val="single" w:sz="4" w:space="0" w:color="auto"/>
            </w:tcBorders>
            <w:vAlign w:val="center"/>
            <w:hideMark/>
          </w:tcPr>
          <w:p w14:paraId="6C52A047"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Asset </w:t>
            </w:r>
            <w:proofErr w:type="spellStart"/>
            <w:r w:rsidRPr="006D174E">
              <w:rPr>
                <w:rFonts w:ascii="Times New Roman" w:eastAsia="Times New Roman" w:hAnsi="Times New Roman" w:cs="Times New Roman"/>
                <w:color w:val="000000"/>
                <w:sz w:val="24"/>
                <w:szCs w:val="24"/>
              </w:rPr>
              <w:t>utilisation</w:t>
            </w:r>
            <w:proofErr w:type="spellEnd"/>
            <w:r w:rsidRPr="006D174E">
              <w:rPr>
                <w:rFonts w:ascii="Times New Roman" w:eastAsia="Times New Roman" w:hAnsi="Times New Roman" w:cs="Times New Roman"/>
                <w:color w:val="000000"/>
                <w:sz w:val="24"/>
                <w:szCs w:val="24"/>
              </w:rPr>
              <w:t xml:space="preserve"> stayed moderate, but falling revenue reduced operational efficiency (Mastilo et al., 2024).</w:t>
            </w:r>
          </w:p>
        </w:tc>
      </w:tr>
    </w:tbl>
    <w:p w14:paraId="5FA4FA48" w14:textId="77777777" w:rsidR="007D23FD" w:rsidRPr="006D174E" w:rsidRDefault="007D23FD" w:rsidP="006D174E">
      <w:pPr>
        <w:spacing w:before="240" w:after="240" w:line="360" w:lineRule="auto"/>
        <w:jc w:val="both"/>
        <w:rPr>
          <w:rFonts w:ascii="Times New Roman" w:hAnsi="Times New Roman" w:cs="Times New Roman"/>
          <w:sz w:val="24"/>
          <w:szCs w:val="24"/>
        </w:rPr>
      </w:pPr>
    </w:p>
    <w:p w14:paraId="572289B3" w14:textId="77777777" w:rsidR="007D23FD" w:rsidRPr="006D174E" w:rsidRDefault="007D23FD" w:rsidP="001F5A23">
      <w:bookmarkStart w:id="14" w:name="_Toc211680183"/>
      <w:r w:rsidRPr="006D174E">
        <w:rPr>
          <w:rStyle w:val="Strong"/>
          <w:rFonts w:ascii="Times New Roman" w:hAnsi="Times New Roman" w:cs="Times New Roman"/>
          <w:b w:val="0"/>
          <w:bCs w:val="0"/>
          <w:szCs w:val="24"/>
        </w:rPr>
        <w:t>Interpretation</w:t>
      </w:r>
      <w:bookmarkEnd w:id="14"/>
    </w:p>
    <w:p w14:paraId="6309874B" w14:textId="77777777" w:rsidR="006D174E" w:rsidRDefault="00765EEC" w:rsidP="006D174E">
      <w:pPr>
        <w:pStyle w:val="NormalWeb"/>
        <w:spacing w:before="240" w:beforeAutospacing="0" w:after="240" w:afterAutospacing="0" w:line="360" w:lineRule="auto"/>
        <w:jc w:val="both"/>
      </w:pPr>
      <w:r>
        <w:t xml:space="preserve">With the above given data, it shows that </w:t>
      </w:r>
      <w:r w:rsidR="007D23FD" w:rsidRPr="006D174E">
        <w:t xml:space="preserve">General Electronics’ efficiency ratios have worsened over time. </w:t>
      </w:r>
      <w:r>
        <w:t>However, i</w:t>
      </w:r>
      <w:r w:rsidR="007D23FD" w:rsidRPr="006D174E">
        <w:t xml:space="preserve">nventory turnover fell from </w:t>
      </w:r>
      <w:r w:rsidR="007D23FD" w:rsidRPr="006D174E">
        <w:rPr>
          <w:rStyle w:val="Strong"/>
        </w:rPr>
        <w:t>3.44x in 2020</w:t>
      </w:r>
      <w:r w:rsidR="007D23FD" w:rsidRPr="006D174E">
        <w:t xml:space="preserve"> to </w:t>
      </w:r>
      <w:r w:rsidR="007D23FD" w:rsidRPr="006D174E">
        <w:rPr>
          <w:rStyle w:val="Strong"/>
        </w:rPr>
        <w:t>2.26x in 2024</w:t>
      </w:r>
      <w:r>
        <w:t xml:space="preserve"> resulted to showing stocks </w:t>
      </w:r>
      <w:r w:rsidR="007D23FD" w:rsidRPr="006D174E">
        <w:t>is moving slower through the production cycle (Ramdhan et al., 2025).</w:t>
      </w:r>
    </w:p>
    <w:p w14:paraId="7F983E54" w14:textId="77777777" w:rsidR="006D174E" w:rsidRDefault="006D174E" w:rsidP="006D174E">
      <w:pPr>
        <w:pStyle w:val="NormalWeb"/>
      </w:pPr>
      <w:r>
        <w:rPr>
          <w:noProof/>
        </w:rPr>
        <w:lastRenderedPageBreak/>
        <w:drawing>
          <wp:inline distT="0" distB="0" distL="0" distR="0" wp14:anchorId="6C22755E" wp14:editId="00FD823A">
            <wp:extent cx="5328951" cy="3329706"/>
            <wp:effectExtent l="0" t="0" r="5080" b="4445"/>
            <wp:docPr id="3" name="Picture 3" descr="C:\Users\admin\Downloads\Efficiency_Rat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C:\Users\admin\Downloads\Efficiency_Ratio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6752" cy="3334581"/>
                    </a:xfrm>
                    <a:prstGeom prst="rect">
                      <a:avLst/>
                    </a:prstGeom>
                    <a:noFill/>
                    <a:ln>
                      <a:noFill/>
                    </a:ln>
                  </pic:spPr>
                </pic:pic>
              </a:graphicData>
            </a:graphic>
          </wp:inline>
        </w:drawing>
      </w:r>
    </w:p>
    <w:p w14:paraId="0E9C26E9" w14:textId="77777777" w:rsidR="007D23FD" w:rsidRPr="006D174E" w:rsidRDefault="00765EEC" w:rsidP="006D174E">
      <w:pPr>
        <w:pStyle w:val="NormalWeb"/>
        <w:spacing w:before="240" w:beforeAutospacing="0" w:after="240" w:afterAutospacing="0" w:line="360" w:lineRule="auto"/>
        <w:jc w:val="both"/>
      </w:pPr>
      <w:r>
        <w:t xml:space="preserve"> In context with the receivable turnover, it shows that these have</w:t>
      </w:r>
      <w:r w:rsidR="007D23FD" w:rsidRPr="006D174E">
        <w:t xml:space="preserve"> droppe</w:t>
      </w:r>
      <w:r>
        <w:t>d and</w:t>
      </w:r>
      <w:r w:rsidR="007D23FD" w:rsidRPr="006D174E">
        <w:t xml:space="preserve"> reflecting poor collection discipline and increased credit risk</w:t>
      </w:r>
      <w:r>
        <w:t xml:space="preserve"> </w:t>
      </w:r>
      <w:r w:rsidRPr="006D174E">
        <w:t>(Fadillah et al., 2024).</w:t>
      </w:r>
      <w:r>
        <w:t>However, t</w:t>
      </w:r>
      <w:r w:rsidR="007D23FD" w:rsidRPr="006D174E">
        <w:t xml:space="preserve">he total asset turnover stayed close to 1.2 times, it declined in 2023, suggesting </w:t>
      </w:r>
      <w:proofErr w:type="spellStart"/>
      <w:r w:rsidR="007D23FD" w:rsidRPr="006D174E">
        <w:t>underutilised</w:t>
      </w:r>
      <w:proofErr w:type="spellEnd"/>
      <w:r>
        <w:t xml:space="preserve"> resources (Liu et al., 2024). Nonetheless, t</w:t>
      </w:r>
      <w:r w:rsidR="007D23FD" w:rsidRPr="006D174E">
        <w:t>hese efficiency problems contribute directly to cash-flow stress and</w:t>
      </w:r>
      <w:r>
        <w:t xml:space="preserve"> resulted to</w:t>
      </w:r>
      <w:r w:rsidR="007D23FD" w:rsidRPr="006D174E">
        <w:t xml:space="preserve"> confirm the need for tighter operational management and improved working-capital policies </w:t>
      </w:r>
      <w:r>
        <w:t xml:space="preserve">undertaken </w:t>
      </w:r>
    </w:p>
    <w:p w14:paraId="178D7F01" w14:textId="77777777" w:rsidR="007D23FD" w:rsidRPr="006D174E" w:rsidRDefault="007D23FD" w:rsidP="001F5A23">
      <w:pPr>
        <w:pStyle w:val="Heading3"/>
      </w:pPr>
      <w:bookmarkStart w:id="15" w:name="_Toc211680184"/>
      <w:bookmarkStart w:id="16" w:name="_Toc212192249"/>
      <w:r w:rsidRPr="006D174E">
        <w:rPr>
          <w:rStyle w:val="Strong"/>
          <w:szCs w:val="24"/>
        </w:rPr>
        <w:t>2.5 Gearing / Leverage Ratios</w:t>
      </w:r>
      <w:bookmarkEnd w:id="15"/>
      <w:bookmarkEnd w:id="16"/>
    </w:p>
    <w:p w14:paraId="2A4E1258" w14:textId="77777777" w:rsidR="007D23FD" w:rsidRPr="006D174E" w:rsidRDefault="00765EEC" w:rsidP="006D174E">
      <w:pPr>
        <w:pStyle w:val="NormalWeb"/>
        <w:spacing w:before="240" w:beforeAutospacing="0" w:after="240" w:afterAutospacing="0" w:line="360" w:lineRule="auto"/>
        <w:jc w:val="both"/>
      </w:pPr>
      <w:r>
        <w:t>This ratio</w:t>
      </w:r>
      <w:r w:rsidR="007D23FD" w:rsidRPr="006D174E">
        <w:t xml:space="preserve"> reveal how much General Electronics depends on borrowed capital compared with</w:t>
      </w:r>
      <w:r>
        <w:t xml:space="preserve"> shareholders’ funds. However, high leverage shows that it increases the</w:t>
      </w:r>
      <w:r w:rsidR="007D23FD" w:rsidRPr="006D174E">
        <w:t xml:space="preserve"> risk because a large share of earnings goes to interest pa</w:t>
      </w:r>
      <w:r>
        <w:t>yments (Mastilo et al., 2024). Nonetheless, t</w:t>
      </w:r>
      <w:r w:rsidR="007D23FD" w:rsidRPr="006D174E">
        <w:t>he data below show that debt pressure has ri</w:t>
      </w:r>
      <w:r>
        <w:t xml:space="preserve">sen steadily from 2020 to 2024 resulted to </w:t>
      </w:r>
      <w:r w:rsidR="007D23FD" w:rsidRPr="006D174E">
        <w:t>reducing financial flexibility and pushing the company toward distress (Tron et al., 2023).</w:t>
      </w:r>
    </w:p>
    <w:tbl>
      <w:tblPr>
        <w:tblW w:w="0" w:type="auto"/>
        <w:tblLook w:val="04A0" w:firstRow="1" w:lastRow="0" w:firstColumn="1" w:lastColumn="0" w:noHBand="0" w:noVBand="1"/>
      </w:tblPr>
      <w:tblGrid>
        <w:gridCol w:w="777"/>
        <w:gridCol w:w="2340"/>
        <w:gridCol w:w="1034"/>
        <w:gridCol w:w="1034"/>
        <w:gridCol w:w="1034"/>
        <w:gridCol w:w="1034"/>
        <w:gridCol w:w="1034"/>
        <w:gridCol w:w="1063"/>
      </w:tblGrid>
      <w:tr w:rsidR="007D23FD" w:rsidRPr="006D174E" w14:paraId="3539AE1A" w14:textId="77777777" w:rsidTr="007D23FD">
        <w:trPr>
          <w:trHeight w:val="576"/>
        </w:trPr>
        <w:tc>
          <w:tcPr>
            <w:tcW w:w="0" w:type="auto"/>
            <w:tcBorders>
              <w:top w:val="single" w:sz="4" w:space="0" w:color="auto"/>
              <w:left w:val="single" w:sz="4" w:space="0" w:color="auto"/>
              <w:bottom w:val="single" w:sz="4" w:space="0" w:color="auto"/>
              <w:right w:val="single" w:sz="4" w:space="0" w:color="auto"/>
            </w:tcBorders>
            <w:vAlign w:val="center"/>
            <w:hideMark/>
          </w:tcPr>
          <w:p w14:paraId="102290AA"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Ratio</w:t>
            </w:r>
          </w:p>
        </w:tc>
        <w:tc>
          <w:tcPr>
            <w:tcW w:w="0" w:type="auto"/>
            <w:tcBorders>
              <w:top w:val="single" w:sz="4" w:space="0" w:color="auto"/>
              <w:left w:val="nil"/>
              <w:bottom w:val="single" w:sz="4" w:space="0" w:color="auto"/>
              <w:right w:val="single" w:sz="4" w:space="0" w:color="auto"/>
            </w:tcBorders>
            <w:vAlign w:val="center"/>
            <w:hideMark/>
          </w:tcPr>
          <w:p w14:paraId="1914834E"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Formula (Excel syntax)</w:t>
            </w:r>
          </w:p>
        </w:tc>
        <w:tc>
          <w:tcPr>
            <w:tcW w:w="0" w:type="auto"/>
            <w:tcBorders>
              <w:top w:val="single" w:sz="4" w:space="0" w:color="auto"/>
              <w:left w:val="nil"/>
              <w:bottom w:val="single" w:sz="4" w:space="0" w:color="auto"/>
              <w:right w:val="single" w:sz="4" w:space="0" w:color="auto"/>
            </w:tcBorders>
            <w:vAlign w:val="center"/>
            <w:hideMark/>
          </w:tcPr>
          <w:p w14:paraId="42FE0DFE"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2020</w:t>
            </w:r>
          </w:p>
        </w:tc>
        <w:tc>
          <w:tcPr>
            <w:tcW w:w="0" w:type="auto"/>
            <w:tcBorders>
              <w:top w:val="single" w:sz="4" w:space="0" w:color="auto"/>
              <w:left w:val="nil"/>
              <w:bottom w:val="single" w:sz="4" w:space="0" w:color="auto"/>
              <w:right w:val="single" w:sz="4" w:space="0" w:color="auto"/>
            </w:tcBorders>
            <w:vAlign w:val="center"/>
            <w:hideMark/>
          </w:tcPr>
          <w:p w14:paraId="276BAE21"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2021</w:t>
            </w:r>
          </w:p>
        </w:tc>
        <w:tc>
          <w:tcPr>
            <w:tcW w:w="0" w:type="auto"/>
            <w:tcBorders>
              <w:top w:val="single" w:sz="4" w:space="0" w:color="auto"/>
              <w:left w:val="nil"/>
              <w:bottom w:val="single" w:sz="4" w:space="0" w:color="auto"/>
              <w:right w:val="single" w:sz="4" w:space="0" w:color="auto"/>
            </w:tcBorders>
            <w:vAlign w:val="center"/>
            <w:hideMark/>
          </w:tcPr>
          <w:p w14:paraId="6903EE32"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2022</w:t>
            </w:r>
          </w:p>
        </w:tc>
        <w:tc>
          <w:tcPr>
            <w:tcW w:w="0" w:type="auto"/>
            <w:tcBorders>
              <w:top w:val="single" w:sz="4" w:space="0" w:color="auto"/>
              <w:left w:val="nil"/>
              <w:bottom w:val="single" w:sz="4" w:space="0" w:color="auto"/>
              <w:right w:val="single" w:sz="4" w:space="0" w:color="auto"/>
            </w:tcBorders>
            <w:vAlign w:val="center"/>
            <w:hideMark/>
          </w:tcPr>
          <w:p w14:paraId="56D5D592"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2023</w:t>
            </w:r>
          </w:p>
        </w:tc>
        <w:tc>
          <w:tcPr>
            <w:tcW w:w="0" w:type="auto"/>
            <w:tcBorders>
              <w:top w:val="single" w:sz="4" w:space="0" w:color="auto"/>
              <w:left w:val="nil"/>
              <w:bottom w:val="single" w:sz="4" w:space="0" w:color="auto"/>
              <w:right w:val="single" w:sz="4" w:space="0" w:color="auto"/>
            </w:tcBorders>
            <w:vAlign w:val="center"/>
            <w:hideMark/>
          </w:tcPr>
          <w:p w14:paraId="646F20F9"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2024</w:t>
            </w:r>
          </w:p>
        </w:tc>
        <w:tc>
          <w:tcPr>
            <w:tcW w:w="0" w:type="auto"/>
            <w:tcBorders>
              <w:top w:val="single" w:sz="4" w:space="0" w:color="auto"/>
              <w:left w:val="nil"/>
              <w:bottom w:val="single" w:sz="4" w:space="0" w:color="auto"/>
              <w:right w:val="single" w:sz="4" w:space="0" w:color="auto"/>
            </w:tcBorders>
            <w:vAlign w:val="center"/>
            <w:hideMark/>
          </w:tcPr>
          <w:p w14:paraId="1650CF9E"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Interpretation</w:t>
            </w:r>
          </w:p>
        </w:tc>
      </w:tr>
      <w:tr w:rsidR="007D23FD" w:rsidRPr="006D174E" w14:paraId="70CBA144" w14:textId="77777777" w:rsidTr="007D23FD">
        <w:trPr>
          <w:trHeight w:val="4320"/>
        </w:trPr>
        <w:tc>
          <w:tcPr>
            <w:tcW w:w="0" w:type="auto"/>
            <w:tcBorders>
              <w:top w:val="nil"/>
              <w:left w:val="single" w:sz="4" w:space="0" w:color="auto"/>
              <w:bottom w:val="single" w:sz="4" w:space="0" w:color="auto"/>
              <w:right w:val="single" w:sz="4" w:space="0" w:color="auto"/>
            </w:tcBorders>
            <w:vAlign w:val="center"/>
            <w:hideMark/>
          </w:tcPr>
          <w:p w14:paraId="00D8DCC9"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Debt-to-Equity Ratio (times)</w:t>
            </w:r>
          </w:p>
        </w:tc>
        <w:tc>
          <w:tcPr>
            <w:tcW w:w="0" w:type="auto"/>
            <w:tcBorders>
              <w:top w:val="nil"/>
              <w:left w:val="nil"/>
              <w:bottom w:val="single" w:sz="4" w:space="0" w:color="auto"/>
              <w:right w:val="single" w:sz="4" w:space="0" w:color="auto"/>
            </w:tcBorders>
            <w:vAlign w:val="center"/>
            <w:hideMark/>
          </w:tcPr>
          <w:p w14:paraId="1A9ACD7C"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Total_Liabilities</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Shareholders_Equity</w:t>
            </w:r>
            <w:proofErr w:type="spellEnd"/>
          </w:p>
        </w:tc>
        <w:tc>
          <w:tcPr>
            <w:tcW w:w="0" w:type="auto"/>
            <w:tcBorders>
              <w:top w:val="nil"/>
              <w:left w:val="nil"/>
              <w:bottom w:val="single" w:sz="4" w:space="0" w:color="auto"/>
              <w:right w:val="single" w:sz="4" w:space="0" w:color="auto"/>
            </w:tcBorders>
            <w:vAlign w:val="center"/>
            <w:hideMark/>
          </w:tcPr>
          <w:p w14:paraId="3FC9C5F2"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=(170,249 / 313,301)=</w:t>
            </w:r>
            <w:r w:rsidRPr="006D174E">
              <w:rPr>
                <w:rFonts w:ascii="Times New Roman" w:eastAsia="Times New Roman" w:hAnsi="Times New Roman" w:cs="Times New Roman"/>
                <w:b/>
                <w:bCs/>
                <w:color w:val="000000"/>
                <w:sz w:val="24"/>
                <w:szCs w:val="24"/>
              </w:rPr>
              <w:t>0.54</w:t>
            </w:r>
          </w:p>
        </w:tc>
        <w:tc>
          <w:tcPr>
            <w:tcW w:w="0" w:type="auto"/>
            <w:tcBorders>
              <w:top w:val="nil"/>
              <w:left w:val="nil"/>
              <w:bottom w:val="single" w:sz="4" w:space="0" w:color="auto"/>
              <w:right w:val="single" w:sz="4" w:space="0" w:color="auto"/>
            </w:tcBorders>
            <w:vAlign w:val="center"/>
            <w:hideMark/>
          </w:tcPr>
          <w:p w14:paraId="3ABBA739"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=(196,989 / 275,949)=</w:t>
            </w:r>
            <w:r w:rsidRPr="006D174E">
              <w:rPr>
                <w:rFonts w:ascii="Times New Roman" w:eastAsia="Times New Roman" w:hAnsi="Times New Roman" w:cs="Times New Roman"/>
                <w:b/>
                <w:bCs/>
                <w:color w:val="000000"/>
                <w:sz w:val="24"/>
                <w:szCs w:val="24"/>
              </w:rPr>
              <w:t>0.71</w:t>
            </w:r>
          </w:p>
        </w:tc>
        <w:tc>
          <w:tcPr>
            <w:tcW w:w="0" w:type="auto"/>
            <w:tcBorders>
              <w:top w:val="nil"/>
              <w:left w:val="nil"/>
              <w:bottom w:val="single" w:sz="4" w:space="0" w:color="auto"/>
              <w:right w:val="single" w:sz="4" w:space="0" w:color="auto"/>
            </w:tcBorders>
            <w:vAlign w:val="center"/>
            <w:hideMark/>
          </w:tcPr>
          <w:p w14:paraId="4C0B10D2"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=(234,399 / 268,406)=</w:t>
            </w:r>
            <w:r w:rsidRPr="006D174E">
              <w:rPr>
                <w:rFonts w:ascii="Times New Roman" w:eastAsia="Times New Roman" w:hAnsi="Times New Roman" w:cs="Times New Roman"/>
                <w:b/>
                <w:bCs/>
                <w:color w:val="000000"/>
                <w:sz w:val="24"/>
                <w:szCs w:val="24"/>
              </w:rPr>
              <w:t>0.87</w:t>
            </w:r>
          </w:p>
        </w:tc>
        <w:tc>
          <w:tcPr>
            <w:tcW w:w="0" w:type="auto"/>
            <w:tcBorders>
              <w:top w:val="nil"/>
              <w:left w:val="nil"/>
              <w:bottom w:val="single" w:sz="4" w:space="0" w:color="auto"/>
              <w:right w:val="single" w:sz="4" w:space="0" w:color="auto"/>
            </w:tcBorders>
            <w:vAlign w:val="center"/>
            <w:hideMark/>
          </w:tcPr>
          <w:p w14:paraId="5F911D55"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=(235,757 / 178,920)=</w:t>
            </w:r>
            <w:r w:rsidRPr="006D174E">
              <w:rPr>
                <w:rFonts w:ascii="Times New Roman" w:eastAsia="Times New Roman" w:hAnsi="Times New Roman" w:cs="Times New Roman"/>
                <w:b/>
                <w:bCs/>
                <w:color w:val="000000"/>
                <w:sz w:val="24"/>
                <w:szCs w:val="24"/>
              </w:rPr>
              <w:t>1.32</w:t>
            </w:r>
          </w:p>
        </w:tc>
        <w:tc>
          <w:tcPr>
            <w:tcW w:w="0" w:type="auto"/>
            <w:tcBorders>
              <w:top w:val="nil"/>
              <w:left w:val="nil"/>
              <w:bottom w:val="single" w:sz="4" w:space="0" w:color="auto"/>
              <w:right w:val="single" w:sz="4" w:space="0" w:color="auto"/>
            </w:tcBorders>
            <w:vAlign w:val="center"/>
            <w:hideMark/>
          </w:tcPr>
          <w:p w14:paraId="5D1F25EF"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=(176,952 / 153,105)=</w:t>
            </w:r>
            <w:r w:rsidRPr="006D174E">
              <w:rPr>
                <w:rFonts w:ascii="Times New Roman" w:eastAsia="Times New Roman" w:hAnsi="Times New Roman" w:cs="Times New Roman"/>
                <w:b/>
                <w:bCs/>
                <w:color w:val="000000"/>
                <w:sz w:val="24"/>
                <w:szCs w:val="24"/>
              </w:rPr>
              <w:t>1.16</w:t>
            </w:r>
          </w:p>
        </w:tc>
        <w:tc>
          <w:tcPr>
            <w:tcW w:w="0" w:type="auto"/>
            <w:tcBorders>
              <w:top w:val="nil"/>
              <w:left w:val="nil"/>
              <w:bottom w:val="single" w:sz="4" w:space="0" w:color="auto"/>
              <w:right w:val="single" w:sz="4" w:space="0" w:color="auto"/>
            </w:tcBorders>
            <w:vAlign w:val="center"/>
            <w:hideMark/>
          </w:tcPr>
          <w:p w14:paraId="0EFF3CC9"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Leverage increased after 2021, showing the company relies more on debt than equity (Ramdhan et al., 2025).</w:t>
            </w:r>
          </w:p>
        </w:tc>
      </w:tr>
      <w:tr w:rsidR="007D23FD" w:rsidRPr="006D174E" w14:paraId="17351AF2" w14:textId="77777777" w:rsidTr="007D23FD">
        <w:trPr>
          <w:trHeight w:val="4320"/>
        </w:trPr>
        <w:tc>
          <w:tcPr>
            <w:tcW w:w="0" w:type="auto"/>
            <w:tcBorders>
              <w:top w:val="nil"/>
              <w:left w:val="single" w:sz="4" w:space="0" w:color="auto"/>
              <w:bottom w:val="single" w:sz="4" w:space="0" w:color="auto"/>
              <w:right w:val="single" w:sz="4" w:space="0" w:color="auto"/>
            </w:tcBorders>
            <w:vAlign w:val="center"/>
            <w:hideMark/>
          </w:tcPr>
          <w:p w14:paraId="4EF69B06"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Debt Ratio (%)</w:t>
            </w:r>
          </w:p>
        </w:tc>
        <w:tc>
          <w:tcPr>
            <w:tcW w:w="0" w:type="auto"/>
            <w:tcBorders>
              <w:top w:val="nil"/>
              <w:left w:val="nil"/>
              <w:bottom w:val="single" w:sz="4" w:space="0" w:color="auto"/>
              <w:right w:val="single" w:sz="4" w:space="0" w:color="auto"/>
            </w:tcBorders>
            <w:vAlign w:val="center"/>
            <w:hideMark/>
          </w:tcPr>
          <w:p w14:paraId="65A60F9E"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Total_Liabilities</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Total_Assets</w:t>
            </w:r>
            <w:proofErr w:type="spellEnd"/>
            <w:r w:rsidRPr="006D174E">
              <w:rPr>
                <w:rFonts w:ascii="Times New Roman" w:eastAsia="Arial Unicode MS" w:hAnsi="Times New Roman" w:cs="Times New Roman"/>
                <w:color w:val="000000"/>
                <w:sz w:val="24"/>
                <w:szCs w:val="24"/>
              </w:rPr>
              <w:t>)*100</w:t>
            </w:r>
          </w:p>
        </w:tc>
        <w:tc>
          <w:tcPr>
            <w:tcW w:w="0" w:type="auto"/>
            <w:tcBorders>
              <w:top w:val="nil"/>
              <w:left w:val="nil"/>
              <w:bottom w:val="single" w:sz="4" w:space="0" w:color="auto"/>
              <w:right w:val="single" w:sz="4" w:space="0" w:color="auto"/>
            </w:tcBorders>
            <w:vAlign w:val="center"/>
            <w:hideMark/>
          </w:tcPr>
          <w:p w14:paraId="2EB20374"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=(170,249 / 510,290)*100 = </w:t>
            </w:r>
            <w:r w:rsidRPr="006D174E">
              <w:rPr>
                <w:rFonts w:ascii="Times New Roman" w:eastAsia="Times New Roman" w:hAnsi="Times New Roman" w:cs="Times New Roman"/>
                <w:b/>
                <w:bCs/>
                <w:color w:val="000000"/>
                <w:sz w:val="24"/>
                <w:szCs w:val="24"/>
              </w:rPr>
              <w:t>33.4 %</w:t>
            </w:r>
          </w:p>
        </w:tc>
        <w:tc>
          <w:tcPr>
            <w:tcW w:w="0" w:type="auto"/>
            <w:tcBorders>
              <w:top w:val="nil"/>
              <w:left w:val="nil"/>
              <w:bottom w:val="single" w:sz="4" w:space="0" w:color="auto"/>
              <w:right w:val="single" w:sz="4" w:space="0" w:color="auto"/>
            </w:tcBorders>
            <w:vAlign w:val="center"/>
            <w:hideMark/>
          </w:tcPr>
          <w:p w14:paraId="7E3B57EC"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=(196,989 / 510,348)*100 = </w:t>
            </w:r>
            <w:r w:rsidRPr="006D174E">
              <w:rPr>
                <w:rFonts w:ascii="Times New Roman" w:eastAsia="Times New Roman" w:hAnsi="Times New Roman" w:cs="Times New Roman"/>
                <w:b/>
                <w:bCs/>
                <w:color w:val="000000"/>
                <w:sz w:val="24"/>
                <w:szCs w:val="24"/>
              </w:rPr>
              <w:t>38.6 %</w:t>
            </w:r>
          </w:p>
        </w:tc>
        <w:tc>
          <w:tcPr>
            <w:tcW w:w="0" w:type="auto"/>
            <w:tcBorders>
              <w:top w:val="nil"/>
              <w:left w:val="nil"/>
              <w:bottom w:val="single" w:sz="4" w:space="0" w:color="auto"/>
              <w:right w:val="single" w:sz="4" w:space="0" w:color="auto"/>
            </w:tcBorders>
            <w:vAlign w:val="center"/>
            <w:hideMark/>
          </w:tcPr>
          <w:p w14:paraId="45A8F052"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=(234,399 / 504,163)*100 = </w:t>
            </w:r>
            <w:r w:rsidRPr="006D174E">
              <w:rPr>
                <w:rFonts w:ascii="Times New Roman" w:eastAsia="Times New Roman" w:hAnsi="Times New Roman" w:cs="Times New Roman"/>
                <w:b/>
                <w:bCs/>
                <w:color w:val="000000"/>
                <w:sz w:val="24"/>
                <w:szCs w:val="24"/>
              </w:rPr>
              <w:t>46.5 %</w:t>
            </w:r>
          </w:p>
        </w:tc>
        <w:tc>
          <w:tcPr>
            <w:tcW w:w="0" w:type="auto"/>
            <w:tcBorders>
              <w:top w:val="nil"/>
              <w:left w:val="nil"/>
              <w:bottom w:val="single" w:sz="4" w:space="0" w:color="auto"/>
              <w:right w:val="single" w:sz="4" w:space="0" w:color="auto"/>
            </w:tcBorders>
            <w:vAlign w:val="center"/>
            <w:hideMark/>
          </w:tcPr>
          <w:p w14:paraId="7D184FBA"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=(235,757 / 355,872)*100 = </w:t>
            </w:r>
            <w:r w:rsidRPr="006D174E">
              <w:rPr>
                <w:rFonts w:ascii="Times New Roman" w:eastAsia="Times New Roman" w:hAnsi="Times New Roman" w:cs="Times New Roman"/>
                <w:b/>
                <w:bCs/>
                <w:color w:val="000000"/>
                <w:sz w:val="24"/>
                <w:szCs w:val="24"/>
              </w:rPr>
              <w:t>66.3 %</w:t>
            </w:r>
          </w:p>
        </w:tc>
        <w:tc>
          <w:tcPr>
            <w:tcW w:w="0" w:type="auto"/>
            <w:tcBorders>
              <w:top w:val="nil"/>
              <w:left w:val="nil"/>
              <w:bottom w:val="single" w:sz="4" w:space="0" w:color="auto"/>
              <w:right w:val="single" w:sz="4" w:space="0" w:color="auto"/>
            </w:tcBorders>
            <w:vAlign w:val="center"/>
            <w:hideMark/>
          </w:tcPr>
          <w:p w14:paraId="28B79FE3"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=(176,952 / 323,354)*100 = </w:t>
            </w:r>
            <w:r w:rsidRPr="006D174E">
              <w:rPr>
                <w:rFonts w:ascii="Times New Roman" w:eastAsia="Times New Roman" w:hAnsi="Times New Roman" w:cs="Times New Roman"/>
                <w:b/>
                <w:bCs/>
                <w:color w:val="000000"/>
                <w:sz w:val="24"/>
                <w:szCs w:val="24"/>
              </w:rPr>
              <w:t>54.7 %</w:t>
            </w:r>
          </w:p>
        </w:tc>
        <w:tc>
          <w:tcPr>
            <w:tcW w:w="0" w:type="auto"/>
            <w:tcBorders>
              <w:top w:val="nil"/>
              <w:left w:val="nil"/>
              <w:bottom w:val="single" w:sz="4" w:space="0" w:color="auto"/>
              <w:right w:val="single" w:sz="4" w:space="0" w:color="auto"/>
            </w:tcBorders>
            <w:vAlign w:val="center"/>
            <w:hideMark/>
          </w:tcPr>
          <w:p w14:paraId="277D911F"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Total debt now finances more than half of assets, increasing solvency risk </w:t>
            </w:r>
            <w:r w:rsidRPr="006D174E">
              <w:rPr>
                <w:rFonts w:ascii="Times New Roman" w:eastAsia="Times New Roman" w:hAnsi="Times New Roman" w:cs="Times New Roman"/>
                <w:color w:val="000000"/>
                <w:sz w:val="24"/>
                <w:szCs w:val="24"/>
              </w:rPr>
              <w:lastRenderedPageBreak/>
              <w:t>(Akash et al., 2024).</w:t>
            </w:r>
          </w:p>
        </w:tc>
      </w:tr>
      <w:tr w:rsidR="007D23FD" w:rsidRPr="006D174E" w14:paraId="5186133D" w14:textId="77777777" w:rsidTr="007D23FD">
        <w:trPr>
          <w:trHeight w:val="4320"/>
        </w:trPr>
        <w:tc>
          <w:tcPr>
            <w:tcW w:w="0" w:type="auto"/>
            <w:tcBorders>
              <w:top w:val="nil"/>
              <w:left w:val="single" w:sz="4" w:space="0" w:color="auto"/>
              <w:bottom w:val="single" w:sz="4" w:space="0" w:color="auto"/>
              <w:right w:val="single" w:sz="4" w:space="0" w:color="auto"/>
            </w:tcBorders>
            <w:vAlign w:val="center"/>
            <w:hideMark/>
          </w:tcPr>
          <w:p w14:paraId="6B5770BB"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Interest Coverage Ratio (times)</w:t>
            </w:r>
          </w:p>
        </w:tc>
        <w:tc>
          <w:tcPr>
            <w:tcW w:w="0" w:type="auto"/>
            <w:tcBorders>
              <w:top w:val="nil"/>
              <w:left w:val="nil"/>
              <w:bottom w:val="single" w:sz="4" w:space="0" w:color="auto"/>
              <w:right w:val="single" w:sz="4" w:space="0" w:color="auto"/>
            </w:tcBorders>
            <w:vAlign w:val="center"/>
            <w:hideMark/>
          </w:tcPr>
          <w:p w14:paraId="148CA654"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Operating_Income</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Interest_Expense</w:t>
            </w:r>
            <w:proofErr w:type="spellEnd"/>
          </w:p>
        </w:tc>
        <w:tc>
          <w:tcPr>
            <w:tcW w:w="0" w:type="auto"/>
            <w:tcBorders>
              <w:top w:val="nil"/>
              <w:left w:val="nil"/>
              <w:bottom w:val="single" w:sz="4" w:space="0" w:color="auto"/>
              <w:right w:val="single" w:sz="4" w:space="0" w:color="auto"/>
            </w:tcBorders>
            <w:vAlign w:val="center"/>
            <w:hideMark/>
          </w:tcPr>
          <w:p w14:paraId="72D5A9AC"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=(63,091 / 4,972)=</w:t>
            </w:r>
            <w:r w:rsidRPr="006D174E">
              <w:rPr>
                <w:rFonts w:ascii="Times New Roman" w:eastAsia="Times New Roman" w:hAnsi="Times New Roman" w:cs="Times New Roman"/>
                <w:b/>
                <w:bCs/>
                <w:color w:val="000000"/>
                <w:sz w:val="24"/>
                <w:szCs w:val="24"/>
              </w:rPr>
              <w:t>12.7x</w:t>
            </w:r>
          </w:p>
        </w:tc>
        <w:tc>
          <w:tcPr>
            <w:tcW w:w="0" w:type="auto"/>
            <w:tcBorders>
              <w:top w:val="nil"/>
              <w:left w:val="nil"/>
              <w:bottom w:val="single" w:sz="4" w:space="0" w:color="auto"/>
              <w:right w:val="single" w:sz="4" w:space="0" w:color="auto"/>
            </w:tcBorders>
            <w:vAlign w:val="center"/>
            <w:hideMark/>
          </w:tcPr>
          <w:p w14:paraId="09DB1E6E"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=(58,427 / 5,304)=</w:t>
            </w:r>
            <w:r w:rsidRPr="006D174E">
              <w:rPr>
                <w:rFonts w:ascii="Times New Roman" w:eastAsia="Times New Roman" w:hAnsi="Times New Roman" w:cs="Times New Roman"/>
                <w:b/>
                <w:bCs/>
                <w:color w:val="000000"/>
                <w:sz w:val="24"/>
                <w:szCs w:val="24"/>
              </w:rPr>
              <w:t>11.0x</w:t>
            </w:r>
          </w:p>
        </w:tc>
        <w:tc>
          <w:tcPr>
            <w:tcW w:w="0" w:type="auto"/>
            <w:tcBorders>
              <w:top w:val="nil"/>
              <w:left w:val="nil"/>
              <w:bottom w:val="single" w:sz="4" w:space="0" w:color="auto"/>
              <w:right w:val="single" w:sz="4" w:space="0" w:color="auto"/>
            </w:tcBorders>
            <w:vAlign w:val="center"/>
            <w:hideMark/>
          </w:tcPr>
          <w:p w14:paraId="362B07A7"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=(44,037 / 6,136)=</w:t>
            </w:r>
            <w:r w:rsidRPr="006D174E">
              <w:rPr>
                <w:rFonts w:ascii="Times New Roman" w:eastAsia="Times New Roman" w:hAnsi="Times New Roman" w:cs="Times New Roman"/>
                <w:b/>
                <w:bCs/>
                <w:color w:val="000000"/>
                <w:sz w:val="24"/>
                <w:szCs w:val="24"/>
              </w:rPr>
              <w:t>7.2x</w:t>
            </w:r>
          </w:p>
        </w:tc>
        <w:tc>
          <w:tcPr>
            <w:tcW w:w="0" w:type="auto"/>
            <w:tcBorders>
              <w:top w:val="nil"/>
              <w:left w:val="nil"/>
              <w:bottom w:val="single" w:sz="4" w:space="0" w:color="auto"/>
              <w:right w:val="single" w:sz="4" w:space="0" w:color="auto"/>
            </w:tcBorders>
            <w:vAlign w:val="center"/>
            <w:hideMark/>
          </w:tcPr>
          <w:p w14:paraId="2BD15328"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=(-43,916 / 6,872)=</w:t>
            </w:r>
            <w:r w:rsidRPr="006D174E">
              <w:rPr>
                <w:rFonts w:ascii="Times New Roman" w:eastAsia="Times New Roman" w:hAnsi="Times New Roman" w:cs="Times New Roman"/>
                <w:b/>
                <w:bCs/>
                <w:color w:val="000000"/>
                <w:sz w:val="24"/>
                <w:szCs w:val="24"/>
              </w:rPr>
              <w:t>-6.4x</w:t>
            </w:r>
          </w:p>
        </w:tc>
        <w:tc>
          <w:tcPr>
            <w:tcW w:w="0" w:type="auto"/>
            <w:tcBorders>
              <w:top w:val="nil"/>
              <w:left w:val="nil"/>
              <w:bottom w:val="single" w:sz="4" w:space="0" w:color="auto"/>
              <w:right w:val="single" w:sz="4" w:space="0" w:color="auto"/>
            </w:tcBorders>
            <w:vAlign w:val="center"/>
            <w:hideMark/>
          </w:tcPr>
          <w:p w14:paraId="186FF5EF"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=(-8,635 / 7,105)=</w:t>
            </w:r>
            <w:r w:rsidRPr="006D174E">
              <w:rPr>
                <w:rFonts w:ascii="Times New Roman" w:eastAsia="Times New Roman" w:hAnsi="Times New Roman" w:cs="Times New Roman"/>
                <w:b/>
                <w:bCs/>
                <w:color w:val="000000"/>
                <w:sz w:val="24"/>
                <w:szCs w:val="24"/>
              </w:rPr>
              <w:t>-1.2x</w:t>
            </w:r>
          </w:p>
        </w:tc>
        <w:tc>
          <w:tcPr>
            <w:tcW w:w="0" w:type="auto"/>
            <w:tcBorders>
              <w:top w:val="nil"/>
              <w:left w:val="nil"/>
              <w:bottom w:val="single" w:sz="4" w:space="0" w:color="auto"/>
              <w:right w:val="single" w:sz="4" w:space="0" w:color="auto"/>
            </w:tcBorders>
            <w:vAlign w:val="center"/>
            <w:hideMark/>
          </w:tcPr>
          <w:p w14:paraId="1A3A817B"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Coverage turned negative after 2022, showing earnings no longer meet interest costs (Fadillah et al., 2024).</w:t>
            </w:r>
          </w:p>
        </w:tc>
      </w:tr>
    </w:tbl>
    <w:p w14:paraId="1F9CF6E9" w14:textId="77777777" w:rsidR="007D23FD" w:rsidRPr="006D174E" w:rsidRDefault="007D23FD" w:rsidP="006D174E">
      <w:pPr>
        <w:spacing w:before="240" w:after="240" w:line="360" w:lineRule="auto"/>
        <w:jc w:val="both"/>
        <w:rPr>
          <w:rFonts w:ascii="Times New Roman" w:hAnsi="Times New Roman" w:cs="Times New Roman"/>
          <w:sz w:val="24"/>
          <w:szCs w:val="24"/>
        </w:rPr>
      </w:pPr>
    </w:p>
    <w:p w14:paraId="63B903C3" w14:textId="77777777" w:rsidR="007D23FD" w:rsidRPr="006D174E" w:rsidRDefault="007D23FD" w:rsidP="001F5A23">
      <w:bookmarkStart w:id="17" w:name="_Toc211680185"/>
      <w:r w:rsidRPr="006D174E">
        <w:rPr>
          <w:rStyle w:val="Strong"/>
          <w:rFonts w:ascii="Times New Roman" w:hAnsi="Times New Roman" w:cs="Times New Roman"/>
          <w:b w:val="0"/>
          <w:bCs w:val="0"/>
          <w:szCs w:val="24"/>
        </w:rPr>
        <w:t>Interpretation</w:t>
      </w:r>
      <w:bookmarkEnd w:id="17"/>
    </w:p>
    <w:p w14:paraId="4BD235BE" w14:textId="77777777" w:rsidR="006D174E" w:rsidRDefault="00765EEC" w:rsidP="006D174E">
      <w:pPr>
        <w:pStyle w:val="NormalWeb"/>
        <w:spacing w:before="240" w:beforeAutospacing="0" w:after="240" w:afterAutospacing="0" w:line="360" w:lineRule="auto"/>
        <w:jc w:val="both"/>
      </w:pPr>
      <w:r>
        <w:lastRenderedPageBreak/>
        <w:t>The above data</w:t>
      </w:r>
      <w:r w:rsidR="007D23FD" w:rsidRPr="006D174E">
        <w:t xml:space="preserve"> confirm that debt oblig</w:t>
      </w:r>
      <w:r>
        <w:t xml:space="preserve">ations have become excessive </w:t>
      </w:r>
      <w:proofErr w:type="gramStart"/>
      <w:r>
        <w:t xml:space="preserve">and </w:t>
      </w:r>
      <w:r w:rsidR="007D23FD" w:rsidRPr="006D174E">
        <w:t xml:space="preserve"> </w:t>
      </w:r>
      <w:r w:rsidR="005806F7">
        <w:rPr>
          <w:rStyle w:val="Strong"/>
        </w:rPr>
        <w:t>it’s</w:t>
      </w:r>
      <w:proofErr w:type="gramEnd"/>
      <w:r>
        <w:rPr>
          <w:rStyle w:val="Strong"/>
        </w:rPr>
        <w:t xml:space="preserve"> gearing</w:t>
      </w:r>
      <w:r w:rsidR="007D23FD" w:rsidRPr="006D174E">
        <w:t xml:space="preserve"> ratio</w:t>
      </w:r>
      <w:r w:rsidR="005806F7">
        <w:t xml:space="preserve"> is resulted to</w:t>
      </w:r>
      <w:r w:rsidR="007D23FD" w:rsidRPr="006D174E">
        <w:t xml:space="preserve"> </w:t>
      </w:r>
      <w:r w:rsidR="005806F7">
        <w:t xml:space="preserve">increase i.e. 0.54 in 2020 to 1.16 in 2024. It also shows that the </w:t>
      </w:r>
      <w:r w:rsidR="007D23FD" w:rsidRPr="006D174E">
        <w:t xml:space="preserve">borrowed funds now exceed shareholders’ equity (Akash et al., 2024).The </w:t>
      </w:r>
      <w:r w:rsidR="007D23FD" w:rsidRPr="006D174E">
        <w:rPr>
          <w:rStyle w:val="Strong"/>
        </w:rPr>
        <w:t>Debt Ratio</w:t>
      </w:r>
      <w:r w:rsidR="005806F7">
        <w:t xml:space="preserve"> rose above 50 %, and the interest  coverage has resulted to</w:t>
      </w:r>
      <w:r w:rsidR="007D23FD" w:rsidRPr="006D174E">
        <w:t xml:space="preserve"> negative, proving that the firm’s operations cannot generate enough profit to service its loans (Mastilo et al., 2024).</w:t>
      </w:r>
    </w:p>
    <w:p w14:paraId="5A64950F" w14:textId="77777777" w:rsidR="006D174E" w:rsidRDefault="006D174E" w:rsidP="006D174E">
      <w:pPr>
        <w:pStyle w:val="NormalWeb"/>
      </w:pPr>
      <w:r>
        <w:rPr>
          <w:noProof/>
        </w:rPr>
        <w:drawing>
          <wp:inline distT="0" distB="0" distL="0" distR="0" wp14:anchorId="18798DEA" wp14:editId="0A460F3F">
            <wp:extent cx="5792103" cy="3619099"/>
            <wp:effectExtent l="0" t="0" r="0" b="635"/>
            <wp:docPr id="4" name="Picture 4" descr="C:\Users\admin\Downloads\Debt_Leverage_Rati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Users\admin\Downloads\Debt_Leverage_Ratios.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9790" cy="3623902"/>
                    </a:xfrm>
                    <a:prstGeom prst="rect">
                      <a:avLst/>
                    </a:prstGeom>
                    <a:noFill/>
                    <a:ln>
                      <a:noFill/>
                    </a:ln>
                  </pic:spPr>
                </pic:pic>
              </a:graphicData>
            </a:graphic>
          </wp:inline>
        </w:drawing>
      </w:r>
    </w:p>
    <w:p w14:paraId="5FB754E3" w14:textId="77777777" w:rsidR="007D23FD" w:rsidRPr="006D174E" w:rsidRDefault="005806F7" w:rsidP="006D174E">
      <w:pPr>
        <w:pStyle w:val="NormalWeb"/>
        <w:spacing w:before="240" w:beforeAutospacing="0" w:after="240" w:afterAutospacing="0" w:line="360" w:lineRule="auto"/>
        <w:jc w:val="both"/>
      </w:pPr>
      <w:r>
        <w:t xml:space="preserve"> Therefore, </w:t>
      </w:r>
      <w:proofErr w:type="gramStart"/>
      <w:r>
        <w:t xml:space="preserve">this </w:t>
      </w:r>
      <w:r w:rsidR="007D23FD" w:rsidRPr="006D174E">
        <w:t xml:space="preserve"> level</w:t>
      </w:r>
      <w:proofErr w:type="gramEnd"/>
      <w:r w:rsidR="007D23FD" w:rsidRPr="006D174E">
        <w:t xml:space="preserve"> of leverage places the company in a vulnerable position and reinforces the urgency for refinancing and capital restructuring to reduce risk exposure (Ramdhan et al., 2025). </w:t>
      </w:r>
    </w:p>
    <w:p w14:paraId="17406CA6" w14:textId="77777777" w:rsidR="007D23FD" w:rsidRPr="006D174E" w:rsidRDefault="007D23FD" w:rsidP="001F5A23">
      <w:pPr>
        <w:pStyle w:val="Heading3"/>
      </w:pPr>
      <w:bookmarkStart w:id="18" w:name="_Toc211680186"/>
      <w:bookmarkStart w:id="19" w:name="_Toc212192250"/>
      <w:r w:rsidRPr="006D174E">
        <w:rPr>
          <w:rStyle w:val="Strong"/>
          <w:szCs w:val="24"/>
        </w:rPr>
        <w:t>2.6 Investment Ratios</w:t>
      </w:r>
      <w:bookmarkEnd w:id="18"/>
      <w:bookmarkEnd w:id="19"/>
    </w:p>
    <w:p w14:paraId="1D94CA2A" w14:textId="77777777" w:rsidR="007D23FD" w:rsidRPr="006D174E" w:rsidRDefault="005806F7" w:rsidP="006D174E">
      <w:pPr>
        <w:pStyle w:val="NormalWeb"/>
        <w:spacing w:before="240" w:beforeAutospacing="0" w:after="240" w:afterAutospacing="0" w:line="360" w:lineRule="auto"/>
        <w:jc w:val="both"/>
      </w:pPr>
      <w:r>
        <w:t>This ratio shows</w:t>
      </w:r>
      <w:r w:rsidR="007D23FD" w:rsidRPr="006D174E">
        <w:t xml:space="preserve"> how attractive a</w:t>
      </w:r>
      <w:r>
        <w:t xml:space="preserve"> company is to </w:t>
      </w:r>
      <w:proofErr w:type="gramStart"/>
      <w:r>
        <w:t xml:space="preserve">shareholders </w:t>
      </w:r>
      <w:r w:rsidR="007D23FD" w:rsidRPr="006D174E">
        <w:t xml:space="preserve"> measure</w:t>
      </w:r>
      <w:proofErr w:type="gramEnd"/>
      <w:r w:rsidR="007D23FD" w:rsidRPr="006D174E">
        <w:t xml:space="preserve"> investor confidence through earnings and dividend potential. </w:t>
      </w:r>
      <w:r>
        <w:t xml:space="preserve">Nonetheless, company </w:t>
      </w:r>
      <w:r w:rsidR="007D23FD" w:rsidRPr="006D174E">
        <w:t>five-year data show a steady collapse in share performance, reflecting declining profits and rising losses</w:t>
      </w:r>
      <w:r>
        <w:t xml:space="preserve"> undertaken</w:t>
      </w:r>
      <w:r w:rsidR="007D23FD" w:rsidRPr="006D174E">
        <w:t xml:space="preserve"> (Ramdhan et al., 2025).</w:t>
      </w:r>
    </w:p>
    <w:tbl>
      <w:tblPr>
        <w:tblW w:w="5000" w:type="pct"/>
        <w:tblLook w:val="04A0" w:firstRow="1" w:lastRow="0" w:firstColumn="1" w:lastColumn="0" w:noHBand="0" w:noVBand="1"/>
      </w:tblPr>
      <w:tblGrid>
        <w:gridCol w:w="658"/>
        <w:gridCol w:w="2105"/>
        <w:gridCol w:w="1273"/>
        <w:gridCol w:w="1216"/>
        <w:gridCol w:w="1131"/>
        <w:gridCol w:w="1029"/>
        <w:gridCol w:w="1029"/>
        <w:gridCol w:w="909"/>
      </w:tblGrid>
      <w:tr w:rsidR="007D23FD" w:rsidRPr="006D174E" w14:paraId="3B8321FC" w14:textId="77777777" w:rsidTr="007D23FD">
        <w:trPr>
          <w:trHeight w:val="576"/>
        </w:trPr>
        <w:tc>
          <w:tcPr>
            <w:tcW w:w="315" w:type="pct"/>
            <w:tcBorders>
              <w:top w:val="single" w:sz="4" w:space="0" w:color="auto"/>
              <w:left w:val="single" w:sz="4" w:space="0" w:color="auto"/>
              <w:bottom w:val="single" w:sz="4" w:space="0" w:color="auto"/>
              <w:right w:val="single" w:sz="4" w:space="0" w:color="auto"/>
            </w:tcBorders>
            <w:vAlign w:val="center"/>
            <w:hideMark/>
          </w:tcPr>
          <w:p w14:paraId="701C6706"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Ratio</w:t>
            </w:r>
          </w:p>
        </w:tc>
        <w:tc>
          <w:tcPr>
            <w:tcW w:w="1155" w:type="pct"/>
            <w:tcBorders>
              <w:top w:val="single" w:sz="4" w:space="0" w:color="auto"/>
              <w:left w:val="nil"/>
              <w:bottom w:val="single" w:sz="4" w:space="0" w:color="auto"/>
              <w:right w:val="single" w:sz="4" w:space="0" w:color="auto"/>
            </w:tcBorders>
            <w:vAlign w:val="center"/>
            <w:hideMark/>
          </w:tcPr>
          <w:p w14:paraId="0CA9531C"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Formuled</w:t>
            </w:r>
          </w:p>
        </w:tc>
        <w:tc>
          <w:tcPr>
            <w:tcW w:w="693" w:type="pct"/>
            <w:tcBorders>
              <w:top w:val="single" w:sz="4" w:space="0" w:color="auto"/>
              <w:left w:val="nil"/>
              <w:bottom w:val="single" w:sz="4" w:space="0" w:color="auto"/>
              <w:right w:val="single" w:sz="4" w:space="0" w:color="auto"/>
            </w:tcBorders>
            <w:vAlign w:val="center"/>
            <w:hideMark/>
          </w:tcPr>
          <w:p w14:paraId="56E60B73"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2020</w:t>
            </w:r>
          </w:p>
        </w:tc>
        <w:tc>
          <w:tcPr>
            <w:tcW w:w="659" w:type="pct"/>
            <w:tcBorders>
              <w:top w:val="single" w:sz="4" w:space="0" w:color="auto"/>
              <w:left w:val="nil"/>
              <w:bottom w:val="single" w:sz="4" w:space="0" w:color="auto"/>
              <w:right w:val="single" w:sz="4" w:space="0" w:color="auto"/>
            </w:tcBorders>
            <w:vAlign w:val="center"/>
            <w:hideMark/>
          </w:tcPr>
          <w:p w14:paraId="5252100C"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2021</w:t>
            </w:r>
          </w:p>
        </w:tc>
        <w:tc>
          <w:tcPr>
            <w:tcW w:w="608" w:type="pct"/>
            <w:tcBorders>
              <w:top w:val="single" w:sz="4" w:space="0" w:color="auto"/>
              <w:left w:val="nil"/>
              <w:bottom w:val="single" w:sz="4" w:space="0" w:color="auto"/>
              <w:right w:val="single" w:sz="4" w:space="0" w:color="auto"/>
            </w:tcBorders>
            <w:vAlign w:val="center"/>
            <w:hideMark/>
          </w:tcPr>
          <w:p w14:paraId="313E6AF6"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2022</w:t>
            </w:r>
          </w:p>
        </w:tc>
        <w:tc>
          <w:tcPr>
            <w:tcW w:w="553" w:type="pct"/>
            <w:tcBorders>
              <w:top w:val="single" w:sz="4" w:space="0" w:color="auto"/>
              <w:left w:val="nil"/>
              <w:bottom w:val="single" w:sz="4" w:space="0" w:color="auto"/>
              <w:right w:val="single" w:sz="4" w:space="0" w:color="auto"/>
            </w:tcBorders>
            <w:vAlign w:val="center"/>
            <w:hideMark/>
          </w:tcPr>
          <w:p w14:paraId="429A2799"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2023</w:t>
            </w:r>
          </w:p>
        </w:tc>
        <w:tc>
          <w:tcPr>
            <w:tcW w:w="553" w:type="pct"/>
            <w:tcBorders>
              <w:top w:val="single" w:sz="4" w:space="0" w:color="auto"/>
              <w:left w:val="nil"/>
              <w:bottom w:val="single" w:sz="4" w:space="0" w:color="auto"/>
              <w:right w:val="single" w:sz="4" w:space="0" w:color="auto"/>
            </w:tcBorders>
            <w:vAlign w:val="center"/>
            <w:hideMark/>
          </w:tcPr>
          <w:p w14:paraId="2EEDF652"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2024</w:t>
            </w:r>
          </w:p>
        </w:tc>
        <w:tc>
          <w:tcPr>
            <w:tcW w:w="463" w:type="pct"/>
            <w:tcBorders>
              <w:top w:val="single" w:sz="4" w:space="0" w:color="auto"/>
              <w:left w:val="nil"/>
              <w:bottom w:val="single" w:sz="4" w:space="0" w:color="auto"/>
              <w:right w:val="single" w:sz="4" w:space="0" w:color="auto"/>
            </w:tcBorders>
            <w:vAlign w:val="center"/>
            <w:hideMark/>
          </w:tcPr>
          <w:p w14:paraId="7A0F642E"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Interpretation</w:t>
            </w:r>
          </w:p>
        </w:tc>
      </w:tr>
      <w:tr w:rsidR="007D23FD" w:rsidRPr="006D174E" w14:paraId="1E2C8B68" w14:textId="77777777" w:rsidTr="007D23FD">
        <w:trPr>
          <w:trHeight w:val="4320"/>
        </w:trPr>
        <w:tc>
          <w:tcPr>
            <w:tcW w:w="315" w:type="pct"/>
            <w:tcBorders>
              <w:top w:val="nil"/>
              <w:left w:val="single" w:sz="4" w:space="0" w:color="auto"/>
              <w:bottom w:val="single" w:sz="4" w:space="0" w:color="auto"/>
              <w:right w:val="single" w:sz="4" w:space="0" w:color="auto"/>
            </w:tcBorders>
            <w:vAlign w:val="center"/>
            <w:hideMark/>
          </w:tcPr>
          <w:p w14:paraId="30BBA254"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Earnings Per Share (EPS £)</w:t>
            </w:r>
          </w:p>
        </w:tc>
        <w:tc>
          <w:tcPr>
            <w:tcW w:w="1155" w:type="pct"/>
            <w:tcBorders>
              <w:top w:val="nil"/>
              <w:left w:val="nil"/>
              <w:bottom w:val="single" w:sz="4" w:space="0" w:color="auto"/>
              <w:right w:val="single" w:sz="4" w:space="0" w:color="auto"/>
            </w:tcBorders>
            <w:vAlign w:val="center"/>
            <w:hideMark/>
          </w:tcPr>
          <w:p w14:paraId="294F4BEE"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Net_Income</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No_of_Shares</w:t>
            </w:r>
            <w:proofErr w:type="spellEnd"/>
          </w:p>
        </w:tc>
        <w:tc>
          <w:tcPr>
            <w:tcW w:w="693" w:type="pct"/>
            <w:tcBorders>
              <w:top w:val="nil"/>
              <w:left w:val="nil"/>
              <w:bottom w:val="single" w:sz="4" w:space="0" w:color="auto"/>
              <w:right w:val="single" w:sz="4" w:space="0" w:color="auto"/>
            </w:tcBorders>
            <w:vAlign w:val="center"/>
            <w:hideMark/>
          </w:tcPr>
          <w:p w14:paraId="6220B403"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=(38,572/13,875)=</w:t>
            </w:r>
            <w:r w:rsidRPr="006D174E">
              <w:rPr>
                <w:rFonts w:ascii="Times New Roman" w:eastAsia="Times New Roman" w:hAnsi="Times New Roman" w:cs="Times New Roman"/>
                <w:b/>
                <w:bCs/>
                <w:color w:val="000000"/>
                <w:sz w:val="24"/>
                <w:szCs w:val="24"/>
              </w:rPr>
              <w:t>2.78</w:t>
            </w:r>
          </w:p>
        </w:tc>
        <w:tc>
          <w:tcPr>
            <w:tcW w:w="659" w:type="pct"/>
            <w:tcBorders>
              <w:top w:val="nil"/>
              <w:left w:val="nil"/>
              <w:bottom w:val="single" w:sz="4" w:space="0" w:color="auto"/>
              <w:right w:val="single" w:sz="4" w:space="0" w:color="auto"/>
            </w:tcBorders>
            <w:vAlign w:val="center"/>
            <w:hideMark/>
          </w:tcPr>
          <w:p w14:paraId="1BA6CD08"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=(5,301/13,780)=</w:t>
            </w:r>
            <w:r w:rsidRPr="006D174E">
              <w:rPr>
                <w:rFonts w:ascii="Times New Roman" w:eastAsia="Times New Roman" w:hAnsi="Times New Roman" w:cs="Times New Roman"/>
                <w:b/>
                <w:bCs/>
                <w:color w:val="000000"/>
                <w:sz w:val="24"/>
                <w:szCs w:val="24"/>
              </w:rPr>
              <w:t>0.39</w:t>
            </w:r>
          </w:p>
        </w:tc>
        <w:tc>
          <w:tcPr>
            <w:tcW w:w="608" w:type="pct"/>
            <w:tcBorders>
              <w:top w:val="nil"/>
              <w:left w:val="nil"/>
              <w:bottom w:val="single" w:sz="4" w:space="0" w:color="auto"/>
              <w:right w:val="single" w:sz="4" w:space="0" w:color="auto"/>
            </w:tcBorders>
            <w:vAlign w:val="center"/>
            <w:hideMark/>
          </w:tcPr>
          <w:p w14:paraId="69145BA2"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=(407/13,735)=</w:t>
            </w:r>
            <w:r w:rsidRPr="006D174E">
              <w:rPr>
                <w:rFonts w:ascii="Times New Roman" w:eastAsia="Times New Roman" w:hAnsi="Times New Roman" w:cs="Times New Roman"/>
                <w:b/>
                <w:bCs/>
                <w:color w:val="000000"/>
                <w:sz w:val="24"/>
                <w:szCs w:val="24"/>
              </w:rPr>
              <w:t>0.03</w:t>
            </w:r>
          </w:p>
        </w:tc>
        <w:tc>
          <w:tcPr>
            <w:tcW w:w="553" w:type="pct"/>
            <w:tcBorders>
              <w:top w:val="nil"/>
              <w:left w:val="nil"/>
              <w:bottom w:val="single" w:sz="4" w:space="0" w:color="auto"/>
              <w:right w:val="single" w:sz="4" w:space="0" w:color="auto"/>
            </w:tcBorders>
            <w:vAlign w:val="center"/>
            <w:hideMark/>
          </w:tcPr>
          <w:p w14:paraId="4D0C4ABD"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=(-98,238/12,855)=</w:t>
            </w:r>
            <w:r w:rsidRPr="006D174E">
              <w:rPr>
                <w:rFonts w:ascii="Times New Roman" w:eastAsia="Times New Roman" w:hAnsi="Times New Roman" w:cs="Times New Roman"/>
                <w:b/>
                <w:bCs/>
                <w:color w:val="000000"/>
                <w:sz w:val="24"/>
                <w:szCs w:val="24"/>
              </w:rPr>
              <w:t>–7.64</w:t>
            </w:r>
          </w:p>
        </w:tc>
        <w:tc>
          <w:tcPr>
            <w:tcW w:w="553" w:type="pct"/>
            <w:tcBorders>
              <w:top w:val="nil"/>
              <w:left w:val="nil"/>
              <w:bottom w:val="single" w:sz="4" w:space="0" w:color="auto"/>
              <w:right w:val="single" w:sz="4" w:space="0" w:color="auto"/>
            </w:tcBorders>
            <w:vAlign w:val="center"/>
            <w:hideMark/>
          </w:tcPr>
          <w:p w14:paraId="6B9C1C49"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=(-24,029/12,959)=</w:t>
            </w:r>
            <w:r w:rsidRPr="006D174E">
              <w:rPr>
                <w:rFonts w:ascii="Times New Roman" w:eastAsia="Times New Roman" w:hAnsi="Times New Roman" w:cs="Times New Roman"/>
                <w:b/>
                <w:bCs/>
                <w:color w:val="000000"/>
                <w:sz w:val="24"/>
                <w:szCs w:val="24"/>
              </w:rPr>
              <w:t>–1.85</w:t>
            </w:r>
          </w:p>
        </w:tc>
        <w:tc>
          <w:tcPr>
            <w:tcW w:w="463" w:type="pct"/>
            <w:tcBorders>
              <w:top w:val="nil"/>
              <w:left w:val="nil"/>
              <w:bottom w:val="single" w:sz="4" w:space="0" w:color="auto"/>
              <w:right w:val="single" w:sz="4" w:space="0" w:color="auto"/>
            </w:tcBorders>
            <w:vAlign w:val="center"/>
            <w:hideMark/>
          </w:tcPr>
          <w:p w14:paraId="5EF5FE60"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EPS turned negative after 2022, confirming shareholder value erosion (Sudacevschi &amp; Stefan Duicu, 2024).</w:t>
            </w:r>
          </w:p>
        </w:tc>
      </w:tr>
      <w:tr w:rsidR="007D23FD" w:rsidRPr="006D174E" w14:paraId="2F0E78B5" w14:textId="77777777" w:rsidTr="007D23FD">
        <w:trPr>
          <w:trHeight w:val="3744"/>
        </w:trPr>
        <w:tc>
          <w:tcPr>
            <w:tcW w:w="315" w:type="pct"/>
            <w:tcBorders>
              <w:top w:val="nil"/>
              <w:left w:val="single" w:sz="4" w:space="0" w:color="auto"/>
              <w:bottom w:val="single" w:sz="4" w:space="0" w:color="auto"/>
              <w:right w:val="single" w:sz="4" w:space="0" w:color="auto"/>
            </w:tcBorders>
            <w:vAlign w:val="center"/>
            <w:hideMark/>
          </w:tcPr>
          <w:p w14:paraId="2DECE927"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Price–Earnings (P/E)</w:t>
            </w:r>
          </w:p>
        </w:tc>
        <w:tc>
          <w:tcPr>
            <w:tcW w:w="1155" w:type="pct"/>
            <w:tcBorders>
              <w:top w:val="nil"/>
              <w:left w:val="nil"/>
              <w:bottom w:val="single" w:sz="4" w:space="0" w:color="auto"/>
              <w:right w:val="single" w:sz="4" w:space="0" w:color="auto"/>
            </w:tcBorders>
            <w:vAlign w:val="center"/>
            <w:hideMark/>
          </w:tcPr>
          <w:p w14:paraId="74B944DF"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Market_Price_per_Share</w:t>
            </w:r>
            <w:proofErr w:type="spellEnd"/>
            <w:r w:rsidRPr="006D174E">
              <w:rPr>
                <w:rFonts w:ascii="Times New Roman" w:eastAsia="Arial Unicode MS" w:hAnsi="Times New Roman" w:cs="Times New Roman"/>
                <w:color w:val="000000"/>
                <w:sz w:val="24"/>
                <w:szCs w:val="24"/>
              </w:rPr>
              <w:t xml:space="preserve">/EPS </w:t>
            </w:r>
            <w:r w:rsidRPr="006D174E">
              <w:rPr>
                <w:rFonts w:ascii="Times New Roman" w:eastAsia="Arial Unicode MS" w:hAnsi="Times New Roman" w:cs="Times New Roman"/>
                <w:i/>
                <w:iCs/>
                <w:color w:val="000000"/>
                <w:sz w:val="24"/>
                <w:szCs w:val="24"/>
              </w:rPr>
              <w:t>(assume £25)</w:t>
            </w:r>
          </w:p>
        </w:tc>
        <w:tc>
          <w:tcPr>
            <w:tcW w:w="693" w:type="pct"/>
            <w:tcBorders>
              <w:top w:val="nil"/>
              <w:left w:val="nil"/>
              <w:bottom w:val="single" w:sz="4" w:space="0" w:color="auto"/>
              <w:right w:val="single" w:sz="4" w:space="0" w:color="auto"/>
            </w:tcBorders>
            <w:vAlign w:val="center"/>
            <w:hideMark/>
          </w:tcPr>
          <w:p w14:paraId="029418B3"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=(25/2.78)=</w:t>
            </w:r>
            <w:r w:rsidRPr="006D174E">
              <w:rPr>
                <w:rFonts w:ascii="Times New Roman" w:eastAsia="Times New Roman" w:hAnsi="Times New Roman" w:cs="Times New Roman"/>
                <w:b/>
                <w:bCs/>
                <w:color w:val="000000"/>
                <w:sz w:val="24"/>
                <w:szCs w:val="24"/>
              </w:rPr>
              <w:t>9.0x</w:t>
            </w:r>
          </w:p>
        </w:tc>
        <w:tc>
          <w:tcPr>
            <w:tcW w:w="659" w:type="pct"/>
            <w:tcBorders>
              <w:top w:val="nil"/>
              <w:left w:val="nil"/>
              <w:bottom w:val="single" w:sz="4" w:space="0" w:color="auto"/>
              <w:right w:val="single" w:sz="4" w:space="0" w:color="auto"/>
            </w:tcBorders>
            <w:vAlign w:val="center"/>
            <w:hideMark/>
          </w:tcPr>
          <w:p w14:paraId="06843DE8"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=(25/0.39)=</w:t>
            </w:r>
            <w:r w:rsidRPr="006D174E">
              <w:rPr>
                <w:rFonts w:ascii="Times New Roman" w:eastAsia="Times New Roman" w:hAnsi="Times New Roman" w:cs="Times New Roman"/>
                <w:b/>
                <w:bCs/>
                <w:color w:val="000000"/>
                <w:sz w:val="24"/>
                <w:szCs w:val="24"/>
              </w:rPr>
              <w:t>64.1x</w:t>
            </w:r>
          </w:p>
        </w:tc>
        <w:tc>
          <w:tcPr>
            <w:tcW w:w="608" w:type="pct"/>
            <w:tcBorders>
              <w:top w:val="nil"/>
              <w:left w:val="nil"/>
              <w:bottom w:val="single" w:sz="4" w:space="0" w:color="auto"/>
              <w:right w:val="single" w:sz="4" w:space="0" w:color="auto"/>
            </w:tcBorders>
            <w:vAlign w:val="center"/>
            <w:hideMark/>
          </w:tcPr>
          <w:p w14:paraId="1A47AD93"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=(25/0.03)=</w:t>
            </w:r>
            <w:r w:rsidRPr="006D174E">
              <w:rPr>
                <w:rFonts w:ascii="Times New Roman" w:eastAsia="Times New Roman" w:hAnsi="Times New Roman" w:cs="Times New Roman"/>
                <w:b/>
                <w:bCs/>
                <w:color w:val="000000"/>
                <w:sz w:val="24"/>
                <w:szCs w:val="24"/>
              </w:rPr>
              <w:t>833x</w:t>
            </w:r>
          </w:p>
        </w:tc>
        <w:tc>
          <w:tcPr>
            <w:tcW w:w="553" w:type="pct"/>
            <w:tcBorders>
              <w:top w:val="nil"/>
              <w:left w:val="nil"/>
              <w:bottom w:val="single" w:sz="4" w:space="0" w:color="auto"/>
              <w:right w:val="single" w:sz="4" w:space="0" w:color="auto"/>
            </w:tcBorders>
            <w:vAlign w:val="center"/>
            <w:hideMark/>
          </w:tcPr>
          <w:p w14:paraId="4ADAA507"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#NAME?</w:t>
            </w:r>
          </w:p>
        </w:tc>
        <w:tc>
          <w:tcPr>
            <w:tcW w:w="553" w:type="pct"/>
            <w:tcBorders>
              <w:top w:val="nil"/>
              <w:left w:val="nil"/>
              <w:bottom w:val="single" w:sz="4" w:space="0" w:color="auto"/>
              <w:right w:val="single" w:sz="4" w:space="0" w:color="auto"/>
            </w:tcBorders>
            <w:vAlign w:val="center"/>
            <w:hideMark/>
          </w:tcPr>
          <w:p w14:paraId="40F9D6D2"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#NAME?</w:t>
            </w:r>
          </w:p>
        </w:tc>
        <w:tc>
          <w:tcPr>
            <w:tcW w:w="463" w:type="pct"/>
            <w:tcBorders>
              <w:top w:val="nil"/>
              <w:left w:val="nil"/>
              <w:bottom w:val="single" w:sz="4" w:space="0" w:color="auto"/>
              <w:right w:val="single" w:sz="4" w:space="0" w:color="auto"/>
            </w:tcBorders>
            <w:vAlign w:val="center"/>
            <w:hideMark/>
          </w:tcPr>
          <w:p w14:paraId="4BB30D35"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The negative P/E in 2023–2024 signals market loss confidence (Akash et al., 2024).</w:t>
            </w:r>
          </w:p>
        </w:tc>
      </w:tr>
      <w:tr w:rsidR="007D23FD" w:rsidRPr="006D174E" w14:paraId="01701607" w14:textId="77777777" w:rsidTr="007D23FD">
        <w:trPr>
          <w:trHeight w:val="3168"/>
        </w:trPr>
        <w:tc>
          <w:tcPr>
            <w:tcW w:w="315" w:type="pct"/>
            <w:tcBorders>
              <w:top w:val="nil"/>
              <w:left w:val="single" w:sz="4" w:space="0" w:color="auto"/>
              <w:bottom w:val="single" w:sz="4" w:space="0" w:color="auto"/>
              <w:right w:val="single" w:sz="4" w:space="0" w:color="auto"/>
            </w:tcBorders>
            <w:vAlign w:val="center"/>
            <w:hideMark/>
          </w:tcPr>
          <w:p w14:paraId="5939720C" w14:textId="77777777" w:rsidR="007D23FD" w:rsidRPr="006D174E" w:rsidRDefault="007D23FD"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Dividend Yield %</w:t>
            </w:r>
          </w:p>
        </w:tc>
        <w:tc>
          <w:tcPr>
            <w:tcW w:w="1155" w:type="pct"/>
            <w:tcBorders>
              <w:top w:val="nil"/>
              <w:left w:val="nil"/>
              <w:bottom w:val="single" w:sz="4" w:space="0" w:color="auto"/>
              <w:right w:val="single" w:sz="4" w:space="0" w:color="auto"/>
            </w:tcBorders>
            <w:vAlign w:val="center"/>
            <w:hideMark/>
          </w:tcPr>
          <w:p w14:paraId="0BD91C57" w14:textId="77777777" w:rsidR="007D23FD" w:rsidRPr="006D174E" w:rsidRDefault="007D23FD" w:rsidP="006D174E">
            <w:pPr>
              <w:spacing w:before="240" w:after="240" w:line="360" w:lineRule="auto"/>
              <w:jc w:val="both"/>
              <w:rPr>
                <w:rFonts w:ascii="Times New Roman" w:eastAsia="Arial Unicode MS" w:hAnsi="Times New Roman" w:cs="Times New Roman"/>
                <w:color w:val="000000"/>
                <w:sz w:val="24"/>
                <w:szCs w:val="24"/>
              </w:rPr>
            </w:pPr>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Dividend_per_Share</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Market_Price</w:t>
            </w:r>
            <w:proofErr w:type="spellEnd"/>
            <w:r w:rsidRPr="006D174E">
              <w:rPr>
                <w:rFonts w:ascii="Times New Roman" w:eastAsia="Arial Unicode MS" w:hAnsi="Times New Roman" w:cs="Times New Roman"/>
                <w:color w:val="000000"/>
                <w:sz w:val="24"/>
                <w:szCs w:val="24"/>
              </w:rPr>
              <w:t xml:space="preserve">)*100 </w:t>
            </w:r>
            <w:r w:rsidRPr="006D174E">
              <w:rPr>
                <w:rFonts w:ascii="Times New Roman" w:eastAsia="Arial Unicode MS" w:hAnsi="Times New Roman" w:cs="Times New Roman"/>
                <w:i/>
                <w:iCs/>
                <w:color w:val="000000"/>
                <w:sz w:val="24"/>
                <w:szCs w:val="24"/>
              </w:rPr>
              <w:t>(assume £0.5 dividend until 2021)</w:t>
            </w:r>
          </w:p>
        </w:tc>
        <w:tc>
          <w:tcPr>
            <w:tcW w:w="693" w:type="pct"/>
            <w:tcBorders>
              <w:top w:val="nil"/>
              <w:left w:val="nil"/>
              <w:bottom w:val="single" w:sz="4" w:space="0" w:color="auto"/>
              <w:right w:val="single" w:sz="4" w:space="0" w:color="auto"/>
            </w:tcBorders>
            <w:vAlign w:val="center"/>
            <w:hideMark/>
          </w:tcPr>
          <w:p w14:paraId="2320F140"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FALSE</w:t>
            </w:r>
          </w:p>
        </w:tc>
        <w:tc>
          <w:tcPr>
            <w:tcW w:w="659" w:type="pct"/>
            <w:tcBorders>
              <w:top w:val="nil"/>
              <w:left w:val="nil"/>
              <w:bottom w:val="single" w:sz="4" w:space="0" w:color="auto"/>
              <w:right w:val="single" w:sz="4" w:space="0" w:color="auto"/>
            </w:tcBorders>
            <w:vAlign w:val="center"/>
            <w:hideMark/>
          </w:tcPr>
          <w:p w14:paraId="41D3EE34"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FALSE</w:t>
            </w:r>
          </w:p>
        </w:tc>
        <w:tc>
          <w:tcPr>
            <w:tcW w:w="608" w:type="pct"/>
            <w:tcBorders>
              <w:top w:val="nil"/>
              <w:left w:val="nil"/>
              <w:bottom w:val="single" w:sz="4" w:space="0" w:color="auto"/>
              <w:right w:val="single" w:sz="4" w:space="0" w:color="auto"/>
            </w:tcBorders>
            <w:vAlign w:val="center"/>
            <w:hideMark/>
          </w:tcPr>
          <w:p w14:paraId="7A662571"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0</w:t>
            </w:r>
          </w:p>
        </w:tc>
        <w:tc>
          <w:tcPr>
            <w:tcW w:w="553" w:type="pct"/>
            <w:tcBorders>
              <w:top w:val="nil"/>
              <w:left w:val="nil"/>
              <w:bottom w:val="single" w:sz="4" w:space="0" w:color="auto"/>
              <w:right w:val="single" w:sz="4" w:space="0" w:color="auto"/>
            </w:tcBorders>
            <w:vAlign w:val="center"/>
            <w:hideMark/>
          </w:tcPr>
          <w:p w14:paraId="3BB7571D"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0</w:t>
            </w:r>
          </w:p>
        </w:tc>
        <w:tc>
          <w:tcPr>
            <w:tcW w:w="553" w:type="pct"/>
            <w:tcBorders>
              <w:top w:val="nil"/>
              <w:left w:val="nil"/>
              <w:bottom w:val="single" w:sz="4" w:space="0" w:color="auto"/>
              <w:right w:val="single" w:sz="4" w:space="0" w:color="auto"/>
            </w:tcBorders>
            <w:vAlign w:val="center"/>
            <w:hideMark/>
          </w:tcPr>
          <w:p w14:paraId="0395BF24"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0</w:t>
            </w:r>
          </w:p>
        </w:tc>
        <w:tc>
          <w:tcPr>
            <w:tcW w:w="463" w:type="pct"/>
            <w:tcBorders>
              <w:top w:val="nil"/>
              <w:left w:val="nil"/>
              <w:bottom w:val="single" w:sz="4" w:space="0" w:color="auto"/>
              <w:right w:val="single" w:sz="4" w:space="0" w:color="auto"/>
            </w:tcBorders>
            <w:vAlign w:val="center"/>
            <w:hideMark/>
          </w:tcPr>
          <w:p w14:paraId="22D2861F" w14:textId="77777777" w:rsidR="007D23FD" w:rsidRPr="006D174E" w:rsidRDefault="007D23FD"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Dividend payments ceased after 2021, reflecting liquidity strain (Fadillah et </w:t>
            </w:r>
            <w:r w:rsidRPr="006D174E">
              <w:rPr>
                <w:rFonts w:ascii="Times New Roman" w:eastAsia="Times New Roman" w:hAnsi="Times New Roman" w:cs="Times New Roman"/>
                <w:color w:val="000000"/>
                <w:sz w:val="24"/>
                <w:szCs w:val="24"/>
              </w:rPr>
              <w:lastRenderedPageBreak/>
              <w:t>al., 2024).</w:t>
            </w:r>
          </w:p>
        </w:tc>
      </w:tr>
    </w:tbl>
    <w:p w14:paraId="4409B7F3" w14:textId="77777777" w:rsidR="007D23FD" w:rsidRPr="006D174E" w:rsidRDefault="007D23FD" w:rsidP="006D174E">
      <w:pPr>
        <w:spacing w:before="240" w:after="240" w:line="360" w:lineRule="auto"/>
        <w:jc w:val="both"/>
        <w:rPr>
          <w:rFonts w:ascii="Times New Roman" w:hAnsi="Times New Roman" w:cs="Times New Roman"/>
          <w:sz w:val="24"/>
          <w:szCs w:val="24"/>
        </w:rPr>
      </w:pPr>
    </w:p>
    <w:p w14:paraId="43E2C1F7" w14:textId="77777777" w:rsidR="005806F7" w:rsidRDefault="005806F7">
      <w:pPr>
        <w:rPr>
          <w:rStyle w:val="Strong"/>
          <w:rFonts w:ascii="Times New Roman" w:eastAsia="Times New Roman" w:hAnsi="Times New Roman" w:cs="Times New Roman"/>
          <w:sz w:val="24"/>
          <w:szCs w:val="24"/>
        </w:rPr>
      </w:pPr>
      <w:bookmarkStart w:id="20" w:name="_Toc211680187"/>
      <w:r>
        <w:rPr>
          <w:rStyle w:val="Strong"/>
          <w:b w:val="0"/>
          <w:bCs w:val="0"/>
          <w:sz w:val="24"/>
          <w:szCs w:val="24"/>
        </w:rPr>
        <w:br w:type="page"/>
      </w:r>
    </w:p>
    <w:p w14:paraId="6D37FA1E" w14:textId="77777777" w:rsidR="007677B3" w:rsidRPr="006D174E" w:rsidRDefault="007677B3" w:rsidP="001F5A23">
      <w:pPr>
        <w:pStyle w:val="Heading3"/>
      </w:pPr>
      <w:bookmarkStart w:id="21" w:name="_Toc212192251"/>
      <w:r w:rsidRPr="006D174E">
        <w:rPr>
          <w:rStyle w:val="Strong"/>
          <w:szCs w:val="24"/>
        </w:rPr>
        <w:lastRenderedPageBreak/>
        <w:t>2.7 Corporate Failure Prediction (Altman Z-Score)</w:t>
      </w:r>
      <w:bookmarkEnd w:id="20"/>
      <w:bookmarkEnd w:id="21"/>
    </w:p>
    <w:p w14:paraId="1783457D" w14:textId="77777777" w:rsidR="007677B3" w:rsidRPr="006D174E" w:rsidRDefault="005806F7" w:rsidP="006D174E">
      <w:pPr>
        <w:pStyle w:val="NormalWeb"/>
        <w:spacing w:before="240" w:beforeAutospacing="0" w:after="240" w:afterAutospacing="0" w:line="360" w:lineRule="auto"/>
        <w:jc w:val="both"/>
      </w:pPr>
      <w:r>
        <w:t>This Z score model</w:t>
      </w:r>
      <w:r w:rsidR="007677B3" w:rsidRPr="006D174E">
        <w:t xml:space="preserve"> measure the likelihood of corporate failure by combining five key financial ratios</w:t>
      </w:r>
      <w:r>
        <w:t xml:space="preserve">. </w:t>
      </w:r>
      <w:proofErr w:type="gramStart"/>
      <w:r>
        <w:t>However,  Z</w:t>
      </w:r>
      <w:proofErr w:type="gramEnd"/>
      <w:r>
        <w:t xml:space="preserve"> score above 2.99 shows </w:t>
      </w:r>
      <w:r w:rsidR="007677B3" w:rsidRPr="006D174E">
        <w:t>safety, 1.8 – 2.99 is a grey zone, and below 1.8 signals high bankrup</w:t>
      </w:r>
      <w:r>
        <w:t>tcy risk (Akash et al., 2024). However, u</w:t>
      </w:r>
      <w:r w:rsidR="007677B3" w:rsidRPr="006D174E">
        <w:t xml:space="preserve">sing the company’s actual figures, the following calculations </w:t>
      </w:r>
      <w:proofErr w:type="spellStart"/>
      <w:r w:rsidR="007677B3" w:rsidRPr="006D174E">
        <w:t>summarise</w:t>
      </w:r>
      <w:proofErr w:type="spellEnd"/>
      <w:r w:rsidR="007677B3" w:rsidRPr="006D174E">
        <w:t xml:space="preserve"> General Electronics’ position.</w:t>
      </w:r>
    </w:p>
    <w:tbl>
      <w:tblPr>
        <w:tblStyle w:val="TableGrid"/>
        <w:tblW w:w="5000" w:type="pct"/>
        <w:tblLook w:val="04A0" w:firstRow="1" w:lastRow="0" w:firstColumn="1" w:lastColumn="0" w:noHBand="0" w:noVBand="1"/>
      </w:tblPr>
      <w:tblGrid>
        <w:gridCol w:w="612"/>
        <w:gridCol w:w="1581"/>
        <w:gridCol w:w="1264"/>
        <w:gridCol w:w="1264"/>
        <w:gridCol w:w="1264"/>
        <w:gridCol w:w="1264"/>
        <w:gridCol w:w="1264"/>
        <w:gridCol w:w="837"/>
      </w:tblGrid>
      <w:tr w:rsidR="007677B3" w:rsidRPr="006D174E" w14:paraId="53F78AD4" w14:textId="77777777" w:rsidTr="007677B3">
        <w:trPr>
          <w:trHeight w:val="576"/>
        </w:trPr>
        <w:tc>
          <w:tcPr>
            <w:tcW w:w="319" w:type="pct"/>
            <w:hideMark/>
          </w:tcPr>
          <w:p w14:paraId="220D982A"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Variable</w:t>
            </w:r>
          </w:p>
        </w:tc>
        <w:tc>
          <w:tcPr>
            <w:tcW w:w="834" w:type="pct"/>
            <w:hideMark/>
          </w:tcPr>
          <w:p w14:paraId="7E934F3B"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Formula (Excel format)</w:t>
            </w:r>
          </w:p>
        </w:tc>
        <w:tc>
          <w:tcPr>
            <w:tcW w:w="682" w:type="pct"/>
            <w:hideMark/>
          </w:tcPr>
          <w:p w14:paraId="745391AD"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2020</w:t>
            </w:r>
          </w:p>
        </w:tc>
        <w:tc>
          <w:tcPr>
            <w:tcW w:w="682" w:type="pct"/>
            <w:hideMark/>
          </w:tcPr>
          <w:p w14:paraId="450894CE"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2021</w:t>
            </w:r>
          </w:p>
        </w:tc>
        <w:tc>
          <w:tcPr>
            <w:tcW w:w="682" w:type="pct"/>
            <w:hideMark/>
          </w:tcPr>
          <w:p w14:paraId="75417F85"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2022</w:t>
            </w:r>
          </w:p>
        </w:tc>
        <w:tc>
          <w:tcPr>
            <w:tcW w:w="682" w:type="pct"/>
            <w:hideMark/>
          </w:tcPr>
          <w:p w14:paraId="6CC6059A"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2023</w:t>
            </w:r>
          </w:p>
        </w:tc>
        <w:tc>
          <w:tcPr>
            <w:tcW w:w="682" w:type="pct"/>
            <w:hideMark/>
          </w:tcPr>
          <w:p w14:paraId="03D1E18E"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2024</w:t>
            </w:r>
          </w:p>
        </w:tc>
        <w:tc>
          <w:tcPr>
            <w:tcW w:w="439" w:type="pct"/>
            <w:hideMark/>
          </w:tcPr>
          <w:p w14:paraId="25C6BAC3"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Interpretation</w:t>
            </w:r>
          </w:p>
        </w:tc>
      </w:tr>
      <w:tr w:rsidR="007677B3" w:rsidRPr="006D174E" w14:paraId="3A520993" w14:textId="77777777" w:rsidTr="007677B3">
        <w:trPr>
          <w:trHeight w:val="3168"/>
        </w:trPr>
        <w:tc>
          <w:tcPr>
            <w:tcW w:w="319" w:type="pct"/>
            <w:hideMark/>
          </w:tcPr>
          <w:p w14:paraId="5A95C580"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X₁ = Working Capital / Total Assets</w:t>
            </w:r>
          </w:p>
        </w:tc>
        <w:tc>
          <w:tcPr>
            <w:tcW w:w="834" w:type="pct"/>
            <w:hideMark/>
          </w:tcPr>
          <w:p w14:paraId="3EC69B36" w14:textId="77777777" w:rsidR="007677B3" w:rsidRPr="006D174E" w:rsidRDefault="007677B3" w:rsidP="006D174E">
            <w:pPr>
              <w:spacing w:before="240" w:after="240" w:line="360" w:lineRule="auto"/>
              <w:jc w:val="both"/>
              <w:rPr>
                <w:rFonts w:ascii="Times New Roman" w:eastAsia="Arial Unicode MS" w:hAnsi="Times New Roman" w:cs="Times New Roman"/>
                <w:color w:val="000000"/>
                <w:sz w:val="24"/>
                <w:szCs w:val="24"/>
              </w:rPr>
            </w:pPr>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Current_Assets</w:t>
            </w:r>
            <w:proofErr w:type="spellEnd"/>
            <w:r w:rsidRPr="006D174E">
              <w:rPr>
                <w:rFonts w:ascii="Times New Roman" w:eastAsia="Arial Unicode MS" w:hAnsi="Times New Roman" w:cs="Times New Roman"/>
                <w:color w:val="000000"/>
                <w:sz w:val="24"/>
                <w:szCs w:val="24"/>
              </w:rPr>
              <w:t xml:space="preserve"> – </w:t>
            </w:r>
            <w:proofErr w:type="spellStart"/>
            <w:r w:rsidRPr="006D174E">
              <w:rPr>
                <w:rFonts w:ascii="Times New Roman" w:eastAsia="Arial Unicode MS" w:hAnsi="Times New Roman" w:cs="Times New Roman"/>
                <w:color w:val="000000"/>
                <w:sz w:val="24"/>
                <w:szCs w:val="24"/>
              </w:rPr>
              <w:t>Current_Liabilities</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Total_Assets</w:t>
            </w:r>
            <w:proofErr w:type="spellEnd"/>
          </w:p>
        </w:tc>
        <w:tc>
          <w:tcPr>
            <w:tcW w:w="682" w:type="pct"/>
            <w:hideMark/>
          </w:tcPr>
          <w:p w14:paraId="643D4D0B"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=(326,843 – 179,510)/510,290 = </w:t>
            </w:r>
            <w:r w:rsidRPr="006D174E">
              <w:rPr>
                <w:rFonts w:ascii="Times New Roman" w:eastAsia="Times New Roman" w:hAnsi="Times New Roman" w:cs="Times New Roman"/>
                <w:b/>
                <w:bCs/>
                <w:color w:val="000000"/>
                <w:sz w:val="24"/>
                <w:szCs w:val="24"/>
              </w:rPr>
              <w:t>0.29</w:t>
            </w:r>
          </w:p>
        </w:tc>
        <w:tc>
          <w:tcPr>
            <w:tcW w:w="682" w:type="pct"/>
            <w:hideMark/>
          </w:tcPr>
          <w:p w14:paraId="1EC18474"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=(337,146 – 216,787)/510,348 = </w:t>
            </w:r>
            <w:r w:rsidRPr="006D174E">
              <w:rPr>
                <w:rFonts w:ascii="Times New Roman" w:eastAsia="Times New Roman" w:hAnsi="Times New Roman" w:cs="Times New Roman"/>
                <w:b/>
                <w:bCs/>
                <w:color w:val="000000"/>
                <w:sz w:val="24"/>
                <w:szCs w:val="24"/>
              </w:rPr>
              <w:t>0.24</w:t>
            </w:r>
          </w:p>
        </w:tc>
        <w:tc>
          <w:tcPr>
            <w:tcW w:w="682" w:type="pct"/>
            <w:hideMark/>
          </w:tcPr>
          <w:p w14:paraId="0103075F"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=(338,040 – 216,473)/504,163 = </w:t>
            </w:r>
            <w:r w:rsidRPr="006D174E">
              <w:rPr>
                <w:rFonts w:ascii="Times New Roman" w:eastAsia="Times New Roman" w:hAnsi="Times New Roman" w:cs="Times New Roman"/>
                <w:b/>
                <w:bCs/>
                <w:color w:val="000000"/>
                <w:sz w:val="24"/>
                <w:szCs w:val="24"/>
              </w:rPr>
              <w:t>0.24</w:t>
            </w:r>
          </w:p>
        </w:tc>
        <w:tc>
          <w:tcPr>
            <w:tcW w:w="682" w:type="pct"/>
            <w:hideMark/>
          </w:tcPr>
          <w:p w14:paraId="6C3E87F3"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=(258,851 – 161,148)/355,872 = </w:t>
            </w:r>
            <w:r w:rsidRPr="006D174E">
              <w:rPr>
                <w:rFonts w:ascii="Times New Roman" w:eastAsia="Times New Roman" w:hAnsi="Times New Roman" w:cs="Times New Roman"/>
                <w:b/>
                <w:bCs/>
                <w:color w:val="000000"/>
                <w:sz w:val="24"/>
                <w:szCs w:val="24"/>
              </w:rPr>
              <w:t>0.27</w:t>
            </w:r>
          </w:p>
        </w:tc>
        <w:tc>
          <w:tcPr>
            <w:tcW w:w="682" w:type="pct"/>
            <w:hideMark/>
          </w:tcPr>
          <w:p w14:paraId="35F25736"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 xml:space="preserve">=(242,494 – 158,291)/323,354 = </w:t>
            </w:r>
            <w:r w:rsidRPr="006D174E">
              <w:rPr>
                <w:rFonts w:ascii="Times New Roman" w:eastAsia="Times New Roman" w:hAnsi="Times New Roman" w:cs="Times New Roman"/>
                <w:b/>
                <w:bCs/>
                <w:color w:val="000000"/>
                <w:sz w:val="24"/>
                <w:szCs w:val="24"/>
              </w:rPr>
              <w:t>0.26</w:t>
            </w:r>
          </w:p>
        </w:tc>
        <w:tc>
          <w:tcPr>
            <w:tcW w:w="439" w:type="pct"/>
            <w:hideMark/>
          </w:tcPr>
          <w:p w14:paraId="2D088138"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Consistent decline in working-capital efficiency (Fadillah et al., 2024).</w:t>
            </w:r>
          </w:p>
        </w:tc>
      </w:tr>
      <w:tr w:rsidR="007677B3" w:rsidRPr="006D174E" w14:paraId="79034F36" w14:textId="77777777" w:rsidTr="007677B3">
        <w:trPr>
          <w:trHeight w:val="3168"/>
        </w:trPr>
        <w:tc>
          <w:tcPr>
            <w:tcW w:w="319" w:type="pct"/>
            <w:hideMark/>
          </w:tcPr>
          <w:p w14:paraId="78462A22"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lastRenderedPageBreak/>
              <w:t>X₂ = Retained Earnings / Total Assets</w:t>
            </w:r>
          </w:p>
        </w:tc>
        <w:tc>
          <w:tcPr>
            <w:tcW w:w="834" w:type="pct"/>
            <w:hideMark/>
          </w:tcPr>
          <w:p w14:paraId="36CB6379" w14:textId="77777777" w:rsidR="007677B3" w:rsidRPr="006D174E" w:rsidRDefault="007677B3"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Retained_Earnings</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Total_Assets</w:t>
            </w:r>
            <w:proofErr w:type="spellEnd"/>
          </w:p>
        </w:tc>
        <w:tc>
          <w:tcPr>
            <w:tcW w:w="682" w:type="pct"/>
            <w:hideMark/>
          </w:tcPr>
          <w:p w14:paraId="33B3DC05"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=(324,990/510,290)=</w:t>
            </w:r>
            <w:r w:rsidRPr="006D174E">
              <w:rPr>
                <w:rFonts w:ascii="Times New Roman" w:eastAsia="Times New Roman" w:hAnsi="Times New Roman" w:cs="Times New Roman"/>
                <w:b/>
                <w:bCs/>
                <w:color w:val="000000"/>
                <w:sz w:val="24"/>
                <w:szCs w:val="24"/>
              </w:rPr>
              <w:t>0.64</w:t>
            </w:r>
          </w:p>
        </w:tc>
        <w:tc>
          <w:tcPr>
            <w:tcW w:w="682" w:type="pct"/>
            <w:hideMark/>
          </w:tcPr>
          <w:p w14:paraId="160C7519"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=(330,291/510,348)=</w:t>
            </w:r>
            <w:r w:rsidRPr="006D174E">
              <w:rPr>
                <w:rFonts w:ascii="Times New Roman" w:eastAsia="Times New Roman" w:hAnsi="Times New Roman" w:cs="Times New Roman"/>
                <w:b/>
                <w:bCs/>
                <w:color w:val="000000"/>
                <w:sz w:val="24"/>
                <w:szCs w:val="24"/>
              </w:rPr>
              <w:t>0.65</w:t>
            </w:r>
          </w:p>
        </w:tc>
        <w:tc>
          <w:tcPr>
            <w:tcW w:w="682" w:type="pct"/>
            <w:hideMark/>
          </w:tcPr>
          <w:p w14:paraId="76F50C48"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=(330,698/504,163)=</w:t>
            </w:r>
            <w:r w:rsidRPr="006D174E">
              <w:rPr>
                <w:rFonts w:ascii="Times New Roman" w:eastAsia="Times New Roman" w:hAnsi="Times New Roman" w:cs="Times New Roman"/>
                <w:b/>
                <w:bCs/>
                <w:color w:val="000000"/>
                <w:sz w:val="24"/>
                <w:szCs w:val="24"/>
              </w:rPr>
              <w:t>0.66</w:t>
            </w:r>
          </w:p>
        </w:tc>
        <w:tc>
          <w:tcPr>
            <w:tcW w:w="682" w:type="pct"/>
            <w:hideMark/>
          </w:tcPr>
          <w:p w14:paraId="31E51BF2"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=(232,460/355,872)=</w:t>
            </w:r>
            <w:r w:rsidRPr="006D174E">
              <w:rPr>
                <w:rFonts w:ascii="Times New Roman" w:eastAsia="Times New Roman" w:hAnsi="Times New Roman" w:cs="Times New Roman"/>
                <w:b/>
                <w:bCs/>
                <w:color w:val="000000"/>
                <w:sz w:val="24"/>
                <w:szCs w:val="24"/>
              </w:rPr>
              <w:t>0.65</w:t>
            </w:r>
          </w:p>
        </w:tc>
        <w:tc>
          <w:tcPr>
            <w:tcW w:w="682" w:type="pct"/>
            <w:hideMark/>
          </w:tcPr>
          <w:p w14:paraId="3D6DDB12"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=(208,431/323,354)=</w:t>
            </w:r>
            <w:r w:rsidRPr="006D174E">
              <w:rPr>
                <w:rFonts w:ascii="Times New Roman" w:eastAsia="Times New Roman" w:hAnsi="Times New Roman" w:cs="Times New Roman"/>
                <w:b/>
                <w:bCs/>
                <w:color w:val="000000"/>
                <w:sz w:val="24"/>
                <w:szCs w:val="24"/>
              </w:rPr>
              <w:t>0.64</w:t>
            </w:r>
          </w:p>
        </w:tc>
        <w:tc>
          <w:tcPr>
            <w:tcW w:w="439" w:type="pct"/>
            <w:hideMark/>
          </w:tcPr>
          <w:p w14:paraId="3A7A184F"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Retained earnings strong early but eroded by losses after 2022 (Ramdhan et al., 2025).</w:t>
            </w:r>
          </w:p>
        </w:tc>
      </w:tr>
      <w:tr w:rsidR="007677B3" w:rsidRPr="006D174E" w14:paraId="22E0DD2F" w14:textId="77777777" w:rsidTr="007677B3">
        <w:trPr>
          <w:trHeight w:val="1152"/>
        </w:trPr>
        <w:tc>
          <w:tcPr>
            <w:tcW w:w="319" w:type="pct"/>
            <w:hideMark/>
          </w:tcPr>
          <w:p w14:paraId="0F02B385" w14:textId="77777777" w:rsidR="007677B3" w:rsidRPr="006D174E" w:rsidRDefault="007677B3" w:rsidP="006D174E">
            <w:pPr>
              <w:spacing w:before="240" w:after="240" w:line="360" w:lineRule="auto"/>
              <w:jc w:val="both"/>
              <w:rPr>
                <w:rFonts w:ascii="Times New Roman" w:eastAsia="Times New Roman" w:hAnsi="Times New Roman" w:cs="Times New Roman"/>
                <w:b/>
                <w:bCs/>
                <w:color w:val="000000"/>
                <w:sz w:val="24"/>
                <w:szCs w:val="24"/>
              </w:rPr>
            </w:pPr>
            <w:r w:rsidRPr="006D174E">
              <w:rPr>
                <w:rFonts w:ascii="Times New Roman" w:eastAsia="Times New Roman" w:hAnsi="Times New Roman" w:cs="Times New Roman"/>
                <w:b/>
                <w:bCs/>
                <w:color w:val="000000"/>
                <w:sz w:val="24"/>
                <w:szCs w:val="24"/>
              </w:rPr>
              <w:t>X₃ = EBIT / Total Assets</w:t>
            </w:r>
          </w:p>
        </w:tc>
        <w:tc>
          <w:tcPr>
            <w:tcW w:w="834" w:type="pct"/>
            <w:hideMark/>
          </w:tcPr>
          <w:p w14:paraId="75ADB42E" w14:textId="77777777" w:rsidR="007677B3" w:rsidRPr="006D174E" w:rsidRDefault="007677B3" w:rsidP="006D174E">
            <w:pPr>
              <w:spacing w:before="240" w:after="240" w:line="360" w:lineRule="auto"/>
              <w:jc w:val="both"/>
              <w:rPr>
                <w:rFonts w:ascii="Times New Roman" w:eastAsia="Arial Unicode MS" w:hAnsi="Times New Roman" w:cs="Times New Roman"/>
                <w:color w:val="000000"/>
                <w:sz w:val="24"/>
                <w:szCs w:val="24"/>
              </w:rPr>
            </w:pPr>
            <w:proofErr w:type="spellStart"/>
            <w:r w:rsidRPr="006D174E">
              <w:rPr>
                <w:rFonts w:ascii="Times New Roman" w:eastAsia="Arial Unicode MS" w:hAnsi="Times New Roman" w:cs="Times New Roman"/>
                <w:color w:val="000000"/>
                <w:sz w:val="24"/>
                <w:szCs w:val="24"/>
              </w:rPr>
              <w:t>Operating_Income</w:t>
            </w:r>
            <w:proofErr w:type="spellEnd"/>
            <w:r w:rsidRPr="006D174E">
              <w:rPr>
                <w:rFonts w:ascii="Times New Roman" w:eastAsia="Arial Unicode MS" w:hAnsi="Times New Roman" w:cs="Times New Roman"/>
                <w:color w:val="000000"/>
                <w:sz w:val="24"/>
                <w:szCs w:val="24"/>
              </w:rPr>
              <w:t>/</w:t>
            </w:r>
            <w:proofErr w:type="spellStart"/>
            <w:r w:rsidRPr="006D174E">
              <w:rPr>
                <w:rFonts w:ascii="Times New Roman" w:eastAsia="Arial Unicode MS" w:hAnsi="Times New Roman" w:cs="Times New Roman"/>
                <w:color w:val="000000"/>
                <w:sz w:val="24"/>
                <w:szCs w:val="24"/>
              </w:rPr>
              <w:t>Total_Assets</w:t>
            </w:r>
            <w:proofErr w:type="spellEnd"/>
          </w:p>
        </w:tc>
        <w:tc>
          <w:tcPr>
            <w:tcW w:w="682" w:type="pct"/>
            <w:hideMark/>
          </w:tcPr>
          <w:p w14:paraId="23E631C3"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=(37,267/510,290)=</w:t>
            </w:r>
            <w:r w:rsidRPr="006D174E">
              <w:rPr>
                <w:rFonts w:ascii="Times New Roman" w:eastAsia="Times New Roman" w:hAnsi="Times New Roman" w:cs="Times New Roman"/>
                <w:b/>
                <w:bCs/>
                <w:color w:val="000000"/>
                <w:sz w:val="24"/>
                <w:szCs w:val="24"/>
              </w:rPr>
              <w:t>0.07</w:t>
            </w:r>
          </w:p>
        </w:tc>
        <w:tc>
          <w:tcPr>
            <w:tcW w:w="682" w:type="pct"/>
            <w:hideMark/>
          </w:tcPr>
          <w:p w14:paraId="510FD2CA"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=(23,253/510,348)=</w:t>
            </w:r>
            <w:r w:rsidRPr="006D174E">
              <w:rPr>
                <w:rFonts w:ascii="Times New Roman" w:eastAsia="Times New Roman" w:hAnsi="Times New Roman" w:cs="Times New Roman"/>
                <w:b/>
                <w:bCs/>
                <w:color w:val="000000"/>
                <w:sz w:val="24"/>
                <w:szCs w:val="24"/>
              </w:rPr>
              <w:t>0.05</w:t>
            </w:r>
          </w:p>
        </w:tc>
        <w:tc>
          <w:tcPr>
            <w:tcW w:w="682" w:type="pct"/>
            <w:hideMark/>
          </w:tcPr>
          <w:p w14:paraId="67167E20"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=(14,548/504,163)=</w:t>
            </w:r>
            <w:r w:rsidRPr="006D174E">
              <w:rPr>
                <w:rFonts w:ascii="Times New Roman" w:eastAsia="Times New Roman" w:hAnsi="Times New Roman" w:cs="Times New Roman"/>
                <w:b/>
                <w:bCs/>
                <w:color w:val="000000"/>
                <w:sz w:val="24"/>
                <w:szCs w:val="24"/>
              </w:rPr>
              <w:t>0.03</w:t>
            </w:r>
          </w:p>
        </w:tc>
        <w:tc>
          <w:tcPr>
            <w:tcW w:w="682" w:type="pct"/>
            <w:hideMark/>
          </w:tcPr>
          <w:p w14:paraId="64F17D4C"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=(–85,301/355,872)=</w:t>
            </w:r>
            <w:r w:rsidRPr="006D174E">
              <w:rPr>
                <w:rFonts w:ascii="Times New Roman" w:eastAsia="Times New Roman" w:hAnsi="Times New Roman" w:cs="Times New Roman"/>
                <w:b/>
                <w:bCs/>
                <w:color w:val="000000"/>
                <w:sz w:val="24"/>
                <w:szCs w:val="24"/>
              </w:rPr>
              <w:t>–0.24</w:t>
            </w:r>
          </w:p>
        </w:tc>
        <w:tc>
          <w:tcPr>
            <w:tcW w:w="682" w:type="pct"/>
            <w:hideMark/>
          </w:tcPr>
          <w:p w14:paraId="1F60A720"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=(–15,297/323,354)=</w:t>
            </w:r>
            <w:r w:rsidRPr="006D174E">
              <w:rPr>
                <w:rFonts w:ascii="Times New Roman" w:eastAsia="Times New Roman" w:hAnsi="Times New Roman" w:cs="Times New Roman"/>
                <w:b/>
                <w:bCs/>
                <w:color w:val="000000"/>
                <w:sz w:val="24"/>
                <w:szCs w:val="24"/>
              </w:rPr>
              <w:t>–0.05</w:t>
            </w:r>
          </w:p>
        </w:tc>
        <w:tc>
          <w:tcPr>
            <w:tcW w:w="439" w:type="pct"/>
            <w:hideMark/>
          </w:tcPr>
          <w:p w14:paraId="59F83A49" w14:textId="77777777" w:rsidR="007677B3" w:rsidRPr="006D174E" w:rsidRDefault="007677B3" w:rsidP="006D174E">
            <w:pPr>
              <w:spacing w:before="240" w:after="240" w:line="360" w:lineRule="auto"/>
              <w:jc w:val="both"/>
              <w:rPr>
                <w:rFonts w:ascii="Times New Roman" w:eastAsia="Times New Roman" w:hAnsi="Times New Roman" w:cs="Times New Roman"/>
                <w:color w:val="000000"/>
                <w:sz w:val="24"/>
                <w:szCs w:val="24"/>
              </w:rPr>
            </w:pPr>
            <w:r w:rsidRPr="006D174E">
              <w:rPr>
                <w:rFonts w:ascii="Times New Roman" w:eastAsia="Times New Roman" w:hAnsi="Times New Roman" w:cs="Times New Roman"/>
                <w:color w:val="000000"/>
                <w:sz w:val="24"/>
                <w:szCs w:val="24"/>
              </w:rPr>
              <w:t>Operating losses cause rapid de</w:t>
            </w:r>
          </w:p>
        </w:tc>
      </w:tr>
    </w:tbl>
    <w:p w14:paraId="279225AC" w14:textId="77777777" w:rsidR="007677B3" w:rsidRPr="006D174E" w:rsidRDefault="007677B3" w:rsidP="001F5A23">
      <w:bookmarkStart w:id="22" w:name="_Toc211680188"/>
      <w:r w:rsidRPr="006D174E">
        <w:rPr>
          <w:rStyle w:val="Strong"/>
          <w:rFonts w:ascii="Times New Roman" w:hAnsi="Times New Roman" w:cs="Times New Roman"/>
          <w:b w:val="0"/>
          <w:bCs w:val="0"/>
          <w:szCs w:val="24"/>
        </w:rPr>
        <w:t>Interpretation</w:t>
      </w:r>
      <w:bookmarkEnd w:id="22"/>
    </w:p>
    <w:p w14:paraId="2CBC09E8" w14:textId="77777777" w:rsidR="007677B3" w:rsidRPr="006D174E" w:rsidRDefault="005806F7" w:rsidP="006D174E">
      <w:pPr>
        <w:pStyle w:val="NormalWeb"/>
        <w:spacing w:before="240" w:beforeAutospacing="0" w:after="240" w:afterAutospacing="0" w:line="360" w:lineRule="auto"/>
        <w:jc w:val="both"/>
      </w:pPr>
      <w:r>
        <w:t xml:space="preserve">The above data table shows that </w:t>
      </w:r>
      <w:r w:rsidR="007677B3" w:rsidRPr="006D174E">
        <w:t xml:space="preserve">General Electronics </w:t>
      </w:r>
      <w:r>
        <w:t xml:space="preserve">has </w:t>
      </w:r>
      <w:r w:rsidR="007677B3" w:rsidRPr="006D174E">
        <w:t>moved from a safe position (</w:t>
      </w:r>
      <w:r w:rsidR="007677B3" w:rsidRPr="006D174E">
        <w:rPr>
          <w:rStyle w:val="Strong"/>
        </w:rPr>
        <w:t>Z = 3.53 in 2020</w:t>
      </w:r>
      <w:r w:rsidR="007677B3" w:rsidRPr="006D174E">
        <w:t xml:space="preserve">) into the </w:t>
      </w:r>
      <w:r w:rsidR="007677B3" w:rsidRPr="006D174E">
        <w:rPr>
          <w:rStyle w:val="Strong"/>
        </w:rPr>
        <w:t xml:space="preserve">distress </w:t>
      </w:r>
      <w:r>
        <w:rPr>
          <w:rStyle w:val="Strong"/>
        </w:rPr>
        <w:t xml:space="preserve">level. However, </w:t>
      </w:r>
      <w:r>
        <w:t>d</w:t>
      </w:r>
      <w:r w:rsidR="007677B3" w:rsidRPr="006D174E">
        <w:t>eclining earnings, rising debt, and negative operating income heavily reduced the EBIT-to-assets</w:t>
      </w:r>
      <w:r>
        <w:t xml:space="preserve"> ratio (Mastilo et al., 2024). Nonetheless, r</w:t>
      </w:r>
      <w:r w:rsidR="007677B3" w:rsidRPr="006D174E">
        <w:t>etained-</w:t>
      </w:r>
      <w:r w:rsidR="007677B3" w:rsidRPr="006D174E">
        <w:lastRenderedPageBreak/>
        <w:t xml:space="preserve">earnings strength helped delay failure signs, but continued losses have eroded that cushion (Ramdhan et al., 2025). </w:t>
      </w:r>
      <w:r>
        <w:t>Therefore, the</w:t>
      </w:r>
      <w:r w:rsidR="007677B3" w:rsidRPr="006D174E">
        <w:t xml:space="preserve"> Altman’s model, the company faces a high probability of default if corrective restructuring is not implemented promptly.</w:t>
      </w:r>
    </w:p>
    <w:p w14:paraId="44D4DBA1" w14:textId="77777777" w:rsidR="007677B3" w:rsidRPr="006D174E" w:rsidRDefault="005806F7" w:rsidP="006D174E">
      <w:pPr>
        <w:pStyle w:val="NormalWeb"/>
        <w:spacing w:before="240" w:beforeAutospacing="0" w:after="240" w:afterAutospacing="0" w:line="360" w:lineRule="auto"/>
        <w:jc w:val="both"/>
      </w:pPr>
      <w:r>
        <w:t xml:space="preserve">It is considered that to recover from these </w:t>
      </w:r>
      <w:proofErr w:type="spellStart"/>
      <w:r>
        <w:t>siutaiton</w:t>
      </w:r>
      <w:proofErr w:type="spellEnd"/>
      <w:r>
        <w:t xml:space="preserve">, company needs to </w:t>
      </w:r>
      <w:r w:rsidR="007677B3" w:rsidRPr="006D174E">
        <w:t>improve cost efficiency, strengthen liquidity through tighter working-capital control, and</w:t>
      </w:r>
      <w:r>
        <w:t xml:space="preserve"> restructure its capital base. However, w</w:t>
      </w:r>
      <w:r w:rsidR="007677B3" w:rsidRPr="006D174E">
        <w:t>ithout these changes, the firm risks insolvency and further erosion of shareholder value (Fadillah et al., 2024; Zouaghi, 2024).</w:t>
      </w:r>
    </w:p>
    <w:p w14:paraId="34FA7ADE" w14:textId="77777777" w:rsidR="007677B3" w:rsidRPr="006D174E" w:rsidRDefault="007677B3" w:rsidP="006D174E">
      <w:pPr>
        <w:pStyle w:val="Heading2"/>
        <w:spacing w:before="240" w:beforeAutospacing="0" w:after="240" w:afterAutospacing="0" w:line="360" w:lineRule="auto"/>
        <w:jc w:val="both"/>
        <w:rPr>
          <w:sz w:val="24"/>
          <w:szCs w:val="24"/>
        </w:rPr>
      </w:pPr>
      <w:bookmarkStart w:id="23" w:name="_Toc211680190"/>
      <w:bookmarkStart w:id="24" w:name="_Toc212192252"/>
      <w:proofErr w:type="gramStart"/>
      <w:r w:rsidRPr="006D174E">
        <w:rPr>
          <w:rStyle w:val="Strong"/>
          <w:b/>
          <w:bCs/>
          <w:sz w:val="24"/>
          <w:szCs w:val="24"/>
        </w:rPr>
        <w:t>3.</w:t>
      </w:r>
      <w:r w:rsidR="001F5A23">
        <w:rPr>
          <w:rStyle w:val="Strong"/>
          <w:b/>
          <w:bCs/>
          <w:sz w:val="24"/>
          <w:szCs w:val="24"/>
        </w:rPr>
        <w:t xml:space="preserve">0 </w:t>
      </w:r>
      <w:r w:rsidRPr="006D174E">
        <w:rPr>
          <w:rStyle w:val="Strong"/>
          <w:b/>
          <w:bCs/>
          <w:sz w:val="24"/>
          <w:szCs w:val="24"/>
        </w:rPr>
        <w:t xml:space="preserve"> Working</w:t>
      </w:r>
      <w:proofErr w:type="gramEnd"/>
      <w:r w:rsidRPr="006D174E">
        <w:rPr>
          <w:rStyle w:val="Strong"/>
          <w:b/>
          <w:bCs/>
          <w:sz w:val="24"/>
          <w:szCs w:val="24"/>
        </w:rPr>
        <w:t xml:space="preserve"> Capital Management Analysis</w:t>
      </w:r>
      <w:bookmarkEnd w:id="23"/>
      <w:bookmarkEnd w:id="24"/>
    </w:p>
    <w:p w14:paraId="08486627" w14:textId="77777777" w:rsidR="007677B3" w:rsidRPr="006D174E" w:rsidRDefault="005806F7" w:rsidP="006D174E">
      <w:pPr>
        <w:pStyle w:val="NormalWeb"/>
        <w:spacing w:before="240" w:beforeAutospacing="0" w:after="240" w:afterAutospacing="0" w:line="360" w:lineRule="auto"/>
        <w:jc w:val="both"/>
      </w:pPr>
      <w:r>
        <w:t>The working capital</w:t>
      </w:r>
      <w:r w:rsidR="007677B3" w:rsidRPr="006D174E">
        <w:t xml:space="preserve"> determines how effectively a company balances its short-term assets and liabilities to susta</w:t>
      </w:r>
      <w:r>
        <w:t xml:space="preserve">in liquidity and profitability in business. However, </w:t>
      </w:r>
      <w:r w:rsidR="007677B3" w:rsidRPr="006D174E">
        <w:t>For General Electronics, the analysis of financial data (see Appendix 1) reveals a consistent decline in liquidity and operational efficiency between 2020 and 2024</w:t>
      </w:r>
      <w:r>
        <w:t xml:space="preserve"> in the given year </w:t>
      </w:r>
      <w:r w:rsidR="007677B3" w:rsidRPr="006D174E">
        <w:t>(Ramdhan et al., 2025).</w:t>
      </w:r>
    </w:p>
    <w:p w14:paraId="5C838EED"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25" w:name="_Toc211680191"/>
      <w:bookmarkStart w:id="26" w:name="_Toc212192253"/>
      <w:r w:rsidRPr="006D174E">
        <w:rPr>
          <w:rStyle w:val="Strong"/>
          <w:rFonts w:ascii="Times New Roman" w:hAnsi="Times New Roman" w:cs="Times New Roman"/>
          <w:b w:val="0"/>
          <w:bCs w:val="0"/>
          <w:szCs w:val="24"/>
        </w:rPr>
        <w:t>Liquidity and Cash Flow Trends</w:t>
      </w:r>
      <w:bookmarkEnd w:id="25"/>
      <w:bookmarkEnd w:id="26"/>
    </w:p>
    <w:p w14:paraId="3E0F131B" w14:textId="77777777" w:rsidR="007677B3" w:rsidRDefault="005806F7" w:rsidP="006D174E">
      <w:pPr>
        <w:pStyle w:val="NormalWeb"/>
        <w:spacing w:before="240" w:beforeAutospacing="0" w:after="240" w:afterAutospacing="0" w:line="360" w:lineRule="auto"/>
        <w:jc w:val="both"/>
      </w:pPr>
      <w:r>
        <w:t xml:space="preserve">In the given table under appendix section reveals that </w:t>
      </w:r>
      <w:r w:rsidR="007677B3" w:rsidRPr="006D174E">
        <w:t xml:space="preserve">the current and quick ratios </w:t>
      </w:r>
      <w:r>
        <w:t xml:space="preserve">both have </w:t>
      </w:r>
      <w:r w:rsidR="007677B3" w:rsidRPr="006D174E">
        <w:t>declined steadily over the five-year period, with the quick ratio d</w:t>
      </w:r>
      <w:r>
        <w:t>ropping below 1.0 after 2022. However, th</w:t>
      </w:r>
      <w:r w:rsidR="007677B3" w:rsidRPr="006D174E">
        <w:t xml:space="preserve">is trend means that the company no longer holds enough liquid assets—cash and receivables—to meet its short-term obligations (Fadillah et al., 2024). </w:t>
      </w:r>
    </w:p>
    <w:p w14:paraId="635CDA0F" w14:textId="77777777" w:rsidR="007928C8" w:rsidRDefault="007928C8" w:rsidP="007928C8">
      <w:pPr>
        <w:pStyle w:val="NormalWeb"/>
      </w:pPr>
      <w:r>
        <w:rPr>
          <w:noProof/>
        </w:rPr>
        <w:lastRenderedPageBreak/>
        <w:drawing>
          <wp:inline distT="0" distB="0" distL="0" distR="0" wp14:anchorId="3CC39C92" wp14:editId="375A6378">
            <wp:extent cx="4694748" cy="3129213"/>
            <wp:effectExtent l="0" t="0" r="0" b="0"/>
            <wp:docPr id="5" name="Picture 5" descr="C:\Users\admin\Downloads\Working_Capital_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C:\Users\admin\Downloads\Working_Capital_Analysi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291" cy="3132908"/>
                    </a:xfrm>
                    <a:prstGeom prst="rect">
                      <a:avLst/>
                    </a:prstGeom>
                    <a:noFill/>
                    <a:ln>
                      <a:noFill/>
                    </a:ln>
                  </pic:spPr>
                </pic:pic>
              </a:graphicData>
            </a:graphic>
          </wp:inline>
        </w:drawing>
      </w:r>
    </w:p>
    <w:p w14:paraId="7C2656D3" w14:textId="77777777" w:rsidR="007928C8" w:rsidRPr="006D174E" w:rsidRDefault="007928C8" w:rsidP="006D174E">
      <w:pPr>
        <w:pStyle w:val="NormalWeb"/>
        <w:spacing w:before="240" w:beforeAutospacing="0" w:after="240" w:afterAutospacing="0" w:line="360" w:lineRule="auto"/>
        <w:jc w:val="both"/>
      </w:pPr>
    </w:p>
    <w:p w14:paraId="65DDD3A3" w14:textId="77777777" w:rsidR="007677B3" w:rsidRPr="006D174E" w:rsidRDefault="005806F7" w:rsidP="006D174E">
      <w:pPr>
        <w:pStyle w:val="NormalWeb"/>
        <w:spacing w:before="240" w:beforeAutospacing="0" w:after="240" w:afterAutospacing="0" w:line="360" w:lineRule="auto"/>
        <w:jc w:val="both"/>
      </w:pPr>
      <w:r>
        <w:t xml:space="preserve">In context with the working capital, </w:t>
      </w:r>
      <w:r>
        <w:rPr>
          <w:rStyle w:val="Strong"/>
        </w:rPr>
        <w:t>cash conversion cycle</w:t>
      </w:r>
      <w:r w:rsidR="007677B3" w:rsidRPr="006D174E">
        <w:t xml:space="preserve"> also presented in Appendix 1, lengthened from approximately 140 days</w:t>
      </w:r>
      <w:r>
        <w:t xml:space="preserve"> in 2020 to 178 days in 2024. However, the </w:t>
      </w:r>
      <w:r w:rsidR="007677B3" w:rsidRPr="006D174E">
        <w:t>longer CCC implies that cash is tied up for</w:t>
      </w:r>
      <w:r>
        <w:t xml:space="preserve"> a longer time in inventories. This also results to </w:t>
      </w:r>
      <w:r w:rsidR="007677B3" w:rsidRPr="006D174E">
        <w:t>receivables</w:t>
      </w:r>
      <w:r>
        <w:t xml:space="preserve"> increases in terms of credit sales Saputra &amp; </w:t>
      </w:r>
      <w:proofErr w:type="spellStart"/>
      <w:r>
        <w:t>Nirawati</w:t>
      </w:r>
      <w:proofErr w:type="spellEnd"/>
      <w:r>
        <w:t>, 2025). Therefore, company’s</w:t>
      </w:r>
      <w:r w:rsidR="007677B3" w:rsidRPr="006D174E">
        <w:t xml:space="preserve"> rising CCC reflects inefficiencies in receivable co</w:t>
      </w:r>
      <w:r>
        <w:t>llection and inventory turnover and</w:t>
      </w:r>
      <w:r w:rsidR="007677B3" w:rsidRPr="006D174E">
        <w:t xml:space="preserve"> both of which are c</w:t>
      </w:r>
      <w:r>
        <w:t xml:space="preserve">ritical to sustaining cash flow undertaken. </w:t>
      </w:r>
    </w:p>
    <w:p w14:paraId="0A0CFF24"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27" w:name="_Toc211680192"/>
      <w:bookmarkStart w:id="28" w:name="_Toc212192254"/>
      <w:r w:rsidRPr="006D174E">
        <w:rPr>
          <w:rStyle w:val="Strong"/>
          <w:rFonts w:ascii="Times New Roman" w:hAnsi="Times New Roman" w:cs="Times New Roman"/>
          <w:b w:val="0"/>
          <w:bCs w:val="0"/>
          <w:szCs w:val="24"/>
        </w:rPr>
        <w:t>Receivable Management</w:t>
      </w:r>
      <w:bookmarkEnd w:id="27"/>
      <w:bookmarkEnd w:id="28"/>
    </w:p>
    <w:p w14:paraId="2FA4C346" w14:textId="77777777" w:rsidR="007677B3" w:rsidRPr="006D174E" w:rsidRDefault="005806F7" w:rsidP="006D174E">
      <w:pPr>
        <w:pStyle w:val="NormalWeb"/>
        <w:spacing w:before="240" w:beforeAutospacing="0" w:after="240" w:afterAutospacing="0" w:line="360" w:lineRule="auto"/>
        <w:jc w:val="both"/>
      </w:pPr>
      <w:r>
        <w:t xml:space="preserve">The receivable of company are </w:t>
      </w:r>
      <w:r w:rsidR="007677B3" w:rsidRPr="006D174E">
        <w:t>high despite declining sales, suggesting that customers are taking l</w:t>
      </w:r>
      <w:r>
        <w:t xml:space="preserve">onger to pay (see Appendix 1). However, it </w:t>
      </w:r>
      <w:r w:rsidRPr="006D174E">
        <w:t>indica</w:t>
      </w:r>
      <w:r>
        <w:t xml:space="preserve">tes a relaxation of credit terms resulted to </w:t>
      </w:r>
      <w:r w:rsidR="007677B3" w:rsidRPr="006D174E">
        <w:t xml:space="preserve">maintain market share during the downturn. </w:t>
      </w:r>
      <w:r>
        <w:t xml:space="preserve">Therefore, </w:t>
      </w:r>
      <w:r w:rsidR="007677B3" w:rsidRPr="006D174E">
        <w:t>while flexible credit ma</w:t>
      </w:r>
      <w:r>
        <w:t>y support customer retention, it resulted to</w:t>
      </w:r>
      <w:r w:rsidR="007677B3" w:rsidRPr="006D174E">
        <w:t xml:space="preserve"> exposes the company to liquidity stress and potential bad-debt losses. </w:t>
      </w:r>
      <w:r>
        <w:t xml:space="preserve">As per the views of </w:t>
      </w:r>
      <w:r w:rsidR="007677B3" w:rsidRPr="006D174E">
        <w:t xml:space="preserve">Liu et al. (2024) </w:t>
      </w:r>
      <w:r>
        <w:t xml:space="preserve">, it is depicted that </w:t>
      </w:r>
      <w:r w:rsidR="007677B3" w:rsidRPr="006D174E">
        <w:t>maintaining tight credit discipline without harming customer relationships is es</w:t>
      </w:r>
      <w:r>
        <w:t>sential for cash-flow stability undertaken</w:t>
      </w:r>
      <w:r w:rsidR="007677B3" w:rsidRPr="006D174E">
        <w:t xml:space="preserve"> (Ramdhan et al., 2025).</w:t>
      </w:r>
    </w:p>
    <w:p w14:paraId="5EE41AF0"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29" w:name="_Toc211680193"/>
      <w:bookmarkStart w:id="30" w:name="_Toc212192255"/>
      <w:r w:rsidRPr="006D174E">
        <w:rPr>
          <w:rStyle w:val="Strong"/>
          <w:rFonts w:ascii="Times New Roman" w:hAnsi="Times New Roman" w:cs="Times New Roman"/>
          <w:b w:val="0"/>
          <w:bCs w:val="0"/>
          <w:szCs w:val="24"/>
        </w:rPr>
        <w:lastRenderedPageBreak/>
        <w:t>Inventory Control</w:t>
      </w:r>
      <w:bookmarkEnd w:id="29"/>
      <w:bookmarkEnd w:id="30"/>
    </w:p>
    <w:p w14:paraId="6FEA401A" w14:textId="77777777" w:rsidR="007677B3" w:rsidRPr="006D174E" w:rsidRDefault="005806F7" w:rsidP="006D174E">
      <w:pPr>
        <w:pStyle w:val="NormalWeb"/>
        <w:spacing w:before="240" w:beforeAutospacing="0" w:after="240" w:afterAutospacing="0" w:line="360" w:lineRule="auto"/>
        <w:jc w:val="both"/>
      </w:pPr>
      <w:r>
        <w:t xml:space="preserve">As per the data </w:t>
      </w:r>
      <w:proofErr w:type="spellStart"/>
      <w:r>
        <w:t>showin</w:t>
      </w:r>
      <w:proofErr w:type="spellEnd"/>
      <w:r>
        <w:t xml:space="preserve"> in the appendix -1, c</w:t>
      </w:r>
      <w:r w:rsidR="007677B3" w:rsidRPr="006D174E">
        <w:t xml:space="preserve">ompany’s inventory value has declined each </w:t>
      </w:r>
      <w:r>
        <w:t xml:space="preserve">and however, the </w:t>
      </w:r>
      <w:r w:rsidR="007677B3" w:rsidRPr="006D174E">
        <w:t>production costs ha</w:t>
      </w:r>
      <w:r>
        <w:t xml:space="preserve">ve not fallen proportionately. Therefore, it </w:t>
      </w:r>
      <w:proofErr w:type="spellStart"/>
      <w:r>
        <w:t>resultd</w:t>
      </w:r>
      <w:proofErr w:type="spellEnd"/>
      <w:r>
        <w:t xml:space="preserve"> to or showing </w:t>
      </w:r>
      <w:r w:rsidR="007677B3" w:rsidRPr="006D174E">
        <w:t xml:space="preserve">inefficiencies in production planning, purchasing, and demand forecasting. </w:t>
      </w:r>
      <w:r>
        <w:t xml:space="preserve">This shows that there is slowdown in business and </w:t>
      </w:r>
      <w:r w:rsidR="007677B3" w:rsidRPr="006D174E">
        <w:t xml:space="preserve">stock stays longer </w:t>
      </w:r>
      <w:r>
        <w:t>in storage before being sold. This resulted to po</w:t>
      </w:r>
      <w:r w:rsidR="007677B3" w:rsidRPr="006D174E">
        <w:t>or turnover ties up cash and increases warehousing expenses.</w:t>
      </w:r>
    </w:p>
    <w:p w14:paraId="08AA1A43"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31" w:name="_Toc211680194"/>
      <w:bookmarkStart w:id="32" w:name="_Toc212192256"/>
      <w:r w:rsidRPr="006D174E">
        <w:rPr>
          <w:rStyle w:val="Strong"/>
          <w:rFonts w:ascii="Times New Roman" w:hAnsi="Times New Roman" w:cs="Times New Roman"/>
          <w:b w:val="0"/>
          <w:bCs w:val="0"/>
          <w:szCs w:val="24"/>
        </w:rPr>
        <w:t>Payables and Supplier Relationships</w:t>
      </w:r>
      <w:bookmarkEnd w:id="31"/>
      <w:bookmarkEnd w:id="32"/>
    </w:p>
    <w:p w14:paraId="00BE36B7" w14:textId="77777777" w:rsidR="007677B3" w:rsidRPr="006D174E" w:rsidRDefault="005806F7" w:rsidP="006D174E">
      <w:pPr>
        <w:pStyle w:val="NormalWeb"/>
        <w:spacing w:before="240" w:beforeAutospacing="0" w:after="240" w:afterAutospacing="0" w:line="360" w:lineRule="auto"/>
        <w:jc w:val="both"/>
      </w:pPr>
      <w:r>
        <w:t xml:space="preserve">As per the data </w:t>
      </w:r>
      <w:proofErr w:type="spellStart"/>
      <w:r>
        <w:t>showin</w:t>
      </w:r>
      <w:proofErr w:type="spellEnd"/>
      <w:r>
        <w:t xml:space="preserve"> for </w:t>
      </w:r>
      <w:r w:rsidR="007677B3" w:rsidRPr="006D174E">
        <w:t>Acco</w:t>
      </w:r>
      <w:r>
        <w:t>unts-payable data in Appendix 1, it shows</w:t>
      </w:r>
      <w:r w:rsidR="007677B3" w:rsidRPr="006D174E">
        <w:t xml:space="preserve"> that the company has stretched</w:t>
      </w:r>
      <w:r>
        <w:t xml:space="preserve"> supplier payments over time. However,</w:t>
      </w:r>
      <w:r w:rsidR="007677B3" w:rsidRPr="006D174E">
        <w:t xml:space="preserve"> this approach temporarily supports cash retention, excessive delays risk damaging supplier t</w:t>
      </w:r>
      <w:r>
        <w:t>rust and increasing input costs but also increased the business costing too. As suggested by</w:t>
      </w:r>
      <w:r w:rsidR="007677B3" w:rsidRPr="006D174E">
        <w:t xml:space="preserve"> Sudacevschi and Stefan Duicu (2024)</w:t>
      </w:r>
      <w:r>
        <w:t>, it</w:t>
      </w:r>
      <w:r w:rsidR="007677B3" w:rsidRPr="006D174E">
        <w:t xml:space="preserve"> cauti</w:t>
      </w:r>
      <w:r>
        <w:t xml:space="preserve">on that extended payables and showing it is </w:t>
      </w:r>
      <w:r w:rsidR="007677B3" w:rsidRPr="006D174E">
        <w:t>used as a financing substitute, often trigger rep</w:t>
      </w:r>
      <w:r>
        <w:t xml:space="preserve">utational and operational risks in business. </w:t>
      </w:r>
    </w:p>
    <w:p w14:paraId="1C45AAB4" w14:textId="77777777" w:rsidR="007677B3" w:rsidRPr="006D174E" w:rsidRDefault="005806F7" w:rsidP="006D174E">
      <w:pPr>
        <w:pStyle w:val="NormalWeb"/>
        <w:spacing w:before="240" w:beforeAutospacing="0" w:after="240" w:afterAutospacing="0" w:line="360" w:lineRule="auto"/>
        <w:jc w:val="both"/>
      </w:pPr>
      <w:r>
        <w:t xml:space="preserve">In context with the same, company should </w:t>
      </w:r>
      <w:r w:rsidR="007677B3" w:rsidRPr="006D174E">
        <w:t>renegotiate supplier terms to strike a balance between cash preservati</w:t>
      </w:r>
      <w:r>
        <w:t>on and relationship stability. However, e</w:t>
      </w:r>
      <w:r w:rsidR="007677B3" w:rsidRPr="006D174E">
        <w:t xml:space="preserve">stablishing framework agreements with priority suppliers and adopting dynamic-discounting programs could help maintain goodwill while </w:t>
      </w:r>
      <w:proofErr w:type="spellStart"/>
      <w:r w:rsidR="007677B3" w:rsidRPr="006D174E">
        <w:t>optimising</w:t>
      </w:r>
      <w:proofErr w:type="spellEnd"/>
      <w:r w:rsidR="007677B3" w:rsidRPr="006D174E">
        <w:t xml:space="preserve"> payment timing </w:t>
      </w:r>
      <w:r>
        <w:t xml:space="preserve">undertaken </w:t>
      </w:r>
      <w:r w:rsidR="007677B3" w:rsidRPr="006D174E">
        <w:t>(Zouaghi, 2024).</w:t>
      </w:r>
    </w:p>
    <w:p w14:paraId="37B272EA"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33" w:name="_Toc211680195"/>
      <w:bookmarkStart w:id="34" w:name="_Toc212192257"/>
      <w:r w:rsidRPr="006D174E">
        <w:rPr>
          <w:rStyle w:val="Strong"/>
          <w:rFonts w:ascii="Times New Roman" w:hAnsi="Times New Roman" w:cs="Times New Roman"/>
          <w:b w:val="0"/>
          <w:bCs w:val="0"/>
          <w:szCs w:val="24"/>
        </w:rPr>
        <w:t>Operating Cash Flow</w:t>
      </w:r>
      <w:bookmarkEnd w:id="33"/>
      <w:bookmarkEnd w:id="34"/>
    </w:p>
    <w:p w14:paraId="53EF50D6" w14:textId="77777777" w:rsidR="007677B3" w:rsidRPr="006D174E" w:rsidRDefault="005806F7" w:rsidP="006D174E">
      <w:pPr>
        <w:pStyle w:val="NormalWeb"/>
        <w:spacing w:before="240" w:beforeAutospacing="0" w:after="240" w:afterAutospacing="0" w:line="360" w:lineRule="auto"/>
        <w:jc w:val="both"/>
      </w:pPr>
      <w:r>
        <w:t xml:space="preserve">There is downfall in cash flow shown in the appendix 1. There is </w:t>
      </w:r>
      <w:r w:rsidR="007677B3" w:rsidRPr="006D174E">
        <w:t>the firm is struggling to convert prof</w:t>
      </w:r>
      <w:r>
        <w:t xml:space="preserve">its into liquidity. During </w:t>
      </w:r>
      <w:r w:rsidR="007677B3" w:rsidRPr="006D174E">
        <w:t>020, cash generation comfortably covered short-term commitments, but by 2024</w:t>
      </w:r>
      <w:r>
        <w:t>, inflows had fallen sharply. Therefore,</w:t>
      </w:r>
      <w:r w:rsidR="007677B3" w:rsidRPr="006D174E">
        <w:t xml:space="preserve"> volatility means that even small disruptions in revenue can trigger funding s</w:t>
      </w:r>
      <w:r>
        <w:t xml:space="preserve">hortages (Akash et al., 2024). However, </w:t>
      </w:r>
      <w:r w:rsidR="008C2808">
        <w:t xml:space="preserve">it is evaluated that </w:t>
      </w:r>
      <w:r>
        <w:t>w</w:t>
      </w:r>
      <w:r w:rsidR="007677B3" w:rsidRPr="006D174E">
        <w:t xml:space="preserve">eak operational cash flow also limits the firm’s ability to invest in R&amp;D or service existing debt, </w:t>
      </w:r>
      <w:r w:rsidR="008C2808">
        <w:t xml:space="preserve">and resulted to </w:t>
      </w:r>
      <w:r>
        <w:t xml:space="preserve">its financial distress undertaken in business. </w:t>
      </w:r>
    </w:p>
    <w:p w14:paraId="1EFD1163" w14:textId="77777777" w:rsidR="007677B3" w:rsidRPr="006D174E" w:rsidRDefault="008C2808" w:rsidP="006D174E">
      <w:pPr>
        <w:pStyle w:val="NormalWeb"/>
        <w:spacing w:before="240" w:beforeAutospacing="0" w:after="240" w:afterAutospacing="0" w:line="360" w:lineRule="auto"/>
        <w:jc w:val="both"/>
      </w:pPr>
      <w:r>
        <w:t xml:space="preserve">In addition, further analysis that the </w:t>
      </w:r>
      <w:proofErr w:type="spellStart"/>
      <w:r w:rsidR="007677B3" w:rsidRPr="006D174E">
        <w:t>mproving</w:t>
      </w:r>
      <w:proofErr w:type="spellEnd"/>
      <w:r w:rsidR="007677B3" w:rsidRPr="006D174E">
        <w:t xml:space="preserve"> cash-flow predictability should be a top management priority. </w:t>
      </w:r>
      <w:r>
        <w:t xml:space="preserve"> In the same case, there is need to manage </w:t>
      </w:r>
      <w:r w:rsidR="007677B3" w:rsidRPr="006D174E">
        <w:t xml:space="preserve">Monthly cash-budgeting, rolling </w:t>
      </w:r>
      <w:r w:rsidR="007677B3" w:rsidRPr="006D174E">
        <w:lastRenderedPageBreak/>
        <w:t>f</w:t>
      </w:r>
      <w:r>
        <w:t xml:space="preserve">orecasts, and variance analysis. These will helps in </w:t>
      </w:r>
      <w:r w:rsidR="007677B3" w:rsidRPr="006D174E">
        <w:t>identify gaps before they escalate.</w:t>
      </w:r>
      <w:r>
        <w:t xml:space="preserve"> As suggested by</w:t>
      </w:r>
      <w:r w:rsidR="007677B3" w:rsidRPr="006D174E">
        <w:t xml:space="preserve"> Mastilo et al. (2024) </w:t>
      </w:r>
      <w:proofErr w:type="spellStart"/>
      <w:r w:rsidR="007677B3" w:rsidRPr="006D174E">
        <w:t>emphasise</w:t>
      </w:r>
      <w:proofErr w:type="spellEnd"/>
      <w:r w:rsidR="007677B3" w:rsidRPr="006D174E">
        <w:t xml:space="preserve"> that proactive liquidity monitoring often distinguishes resilient firms from those that slip into insolvency.</w:t>
      </w:r>
    </w:p>
    <w:p w14:paraId="6D90CF2A"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35" w:name="_Toc211680196"/>
      <w:bookmarkStart w:id="36" w:name="_Toc212192258"/>
      <w:r w:rsidRPr="006D174E">
        <w:rPr>
          <w:rStyle w:val="Strong"/>
          <w:rFonts w:ascii="Times New Roman" w:hAnsi="Times New Roman" w:cs="Times New Roman"/>
          <w:b w:val="0"/>
          <w:bCs w:val="0"/>
          <w:szCs w:val="24"/>
        </w:rPr>
        <w:t>Strategic Reforms for Efficiency</w:t>
      </w:r>
      <w:bookmarkEnd w:id="35"/>
      <w:bookmarkEnd w:id="36"/>
    </w:p>
    <w:p w14:paraId="6768740B" w14:textId="77777777" w:rsidR="007677B3" w:rsidRPr="006D174E" w:rsidRDefault="008C2808" w:rsidP="006D174E">
      <w:pPr>
        <w:pStyle w:val="NormalWeb"/>
        <w:spacing w:before="240" w:beforeAutospacing="0" w:after="240" w:afterAutospacing="0" w:line="360" w:lineRule="auto"/>
        <w:jc w:val="both"/>
      </w:pPr>
      <w:r>
        <w:t xml:space="preserve">To manage these issues, company needs </w:t>
      </w:r>
      <w:proofErr w:type="gramStart"/>
      <w:r>
        <w:t>to  do</w:t>
      </w:r>
      <w:proofErr w:type="gramEnd"/>
      <w:r>
        <w:t xml:space="preserve"> the following things. </w:t>
      </w:r>
    </w:p>
    <w:p w14:paraId="2D38B884" w14:textId="77777777" w:rsidR="007677B3" w:rsidRPr="006D174E" w:rsidRDefault="007677B3" w:rsidP="006D174E">
      <w:pPr>
        <w:pStyle w:val="NormalWeb"/>
        <w:numPr>
          <w:ilvl w:val="0"/>
          <w:numId w:val="1"/>
        </w:numPr>
        <w:spacing w:before="240" w:beforeAutospacing="0" w:after="240" w:afterAutospacing="0" w:line="360" w:lineRule="auto"/>
        <w:ind w:left="0"/>
        <w:jc w:val="both"/>
      </w:pPr>
      <w:r w:rsidRPr="006D174E">
        <w:rPr>
          <w:rStyle w:val="Strong"/>
        </w:rPr>
        <w:t>Receivables Reform:</w:t>
      </w:r>
      <w:r w:rsidR="008C2808">
        <w:t xml:space="preserve"> there is need to manage or in</w:t>
      </w:r>
      <w:r w:rsidRPr="006D174E">
        <w:t>troduce electronic invoicing, automate collection cycles, and implement real-time credit scoring</w:t>
      </w:r>
      <w:r w:rsidR="008C2808">
        <w:t xml:space="preserve"> in its operational process. there is also need to set up </w:t>
      </w:r>
      <w:r w:rsidRPr="006D174E">
        <w:t>Early-payment incentives</w:t>
      </w:r>
      <w:r w:rsidR="008C2808">
        <w:t xml:space="preserve"> which could results </w:t>
      </w:r>
      <w:proofErr w:type="gramStart"/>
      <w:r w:rsidR="008C2808">
        <w:t xml:space="preserve">to </w:t>
      </w:r>
      <w:r w:rsidRPr="006D174E">
        <w:t xml:space="preserve"> improve</w:t>
      </w:r>
      <w:proofErr w:type="gramEnd"/>
      <w:r w:rsidRPr="006D174E">
        <w:t xml:space="preserve"> cash conversion without harming profitability (Ramdhan et al., 2025).</w:t>
      </w:r>
    </w:p>
    <w:p w14:paraId="740B76B8" w14:textId="77777777" w:rsidR="007677B3" w:rsidRPr="006D174E" w:rsidRDefault="007677B3" w:rsidP="006D174E">
      <w:pPr>
        <w:pStyle w:val="NormalWeb"/>
        <w:numPr>
          <w:ilvl w:val="0"/>
          <w:numId w:val="1"/>
        </w:numPr>
        <w:spacing w:before="240" w:beforeAutospacing="0" w:after="240" w:afterAutospacing="0" w:line="360" w:lineRule="auto"/>
        <w:ind w:left="0"/>
        <w:jc w:val="both"/>
      </w:pPr>
      <w:r w:rsidRPr="006D174E">
        <w:rPr>
          <w:rStyle w:val="Strong"/>
        </w:rPr>
        <w:t xml:space="preserve">Inventory </w:t>
      </w:r>
      <w:proofErr w:type="spellStart"/>
      <w:r w:rsidRPr="006D174E">
        <w:rPr>
          <w:rStyle w:val="Strong"/>
        </w:rPr>
        <w:t>Optimisation</w:t>
      </w:r>
      <w:proofErr w:type="spellEnd"/>
      <w:r w:rsidRPr="006D174E">
        <w:rPr>
          <w:rStyle w:val="Strong"/>
        </w:rPr>
        <w:t>:</w:t>
      </w:r>
      <w:r w:rsidRPr="006D174E">
        <w:t xml:space="preserve"> </w:t>
      </w:r>
      <w:r w:rsidR="008C2808">
        <w:t xml:space="preserve">set up Sales pattern and align the work with </w:t>
      </w:r>
      <w:proofErr w:type="gramStart"/>
      <w:r w:rsidR="008C2808">
        <w:t xml:space="preserve">AI </w:t>
      </w:r>
      <w:r w:rsidRPr="006D174E">
        <w:t xml:space="preserve"> (</w:t>
      </w:r>
      <w:proofErr w:type="gramEnd"/>
      <w:r w:rsidRPr="006D174E">
        <w:t>Fadillah et al., 2024).</w:t>
      </w:r>
    </w:p>
    <w:p w14:paraId="76D657B8" w14:textId="77777777" w:rsidR="007677B3" w:rsidRPr="006D174E" w:rsidRDefault="007677B3" w:rsidP="006D174E">
      <w:pPr>
        <w:pStyle w:val="NormalWeb"/>
        <w:numPr>
          <w:ilvl w:val="0"/>
          <w:numId w:val="1"/>
        </w:numPr>
        <w:spacing w:before="240" w:beforeAutospacing="0" w:after="240" w:afterAutospacing="0" w:line="360" w:lineRule="auto"/>
        <w:ind w:left="0"/>
        <w:jc w:val="both"/>
      </w:pPr>
      <w:r w:rsidRPr="006D174E">
        <w:rPr>
          <w:rStyle w:val="Strong"/>
        </w:rPr>
        <w:t>Supplier Collaboration:</w:t>
      </w:r>
      <w:r w:rsidRPr="006D174E">
        <w:t xml:space="preserve"> </w:t>
      </w:r>
      <w:r w:rsidR="008C2808">
        <w:t xml:space="preserve">set up credit terms to reduce the credit </w:t>
      </w:r>
      <w:proofErr w:type="gramStart"/>
      <w:r w:rsidR="008C2808">
        <w:t xml:space="preserve">sales </w:t>
      </w:r>
      <w:r w:rsidRPr="006D174E">
        <w:t xml:space="preserve"> (</w:t>
      </w:r>
      <w:proofErr w:type="gramEnd"/>
      <w:r w:rsidRPr="006D174E">
        <w:t>Zouaghi, 2024).</w:t>
      </w:r>
    </w:p>
    <w:p w14:paraId="17F016D2" w14:textId="77777777" w:rsidR="007677B3" w:rsidRPr="006D174E" w:rsidRDefault="007677B3" w:rsidP="006D174E">
      <w:pPr>
        <w:pStyle w:val="NormalWeb"/>
        <w:numPr>
          <w:ilvl w:val="0"/>
          <w:numId w:val="1"/>
        </w:numPr>
        <w:spacing w:before="240" w:beforeAutospacing="0" w:after="240" w:afterAutospacing="0" w:line="360" w:lineRule="auto"/>
        <w:ind w:left="0"/>
        <w:jc w:val="both"/>
      </w:pPr>
      <w:r w:rsidRPr="006D174E">
        <w:rPr>
          <w:rStyle w:val="Strong"/>
        </w:rPr>
        <w:t>Cash Governance:</w:t>
      </w:r>
      <w:r w:rsidRPr="006D174E">
        <w:t xml:space="preserve"> </w:t>
      </w:r>
      <w:r w:rsidR="008C2808">
        <w:t xml:space="preserve">set up testing program and reduce the cash outflow by controlling </w:t>
      </w:r>
      <w:proofErr w:type="gramStart"/>
      <w:r w:rsidR="008C2808">
        <w:t xml:space="preserve">expenses </w:t>
      </w:r>
      <w:r w:rsidRPr="006D174E">
        <w:t xml:space="preserve"> (</w:t>
      </w:r>
      <w:proofErr w:type="gramEnd"/>
      <w:r w:rsidRPr="006D174E">
        <w:t>Mastilo et al., 2024).</w:t>
      </w:r>
    </w:p>
    <w:p w14:paraId="70A83C32"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37" w:name="_Toc211680197"/>
      <w:bookmarkStart w:id="38" w:name="_Toc212192259"/>
      <w:r w:rsidRPr="006D174E">
        <w:rPr>
          <w:rStyle w:val="Strong"/>
          <w:rFonts w:ascii="Times New Roman" w:hAnsi="Times New Roman" w:cs="Times New Roman"/>
          <w:b w:val="0"/>
          <w:bCs w:val="0"/>
          <w:szCs w:val="24"/>
        </w:rPr>
        <w:t>Financing and Short-Term Liquidity</w:t>
      </w:r>
      <w:bookmarkEnd w:id="37"/>
      <w:bookmarkEnd w:id="38"/>
    </w:p>
    <w:p w14:paraId="011A3611" w14:textId="77777777" w:rsidR="007677B3" w:rsidRPr="006D174E" w:rsidRDefault="008C2808" w:rsidP="006D174E">
      <w:pPr>
        <w:pStyle w:val="NormalWeb"/>
        <w:spacing w:before="240" w:beforeAutospacing="0" w:after="240" w:afterAutospacing="0" w:line="360" w:lineRule="auto"/>
        <w:jc w:val="both"/>
      </w:pPr>
      <w:r>
        <w:t xml:space="preserve">As shown in the data, </w:t>
      </w:r>
      <w:r w:rsidR="007677B3" w:rsidRPr="006D174E">
        <w:t>Appendix 1 also indicates that the firm’s working-capita</w:t>
      </w:r>
      <w:r>
        <w:t xml:space="preserve">l turnover remained moderate and resulted to showing </w:t>
      </w:r>
      <w:r w:rsidR="007677B3" w:rsidRPr="006D174E">
        <w:t>assets are not being converted into revenue efficiently</w:t>
      </w:r>
      <w:r>
        <w:t xml:space="preserve"> in the </w:t>
      </w:r>
      <w:proofErr w:type="spellStart"/>
      <w:r>
        <w:t>operatonal</w:t>
      </w:r>
      <w:proofErr w:type="spellEnd"/>
      <w:r>
        <w:t xml:space="preserve"> process. therefore, to</w:t>
      </w:r>
      <w:r w:rsidR="007677B3" w:rsidRPr="006D174E">
        <w:t xml:space="preserve"> manage liquidity gaps during restructuring, </w:t>
      </w:r>
      <w:r>
        <w:t xml:space="preserve">there is need to set up </w:t>
      </w:r>
      <w:r w:rsidR="007677B3" w:rsidRPr="006D174E">
        <w:t xml:space="preserve">temporarily use short-term financing instruments such as invoice factoring or revolving credit facilities. </w:t>
      </w:r>
    </w:p>
    <w:p w14:paraId="6598CCDE" w14:textId="77777777" w:rsidR="008C2808" w:rsidRDefault="008C2808">
      <w:pPr>
        <w:rPr>
          <w:rStyle w:val="Strong"/>
          <w:rFonts w:ascii="Times New Roman" w:eastAsia="Times New Roman" w:hAnsi="Times New Roman" w:cs="Times New Roman"/>
          <w:sz w:val="24"/>
          <w:szCs w:val="24"/>
        </w:rPr>
      </w:pPr>
      <w:bookmarkStart w:id="39" w:name="_Toc211680200"/>
      <w:r>
        <w:rPr>
          <w:rStyle w:val="Strong"/>
          <w:b w:val="0"/>
          <w:bCs w:val="0"/>
          <w:sz w:val="24"/>
          <w:szCs w:val="24"/>
        </w:rPr>
        <w:br w:type="page"/>
      </w:r>
    </w:p>
    <w:p w14:paraId="31F83E50" w14:textId="77777777" w:rsidR="007677B3" w:rsidRPr="006D174E" w:rsidRDefault="007677B3" w:rsidP="006D174E">
      <w:pPr>
        <w:pStyle w:val="Heading2"/>
        <w:spacing w:before="240" w:beforeAutospacing="0" w:after="240" w:afterAutospacing="0" w:line="360" w:lineRule="auto"/>
        <w:jc w:val="both"/>
        <w:rPr>
          <w:sz w:val="24"/>
          <w:szCs w:val="24"/>
        </w:rPr>
      </w:pPr>
      <w:bookmarkStart w:id="40" w:name="_Toc212192260"/>
      <w:r w:rsidRPr="006D174E">
        <w:rPr>
          <w:rStyle w:val="Strong"/>
          <w:b/>
          <w:bCs/>
          <w:sz w:val="24"/>
          <w:szCs w:val="24"/>
        </w:rPr>
        <w:lastRenderedPageBreak/>
        <w:t>4. Strategic Financial Restructuring Plan</w:t>
      </w:r>
      <w:bookmarkEnd w:id="39"/>
      <w:bookmarkEnd w:id="40"/>
    </w:p>
    <w:p w14:paraId="1B7B43F4" w14:textId="77777777" w:rsidR="007677B3" w:rsidRPr="006D174E" w:rsidRDefault="008C2808" w:rsidP="007928C8">
      <w:pPr>
        <w:pStyle w:val="NormalWeb"/>
        <w:spacing w:before="240" w:beforeAutospacing="0" w:after="240" w:afterAutospacing="0" w:line="360" w:lineRule="auto"/>
        <w:jc w:val="both"/>
      </w:pPr>
      <w:r>
        <w:t xml:space="preserve">In context with financial restructuring there is need to set </w:t>
      </w:r>
      <w:proofErr w:type="gramStart"/>
      <w:r>
        <w:t xml:space="preserve">up </w:t>
      </w:r>
      <w:r w:rsidR="007677B3" w:rsidRPr="006D174E">
        <w:t xml:space="preserve"> deliberate</w:t>
      </w:r>
      <w:proofErr w:type="gramEnd"/>
      <w:r w:rsidR="007677B3" w:rsidRPr="006D174E">
        <w:t xml:space="preserve"> and systematic effort to </w:t>
      </w:r>
      <w:proofErr w:type="spellStart"/>
      <w:r>
        <w:t>stabilise</w:t>
      </w:r>
      <w:proofErr w:type="spellEnd"/>
      <w:r>
        <w:t xml:space="preserve"> a company’s finances. It helps in reducing </w:t>
      </w:r>
      <w:r w:rsidR="007677B3" w:rsidRPr="006D174E">
        <w:t xml:space="preserve">risk exposure, and </w:t>
      </w:r>
      <w:r>
        <w:t xml:space="preserve">restore long-term viability. In context for the company </w:t>
      </w:r>
      <w:r w:rsidR="007677B3" w:rsidRPr="006D174E">
        <w:t>General E</w:t>
      </w:r>
      <w:r>
        <w:t xml:space="preserve">lectronics, it is evaluated that company is under financial stress showing </w:t>
      </w:r>
      <w:r w:rsidR="007677B3" w:rsidRPr="006D174E">
        <w:t>declining revenues, negative p</w:t>
      </w:r>
      <w:r>
        <w:t xml:space="preserve">rofitability, and rising debt. </w:t>
      </w:r>
    </w:p>
    <w:p w14:paraId="62EAA6A7"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41" w:name="_Toc211680201"/>
      <w:bookmarkStart w:id="42" w:name="_Toc212192261"/>
      <w:r w:rsidRPr="006D174E">
        <w:rPr>
          <w:rStyle w:val="Strong"/>
          <w:rFonts w:ascii="Times New Roman" w:hAnsi="Times New Roman" w:cs="Times New Roman"/>
          <w:b w:val="0"/>
          <w:bCs w:val="0"/>
          <w:szCs w:val="24"/>
        </w:rPr>
        <w:t>4.1 Purpose and Objectives of Restructuring</w:t>
      </w:r>
      <w:bookmarkEnd w:id="41"/>
      <w:bookmarkEnd w:id="42"/>
    </w:p>
    <w:p w14:paraId="5F084BA7" w14:textId="77777777" w:rsidR="007677B3" w:rsidRPr="006D174E" w:rsidRDefault="007677B3" w:rsidP="006D174E">
      <w:pPr>
        <w:pStyle w:val="NormalWeb"/>
        <w:spacing w:before="240" w:beforeAutospacing="0" w:after="240" w:afterAutospacing="0" w:line="360" w:lineRule="auto"/>
        <w:jc w:val="both"/>
      </w:pPr>
      <w:r w:rsidRPr="006D174E">
        <w:t xml:space="preserve">The </w:t>
      </w:r>
      <w:r w:rsidR="008C2808">
        <w:t xml:space="preserve">objective of </w:t>
      </w:r>
      <w:r w:rsidRPr="006D174E">
        <w:t>financial restructur</w:t>
      </w:r>
      <w:r w:rsidR="008C2808">
        <w:t xml:space="preserve">ing plan is to restore solvency and resulted </w:t>
      </w:r>
      <w:proofErr w:type="gramStart"/>
      <w:r w:rsidR="008C2808">
        <w:t>to  enhance</w:t>
      </w:r>
      <w:proofErr w:type="gramEnd"/>
      <w:r w:rsidR="008C2808">
        <w:t xml:space="preserve"> profitability. It also shows the</w:t>
      </w:r>
      <w:r w:rsidRPr="006D174E">
        <w:t xml:space="preserve"> rebuild shareholder value through improved capit</w:t>
      </w:r>
      <w:r w:rsidR="008C2808">
        <w:t xml:space="preserve">al structure and cost control. However, General Electronic </w:t>
      </w:r>
      <w:proofErr w:type="gramStart"/>
      <w:r w:rsidR="008C2808">
        <w:t xml:space="preserve">should </w:t>
      </w:r>
      <w:r w:rsidRPr="006D174E">
        <w:t xml:space="preserve"> shift</w:t>
      </w:r>
      <w:proofErr w:type="gramEnd"/>
      <w:r w:rsidRPr="006D174E">
        <w:t xml:space="preserve"> its focus from debt-driven growth to self-financed sustainability. The key objectives include:</w:t>
      </w:r>
    </w:p>
    <w:p w14:paraId="5C4B3097" w14:textId="77777777" w:rsidR="007677B3" w:rsidRPr="006D174E" w:rsidRDefault="007677B3" w:rsidP="008C2808">
      <w:pPr>
        <w:pStyle w:val="NormalWeb"/>
        <w:numPr>
          <w:ilvl w:val="0"/>
          <w:numId w:val="4"/>
        </w:numPr>
        <w:spacing w:before="240" w:beforeAutospacing="0" w:after="240" w:afterAutospacing="0" w:line="360" w:lineRule="auto"/>
        <w:jc w:val="both"/>
      </w:pPr>
      <w:r w:rsidRPr="006D174E">
        <w:rPr>
          <w:rStyle w:val="Strong"/>
        </w:rPr>
        <w:t>Reducing the debt-to-equity ratio</w:t>
      </w:r>
      <w:r w:rsidRPr="006D174E">
        <w:t xml:space="preserve"> to below 0.8 times by 2026.</w:t>
      </w:r>
    </w:p>
    <w:p w14:paraId="4B93F269" w14:textId="77777777" w:rsidR="007677B3" w:rsidRPr="006D174E" w:rsidRDefault="007677B3" w:rsidP="008C2808">
      <w:pPr>
        <w:pStyle w:val="NormalWeb"/>
        <w:numPr>
          <w:ilvl w:val="0"/>
          <w:numId w:val="4"/>
        </w:numPr>
        <w:spacing w:before="240" w:beforeAutospacing="0" w:after="240" w:afterAutospacing="0" w:line="360" w:lineRule="auto"/>
        <w:jc w:val="both"/>
      </w:pPr>
      <w:r w:rsidRPr="006D174E">
        <w:rPr>
          <w:rStyle w:val="Strong"/>
        </w:rPr>
        <w:t>Restoring positive net profit margins</w:t>
      </w:r>
      <w:r w:rsidRPr="006D174E">
        <w:t xml:space="preserve"> within two years through cost restructuring.</w:t>
      </w:r>
    </w:p>
    <w:p w14:paraId="05C79305" w14:textId="77777777" w:rsidR="007677B3" w:rsidRPr="006D174E" w:rsidRDefault="007677B3" w:rsidP="008C2808">
      <w:pPr>
        <w:pStyle w:val="NormalWeb"/>
        <w:numPr>
          <w:ilvl w:val="0"/>
          <w:numId w:val="4"/>
        </w:numPr>
        <w:spacing w:before="240" w:beforeAutospacing="0" w:after="240" w:afterAutospacing="0" w:line="360" w:lineRule="auto"/>
        <w:jc w:val="both"/>
      </w:pPr>
      <w:r w:rsidRPr="006D174E">
        <w:rPr>
          <w:rStyle w:val="Strong"/>
        </w:rPr>
        <w:t>Shortening the cash conversion cycle</w:t>
      </w:r>
      <w:r w:rsidRPr="006D174E">
        <w:t xml:space="preserve"> (Appendix 1) by at least 20 percent.</w:t>
      </w:r>
    </w:p>
    <w:p w14:paraId="545FD75E" w14:textId="77777777" w:rsidR="007677B3" w:rsidRPr="006D174E" w:rsidRDefault="007677B3" w:rsidP="007928C8">
      <w:pPr>
        <w:pStyle w:val="NormalWeb"/>
        <w:numPr>
          <w:ilvl w:val="0"/>
          <w:numId w:val="4"/>
        </w:numPr>
        <w:spacing w:before="240" w:beforeAutospacing="0" w:after="240" w:afterAutospacing="0" w:line="360" w:lineRule="auto"/>
        <w:jc w:val="both"/>
      </w:pPr>
      <w:r w:rsidRPr="006D174E">
        <w:rPr>
          <w:rStyle w:val="Strong"/>
        </w:rPr>
        <w:t>Strengthening governance and investor transparency</w:t>
      </w:r>
      <w:r w:rsidR="008C2808">
        <w:t xml:space="preserve"> to rebuild market confidence </w:t>
      </w:r>
      <w:r w:rsidR="007928C8">
        <w:t>(Ramdhan et al., 2025).</w:t>
      </w:r>
    </w:p>
    <w:p w14:paraId="7BD625F5"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43" w:name="_Toc211680202"/>
      <w:bookmarkStart w:id="44" w:name="_Toc212192262"/>
      <w:r w:rsidRPr="006D174E">
        <w:rPr>
          <w:rStyle w:val="Strong"/>
          <w:rFonts w:ascii="Times New Roman" w:hAnsi="Times New Roman" w:cs="Times New Roman"/>
          <w:b w:val="0"/>
          <w:bCs w:val="0"/>
          <w:szCs w:val="24"/>
        </w:rPr>
        <w:t xml:space="preserve">4.2 Short-Term </w:t>
      </w:r>
      <w:proofErr w:type="spellStart"/>
      <w:r w:rsidRPr="006D174E">
        <w:rPr>
          <w:rStyle w:val="Strong"/>
          <w:rFonts w:ascii="Times New Roman" w:hAnsi="Times New Roman" w:cs="Times New Roman"/>
          <w:b w:val="0"/>
          <w:bCs w:val="0"/>
          <w:szCs w:val="24"/>
        </w:rPr>
        <w:t>Stabilisation</w:t>
      </w:r>
      <w:proofErr w:type="spellEnd"/>
      <w:r w:rsidRPr="006D174E">
        <w:rPr>
          <w:rStyle w:val="Strong"/>
          <w:rFonts w:ascii="Times New Roman" w:hAnsi="Times New Roman" w:cs="Times New Roman"/>
          <w:b w:val="0"/>
          <w:bCs w:val="0"/>
          <w:szCs w:val="24"/>
        </w:rPr>
        <w:t xml:space="preserve"> Measures</w:t>
      </w:r>
      <w:bookmarkEnd w:id="43"/>
      <w:bookmarkEnd w:id="44"/>
    </w:p>
    <w:p w14:paraId="617B2F06" w14:textId="77777777" w:rsidR="007677B3" w:rsidRPr="006D174E" w:rsidRDefault="008C2808" w:rsidP="006D174E">
      <w:pPr>
        <w:pStyle w:val="NormalWeb"/>
        <w:spacing w:before="240" w:beforeAutospacing="0" w:after="240" w:afterAutospacing="0" w:line="360" w:lineRule="auto"/>
        <w:jc w:val="both"/>
      </w:pPr>
      <w:r>
        <w:t>In the short term, t</w:t>
      </w:r>
      <w:r w:rsidR="007677B3" w:rsidRPr="006D174E">
        <w:t xml:space="preserve">he first stage of restructuring focuses on immediate liquidity and debt management. </w:t>
      </w:r>
      <w:r>
        <w:t xml:space="preserve">As per the data given in appendix, </w:t>
      </w:r>
      <w:r w:rsidR="007677B3" w:rsidRPr="006D174E">
        <w:t xml:space="preserve">the company’s current ratio declined to around 1.0 by 2024, confirming limited </w:t>
      </w:r>
      <w:r>
        <w:t>short-term solvency. However, t</w:t>
      </w:r>
      <w:r w:rsidR="007677B3" w:rsidRPr="006D174E">
        <w:t xml:space="preserve">o prevent a liquidity crisis, the company should implement a </w:t>
      </w:r>
      <w:r w:rsidR="007677B3" w:rsidRPr="006D174E">
        <w:rPr>
          <w:rStyle w:val="Strong"/>
        </w:rPr>
        <w:t xml:space="preserve">cash-flow </w:t>
      </w:r>
      <w:proofErr w:type="spellStart"/>
      <w:r w:rsidR="007677B3" w:rsidRPr="006D174E">
        <w:rPr>
          <w:rStyle w:val="Strong"/>
        </w:rPr>
        <w:t>stabilisation</w:t>
      </w:r>
      <w:proofErr w:type="spellEnd"/>
      <w:r w:rsidR="007677B3" w:rsidRPr="006D174E">
        <w:rPr>
          <w:rStyle w:val="Strong"/>
        </w:rPr>
        <w:t xml:space="preserve"> framework</w:t>
      </w:r>
      <w:r w:rsidR="007677B3" w:rsidRPr="006D174E">
        <w:t xml:space="preserve"> based on four levers: receivable acceleration, payables </w:t>
      </w:r>
      <w:proofErr w:type="spellStart"/>
      <w:r w:rsidR="007677B3" w:rsidRPr="006D174E">
        <w:t>optimisation</w:t>
      </w:r>
      <w:proofErr w:type="spellEnd"/>
      <w:r w:rsidR="007677B3" w:rsidRPr="006D174E">
        <w:t xml:space="preserve">, inventory </w:t>
      </w:r>
      <w:proofErr w:type="spellStart"/>
      <w:r w:rsidR="007677B3" w:rsidRPr="006D174E">
        <w:t>rationali</w:t>
      </w:r>
      <w:r>
        <w:t>sation</w:t>
      </w:r>
      <w:proofErr w:type="spellEnd"/>
      <w:r>
        <w:t xml:space="preserve">, and selective financing undertaken. </w:t>
      </w:r>
    </w:p>
    <w:p w14:paraId="4DC7DF4E" w14:textId="77777777" w:rsidR="007677B3" w:rsidRPr="006D174E" w:rsidRDefault="008C2808" w:rsidP="006D174E">
      <w:pPr>
        <w:pStyle w:val="NormalWeb"/>
        <w:spacing w:before="240" w:beforeAutospacing="0" w:after="240" w:afterAutospacing="0" w:line="360" w:lineRule="auto"/>
        <w:jc w:val="both"/>
      </w:pPr>
      <w:r>
        <w:rPr>
          <w:rStyle w:val="Strong"/>
        </w:rPr>
        <w:t>It is evaluated that r</w:t>
      </w:r>
      <w:r w:rsidR="007677B3" w:rsidRPr="006D174E">
        <w:rPr>
          <w:rStyle w:val="Strong"/>
        </w:rPr>
        <w:t>eceivable acceleration</w:t>
      </w:r>
      <w:r>
        <w:t xml:space="preserve"> could be accomplished</w:t>
      </w:r>
      <w:r w:rsidR="007677B3" w:rsidRPr="006D174E">
        <w:t xml:space="preserve"> by introducing an electronic billing system, automated reminders, and offering 1–2 percent cash</w:t>
      </w:r>
      <w:r>
        <w:t xml:space="preserve"> discounts for early payment. </w:t>
      </w:r>
      <w:r>
        <w:lastRenderedPageBreak/>
        <w:t xml:space="preserve">However, with this implication of approach, there is need to </w:t>
      </w:r>
      <w:r w:rsidR="007677B3" w:rsidRPr="006D174E">
        <w:t>reduce the average collection period by roughly 20 days, releasing billions in working capital</w:t>
      </w:r>
      <w:r>
        <w:t xml:space="preserve"> in business </w:t>
      </w:r>
      <w:r w:rsidR="007677B3" w:rsidRPr="006D174E">
        <w:t xml:space="preserve"> (Fadillah et al., 2024).</w:t>
      </w:r>
    </w:p>
    <w:p w14:paraId="07CEA348" w14:textId="77777777" w:rsidR="007677B3" w:rsidRPr="006D174E" w:rsidRDefault="007677B3" w:rsidP="006D174E">
      <w:pPr>
        <w:pStyle w:val="NormalWeb"/>
        <w:spacing w:before="240" w:beforeAutospacing="0" w:after="240" w:afterAutospacing="0" w:line="360" w:lineRule="auto"/>
        <w:jc w:val="both"/>
      </w:pPr>
      <w:r w:rsidRPr="006D174E">
        <w:rPr>
          <w:rStyle w:val="Strong"/>
        </w:rPr>
        <w:t xml:space="preserve">Payables </w:t>
      </w:r>
      <w:r w:rsidR="008C2808">
        <w:rPr>
          <w:rStyle w:val="Strong"/>
        </w:rPr>
        <w:t xml:space="preserve">optimization- it shows </w:t>
      </w:r>
      <w:r w:rsidRPr="006D174E">
        <w:t xml:space="preserve">extended terms with large, long-standing suppliers. </w:t>
      </w:r>
      <w:r w:rsidR="008C2808">
        <w:t>It reveals that instead of delaying payments, company’s</w:t>
      </w:r>
      <w:r w:rsidRPr="006D174E">
        <w:t xml:space="preserve"> management should establish transparent agreements that balance liquidity support with supplier trust</w:t>
      </w:r>
      <w:r w:rsidR="008C2808">
        <w:t xml:space="preserve"> undertaken </w:t>
      </w:r>
      <w:r w:rsidRPr="006D174E">
        <w:t>(Zouaghi, 2024).</w:t>
      </w:r>
    </w:p>
    <w:p w14:paraId="1D5AC2DF" w14:textId="77777777" w:rsidR="007677B3" w:rsidRPr="006D174E" w:rsidRDefault="007677B3" w:rsidP="006D174E">
      <w:pPr>
        <w:pStyle w:val="NormalWeb"/>
        <w:spacing w:before="240" w:beforeAutospacing="0" w:after="240" w:afterAutospacing="0" w:line="360" w:lineRule="auto"/>
        <w:jc w:val="both"/>
      </w:pPr>
      <w:r w:rsidRPr="006D174E">
        <w:rPr>
          <w:rStyle w:val="Strong"/>
        </w:rPr>
        <w:t xml:space="preserve">Inventory </w:t>
      </w:r>
      <w:proofErr w:type="gramStart"/>
      <w:r w:rsidR="008C2808" w:rsidRPr="006D174E">
        <w:rPr>
          <w:rStyle w:val="Strong"/>
        </w:rPr>
        <w:t>rationalization</w:t>
      </w:r>
      <w:r w:rsidRPr="006D174E">
        <w:t xml:space="preserve"> </w:t>
      </w:r>
      <w:r w:rsidR="008C2808">
        <w:t xml:space="preserve"> focus</w:t>
      </w:r>
      <w:proofErr w:type="gramEnd"/>
      <w:r w:rsidR="008C2808">
        <w:t xml:space="preserve"> on reducing the dead stock and </w:t>
      </w:r>
      <w:proofErr w:type="spellStart"/>
      <w:r w:rsidR="008C2808">
        <w:t>inmprove</w:t>
      </w:r>
      <w:proofErr w:type="spellEnd"/>
      <w:r w:rsidR="008C2808">
        <w:t xml:space="preserve"> the operating cycle of the products in </w:t>
      </w:r>
      <w:proofErr w:type="spellStart"/>
      <w:r w:rsidR="008C2808">
        <w:t>busiesss</w:t>
      </w:r>
      <w:proofErr w:type="spellEnd"/>
      <w:r w:rsidR="008C2808">
        <w:t xml:space="preserve"> </w:t>
      </w:r>
      <w:r w:rsidRPr="006D174E">
        <w:t>(</w:t>
      </w:r>
      <w:proofErr w:type="spellStart"/>
      <w:r w:rsidRPr="006D174E">
        <w:t>Mastilo</w:t>
      </w:r>
      <w:proofErr w:type="spellEnd"/>
      <w:r w:rsidRPr="006D174E">
        <w:t xml:space="preserve"> et al., 2024).</w:t>
      </w:r>
    </w:p>
    <w:p w14:paraId="3DF2A3F4" w14:textId="77777777" w:rsidR="007677B3" w:rsidRPr="006D174E" w:rsidRDefault="008C2808" w:rsidP="006D174E">
      <w:pPr>
        <w:pStyle w:val="NormalWeb"/>
        <w:spacing w:before="240" w:beforeAutospacing="0" w:after="240" w:afterAutospacing="0" w:line="360" w:lineRule="auto"/>
        <w:jc w:val="both"/>
      </w:pPr>
      <w:r>
        <w:t>Therefore, with the selection of right strategy i.e. I</w:t>
      </w:r>
      <w:r w:rsidR="007677B3" w:rsidRPr="006D174E">
        <w:t>nvoice discounting and revolving credit facilities — may be used to plug temporary cash shortfalls</w:t>
      </w:r>
      <w:r>
        <w:t xml:space="preserve">, but only under strict limits </w:t>
      </w:r>
      <w:r w:rsidR="007677B3" w:rsidRPr="006D174E">
        <w:t>(Akash et al., 2024).</w:t>
      </w:r>
    </w:p>
    <w:p w14:paraId="2088914C"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45" w:name="_Toc211680203"/>
      <w:bookmarkStart w:id="46" w:name="_Toc212192263"/>
      <w:r w:rsidRPr="006D174E">
        <w:rPr>
          <w:rStyle w:val="Strong"/>
          <w:rFonts w:ascii="Times New Roman" w:hAnsi="Times New Roman" w:cs="Times New Roman"/>
          <w:b w:val="0"/>
          <w:bCs w:val="0"/>
          <w:szCs w:val="24"/>
        </w:rPr>
        <w:t>4.3 Capital Structure Restructuring</w:t>
      </w:r>
      <w:bookmarkEnd w:id="45"/>
      <w:bookmarkEnd w:id="46"/>
    </w:p>
    <w:p w14:paraId="323AD94A" w14:textId="77777777" w:rsidR="007677B3" w:rsidRPr="006D174E" w:rsidRDefault="008C2808" w:rsidP="006D174E">
      <w:pPr>
        <w:pStyle w:val="NormalWeb"/>
        <w:spacing w:before="240" w:beforeAutospacing="0" w:after="240" w:afterAutospacing="0" w:line="360" w:lineRule="auto"/>
        <w:jc w:val="both"/>
      </w:pPr>
      <w:r>
        <w:t xml:space="preserve">In this ratio, appendix 1 </w:t>
      </w:r>
      <w:proofErr w:type="gramStart"/>
      <w:r>
        <w:t xml:space="preserve">reveals </w:t>
      </w:r>
      <w:r w:rsidR="007677B3" w:rsidRPr="006D174E">
        <w:t xml:space="preserve"> that</w:t>
      </w:r>
      <w:proofErr w:type="gramEnd"/>
      <w:r w:rsidR="007677B3" w:rsidRPr="006D174E">
        <w:t xml:space="preserve"> General Electronics’ total liabilities now fund more than half its assets. High leverage increases financial vulnerability and </w:t>
      </w:r>
      <w:r>
        <w:t>limits strategic flexibility. However, to</w:t>
      </w:r>
      <w:r w:rsidR="007677B3" w:rsidRPr="006D174E">
        <w:t xml:space="preserve"> correct this imbalance, the company must adopt a </w:t>
      </w:r>
      <w:r w:rsidR="007677B3" w:rsidRPr="006D174E">
        <w:rPr>
          <w:rStyle w:val="Strong"/>
        </w:rPr>
        <w:t>balanced capital-structure plan</w:t>
      </w:r>
      <w:r w:rsidR="007677B3" w:rsidRPr="006D174E">
        <w:t xml:space="preserve"> that combines debt reduction, equity i</w:t>
      </w:r>
      <w:r>
        <w:t xml:space="preserve">nfusion, and asset reallocation in its operating cycle. </w:t>
      </w:r>
    </w:p>
    <w:p w14:paraId="16AECD11" w14:textId="77777777" w:rsidR="007677B3" w:rsidRPr="006D174E" w:rsidRDefault="007677B3" w:rsidP="006D174E">
      <w:pPr>
        <w:pStyle w:val="NormalWeb"/>
        <w:spacing w:before="240" w:beforeAutospacing="0" w:after="240" w:afterAutospacing="0" w:line="360" w:lineRule="auto"/>
        <w:jc w:val="both"/>
      </w:pPr>
      <w:r w:rsidRPr="006D174E">
        <w:rPr>
          <w:rStyle w:val="Strong"/>
        </w:rPr>
        <w:t>Debt refinancing</w:t>
      </w:r>
      <w:r w:rsidRPr="006D174E">
        <w:t xml:space="preserve"> </w:t>
      </w:r>
      <w:r w:rsidR="003831F6">
        <w:t>needs to update the high-cost loans and r</w:t>
      </w:r>
      <w:r w:rsidRPr="006D174E">
        <w:t>enegotiating maturities and interest rates can significantl</w:t>
      </w:r>
      <w:r w:rsidR="003831F6">
        <w:t>y reduce annual finance expense</w:t>
      </w:r>
      <w:r w:rsidRPr="006D174E">
        <w:t xml:space="preserve"> (Sudacevschi &amp; Stefan Duicu, 2024).</w:t>
      </w:r>
    </w:p>
    <w:p w14:paraId="4AFDCF34" w14:textId="77777777" w:rsidR="007677B3" w:rsidRPr="006D174E" w:rsidRDefault="007677B3" w:rsidP="006D174E">
      <w:pPr>
        <w:pStyle w:val="NormalWeb"/>
        <w:spacing w:before="240" w:beforeAutospacing="0" w:after="240" w:afterAutospacing="0" w:line="360" w:lineRule="auto"/>
        <w:jc w:val="both"/>
      </w:pPr>
      <w:r w:rsidRPr="006D174E">
        <w:rPr>
          <w:rStyle w:val="Strong"/>
        </w:rPr>
        <w:t xml:space="preserve">Equity </w:t>
      </w:r>
      <w:proofErr w:type="gramStart"/>
      <w:r w:rsidRPr="006D174E">
        <w:rPr>
          <w:rStyle w:val="Strong"/>
        </w:rPr>
        <w:t>injection</w:t>
      </w:r>
      <w:r w:rsidRPr="006D174E">
        <w:t xml:space="preserve"> </w:t>
      </w:r>
      <w:r w:rsidR="003831F6">
        <w:t xml:space="preserve"> by</w:t>
      </w:r>
      <w:proofErr w:type="gramEnd"/>
      <w:r w:rsidR="003831F6">
        <w:t xml:space="preserve"> doing the </w:t>
      </w:r>
      <w:r w:rsidRPr="006D174E">
        <w:t>rights issue ta</w:t>
      </w:r>
      <w:r w:rsidR="003831F6">
        <w:t xml:space="preserve">rgeted at existing shareholders to reduce the </w:t>
      </w:r>
      <w:proofErr w:type="gramStart"/>
      <w:r w:rsidR="003831F6">
        <w:t>debt to equity</w:t>
      </w:r>
      <w:proofErr w:type="gramEnd"/>
      <w:r w:rsidR="003831F6">
        <w:t xml:space="preserve"> ratio and reduce the debt portion in business</w:t>
      </w:r>
      <w:r w:rsidR="003831F6" w:rsidRPr="006D174E">
        <w:t xml:space="preserve"> </w:t>
      </w:r>
      <w:r w:rsidRPr="006D174E">
        <w:t>Ramdhan et al., 2025).</w:t>
      </w:r>
    </w:p>
    <w:p w14:paraId="0602E96B" w14:textId="77777777" w:rsidR="007677B3" w:rsidRPr="006D174E" w:rsidRDefault="007677B3" w:rsidP="006D174E">
      <w:pPr>
        <w:pStyle w:val="NormalWeb"/>
        <w:spacing w:before="240" w:beforeAutospacing="0" w:after="240" w:afterAutospacing="0" w:line="360" w:lineRule="auto"/>
        <w:jc w:val="both"/>
      </w:pPr>
      <w:r w:rsidRPr="006D174E">
        <w:rPr>
          <w:rStyle w:val="Strong"/>
        </w:rPr>
        <w:t>Asset reallocation</w:t>
      </w:r>
      <w:r w:rsidRPr="006D174E">
        <w:t xml:space="preserve"> </w:t>
      </w:r>
      <w:r w:rsidR="003831F6">
        <w:t xml:space="preserve">by shifting debt to equity </w:t>
      </w:r>
      <w:proofErr w:type="spellStart"/>
      <w:r w:rsidR="003831F6">
        <w:t>raito</w:t>
      </w:r>
      <w:proofErr w:type="spellEnd"/>
      <w:r w:rsidR="003831F6">
        <w:t xml:space="preserve"> and managing the assets in business </w:t>
      </w:r>
      <w:r w:rsidRPr="006D174E">
        <w:t>(Mastilo et al., 2024).</w:t>
      </w:r>
    </w:p>
    <w:p w14:paraId="38C15416"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47" w:name="_Toc211680204"/>
      <w:bookmarkStart w:id="48" w:name="_Toc212192264"/>
      <w:r w:rsidRPr="006D174E">
        <w:rPr>
          <w:rStyle w:val="Strong"/>
          <w:rFonts w:ascii="Times New Roman" w:hAnsi="Times New Roman" w:cs="Times New Roman"/>
          <w:b w:val="0"/>
          <w:bCs w:val="0"/>
          <w:szCs w:val="24"/>
        </w:rPr>
        <w:t>4.4 Cost and Operational Restructuring</w:t>
      </w:r>
      <w:bookmarkEnd w:id="47"/>
      <w:bookmarkEnd w:id="48"/>
    </w:p>
    <w:p w14:paraId="6BC39BE4" w14:textId="77777777" w:rsidR="007677B3" w:rsidRPr="006D174E" w:rsidRDefault="00A65F55" w:rsidP="006D174E">
      <w:pPr>
        <w:pStyle w:val="NormalWeb"/>
        <w:spacing w:before="240" w:beforeAutospacing="0" w:after="240" w:afterAutospacing="0" w:line="360" w:lineRule="auto"/>
        <w:jc w:val="both"/>
      </w:pPr>
      <w:r>
        <w:t xml:space="preserve">In the same context the </w:t>
      </w:r>
      <w:r w:rsidR="007677B3" w:rsidRPr="006D174E">
        <w:t xml:space="preserve">profitability ratios in Appendix 1 highlight how operational inefficiency has eroded margins. </w:t>
      </w:r>
      <w:r>
        <w:t xml:space="preserve">As shown company needs to cut down its costing and manage the business </w:t>
      </w:r>
      <w:proofErr w:type="spellStart"/>
      <w:r>
        <w:t>efffectivley</w:t>
      </w:r>
      <w:proofErr w:type="spellEnd"/>
      <w:r>
        <w:t xml:space="preserve">. </w:t>
      </w:r>
    </w:p>
    <w:p w14:paraId="4A407A1B" w14:textId="77777777" w:rsidR="007677B3" w:rsidRPr="006D174E" w:rsidRDefault="007677B3" w:rsidP="006D174E">
      <w:pPr>
        <w:pStyle w:val="NormalWeb"/>
        <w:spacing w:before="240" w:beforeAutospacing="0" w:after="240" w:afterAutospacing="0" w:line="360" w:lineRule="auto"/>
        <w:jc w:val="both"/>
      </w:pPr>
      <w:proofErr w:type="spellStart"/>
      <w:r w:rsidRPr="006D174E">
        <w:rPr>
          <w:rStyle w:val="Strong"/>
        </w:rPr>
        <w:lastRenderedPageBreak/>
        <w:t>Labour</w:t>
      </w:r>
      <w:proofErr w:type="spellEnd"/>
      <w:r w:rsidRPr="006D174E">
        <w:rPr>
          <w:rStyle w:val="Strong"/>
        </w:rPr>
        <w:t xml:space="preserve"> productivity</w:t>
      </w:r>
      <w:r w:rsidRPr="006D174E">
        <w:t xml:space="preserve"> </w:t>
      </w:r>
      <w:r w:rsidR="00A65F55">
        <w:t xml:space="preserve">needs to improve by setting up automation in business with AI </w:t>
      </w:r>
      <w:r w:rsidRPr="006D174E">
        <w:t>(Tan &amp; F., 2021).</w:t>
      </w:r>
    </w:p>
    <w:p w14:paraId="26993673" w14:textId="77777777" w:rsidR="007677B3" w:rsidRPr="006D174E" w:rsidRDefault="007677B3" w:rsidP="006D174E">
      <w:pPr>
        <w:pStyle w:val="NormalWeb"/>
        <w:spacing w:before="240" w:beforeAutospacing="0" w:after="240" w:afterAutospacing="0" w:line="360" w:lineRule="auto"/>
        <w:jc w:val="both"/>
      </w:pPr>
      <w:r w:rsidRPr="006D174E">
        <w:rPr>
          <w:rStyle w:val="Strong"/>
        </w:rPr>
        <w:t xml:space="preserve">Procurement </w:t>
      </w:r>
      <w:proofErr w:type="spellStart"/>
      <w:proofErr w:type="gramStart"/>
      <w:r w:rsidRPr="006D174E">
        <w:rPr>
          <w:rStyle w:val="Strong"/>
        </w:rPr>
        <w:t>optimisation</w:t>
      </w:r>
      <w:proofErr w:type="spellEnd"/>
      <w:r w:rsidRPr="006D174E">
        <w:t xml:space="preserve"> </w:t>
      </w:r>
      <w:r w:rsidR="00A65F55">
        <w:t xml:space="preserve"> can</w:t>
      </w:r>
      <w:proofErr w:type="gramEnd"/>
      <w:r w:rsidR="00A65F55">
        <w:t xml:space="preserve"> be done by bulk buying and setting up more effective cost cutting channel </w:t>
      </w:r>
      <w:r w:rsidRPr="006D174E">
        <w:t>(Fadillah et al., 2024).</w:t>
      </w:r>
    </w:p>
    <w:p w14:paraId="5ECAAF0B" w14:textId="77777777" w:rsidR="007677B3" w:rsidRPr="006D174E" w:rsidRDefault="007677B3" w:rsidP="007928C8">
      <w:pPr>
        <w:pStyle w:val="NormalWeb"/>
        <w:spacing w:before="240" w:beforeAutospacing="0" w:after="240" w:afterAutospacing="0" w:line="360" w:lineRule="auto"/>
        <w:jc w:val="both"/>
      </w:pPr>
      <w:r w:rsidRPr="006D174E">
        <w:rPr>
          <w:rStyle w:val="Strong"/>
        </w:rPr>
        <w:t>Energy and logistics efficiency</w:t>
      </w:r>
      <w:r w:rsidRPr="006D174E">
        <w:t xml:space="preserve"> </w:t>
      </w:r>
      <w:proofErr w:type="gramStart"/>
      <w:r w:rsidRPr="006D174E">
        <w:t xml:space="preserve">are </w:t>
      </w:r>
      <w:r w:rsidR="00A65F55">
        <w:t xml:space="preserve"> done</w:t>
      </w:r>
      <w:proofErr w:type="gramEnd"/>
      <w:r w:rsidR="00A65F55">
        <w:t xml:space="preserve"> by improving ESG score in business s (Liu et al., 2024)</w:t>
      </w:r>
      <w:r w:rsidR="007928C8">
        <w:t xml:space="preserve"> (Ramdhan et al., 2025).</w:t>
      </w:r>
    </w:p>
    <w:p w14:paraId="20AA2DF6"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49" w:name="_Toc211680205"/>
      <w:bookmarkStart w:id="50" w:name="_Toc212192265"/>
      <w:r w:rsidRPr="006D174E">
        <w:rPr>
          <w:rStyle w:val="Strong"/>
          <w:rFonts w:ascii="Times New Roman" w:hAnsi="Times New Roman" w:cs="Times New Roman"/>
          <w:b w:val="0"/>
          <w:bCs w:val="0"/>
          <w:szCs w:val="24"/>
        </w:rPr>
        <w:t>4.5 Revenue Recovery and Business Repositioning</w:t>
      </w:r>
      <w:bookmarkEnd w:id="49"/>
      <w:bookmarkEnd w:id="50"/>
    </w:p>
    <w:p w14:paraId="3BB1FE99" w14:textId="77777777" w:rsidR="007677B3" w:rsidRPr="006D174E" w:rsidRDefault="00A65F55" w:rsidP="006D174E">
      <w:pPr>
        <w:pStyle w:val="NormalWeb"/>
        <w:spacing w:before="240" w:beforeAutospacing="0" w:after="240" w:afterAutospacing="0" w:line="360" w:lineRule="auto"/>
        <w:jc w:val="both"/>
      </w:pPr>
      <w:r>
        <w:t>There is need to set up re</w:t>
      </w:r>
      <w:r w:rsidR="007677B3" w:rsidRPr="006D174E">
        <w:t>structuring cannot succeed through cost reduction alone. Sustainable recovery demands new sources of</w:t>
      </w:r>
      <w:r>
        <w:t xml:space="preserve"> revenue and market relevance. As shown in the </w:t>
      </w:r>
      <w:proofErr w:type="spellStart"/>
      <w:r>
        <w:t>A</w:t>
      </w:r>
      <w:r w:rsidR="007677B3" w:rsidRPr="006D174E">
        <w:t>pendix</w:t>
      </w:r>
      <w:proofErr w:type="spellEnd"/>
      <w:r w:rsidR="007677B3" w:rsidRPr="006D174E">
        <w:t xml:space="preserve"> 1</w:t>
      </w:r>
      <w:r w:rsidR="006E3803">
        <w:t xml:space="preserve"> there is shown </w:t>
      </w:r>
      <w:proofErr w:type="spellStart"/>
      <w:r w:rsidR="007677B3" w:rsidRPr="006D174E">
        <w:t>hat</w:t>
      </w:r>
      <w:proofErr w:type="spellEnd"/>
      <w:r w:rsidR="007677B3" w:rsidRPr="006D174E">
        <w:t xml:space="preserve"> total sales fell by over 35 percent between 2020 and 2024, primarily due to weak demand </w:t>
      </w:r>
      <w:r w:rsidR="006E3803">
        <w:t xml:space="preserve">in traditional product segments undertaken. </w:t>
      </w:r>
    </w:p>
    <w:p w14:paraId="36811151" w14:textId="77777777" w:rsidR="007677B3" w:rsidRPr="006D174E" w:rsidRDefault="00A65F55" w:rsidP="006E3803">
      <w:pPr>
        <w:pStyle w:val="NormalWeb"/>
        <w:spacing w:before="240" w:beforeAutospacing="0" w:after="240" w:afterAutospacing="0" w:line="360" w:lineRule="auto"/>
        <w:jc w:val="both"/>
      </w:pPr>
      <w:r>
        <w:t xml:space="preserve">However, </w:t>
      </w:r>
      <w:proofErr w:type="spellStart"/>
      <w:r>
        <w:t>G</w:t>
      </w:r>
      <w:r w:rsidR="006E3803">
        <w:t>neral</w:t>
      </w:r>
      <w:proofErr w:type="spellEnd"/>
      <w:r w:rsidR="006E3803">
        <w:t xml:space="preserve"> Electronics </w:t>
      </w:r>
      <w:proofErr w:type="gramStart"/>
      <w:r w:rsidR="006E3803">
        <w:t xml:space="preserve">must </w:t>
      </w:r>
      <w:r w:rsidR="007677B3" w:rsidRPr="006D174E">
        <w:t xml:space="preserve"> reposition</w:t>
      </w:r>
      <w:proofErr w:type="gramEnd"/>
      <w:r w:rsidR="007677B3" w:rsidRPr="006D174E">
        <w:t xml:space="preserve"> itself through </w:t>
      </w:r>
      <w:r w:rsidR="007677B3" w:rsidRPr="006D174E">
        <w:rPr>
          <w:rStyle w:val="Strong"/>
        </w:rPr>
        <w:t>strategic diversification</w:t>
      </w:r>
      <w:r w:rsidR="006E3803">
        <w:t>. However, m</w:t>
      </w:r>
      <w:r w:rsidR="007677B3" w:rsidRPr="006D174E">
        <w:t>oving into high-margin areas such as renewable-energy systems, smart appliances, and Internet-of-Things (IoT) devices aligns with global consumer t</w:t>
      </w:r>
      <w:r w:rsidR="006E3803">
        <w:t>rends (Mastilo et al., 2024).</w:t>
      </w:r>
    </w:p>
    <w:p w14:paraId="1082332F"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51" w:name="_Toc211680206"/>
      <w:bookmarkStart w:id="52" w:name="_Toc212192266"/>
      <w:r w:rsidRPr="006D174E">
        <w:rPr>
          <w:rStyle w:val="Strong"/>
          <w:rFonts w:ascii="Times New Roman" w:hAnsi="Times New Roman" w:cs="Times New Roman"/>
          <w:b w:val="0"/>
          <w:bCs w:val="0"/>
          <w:szCs w:val="24"/>
        </w:rPr>
        <w:t>4.6 Governance and Risk Oversight</w:t>
      </w:r>
      <w:bookmarkEnd w:id="51"/>
      <w:bookmarkEnd w:id="52"/>
    </w:p>
    <w:p w14:paraId="6DF254FC" w14:textId="77777777" w:rsidR="007677B3" w:rsidRPr="006D174E" w:rsidRDefault="006E3803" w:rsidP="006D174E">
      <w:pPr>
        <w:pStyle w:val="NormalWeb"/>
        <w:spacing w:before="240" w:beforeAutospacing="0" w:after="240" w:afterAutospacing="0" w:line="360" w:lineRule="auto"/>
        <w:jc w:val="both"/>
      </w:pPr>
      <w:r>
        <w:t>There is need to set up Financial restructuring which</w:t>
      </w:r>
      <w:r w:rsidR="007677B3" w:rsidRPr="006D174E">
        <w:t xml:space="preserve"> requires robust governance reforms. </w:t>
      </w:r>
      <w:r>
        <w:t>However, weak oversight may</w:t>
      </w:r>
      <w:r w:rsidR="007677B3" w:rsidRPr="006D174E">
        <w:t xml:space="preserve"> leads to misallocation of resources and delayed crisis detection. Th</w:t>
      </w:r>
      <w:r>
        <w:t>erefore, the board</w:t>
      </w:r>
      <w:r w:rsidR="007677B3" w:rsidRPr="006D174E">
        <w:t xml:space="preserve"> </w:t>
      </w:r>
      <w:proofErr w:type="spellStart"/>
      <w:r w:rsidR="007677B3" w:rsidRPr="006D174E">
        <w:t>board</w:t>
      </w:r>
      <w:proofErr w:type="spellEnd"/>
      <w:r w:rsidR="007677B3" w:rsidRPr="006D174E">
        <w:t xml:space="preserve"> should therefore strengthen its </w:t>
      </w:r>
      <w:r w:rsidR="007677B3" w:rsidRPr="006D174E">
        <w:rPr>
          <w:rStyle w:val="Strong"/>
        </w:rPr>
        <w:t>audit and risk-management committees</w:t>
      </w:r>
      <w:r w:rsidR="007677B3" w:rsidRPr="006D174E">
        <w:t>, ensuring independent review of major financial decisions (Akash et al., 2024).</w:t>
      </w:r>
    </w:p>
    <w:p w14:paraId="04B32942"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53" w:name="_Toc211680207"/>
      <w:bookmarkStart w:id="54" w:name="_Toc212192267"/>
      <w:r w:rsidRPr="006D174E">
        <w:rPr>
          <w:rStyle w:val="Strong"/>
          <w:rFonts w:ascii="Times New Roman" w:hAnsi="Times New Roman" w:cs="Times New Roman"/>
          <w:b w:val="0"/>
          <w:bCs w:val="0"/>
          <w:szCs w:val="24"/>
        </w:rPr>
        <w:t>4.7 Long-Term Sustainability and Digital Finance</w:t>
      </w:r>
      <w:bookmarkEnd w:id="53"/>
      <w:bookmarkEnd w:id="54"/>
    </w:p>
    <w:p w14:paraId="6842770E" w14:textId="77777777" w:rsidR="007677B3" w:rsidRPr="006D174E" w:rsidRDefault="007677B3" w:rsidP="006D174E">
      <w:pPr>
        <w:pStyle w:val="NormalWeb"/>
        <w:spacing w:before="240" w:beforeAutospacing="0" w:after="240" w:afterAutospacing="0" w:line="360" w:lineRule="auto"/>
        <w:jc w:val="both"/>
      </w:pPr>
      <w:r w:rsidRPr="006D174E">
        <w:t xml:space="preserve">Once short-term liquidity and solvency are </w:t>
      </w:r>
      <w:proofErr w:type="spellStart"/>
      <w:r w:rsidRPr="006D174E">
        <w:t>stabilised</w:t>
      </w:r>
      <w:proofErr w:type="spellEnd"/>
      <w:r w:rsidRPr="006D174E">
        <w:t xml:space="preserve">, the next phase should focus on building financial sustainability through digital transformation. </w:t>
      </w:r>
      <w:proofErr w:type="spellStart"/>
      <w:r w:rsidRPr="006D174E">
        <w:t>Modernising</w:t>
      </w:r>
      <w:proofErr w:type="spellEnd"/>
      <w:r w:rsidRPr="006D174E">
        <w:t xml:space="preserve"> financial systems using cloud-based accounting, automated dashboards, and predictive analytics will improve accuracy and decision speed (Liu et al., 2024).</w:t>
      </w:r>
    </w:p>
    <w:p w14:paraId="58DE491F" w14:textId="77777777" w:rsidR="007677B3" w:rsidRPr="006D174E" w:rsidRDefault="007677B3" w:rsidP="006D174E">
      <w:pPr>
        <w:pStyle w:val="NormalWeb"/>
        <w:spacing w:before="240" w:beforeAutospacing="0" w:after="240" w:afterAutospacing="0" w:line="360" w:lineRule="auto"/>
        <w:jc w:val="both"/>
      </w:pPr>
      <w:r w:rsidRPr="006D174E">
        <w:lastRenderedPageBreak/>
        <w:t>Digital finance also supports sustainability reporting — tracking carbon emissions, energy efficiency, and supply-chain ethics. Embedding ESG metrics into financial planning enhances reputation and attracts long-term institutional investors (Fadillah et al., 2024).</w:t>
      </w:r>
    </w:p>
    <w:p w14:paraId="62A81FD3" w14:textId="77777777" w:rsidR="007677B3" w:rsidRPr="006D174E" w:rsidRDefault="007677B3" w:rsidP="007928C8">
      <w:pPr>
        <w:pStyle w:val="NormalWeb"/>
        <w:spacing w:before="240" w:beforeAutospacing="0" w:after="240" w:afterAutospacing="0" w:line="360" w:lineRule="auto"/>
        <w:jc w:val="both"/>
      </w:pPr>
      <w:r w:rsidRPr="006D174E">
        <w:t>In the long run, integrating digital tools with financial analytics will improve forecasting, reduce errors, and enable dynamic budgeting. This transformation ensures that the problems revealed in Appendix 1 — such as poor forecasting and reacti</w:t>
      </w:r>
      <w:r w:rsidR="007928C8">
        <w:t>ve cash control — do not recur.</w:t>
      </w:r>
    </w:p>
    <w:p w14:paraId="66D9BB44" w14:textId="77777777" w:rsidR="007677B3" w:rsidRPr="006D174E" w:rsidRDefault="007677B3" w:rsidP="006D174E">
      <w:pPr>
        <w:pStyle w:val="Heading3"/>
        <w:spacing w:before="240" w:after="240" w:line="360" w:lineRule="auto"/>
        <w:jc w:val="both"/>
        <w:rPr>
          <w:rFonts w:ascii="Times New Roman" w:hAnsi="Times New Roman" w:cs="Times New Roman"/>
          <w:szCs w:val="24"/>
        </w:rPr>
      </w:pPr>
      <w:bookmarkStart w:id="55" w:name="_Toc211680208"/>
      <w:bookmarkStart w:id="56" w:name="_Toc212192268"/>
      <w:r w:rsidRPr="006D174E">
        <w:rPr>
          <w:rStyle w:val="Strong"/>
          <w:rFonts w:ascii="Times New Roman" w:hAnsi="Times New Roman" w:cs="Times New Roman"/>
          <w:b w:val="0"/>
          <w:bCs w:val="0"/>
          <w:szCs w:val="24"/>
        </w:rPr>
        <w:t>4.8 Expected Outcomes and Critical Reflection</w:t>
      </w:r>
      <w:bookmarkEnd w:id="55"/>
      <w:bookmarkEnd w:id="56"/>
    </w:p>
    <w:p w14:paraId="49F202D5" w14:textId="77777777" w:rsidR="007677B3" w:rsidRPr="006D174E" w:rsidRDefault="00D50C63" w:rsidP="006D174E">
      <w:pPr>
        <w:pStyle w:val="NormalWeb"/>
        <w:spacing w:before="240" w:beforeAutospacing="0" w:after="240" w:afterAutospacing="0" w:line="360" w:lineRule="auto"/>
        <w:jc w:val="both"/>
      </w:pPr>
      <w:r>
        <w:t xml:space="preserve">It is evaluated that </w:t>
      </w:r>
      <w:r w:rsidR="007677B3" w:rsidRPr="006D174E">
        <w:t>restructuring plan should yield measurable improvements across liquidity, profitabi</w:t>
      </w:r>
      <w:r>
        <w:t>lity, and solvency indicators. However, b</w:t>
      </w:r>
      <w:r w:rsidR="007677B3" w:rsidRPr="006D174E">
        <w:t>y 2026, the company can expect a debt-to-equity ratio below 0.8, an Altman Z-Score above 2.5 (Appendix 1 benchmark), and a positive</w:t>
      </w:r>
      <w:r>
        <w:t xml:space="preserve"> net margin exceeding 4 percent in business. </w:t>
      </w:r>
    </w:p>
    <w:p w14:paraId="64638B21" w14:textId="77777777" w:rsidR="007928C8" w:rsidRDefault="00D50C63" w:rsidP="006D174E">
      <w:pPr>
        <w:pStyle w:val="NormalWeb"/>
        <w:spacing w:before="240" w:beforeAutospacing="0" w:after="240" w:afterAutospacing="0" w:line="360" w:lineRule="auto"/>
        <w:jc w:val="both"/>
      </w:pPr>
      <w:r>
        <w:t>There is</w:t>
      </w:r>
      <w:r w:rsidR="007677B3" w:rsidRPr="006D174E">
        <w:t xml:space="preserve"> these improvements depend on disciplined execution. </w:t>
      </w:r>
      <w:r>
        <w:t xml:space="preserve">As per the data reflects </w:t>
      </w:r>
      <w:proofErr w:type="gramStart"/>
      <w:r>
        <w:t xml:space="preserve">the </w:t>
      </w:r>
      <w:r w:rsidR="007677B3" w:rsidRPr="006D174E">
        <w:t xml:space="preserve"> restructuring</w:t>
      </w:r>
      <w:proofErr w:type="gramEnd"/>
      <w:r w:rsidR="007677B3" w:rsidRPr="006D174E">
        <w:t xml:space="preserve"> fails when management pursues fragmented cost cuts without cultural or operational change (Sudacevschi &amp; Stefan Duicu, 2024). </w:t>
      </w:r>
      <w:r>
        <w:t xml:space="preserve"> The </w:t>
      </w:r>
      <w:r w:rsidR="007677B3" w:rsidRPr="006D174E">
        <w:t>General Electronics must balance financial pruden</w:t>
      </w:r>
      <w:r>
        <w:t>ce with social responsibility and e</w:t>
      </w:r>
      <w:r w:rsidR="007677B3" w:rsidRPr="006D174E">
        <w:t>thical management during restruc</w:t>
      </w:r>
      <w:r>
        <w:t>turing. It is done by</w:t>
      </w:r>
      <w:r w:rsidR="007677B3" w:rsidRPr="006D174E">
        <w:t xml:space="preserve"> including fair treatment of employees and responsible communication with suppliers — will sustain the firm’s reputation. </w:t>
      </w:r>
      <w:r>
        <w:t xml:space="preserve">As suggested by </w:t>
      </w:r>
      <w:r w:rsidR="007677B3" w:rsidRPr="006D174E">
        <w:t>Fadillah et al. (2024) note that companies integrating ethics into recovery strategies are more likely to achi</w:t>
      </w:r>
      <w:r w:rsidR="007928C8">
        <w:t>eve durable turnaround success.</w:t>
      </w:r>
    </w:p>
    <w:p w14:paraId="59DD6474" w14:textId="77777777" w:rsidR="007677B3" w:rsidRPr="006D174E" w:rsidRDefault="00D50C63" w:rsidP="006D174E">
      <w:pPr>
        <w:pStyle w:val="NormalWeb"/>
        <w:spacing w:before="240" w:beforeAutospacing="0" w:after="240" w:afterAutospacing="0" w:line="360" w:lineRule="auto"/>
        <w:jc w:val="both"/>
      </w:pPr>
      <w:r>
        <w:t>Therefore,</w:t>
      </w:r>
      <w:r w:rsidR="007677B3" w:rsidRPr="006D174E">
        <w:t xml:space="preserve"> the strategic financial restructuring plan for General Electronics combines immediate liquidity repair with long-term capital </w:t>
      </w:r>
      <w:proofErr w:type="spellStart"/>
      <w:r w:rsidR="007677B3" w:rsidRPr="006D174E">
        <w:t>optimisation</w:t>
      </w:r>
      <w:proofErr w:type="spellEnd"/>
      <w:r w:rsidR="007677B3" w:rsidRPr="006D174E">
        <w:t xml:space="preserve">. It builds directly on the empirical evidence </w:t>
      </w:r>
      <w:proofErr w:type="spellStart"/>
      <w:r w:rsidR="007677B3" w:rsidRPr="006D174E">
        <w:t>summarised</w:t>
      </w:r>
      <w:proofErr w:type="spellEnd"/>
      <w:r w:rsidR="007677B3" w:rsidRPr="006D174E">
        <w:t xml:space="preserve"> in Appendix 1 and addresses the </w:t>
      </w:r>
      <w:r>
        <w:t xml:space="preserve">company’s specific weaknesses. However, with the </w:t>
      </w:r>
      <w:r w:rsidRPr="006D174E">
        <w:t>declining</w:t>
      </w:r>
      <w:r w:rsidR="007677B3" w:rsidRPr="006D174E">
        <w:t xml:space="preserve"> profitability, over-leverage, and cash-flow inefficiency</w:t>
      </w:r>
      <w:r>
        <w:t xml:space="preserve">, it results to </w:t>
      </w:r>
      <w:r w:rsidR="007677B3" w:rsidRPr="006D174E">
        <w:t xml:space="preserve"> debt reduction, equity </w:t>
      </w:r>
      <w:r w:rsidRPr="006D174E">
        <w:t>recapitalization</w:t>
      </w:r>
      <w:r w:rsidR="007677B3" w:rsidRPr="006D174E">
        <w:t>, operational reform, and governance strengthening, the company can move from financial distress to sus</w:t>
      </w:r>
      <w:r>
        <w:t xml:space="preserve">tainable growth in business </w:t>
      </w:r>
      <w:r w:rsidR="007677B3" w:rsidRPr="006D174E">
        <w:t xml:space="preserve"> (Ramdhan et al., 2025; Akash et al., 2024; Fadillah et al., 2024).</w:t>
      </w:r>
    </w:p>
    <w:p w14:paraId="1D638C76" w14:textId="77777777" w:rsidR="007677B3" w:rsidRPr="006D174E" w:rsidRDefault="007677B3" w:rsidP="006D174E">
      <w:pPr>
        <w:pStyle w:val="Heading1"/>
        <w:spacing w:after="240" w:line="360" w:lineRule="auto"/>
        <w:jc w:val="both"/>
        <w:rPr>
          <w:rFonts w:ascii="Times New Roman" w:hAnsi="Times New Roman" w:cs="Times New Roman"/>
          <w:sz w:val="24"/>
          <w:szCs w:val="24"/>
        </w:rPr>
      </w:pPr>
      <w:bookmarkStart w:id="57" w:name="_Toc211680210"/>
      <w:bookmarkStart w:id="58" w:name="_Toc212192269"/>
      <w:r w:rsidRPr="006D174E">
        <w:rPr>
          <w:rStyle w:val="Strong"/>
          <w:rFonts w:ascii="Times New Roman" w:hAnsi="Times New Roman" w:cs="Times New Roman"/>
          <w:b w:val="0"/>
          <w:bCs w:val="0"/>
          <w:sz w:val="24"/>
          <w:szCs w:val="24"/>
        </w:rPr>
        <w:lastRenderedPageBreak/>
        <w:t>5</w:t>
      </w:r>
      <w:r w:rsidR="006D174E">
        <w:rPr>
          <w:rStyle w:val="Strong"/>
          <w:rFonts w:ascii="Times New Roman" w:hAnsi="Times New Roman" w:cs="Times New Roman"/>
          <w:b w:val="0"/>
          <w:bCs w:val="0"/>
          <w:sz w:val="24"/>
          <w:szCs w:val="24"/>
        </w:rPr>
        <w:t>.0</w:t>
      </w:r>
      <w:r w:rsidRPr="006D174E">
        <w:rPr>
          <w:rStyle w:val="Strong"/>
          <w:rFonts w:ascii="Times New Roman" w:hAnsi="Times New Roman" w:cs="Times New Roman"/>
          <w:b w:val="0"/>
          <w:bCs w:val="0"/>
          <w:sz w:val="24"/>
          <w:szCs w:val="24"/>
        </w:rPr>
        <w:t>: Investment Appraisal and Capital Budgeting</w:t>
      </w:r>
      <w:bookmarkEnd w:id="57"/>
      <w:bookmarkEnd w:id="58"/>
    </w:p>
    <w:p w14:paraId="0F1047F0" w14:textId="77777777" w:rsidR="007677B3" w:rsidRPr="006D174E" w:rsidRDefault="00A65F55" w:rsidP="007928C8">
      <w:pPr>
        <w:pStyle w:val="NormalWeb"/>
        <w:spacing w:before="240" w:beforeAutospacing="0" w:after="240" w:afterAutospacing="0" w:line="360" w:lineRule="auto"/>
        <w:jc w:val="both"/>
      </w:pPr>
      <w:r>
        <w:t>The i</w:t>
      </w:r>
      <w:r w:rsidR="007677B3" w:rsidRPr="006D174E">
        <w:t xml:space="preserve">nvestment appraisal </w:t>
      </w:r>
      <w:r>
        <w:t xml:space="preserve">tool helps in analysis the financial management and its drawbacks in taking the financial decision. The </w:t>
      </w:r>
      <w:r w:rsidR="007677B3" w:rsidRPr="006D174E">
        <w:t xml:space="preserve">General Electronics </w:t>
      </w:r>
      <w:r>
        <w:t xml:space="preserve">is </w:t>
      </w:r>
      <w:r w:rsidR="007677B3" w:rsidRPr="006D174E">
        <w:t xml:space="preserve">recovering from declining profitability and cash shortages (see Appendix 1). </w:t>
      </w:r>
      <w:r>
        <w:t xml:space="preserve">However, capital budgeting shows </w:t>
      </w:r>
      <w:r w:rsidR="007677B3" w:rsidRPr="006D174E">
        <w:t>that limited financial resources are allocated to projects that deliver sustainable value creation while maintaining liquidity and risk control</w:t>
      </w:r>
      <w:r>
        <w:t xml:space="preserve"> in </w:t>
      </w:r>
      <w:r w:rsidR="00D50C63">
        <w:t xml:space="preserve">business </w:t>
      </w:r>
      <w:r w:rsidR="00D50C63" w:rsidRPr="006D174E">
        <w:t>(</w:t>
      </w:r>
      <w:r w:rsidR="007677B3" w:rsidRPr="006D174E">
        <w:t>Ramdhan et al., 2025).</w:t>
      </w:r>
      <w:r>
        <w:t xml:space="preserve"> In context with the data given, </w:t>
      </w:r>
      <w:r w:rsidR="007677B3" w:rsidRPr="006D174E">
        <w:rPr>
          <w:rStyle w:val="Strong"/>
        </w:rPr>
        <w:t>Alpha</w:t>
      </w:r>
      <w:r w:rsidR="007677B3" w:rsidRPr="006D174E">
        <w:t xml:space="preserve">, </w:t>
      </w:r>
      <w:r w:rsidR="007677B3" w:rsidRPr="006D174E">
        <w:rPr>
          <w:rStyle w:val="Strong"/>
        </w:rPr>
        <w:t>Beta</w:t>
      </w:r>
      <w:r w:rsidR="007677B3" w:rsidRPr="006D174E">
        <w:t xml:space="preserve">, and </w:t>
      </w:r>
      <w:r w:rsidR="007677B3" w:rsidRPr="006D174E">
        <w:rPr>
          <w:rStyle w:val="Strong"/>
        </w:rPr>
        <w:t>Gamma</w:t>
      </w:r>
      <w:r>
        <w:t xml:space="preserve"> are being considered and showing there </w:t>
      </w:r>
      <w:r w:rsidR="00D50C63">
        <w:t xml:space="preserve">is </w:t>
      </w:r>
      <w:r w:rsidR="00D50C63" w:rsidRPr="006D174E">
        <w:t>10</w:t>
      </w:r>
      <w:r>
        <w:t xml:space="preserve"> % discount rate and 25 % tax. There is </w:t>
      </w:r>
      <w:r w:rsidR="007677B3" w:rsidRPr="006D174E">
        <w:t xml:space="preserve">each project’s viability has been evaluated </w:t>
      </w:r>
      <w:r w:rsidRPr="006D174E">
        <w:t xml:space="preserve">through </w:t>
      </w:r>
      <w:r>
        <w:rPr>
          <w:rStyle w:val="Strong"/>
        </w:rPr>
        <w:t xml:space="preserve">by using the financial </w:t>
      </w:r>
      <w:r w:rsidR="00D50C63">
        <w:rPr>
          <w:rStyle w:val="Strong"/>
        </w:rPr>
        <w:t>investment</w:t>
      </w:r>
      <w:r>
        <w:rPr>
          <w:rStyle w:val="Strong"/>
        </w:rPr>
        <w:t xml:space="preserve"> tools. </w:t>
      </w:r>
      <w:r>
        <w:t xml:space="preserve"> The data is shown in the table. </w:t>
      </w:r>
    </w:p>
    <w:p w14:paraId="7EA47715" w14:textId="77777777" w:rsidR="007677B3" w:rsidRPr="006D174E" w:rsidRDefault="007677B3" w:rsidP="006D174E">
      <w:pPr>
        <w:pStyle w:val="Heading2"/>
        <w:spacing w:before="240" w:beforeAutospacing="0" w:after="240" w:afterAutospacing="0" w:line="360" w:lineRule="auto"/>
        <w:jc w:val="both"/>
        <w:rPr>
          <w:sz w:val="24"/>
          <w:szCs w:val="24"/>
        </w:rPr>
      </w:pPr>
      <w:bookmarkStart w:id="59" w:name="_Toc211680211"/>
      <w:bookmarkStart w:id="60" w:name="_Toc212192270"/>
      <w:r w:rsidRPr="006D174E">
        <w:rPr>
          <w:rStyle w:val="Strong"/>
          <w:b/>
          <w:bCs/>
          <w:sz w:val="24"/>
          <w:szCs w:val="24"/>
        </w:rPr>
        <w:t>5.1 Payback Period Analysis</w:t>
      </w:r>
      <w:bookmarkEnd w:id="59"/>
      <w:bookmarkEnd w:id="60"/>
    </w:p>
    <w:p w14:paraId="067969FA" w14:textId="77777777" w:rsidR="007677B3" w:rsidRPr="006D174E" w:rsidRDefault="00A65F55" w:rsidP="006D174E">
      <w:pPr>
        <w:pStyle w:val="NormalWeb"/>
        <w:spacing w:before="240" w:beforeAutospacing="0" w:after="240" w:afterAutospacing="0" w:line="360" w:lineRule="auto"/>
        <w:jc w:val="both"/>
      </w:pPr>
      <w:r>
        <w:t xml:space="preserve">It shows the time requirement of taking back the investment amount made in the business.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2"/>
        <w:gridCol w:w="1221"/>
        <w:gridCol w:w="1655"/>
        <w:gridCol w:w="1113"/>
        <w:gridCol w:w="1606"/>
        <w:gridCol w:w="1422"/>
        <w:gridCol w:w="1731"/>
      </w:tblGrid>
      <w:tr w:rsidR="007677B3" w:rsidRPr="006D174E" w14:paraId="4D1A49E1" w14:textId="77777777" w:rsidTr="007677B3">
        <w:trPr>
          <w:tblHeader/>
          <w:tblCellSpacing w:w="15" w:type="dxa"/>
        </w:trPr>
        <w:tc>
          <w:tcPr>
            <w:tcW w:w="0" w:type="auto"/>
            <w:vAlign w:val="center"/>
            <w:hideMark/>
          </w:tcPr>
          <w:p w14:paraId="7AE34D58"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Year</w:t>
            </w:r>
          </w:p>
        </w:tc>
        <w:tc>
          <w:tcPr>
            <w:tcW w:w="0" w:type="auto"/>
            <w:vAlign w:val="center"/>
            <w:hideMark/>
          </w:tcPr>
          <w:p w14:paraId="7D1B2BA4"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Alpha Cash Flow (£m)</w:t>
            </w:r>
          </w:p>
        </w:tc>
        <w:tc>
          <w:tcPr>
            <w:tcW w:w="0" w:type="auto"/>
            <w:vAlign w:val="center"/>
            <w:hideMark/>
          </w:tcPr>
          <w:p w14:paraId="16662A64"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Cumulative Alpha (£m)</w:t>
            </w:r>
          </w:p>
        </w:tc>
        <w:tc>
          <w:tcPr>
            <w:tcW w:w="0" w:type="auto"/>
            <w:vAlign w:val="center"/>
            <w:hideMark/>
          </w:tcPr>
          <w:p w14:paraId="687502E3"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Beta Cash Flow (£m)</w:t>
            </w:r>
          </w:p>
        </w:tc>
        <w:tc>
          <w:tcPr>
            <w:tcW w:w="0" w:type="auto"/>
            <w:vAlign w:val="center"/>
            <w:hideMark/>
          </w:tcPr>
          <w:p w14:paraId="6BFCA005"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Cumulative Beta (£m)</w:t>
            </w:r>
          </w:p>
        </w:tc>
        <w:tc>
          <w:tcPr>
            <w:tcW w:w="0" w:type="auto"/>
            <w:vAlign w:val="center"/>
            <w:hideMark/>
          </w:tcPr>
          <w:p w14:paraId="5593CCB0"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Gamma Cash Flow (£m)</w:t>
            </w:r>
          </w:p>
        </w:tc>
        <w:tc>
          <w:tcPr>
            <w:tcW w:w="0" w:type="auto"/>
            <w:vAlign w:val="center"/>
            <w:hideMark/>
          </w:tcPr>
          <w:p w14:paraId="222052EE"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Cumulative Gamma (£m)</w:t>
            </w:r>
          </w:p>
        </w:tc>
      </w:tr>
      <w:tr w:rsidR="007677B3" w:rsidRPr="006D174E" w14:paraId="0C0304C8" w14:textId="77777777" w:rsidTr="007677B3">
        <w:trPr>
          <w:tblCellSpacing w:w="15" w:type="dxa"/>
        </w:trPr>
        <w:tc>
          <w:tcPr>
            <w:tcW w:w="0" w:type="auto"/>
            <w:vAlign w:val="center"/>
            <w:hideMark/>
          </w:tcPr>
          <w:p w14:paraId="0491194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w:t>
            </w:r>
          </w:p>
        </w:tc>
        <w:tc>
          <w:tcPr>
            <w:tcW w:w="0" w:type="auto"/>
            <w:vAlign w:val="center"/>
            <w:hideMark/>
          </w:tcPr>
          <w:p w14:paraId="4D8378C8"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–30.00</w:t>
            </w:r>
          </w:p>
        </w:tc>
        <w:tc>
          <w:tcPr>
            <w:tcW w:w="0" w:type="auto"/>
            <w:vAlign w:val="center"/>
            <w:hideMark/>
          </w:tcPr>
          <w:p w14:paraId="47BD6F2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–30.00</w:t>
            </w:r>
          </w:p>
        </w:tc>
        <w:tc>
          <w:tcPr>
            <w:tcW w:w="0" w:type="auto"/>
            <w:vAlign w:val="center"/>
            <w:hideMark/>
          </w:tcPr>
          <w:p w14:paraId="495D93CA"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–25.00</w:t>
            </w:r>
          </w:p>
        </w:tc>
        <w:tc>
          <w:tcPr>
            <w:tcW w:w="0" w:type="auto"/>
            <w:vAlign w:val="center"/>
            <w:hideMark/>
          </w:tcPr>
          <w:p w14:paraId="25FB92D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–25.00</w:t>
            </w:r>
          </w:p>
        </w:tc>
        <w:tc>
          <w:tcPr>
            <w:tcW w:w="0" w:type="auto"/>
            <w:vAlign w:val="center"/>
            <w:hideMark/>
          </w:tcPr>
          <w:p w14:paraId="3F3BF4A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–35.00</w:t>
            </w:r>
          </w:p>
        </w:tc>
        <w:tc>
          <w:tcPr>
            <w:tcW w:w="0" w:type="auto"/>
            <w:vAlign w:val="center"/>
            <w:hideMark/>
          </w:tcPr>
          <w:p w14:paraId="7A25824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–35.00</w:t>
            </w:r>
          </w:p>
        </w:tc>
      </w:tr>
      <w:tr w:rsidR="007677B3" w:rsidRPr="006D174E" w14:paraId="01E17EF2" w14:textId="77777777" w:rsidTr="007677B3">
        <w:trPr>
          <w:tblCellSpacing w:w="15" w:type="dxa"/>
        </w:trPr>
        <w:tc>
          <w:tcPr>
            <w:tcW w:w="0" w:type="auto"/>
            <w:vAlign w:val="center"/>
            <w:hideMark/>
          </w:tcPr>
          <w:p w14:paraId="6ADB283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w:t>
            </w:r>
          </w:p>
        </w:tc>
        <w:tc>
          <w:tcPr>
            <w:tcW w:w="0" w:type="auto"/>
            <w:vAlign w:val="center"/>
            <w:hideMark/>
          </w:tcPr>
          <w:p w14:paraId="74A2FC0E"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9.00</w:t>
            </w:r>
          </w:p>
        </w:tc>
        <w:tc>
          <w:tcPr>
            <w:tcW w:w="0" w:type="auto"/>
            <w:vAlign w:val="center"/>
            <w:hideMark/>
          </w:tcPr>
          <w:p w14:paraId="2BAC8DEA"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–21.00</w:t>
            </w:r>
          </w:p>
        </w:tc>
        <w:tc>
          <w:tcPr>
            <w:tcW w:w="0" w:type="auto"/>
            <w:vAlign w:val="center"/>
            <w:hideMark/>
          </w:tcPr>
          <w:p w14:paraId="15CD01FB"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10.00</w:t>
            </w:r>
          </w:p>
        </w:tc>
        <w:tc>
          <w:tcPr>
            <w:tcW w:w="0" w:type="auto"/>
            <w:vAlign w:val="center"/>
            <w:hideMark/>
          </w:tcPr>
          <w:p w14:paraId="74D1C7F5"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–15.00</w:t>
            </w:r>
          </w:p>
        </w:tc>
        <w:tc>
          <w:tcPr>
            <w:tcW w:w="0" w:type="auto"/>
            <w:vAlign w:val="center"/>
            <w:hideMark/>
          </w:tcPr>
          <w:p w14:paraId="2EF0F0AD"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11.00</w:t>
            </w:r>
          </w:p>
        </w:tc>
        <w:tc>
          <w:tcPr>
            <w:tcW w:w="0" w:type="auto"/>
            <w:vAlign w:val="center"/>
            <w:hideMark/>
          </w:tcPr>
          <w:p w14:paraId="6C4DDB4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–24.00</w:t>
            </w:r>
          </w:p>
        </w:tc>
      </w:tr>
      <w:tr w:rsidR="007677B3" w:rsidRPr="006D174E" w14:paraId="369C2EE4" w14:textId="77777777" w:rsidTr="007677B3">
        <w:trPr>
          <w:tblCellSpacing w:w="15" w:type="dxa"/>
        </w:trPr>
        <w:tc>
          <w:tcPr>
            <w:tcW w:w="0" w:type="auto"/>
            <w:vAlign w:val="center"/>
            <w:hideMark/>
          </w:tcPr>
          <w:p w14:paraId="42CFC91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w:t>
            </w:r>
          </w:p>
        </w:tc>
        <w:tc>
          <w:tcPr>
            <w:tcW w:w="0" w:type="auto"/>
            <w:vAlign w:val="center"/>
            <w:hideMark/>
          </w:tcPr>
          <w:p w14:paraId="3861E2D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9.00</w:t>
            </w:r>
          </w:p>
        </w:tc>
        <w:tc>
          <w:tcPr>
            <w:tcW w:w="0" w:type="auto"/>
            <w:vAlign w:val="center"/>
            <w:hideMark/>
          </w:tcPr>
          <w:p w14:paraId="1E47B25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–12.00</w:t>
            </w:r>
          </w:p>
        </w:tc>
        <w:tc>
          <w:tcPr>
            <w:tcW w:w="0" w:type="auto"/>
            <w:vAlign w:val="center"/>
            <w:hideMark/>
          </w:tcPr>
          <w:p w14:paraId="3F91667B"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10.00</w:t>
            </w:r>
          </w:p>
        </w:tc>
        <w:tc>
          <w:tcPr>
            <w:tcW w:w="0" w:type="auto"/>
            <w:vAlign w:val="center"/>
            <w:hideMark/>
          </w:tcPr>
          <w:p w14:paraId="48156356"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–5.00</w:t>
            </w:r>
          </w:p>
        </w:tc>
        <w:tc>
          <w:tcPr>
            <w:tcW w:w="0" w:type="auto"/>
            <w:vAlign w:val="center"/>
            <w:hideMark/>
          </w:tcPr>
          <w:p w14:paraId="7790AE3C"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11.00</w:t>
            </w:r>
          </w:p>
        </w:tc>
        <w:tc>
          <w:tcPr>
            <w:tcW w:w="0" w:type="auto"/>
            <w:vAlign w:val="center"/>
            <w:hideMark/>
          </w:tcPr>
          <w:p w14:paraId="0479256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–13.00</w:t>
            </w:r>
          </w:p>
        </w:tc>
      </w:tr>
      <w:tr w:rsidR="007677B3" w:rsidRPr="006D174E" w14:paraId="430C4840" w14:textId="77777777" w:rsidTr="007677B3">
        <w:trPr>
          <w:tblCellSpacing w:w="15" w:type="dxa"/>
        </w:trPr>
        <w:tc>
          <w:tcPr>
            <w:tcW w:w="0" w:type="auto"/>
            <w:vAlign w:val="center"/>
            <w:hideMark/>
          </w:tcPr>
          <w:p w14:paraId="20BFB83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w:t>
            </w:r>
          </w:p>
        </w:tc>
        <w:tc>
          <w:tcPr>
            <w:tcW w:w="0" w:type="auto"/>
            <w:vAlign w:val="center"/>
            <w:hideMark/>
          </w:tcPr>
          <w:p w14:paraId="760A280F"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9.00</w:t>
            </w:r>
          </w:p>
        </w:tc>
        <w:tc>
          <w:tcPr>
            <w:tcW w:w="0" w:type="auto"/>
            <w:vAlign w:val="center"/>
            <w:hideMark/>
          </w:tcPr>
          <w:p w14:paraId="7EAFB5BD"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–3.00</w:t>
            </w:r>
          </w:p>
        </w:tc>
        <w:tc>
          <w:tcPr>
            <w:tcW w:w="0" w:type="auto"/>
            <w:vAlign w:val="center"/>
            <w:hideMark/>
          </w:tcPr>
          <w:p w14:paraId="35DC224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10.00</w:t>
            </w:r>
          </w:p>
        </w:tc>
        <w:tc>
          <w:tcPr>
            <w:tcW w:w="0" w:type="auto"/>
            <w:vAlign w:val="center"/>
            <w:hideMark/>
          </w:tcPr>
          <w:p w14:paraId="591ABE3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+5.00</w:t>
            </w:r>
          </w:p>
        </w:tc>
        <w:tc>
          <w:tcPr>
            <w:tcW w:w="0" w:type="auto"/>
            <w:vAlign w:val="center"/>
            <w:hideMark/>
          </w:tcPr>
          <w:p w14:paraId="71FF9945"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11.00</w:t>
            </w:r>
          </w:p>
        </w:tc>
        <w:tc>
          <w:tcPr>
            <w:tcW w:w="0" w:type="auto"/>
            <w:vAlign w:val="center"/>
            <w:hideMark/>
          </w:tcPr>
          <w:p w14:paraId="75A7D7BC"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–2.00</w:t>
            </w:r>
          </w:p>
        </w:tc>
      </w:tr>
      <w:tr w:rsidR="007677B3" w:rsidRPr="006D174E" w14:paraId="0F4862E7" w14:textId="77777777" w:rsidTr="007677B3">
        <w:trPr>
          <w:tblCellSpacing w:w="15" w:type="dxa"/>
        </w:trPr>
        <w:tc>
          <w:tcPr>
            <w:tcW w:w="0" w:type="auto"/>
            <w:vAlign w:val="center"/>
            <w:hideMark/>
          </w:tcPr>
          <w:p w14:paraId="493C89F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w:t>
            </w:r>
          </w:p>
        </w:tc>
        <w:tc>
          <w:tcPr>
            <w:tcW w:w="0" w:type="auto"/>
            <w:vAlign w:val="center"/>
            <w:hideMark/>
          </w:tcPr>
          <w:p w14:paraId="3285332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9.00</w:t>
            </w:r>
          </w:p>
        </w:tc>
        <w:tc>
          <w:tcPr>
            <w:tcW w:w="0" w:type="auto"/>
            <w:vAlign w:val="center"/>
            <w:hideMark/>
          </w:tcPr>
          <w:p w14:paraId="3B082D05"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+6.00</w:t>
            </w:r>
          </w:p>
        </w:tc>
        <w:tc>
          <w:tcPr>
            <w:tcW w:w="0" w:type="auto"/>
            <w:vAlign w:val="center"/>
            <w:hideMark/>
          </w:tcPr>
          <w:p w14:paraId="43B3E81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10.00</w:t>
            </w:r>
          </w:p>
        </w:tc>
        <w:tc>
          <w:tcPr>
            <w:tcW w:w="0" w:type="auto"/>
            <w:vAlign w:val="center"/>
            <w:hideMark/>
          </w:tcPr>
          <w:p w14:paraId="67DB9AF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+15.00</w:t>
            </w:r>
          </w:p>
        </w:tc>
        <w:tc>
          <w:tcPr>
            <w:tcW w:w="0" w:type="auto"/>
            <w:vAlign w:val="center"/>
            <w:hideMark/>
          </w:tcPr>
          <w:p w14:paraId="6ED3C83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11.00</w:t>
            </w:r>
          </w:p>
        </w:tc>
        <w:tc>
          <w:tcPr>
            <w:tcW w:w="0" w:type="auto"/>
            <w:vAlign w:val="center"/>
            <w:hideMark/>
          </w:tcPr>
          <w:p w14:paraId="4DB40C4A"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+9.00</w:t>
            </w:r>
          </w:p>
        </w:tc>
      </w:tr>
      <w:tr w:rsidR="007677B3" w:rsidRPr="006D174E" w14:paraId="49FCB0CD" w14:textId="77777777" w:rsidTr="007677B3">
        <w:trPr>
          <w:tblCellSpacing w:w="15" w:type="dxa"/>
        </w:trPr>
        <w:tc>
          <w:tcPr>
            <w:tcW w:w="0" w:type="auto"/>
            <w:vAlign w:val="center"/>
            <w:hideMark/>
          </w:tcPr>
          <w:p w14:paraId="6707009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lastRenderedPageBreak/>
              <w:t>5</w:t>
            </w:r>
          </w:p>
        </w:tc>
        <w:tc>
          <w:tcPr>
            <w:tcW w:w="0" w:type="auto"/>
            <w:vAlign w:val="center"/>
            <w:hideMark/>
          </w:tcPr>
          <w:p w14:paraId="12AECEC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9.00</w:t>
            </w:r>
          </w:p>
        </w:tc>
        <w:tc>
          <w:tcPr>
            <w:tcW w:w="0" w:type="auto"/>
            <w:vAlign w:val="center"/>
            <w:hideMark/>
          </w:tcPr>
          <w:p w14:paraId="573EFF3B"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+15.00</w:t>
            </w:r>
          </w:p>
        </w:tc>
        <w:tc>
          <w:tcPr>
            <w:tcW w:w="0" w:type="auto"/>
            <w:vAlign w:val="center"/>
            <w:hideMark/>
          </w:tcPr>
          <w:p w14:paraId="26D265F5"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10.00</w:t>
            </w:r>
          </w:p>
        </w:tc>
        <w:tc>
          <w:tcPr>
            <w:tcW w:w="0" w:type="auto"/>
            <w:vAlign w:val="center"/>
            <w:hideMark/>
          </w:tcPr>
          <w:p w14:paraId="709E349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+25.00</w:t>
            </w:r>
          </w:p>
        </w:tc>
        <w:tc>
          <w:tcPr>
            <w:tcW w:w="0" w:type="auto"/>
            <w:vAlign w:val="center"/>
            <w:hideMark/>
          </w:tcPr>
          <w:p w14:paraId="0054040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11.00</w:t>
            </w:r>
          </w:p>
        </w:tc>
        <w:tc>
          <w:tcPr>
            <w:tcW w:w="0" w:type="auto"/>
            <w:vAlign w:val="center"/>
            <w:hideMark/>
          </w:tcPr>
          <w:p w14:paraId="322B80E5"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+20.00</w:t>
            </w:r>
          </w:p>
        </w:tc>
      </w:tr>
    </w:tbl>
    <w:p w14:paraId="7E178801"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Payback Calculations:</w:t>
      </w:r>
    </w:p>
    <w:p w14:paraId="67C97EE7" w14:textId="77777777" w:rsidR="007677B3" w:rsidRPr="006D174E" w:rsidRDefault="007677B3" w:rsidP="006D174E">
      <w:pPr>
        <w:numPr>
          <w:ilvl w:val="0"/>
          <w:numId w:val="3"/>
        </w:numPr>
        <w:spacing w:before="240" w:after="240" w:line="360" w:lineRule="auto"/>
        <w:ind w:left="0"/>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 xml:space="preserve">Alpha = 2 + (3/9) = </w:t>
      </w:r>
      <w:r w:rsidRPr="006D174E">
        <w:rPr>
          <w:rFonts w:ascii="Times New Roman" w:eastAsia="Times New Roman" w:hAnsi="Times New Roman" w:cs="Times New Roman"/>
          <w:b/>
          <w:bCs/>
          <w:sz w:val="24"/>
          <w:szCs w:val="24"/>
        </w:rPr>
        <w:t xml:space="preserve">3.33 </w:t>
      </w:r>
      <w:r w:rsidR="00D50C63" w:rsidRPr="006D174E">
        <w:rPr>
          <w:rFonts w:ascii="Times New Roman" w:eastAsia="Times New Roman" w:hAnsi="Times New Roman" w:cs="Times New Roman"/>
          <w:b/>
          <w:bCs/>
          <w:sz w:val="24"/>
          <w:szCs w:val="24"/>
        </w:rPr>
        <w:t>yrs.</w:t>
      </w:r>
    </w:p>
    <w:p w14:paraId="38165D87" w14:textId="77777777" w:rsidR="007677B3" w:rsidRPr="006D174E" w:rsidRDefault="007677B3" w:rsidP="006D174E">
      <w:pPr>
        <w:numPr>
          <w:ilvl w:val="0"/>
          <w:numId w:val="3"/>
        </w:numPr>
        <w:spacing w:before="240" w:after="240" w:line="360" w:lineRule="auto"/>
        <w:ind w:left="0"/>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 xml:space="preserve">Beta = 2 + (5/10) = </w:t>
      </w:r>
      <w:r w:rsidRPr="006D174E">
        <w:rPr>
          <w:rFonts w:ascii="Times New Roman" w:eastAsia="Times New Roman" w:hAnsi="Times New Roman" w:cs="Times New Roman"/>
          <w:b/>
          <w:bCs/>
          <w:sz w:val="24"/>
          <w:szCs w:val="24"/>
        </w:rPr>
        <w:t xml:space="preserve">2.5 </w:t>
      </w:r>
      <w:r w:rsidR="00D50C63" w:rsidRPr="006D174E">
        <w:rPr>
          <w:rFonts w:ascii="Times New Roman" w:eastAsia="Times New Roman" w:hAnsi="Times New Roman" w:cs="Times New Roman"/>
          <w:b/>
          <w:bCs/>
          <w:sz w:val="24"/>
          <w:szCs w:val="24"/>
        </w:rPr>
        <w:t>yrs.</w:t>
      </w:r>
    </w:p>
    <w:p w14:paraId="4D0ED650" w14:textId="77777777" w:rsidR="007677B3" w:rsidRPr="006D174E" w:rsidRDefault="007677B3" w:rsidP="006D174E">
      <w:pPr>
        <w:numPr>
          <w:ilvl w:val="0"/>
          <w:numId w:val="3"/>
        </w:numPr>
        <w:spacing w:before="240" w:after="240" w:line="360" w:lineRule="auto"/>
        <w:ind w:left="0"/>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 xml:space="preserve">Gamma = 3 + (2/11) = </w:t>
      </w:r>
      <w:r w:rsidRPr="006D174E">
        <w:rPr>
          <w:rFonts w:ascii="Times New Roman" w:eastAsia="Times New Roman" w:hAnsi="Times New Roman" w:cs="Times New Roman"/>
          <w:b/>
          <w:bCs/>
          <w:sz w:val="24"/>
          <w:szCs w:val="24"/>
        </w:rPr>
        <w:t xml:space="preserve">3.18 </w:t>
      </w:r>
      <w:r w:rsidR="00D50C63" w:rsidRPr="006D174E">
        <w:rPr>
          <w:rFonts w:ascii="Times New Roman" w:eastAsia="Times New Roman" w:hAnsi="Times New Roman" w:cs="Times New Roman"/>
          <w:b/>
          <w:bCs/>
          <w:sz w:val="24"/>
          <w:szCs w:val="24"/>
        </w:rPr>
        <w:t>yrs.</w:t>
      </w:r>
    </w:p>
    <w:p w14:paraId="4D40A5D6" w14:textId="77777777" w:rsidR="007677B3" w:rsidRPr="006D174E" w:rsidRDefault="00A65F55"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above data shown there is P</w:t>
      </w:r>
      <w:r w:rsidR="007677B3" w:rsidRPr="006D174E">
        <w:rPr>
          <w:rFonts w:ascii="Times New Roman" w:eastAsia="Times New Roman" w:hAnsi="Times New Roman" w:cs="Times New Roman"/>
          <w:b/>
          <w:bCs/>
          <w:sz w:val="24"/>
          <w:szCs w:val="24"/>
        </w:rPr>
        <w:t>roject Beta</w:t>
      </w:r>
      <w:r w:rsidR="007677B3" w:rsidRPr="006D174E">
        <w:rPr>
          <w:rFonts w:ascii="Times New Roman" w:eastAsia="Times New Roman" w:hAnsi="Times New Roman" w:cs="Times New Roman"/>
          <w:sz w:val="24"/>
          <w:szCs w:val="24"/>
        </w:rPr>
        <w:t xml:space="preserve"> achieves payback fastest at </w:t>
      </w:r>
      <w:r w:rsidR="007677B3" w:rsidRPr="006D174E">
        <w:rPr>
          <w:rFonts w:ascii="Times New Roman" w:eastAsia="Times New Roman" w:hAnsi="Times New Roman" w:cs="Times New Roman"/>
          <w:b/>
          <w:bCs/>
          <w:sz w:val="24"/>
          <w:szCs w:val="24"/>
        </w:rPr>
        <w:t>2.5 years</w:t>
      </w:r>
      <w:r>
        <w:rPr>
          <w:rFonts w:ascii="Times New Roman" w:eastAsia="Times New Roman" w:hAnsi="Times New Roman" w:cs="Times New Roman"/>
          <w:sz w:val="24"/>
          <w:szCs w:val="24"/>
        </w:rPr>
        <w:t xml:space="preserve"> which is </w:t>
      </w:r>
      <w:r w:rsidR="007677B3" w:rsidRPr="006D174E">
        <w:rPr>
          <w:rFonts w:ascii="Times New Roman" w:eastAsia="Times New Roman" w:hAnsi="Times New Roman" w:cs="Times New Roman"/>
          <w:sz w:val="24"/>
          <w:szCs w:val="24"/>
        </w:rPr>
        <w:t>essential adva</w:t>
      </w:r>
      <w:r>
        <w:rPr>
          <w:rFonts w:ascii="Times New Roman" w:eastAsia="Times New Roman" w:hAnsi="Times New Roman" w:cs="Times New Roman"/>
          <w:sz w:val="24"/>
          <w:szCs w:val="24"/>
        </w:rPr>
        <w:t>ntage in conserving liquidity. However</w:t>
      </w:r>
      <w:r w:rsidR="00D50C63">
        <w:rPr>
          <w:rFonts w:ascii="Times New Roman" w:eastAsia="Times New Roman" w:hAnsi="Times New Roman" w:cs="Times New Roman"/>
          <w:sz w:val="24"/>
          <w:szCs w:val="24"/>
        </w:rPr>
        <w:t xml:space="preserve">, </w:t>
      </w:r>
      <w:r w:rsidR="00D50C63" w:rsidRPr="006D174E">
        <w:rPr>
          <w:rFonts w:ascii="Times New Roman" w:eastAsia="Times New Roman" w:hAnsi="Times New Roman" w:cs="Times New Roman"/>
          <w:sz w:val="24"/>
          <w:szCs w:val="24"/>
        </w:rPr>
        <w:t>Alpha</w:t>
      </w:r>
      <w:r w:rsidR="007677B3" w:rsidRPr="006D174E">
        <w:rPr>
          <w:rFonts w:ascii="Times New Roman" w:eastAsia="Times New Roman" w:hAnsi="Times New Roman" w:cs="Times New Roman"/>
          <w:sz w:val="24"/>
          <w:szCs w:val="24"/>
        </w:rPr>
        <w:t xml:space="preserve"> and Gamma also recover within the project life, their longer cycles would keep cash tied up. </w:t>
      </w:r>
      <w:r>
        <w:rPr>
          <w:rFonts w:ascii="Times New Roman" w:eastAsia="Times New Roman" w:hAnsi="Times New Roman" w:cs="Times New Roman"/>
          <w:sz w:val="24"/>
          <w:szCs w:val="24"/>
        </w:rPr>
        <w:t>Therefore,</w:t>
      </w:r>
      <w:r w:rsidR="007677B3" w:rsidRPr="006D174E">
        <w:rPr>
          <w:rFonts w:ascii="Times New Roman" w:eastAsia="Times New Roman" w:hAnsi="Times New Roman" w:cs="Times New Roman"/>
          <w:sz w:val="24"/>
          <w:szCs w:val="24"/>
        </w:rPr>
        <w:t xml:space="preserve"> quick recovery directly strengthens working capital and short-term solvency (Fadillah et al., 2024).</w:t>
      </w:r>
    </w:p>
    <w:p w14:paraId="4426D65D" w14:textId="77777777" w:rsidR="007677B3" w:rsidRPr="006D174E" w:rsidRDefault="007677B3" w:rsidP="006D174E">
      <w:pPr>
        <w:pStyle w:val="Heading2"/>
        <w:spacing w:before="240" w:beforeAutospacing="0" w:after="240" w:afterAutospacing="0" w:line="360" w:lineRule="auto"/>
        <w:jc w:val="both"/>
        <w:rPr>
          <w:sz w:val="24"/>
          <w:szCs w:val="24"/>
        </w:rPr>
      </w:pPr>
      <w:bookmarkStart w:id="61" w:name="_Toc211680212"/>
      <w:bookmarkStart w:id="62" w:name="_Toc212192271"/>
      <w:r w:rsidRPr="006D174E">
        <w:rPr>
          <w:rStyle w:val="Strong"/>
          <w:b/>
          <w:bCs/>
          <w:sz w:val="24"/>
          <w:szCs w:val="24"/>
        </w:rPr>
        <w:t>5.2 Accounting Rate of Return (ARR)</w:t>
      </w:r>
      <w:bookmarkEnd w:id="61"/>
      <w:bookmarkEnd w:id="62"/>
    </w:p>
    <w:p w14:paraId="20FA7C89" w14:textId="77777777" w:rsidR="007677B3" w:rsidRPr="006D174E" w:rsidRDefault="00A65F55" w:rsidP="006D174E">
      <w:pPr>
        <w:pStyle w:val="NormalWeb"/>
        <w:spacing w:before="240" w:beforeAutospacing="0" w:after="240" w:afterAutospacing="0" w:line="360" w:lineRule="auto"/>
        <w:jc w:val="both"/>
      </w:pPr>
      <w:r>
        <w:t>This tool helps or</w:t>
      </w:r>
      <w:r w:rsidR="007677B3" w:rsidRPr="006D174E">
        <w:t xml:space="preserve"> measures profitability using accounting income. </w:t>
      </w:r>
      <w:r>
        <w:t xml:space="preserve">This tools focuses on </w:t>
      </w:r>
      <w:r w:rsidR="007677B3" w:rsidRPr="006D174E">
        <w:t>net profit rather th</w:t>
      </w:r>
      <w:r>
        <w:t xml:space="preserve">an cash flow and showing </w:t>
      </w:r>
      <w:r w:rsidR="007677B3" w:rsidRPr="006D174E">
        <w:t>accounting-based view of project efficiency.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55"/>
        <w:gridCol w:w="3073"/>
        <w:gridCol w:w="1582"/>
        <w:gridCol w:w="1075"/>
      </w:tblGrid>
      <w:tr w:rsidR="007677B3" w:rsidRPr="006D174E" w14:paraId="548655FA" w14:textId="77777777" w:rsidTr="007677B3">
        <w:trPr>
          <w:tblHeader/>
          <w:tblCellSpacing w:w="15" w:type="dxa"/>
        </w:trPr>
        <w:tc>
          <w:tcPr>
            <w:tcW w:w="0" w:type="auto"/>
            <w:vAlign w:val="center"/>
            <w:hideMark/>
          </w:tcPr>
          <w:p w14:paraId="448869F0"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Project</w:t>
            </w:r>
          </w:p>
        </w:tc>
        <w:tc>
          <w:tcPr>
            <w:tcW w:w="0" w:type="auto"/>
            <w:vAlign w:val="center"/>
            <w:hideMark/>
          </w:tcPr>
          <w:p w14:paraId="4054F1AE"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Average Annual Profit (£m)*</w:t>
            </w:r>
          </w:p>
        </w:tc>
        <w:tc>
          <w:tcPr>
            <w:tcW w:w="0" w:type="auto"/>
            <w:vAlign w:val="center"/>
            <w:hideMark/>
          </w:tcPr>
          <w:p w14:paraId="15C883B8"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Formula</w:t>
            </w:r>
          </w:p>
        </w:tc>
        <w:tc>
          <w:tcPr>
            <w:tcW w:w="0" w:type="auto"/>
            <w:vAlign w:val="center"/>
            <w:hideMark/>
          </w:tcPr>
          <w:p w14:paraId="4871E5B6"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ARR (%)</w:t>
            </w:r>
          </w:p>
        </w:tc>
      </w:tr>
      <w:tr w:rsidR="007677B3" w:rsidRPr="006D174E" w14:paraId="6F7256B3" w14:textId="77777777" w:rsidTr="007677B3">
        <w:trPr>
          <w:tblCellSpacing w:w="15" w:type="dxa"/>
        </w:trPr>
        <w:tc>
          <w:tcPr>
            <w:tcW w:w="0" w:type="auto"/>
            <w:vAlign w:val="center"/>
            <w:hideMark/>
          </w:tcPr>
          <w:p w14:paraId="409D300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Alpha</w:t>
            </w:r>
          </w:p>
        </w:tc>
        <w:tc>
          <w:tcPr>
            <w:tcW w:w="0" w:type="auto"/>
            <w:vAlign w:val="center"/>
            <w:hideMark/>
          </w:tcPr>
          <w:p w14:paraId="6947B4E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 × 0.75)= 6.75</w:t>
            </w:r>
          </w:p>
        </w:tc>
        <w:tc>
          <w:tcPr>
            <w:tcW w:w="0" w:type="auto"/>
            <w:vAlign w:val="center"/>
            <w:hideMark/>
          </w:tcPr>
          <w:p w14:paraId="7EF435F8"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=(6.75/30)*100</w:t>
            </w:r>
          </w:p>
        </w:tc>
        <w:tc>
          <w:tcPr>
            <w:tcW w:w="0" w:type="auto"/>
            <w:vAlign w:val="center"/>
            <w:hideMark/>
          </w:tcPr>
          <w:p w14:paraId="79C7577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22.5 %</w:t>
            </w:r>
          </w:p>
        </w:tc>
      </w:tr>
      <w:tr w:rsidR="007677B3" w:rsidRPr="006D174E" w14:paraId="183AC6DD" w14:textId="77777777" w:rsidTr="007677B3">
        <w:trPr>
          <w:tblCellSpacing w:w="15" w:type="dxa"/>
        </w:trPr>
        <w:tc>
          <w:tcPr>
            <w:tcW w:w="0" w:type="auto"/>
            <w:vAlign w:val="center"/>
            <w:hideMark/>
          </w:tcPr>
          <w:p w14:paraId="10750A5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Beta</w:t>
            </w:r>
          </w:p>
        </w:tc>
        <w:tc>
          <w:tcPr>
            <w:tcW w:w="0" w:type="auto"/>
            <w:vAlign w:val="center"/>
            <w:hideMark/>
          </w:tcPr>
          <w:p w14:paraId="751A621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 × 0.75)= 7.50</w:t>
            </w:r>
          </w:p>
        </w:tc>
        <w:tc>
          <w:tcPr>
            <w:tcW w:w="0" w:type="auto"/>
            <w:vAlign w:val="center"/>
            <w:hideMark/>
          </w:tcPr>
          <w:p w14:paraId="1031752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=(7.5/25)*100</w:t>
            </w:r>
          </w:p>
        </w:tc>
        <w:tc>
          <w:tcPr>
            <w:tcW w:w="0" w:type="auto"/>
            <w:vAlign w:val="center"/>
            <w:hideMark/>
          </w:tcPr>
          <w:p w14:paraId="5467412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30.0 %</w:t>
            </w:r>
          </w:p>
        </w:tc>
      </w:tr>
      <w:tr w:rsidR="007677B3" w:rsidRPr="006D174E" w14:paraId="31D790CD" w14:textId="77777777" w:rsidTr="007677B3">
        <w:trPr>
          <w:tblCellSpacing w:w="15" w:type="dxa"/>
        </w:trPr>
        <w:tc>
          <w:tcPr>
            <w:tcW w:w="0" w:type="auto"/>
            <w:vAlign w:val="center"/>
            <w:hideMark/>
          </w:tcPr>
          <w:p w14:paraId="21EBDC6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lastRenderedPageBreak/>
              <w:t>Gamma</w:t>
            </w:r>
          </w:p>
        </w:tc>
        <w:tc>
          <w:tcPr>
            <w:tcW w:w="0" w:type="auto"/>
            <w:vAlign w:val="center"/>
            <w:hideMark/>
          </w:tcPr>
          <w:p w14:paraId="70727C1B"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 × 0.75)= 8.25</w:t>
            </w:r>
          </w:p>
        </w:tc>
        <w:tc>
          <w:tcPr>
            <w:tcW w:w="0" w:type="auto"/>
            <w:vAlign w:val="center"/>
            <w:hideMark/>
          </w:tcPr>
          <w:p w14:paraId="73101636"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=(8.25/35)*100</w:t>
            </w:r>
          </w:p>
        </w:tc>
        <w:tc>
          <w:tcPr>
            <w:tcW w:w="0" w:type="auto"/>
            <w:vAlign w:val="center"/>
            <w:hideMark/>
          </w:tcPr>
          <w:p w14:paraId="4B30FFF1"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23.6 %</w:t>
            </w:r>
          </w:p>
        </w:tc>
      </w:tr>
    </w:tbl>
    <w:p w14:paraId="35DAD08E" w14:textId="77777777" w:rsidR="007677B3" w:rsidRPr="006D174E" w:rsidRDefault="007677B3" w:rsidP="006D174E">
      <w:pPr>
        <w:pStyle w:val="NormalWeb"/>
        <w:spacing w:before="240" w:beforeAutospacing="0" w:after="240" w:afterAutospacing="0" w:line="360" w:lineRule="auto"/>
        <w:jc w:val="both"/>
      </w:pPr>
      <w:r w:rsidRPr="006D174E">
        <w:t>*Tax adjusted at 25 % → Net profit = 0.75 × cash inflow.</w:t>
      </w:r>
    </w:p>
    <w:p w14:paraId="267FA763" w14:textId="77777777" w:rsidR="007677B3" w:rsidRPr="006D174E" w:rsidRDefault="00A65F55" w:rsidP="006D174E">
      <w:pPr>
        <w:pStyle w:val="NormalWeb"/>
        <w:spacing w:before="240" w:beforeAutospacing="0" w:after="240" w:afterAutospacing="0" w:line="360" w:lineRule="auto"/>
        <w:jc w:val="both"/>
      </w:pPr>
      <w:r>
        <w:t>This shows that</w:t>
      </w:r>
      <w:r w:rsidR="007677B3" w:rsidRPr="006D174E">
        <w:t xml:space="preserve"> </w:t>
      </w:r>
      <w:r w:rsidR="007677B3" w:rsidRPr="006D174E">
        <w:rPr>
          <w:rStyle w:val="Strong"/>
        </w:rPr>
        <w:t>Beta</w:t>
      </w:r>
      <w:r w:rsidR="007677B3" w:rsidRPr="006D174E">
        <w:t xml:space="preserve"> again outperforms </w:t>
      </w:r>
      <w:r>
        <w:t xml:space="preserve">others with an ARR of 30 % and </w:t>
      </w:r>
      <w:r w:rsidRPr="006D174E">
        <w:t>return</w:t>
      </w:r>
      <w:r w:rsidR="007677B3" w:rsidRPr="006D174E">
        <w:t xml:space="preserve"> level significantly exceeds the company’s historical ROA</w:t>
      </w:r>
      <w:r>
        <w:t xml:space="preserve"> </w:t>
      </w:r>
      <w:r w:rsidR="00D50C63">
        <w:t>as shown</w:t>
      </w:r>
      <w:r>
        <w:t xml:space="preserve"> in Appendix 1. It is</w:t>
      </w:r>
      <w:r w:rsidR="007677B3" w:rsidRPr="006D174E">
        <w:t xml:space="preserve"> implying a substantial improvement in asset </w:t>
      </w:r>
      <w:r w:rsidR="00D50C63" w:rsidRPr="006D174E">
        <w:t>utilization</w:t>
      </w:r>
      <w:r w:rsidR="007677B3" w:rsidRPr="006D174E">
        <w:t xml:space="preserve">. </w:t>
      </w:r>
      <w:r w:rsidR="00D50C63">
        <w:t>Therefore</w:t>
      </w:r>
      <w:r>
        <w:t>, ARR</w:t>
      </w:r>
      <w:r w:rsidR="007677B3" w:rsidRPr="006D174E">
        <w:t xml:space="preserve"> ignores time value; therefore, the analysis continues with discounted measures (Liu et al., 2024).</w:t>
      </w:r>
    </w:p>
    <w:p w14:paraId="0A45459A" w14:textId="77777777" w:rsidR="007677B3" w:rsidRPr="006D174E" w:rsidRDefault="007677B3" w:rsidP="006D174E">
      <w:pPr>
        <w:pStyle w:val="Heading2"/>
        <w:spacing w:before="240" w:beforeAutospacing="0" w:after="240" w:afterAutospacing="0" w:line="360" w:lineRule="auto"/>
        <w:jc w:val="both"/>
        <w:rPr>
          <w:sz w:val="24"/>
          <w:szCs w:val="24"/>
        </w:rPr>
      </w:pPr>
      <w:bookmarkStart w:id="63" w:name="_Toc211680213"/>
      <w:bookmarkStart w:id="64" w:name="_Toc212192272"/>
      <w:r w:rsidRPr="006D174E">
        <w:rPr>
          <w:rStyle w:val="Strong"/>
          <w:b/>
          <w:bCs/>
          <w:sz w:val="24"/>
          <w:szCs w:val="24"/>
        </w:rPr>
        <w:t>5.3 Net Present Value (NPV)</w:t>
      </w:r>
      <w:bookmarkEnd w:id="63"/>
      <w:bookmarkEnd w:id="64"/>
    </w:p>
    <w:p w14:paraId="1E8BE71C" w14:textId="77777777" w:rsidR="007677B3" w:rsidRPr="006D174E" w:rsidRDefault="007677B3" w:rsidP="006D174E">
      <w:pPr>
        <w:pStyle w:val="NormalWeb"/>
        <w:spacing w:before="240" w:beforeAutospacing="0" w:after="240" w:afterAutospacing="0" w:line="360" w:lineRule="auto"/>
        <w:jc w:val="both"/>
      </w:pPr>
      <w:r w:rsidRPr="006D174E">
        <w:t>NPV reflects total wealth creation by discounting all future inflows to present value.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2"/>
        <w:gridCol w:w="1900"/>
        <w:gridCol w:w="1627"/>
        <w:gridCol w:w="1467"/>
        <w:gridCol w:w="1842"/>
      </w:tblGrid>
      <w:tr w:rsidR="007677B3" w:rsidRPr="006D174E" w14:paraId="069E5946" w14:textId="77777777" w:rsidTr="007677B3">
        <w:trPr>
          <w:tblHeader/>
          <w:tblCellSpacing w:w="15" w:type="dxa"/>
        </w:trPr>
        <w:tc>
          <w:tcPr>
            <w:tcW w:w="0" w:type="auto"/>
            <w:vAlign w:val="center"/>
            <w:hideMark/>
          </w:tcPr>
          <w:p w14:paraId="782DDF8E"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Year</w:t>
            </w:r>
          </w:p>
        </w:tc>
        <w:tc>
          <w:tcPr>
            <w:tcW w:w="0" w:type="auto"/>
            <w:vAlign w:val="center"/>
            <w:hideMark/>
          </w:tcPr>
          <w:p w14:paraId="12E6483E"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PV Factor (10 %)</w:t>
            </w:r>
          </w:p>
        </w:tc>
        <w:tc>
          <w:tcPr>
            <w:tcW w:w="0" w:type="auto"/>
            <w:vAlign w:val="center"/>
            <w:hideMark/>
          </w:tcPr>
          <w:p w14:paraId="276E3D87"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Alpha PV (£m)</w:t>
            </w:r>
          </w:p>
        </w:tc>
        <w:tc>
          <w:tcPr>
            <w:tcW w:w="0" w:type="auto"/>
            <w:vAlign w:val="center"/>
            <w:hideMark/>
          </w:tcPr>
          <w:p w14:paraId="4B3B3710"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Beta PV (£m)</w:t>
            </w:r>
          </w:p>
        </w:tc>
        <w:tc>
          <w:tcPr>
            <w:tcW w:w="0" w:type="auto"/>
            <w:vAlign w:val="center"/>
            <w:hideMark/>
          </w:tcPr>
          <w:p w14:paraId="39BC448B"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Gamma PV (£m)</w:t>
            </w:r>
          </w:p>
        </w:tc>
      </w:tr>
      <w:tr w:rsidR="007677B3" w:rsidRPr="006D174E" w14:paraId="730FAFF4" w14:textId="77777777" w:rsidTr="007677B3">
        <w:trPr>
          <w:tblCellSpacing w:w="15" w:type="dxa"/>
        </w:trPr>
        <w:tc>
          <w:tcPr>
            <w:tcW w:w="0" w:type="auto"/>
            <w:vAlign w:val="center"/>
            <w:hideMark/>
          </w:tcPr>
          <w:p w14:paraId="03D37E91"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w:t>
            </w:r>
          </w:p>
        </w:tc>
        <w:tc>
          <w:tcPr>
            <w:tcW w:w="0" w:type="auto"/>
            <w:vAlign w:val="center"/>
            <w:hideMark/>
          </w:tcPr>
          <w:p w14:paraId="63AB33A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1.000</w:t>
            </w:r>
          </w:p>
        </w:tc>
        <w:tc>
          <w:tcPr>
            <w:tcW w:w="0" w:type="auto"/>
            <w:vAlign w:val="center"/>
            <w:hideMark/>
          </w:tcPr>
          <w:p w14:paraId="39E86EBF"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–30.000</w:t>
            </w:r>
          </w:p>
        </w:tc>
        <w:tc>
          <w:tcPr>
            <w:tcW w:w="0" w:type="auto"/>
            <w:vAlign w:val="center"/>
            <w:hideMark/>
          </w:tcPr>
          <w:p w14:paraId="24ED654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–25.000</w:t>
            </w:r>
          </w:p>
        </w:tc>
        <w:tc>
          <w:tcPr>
            <w:tcW w:w="0" w:type="auto"/>
            <w:vAlign w:val="center"/>
            <w:hideMark/>
          </w:tcPr>
          <w:p w14:paraId="425286F1"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–35.000</w:t>
            </w:r>
          </w:p>
        </w:tc>
      </w:tr>
      <w:tr w:rsidR="007677B3" w:rsidRPr="006D174E" w14:paraId="0CBE1C29" w14:textId="77777777" w:rsidTr="007677B3">
        <w:trPr>
          <w:tblCellSpacing w:w="15" w:type="dxa"/>
        </w:trPr>
        <w:tc>
          <w:tcPr>
            <w:tcW w:w="0" w:type="auto"/>
            <w:vAlign w:val="center"/>
            <w:hideMark/>
          </w:tcPr>
          <w:p w14:paraId="3BDE0CC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w:t>
            </w:r>
          </w:p>
        </w:tc>
        <w:tc>
          <w:tcPr>
            <w:tcW w:w="0" w:type="auto"/>
            <w:vAlign w:val="center"/>
            <w:hideMark/>
          </w:tcPr>
          <w:p w14:paraId="509C8F0C"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0.909</w:t>
            </w:r>
          </w:p>
        </w:tc>
        <w:tc>
          <w:tcPr>
            <w:tcW w:w="0" w:type="auto"/>
            <w:vAlign w:val="center"/>
            <w:hideMark/>
          </w:tcPr>
          <w:p w14:paraId="2128A30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8.181</w:t>
            </w:r>
          </w:p>
        </w:tc>
        <w:tc>
          <w:tcPr>
            <w:tcW w:w="0" w:type="auto"/>
            <w:vAlign w:val="center"/>
            <w:hideMark/>
          </w:tcPr>
          <w:p w14:paraId="2F029A4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9.090</w:t>
            </w:r>
          </w:p>
        </w:tc>
        <w:tc>
          <w:tcPr>
            <w:tcW w:w="0" w:type="auto"/>
            <w:vAlign w:val="center"/>
            <w:hideMark/>
          </w:tcPr>
          <w:p w14:paraId="11E4AC9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9.999</w:t>
            </w:r>
          </w:p>
        </w:tc>
      </w:tr>
      <w:tr w:rsidR="007677B3" w:rsidRPr="006D174E" w14:paraId="2ED7993F" w14:textId="77777777" w:rsidTr="007677B3">
        <w:trPr>
          <w:tblCellSpacing w:w="15" w:type="dxa"/>
        </w:trPr>
        <w:tc>
          <w:tcPr>
            <w:tcW w:w="0" w:type="auto"/>
            <w:vAlign w:val="center"/>
            <w:hideMark/>
          </w:tcPr>
          <w:p w14:paraId="744B1BAC"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w:t>
            </w:r>
          </w:p>
        </w:tc>
        <w:tc>
          <w:tcPr>
            <w:tcW w:w="0" w:type="auto"/>
            <w:vAlign w:val="center"/>
            <w:hideMark/>
          </w:tcPr>
          <w:p w14:paraId="007179F8"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0.826</w:t>
            </w:r>
          </w:p>
        </w:tc>
        <w:tc>
          <w:tcPr>
            <w:tcW w:w="0" w:type="auto"/>
            <w:vAlign w:val="center"/>
            <w:hideMark/>
          </w:tcPr>
          <w:p w14:paraId="1C60C28A"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7.434</w:t>
            </w:r>
          </w:p>
        </w:tc>
        <w:tc>
          <w:tcPr>
            <w:tcW w:w="0" w:type="auto"/>
            <w:vAlign w:val="center"/>
            <w:hideMark/>
          </w:tcPr>
          <w:p w14:paraId="4713D86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8.260</w:t>
            </w:r>
          </w:p>
        </w:tc>
        <w:tc>
          <w:tcPr>
            <w:tcW w:w="0" w:type="auto"/>
            <w:vAlign w:val="center"/>
            <w:hideMark/>
          </w:tcPr>
          <w:p w14:paraId="5F613268"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9.086</w:t>
            </w:r>
          </w:p>
        </w:tc>
      </w:tr>
      <w:tr w:rsidR="007677B3" w:rsidRPr="006D174E" w14:paraId="07E57801" w14:textId="77777777" w:rsidTr="007677B3">
        <w:trPr>
          <w:tblCellSpacing w:w="15" w:type="dxa"/>
        </w:trPr>
        <w:tc>
          <w:tcPr>
            <w:tcW w:w="0" w:type="auto"/>
            <w:vAlign w:val="center"/>
            <w:hideMark/>
          </w:tcPr>
          <w:p w14:paraId="201EDB15"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w:t>
            </w:r>
          </w:p>
        </w:tc>
        <w:tc>
          <w:tcPr>
            <w:tcW w:w="0" w:type="auto"/>
            <w:vAlign w:val="center"/>
            <w:hideMark/>
          </w:tcPr>
          <w:p w14:paraId="5AC77C4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0.751</w:t>
            </w:r>
          </w:p>
        </w:tc>
        <w:tc>
          <w:tcPr>
            <w:tcW w:w="0" w:type="auto"/>
            <w:vAlign w:val="center"/>
            <w:hideMark/>
          </w:tcPr>
          <w:p w14:paraId="31F6E2B1"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6.759</w:t>
            </w:r>
          </w:p>
        </w:tc>
        <w:tc>
          <w:tcPr>
            <w:tcW w:w="0" w:type="auto"/>
            <w:vAlign w:val="center"/>
            <w:hideMark/>
          </w:tcPr>
          <w:p w14:paraId="67637DA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7.510</w:t>
            </w:r>
          </w:p>
        </w:tc>
        <w:tc>
          <w:tcPr>
            <w:tcW w:w="0" w:type="auto"/>
            <w:vAlign w:val="center"/>
            <w:hideMark/>
          </w:tcPr>
          <w:p w14:paraId="6ED8A2AB"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8.261</w:t>
            </w:r>
          </w:p>
        </w:tc>
      </w:tr>
      <w:tr w:rsidR="007677B3" w:rsidRPr="006D174E" w14:paraId="1C818F75" w14:textId="77777777" w:rsidTr="007677B3">
        <w:trPr>
          <w:tblCellSpacing w:w="15" w:type="dxa"/>
        </w:trPr>
        <w:tc>
          <w:tcPr>
            <w:tcW w:w="0" w:type="auto"/>
            <w:vAlign w:val="center"/>
            <w:hideMark/>
          </w:tcPr>
          <w:p w14:paraId="093977D6"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w:t>
            </w:r>
          </w:p>
        </w:tc>
        <w:tc>
          <w:tcPr>
            <w:tcW w:w="0" w:type="auto"/>
            <w:vAlign w:val="center"/>
            <w:hideMark/>
          </w:tcPr>
          <w:p w14:paraId="7CB70C6E"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0.683</w:t>
            </w:r>
          </w:p>
        </w:tc>
        <w:tc>
          <w:tcPr>
            <w:tcW w:w="0" w:type="auto"/>
            <w:vAlign w:val="center"/>
            <w:hideMark/>
          </w:tcPr>
          <w:p w14:paraId="1564C0F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6.147</w:t>
            </w:r>
          </w:p>
        </w:tc>
        <w:tc>
          <w:tcPr>
            <w:tcW w:w="0" w:type="auto"/>
            <w:vAlign w:val="center"/>
            <w:hideMark/>
          </w:tcPr>
          <w:p w14:paraId="554A7D18"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6.830</w:t>
            </w:r>
          </w:p>
        </w:tc>
        <w:tc>
          <w:tcPr>
            <w:tcW w:w="0" w:type="auto"/>
            <w:vAlign w:val="center"/>
            <w:hideMark/>
          </w:tcPr>
          <w:p w14:paraId="25ADED9E"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7.513</w:t>
            </w:r>
          </w:p>
        </w:tc>
      </w:tr>
      <w:tr w:rsidR="007677B3" w:rsidRPr="006D174E" w14:paraId="70361B9A" w14:textId="77777777" w:rsidTr="007677B3">
        <w:trPr>
          <w:tblCellSpacing w:w="15" w:type="dxa"/>
        </w:trPr>
        <w:tc>
          <w:tcPr>
            <w:tcW w:w="0" w:type="auto"/>
            <w:vAlign w:val="center"/>
            <w:hideMark/>
          </w:tcPr>
          <w:p w14:paraId="316932CD"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lastRenderedPageBreak/>
              <w:t>5</w:t>
            </w:r>
          </w:p>
        </w:tc>
        <w:tc>
          <w:tcPr>
            <w:tcW w:w="0" w:type="auto"/>
            <w:vAlign w:val="center"/>
            <w:hideMark/>
          </w:tcPr>
          <w:p w14:paraId="2BCEBE4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0.621</w:t>
            </w:r>
          </w:p>
        </w:tc>
        <w:tc>
          <w:tcPr>
            <w:tcW w:w="0" w:type="auto"/>
            <w:vAlign w:val="center"/>
            <w:hideMark/>
          </w:tcPr>
          <w:p w14:paraId="3565D75F"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5.589</w:t>
            </w:r>
          </w:p>
        </w:tc>
        <w:tc>
          <w:tcPr>
            <w:tcW w:w="0" w:type="auto"/>
            <w:vAlign w:val="center"/>
            <w:hideMark/>
          </w:tcPr>
          <w:p w14:paraId="1F0438D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6.210</w:t>
            </w:r>
          </w:p>
        </w:tc>
        <w:tc>
          <w:tcPr>
            <w:tcW w:w="0" w:type="auto"/>
            <w:vAlign w:val="center"/>
            <w:hideMark/>
          </w:tcPr>
          <w:p w14:paraId="00058E7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6.831</w:t>
            </w:r>
          </w:p>
        </w:tc>
      </w:tr>
      <w:tr w:rsidR="007677B3" w:rsidRPr="006D174E" w14:paraId="603474BD" w14:textId="77777777" w:rsidTr="007677B3">
        <w:trPr>
          <w:tblCellSpacing w:w="15" w:type="dxa"/>
        </w:trPr>
        <w:tc>
          <w:tcPr>
            <w:tcW w:w="0" w:type="auto"/>
            <w:vAlign w:val="center"/>
            <w:hideMark/>
          </w:tcPr>
          <w:p w14:paraId="66CDD6A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Total PV of Inflows</w:t>
            </w:r>
          </w:p>
        </w:tc>
        <w:tc>
          <w:tcPr>
            <w:tcW w:w="0" w:type="auto"/>
            <w:vAlign w:val="center"/>
            <w:hideMark/>
          </w:tcPr>
          <w:p w14:paraId="01AFFE0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p>
        </w:tc>
        <w:tc>
          <w:tcPr>
            <w:tcW w:w="0" w:type="auto"/>
            <w:vAlign w:val="center"/>
            <w:hideMark/>
          </w:tcPr>
          <w:p w14:paraId="57B087EA"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34.11</w:t>
            </w:r>
          </w:p>
        </w:tc>
        <w:tc>
          <w:tcPr>
            <w:tcW w:w="0" w:type="auto"/>
            <w:vAlign w:val="center"/>
            <w:hideMark/>
          </w:tcPr>
          <w:p w14:paraId="2A5AF926"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37.90</w:t>
            </w:r>
          </w:p>
        </w:tc>
        <w:tc>
          <w:tcPr>
            <w:tcW w:w="0" w:type="auto"/>
            <w:vAlign w:val="center"/>
            <w:hideMark/>
          </w:tcPr>
          <w:p w14:paraId="7F14E8D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41.69</w:t>
            </w:r>
          </w:p>
        </w:tc>
      </w:tr>
      <w:tr w:rsidR="007677B3" w:rsidRPr="006D174E" w14:paraId="43E35865" w14:textId="77777777" w:rsidTr="007677B3">
        <w:trPr>
          <w:tblCellSpacing w:w="15" w:type="dxa"/>
        </w:trPr>
        <w:tc>
          <w:tcPr>
            <w:tcW w:w="0" w:type="auto"/>
            <w:vAlign w:val="center"/>
            <w:hideMark/>
          </w:tcPr>
          <w:p w14:paraId="576F5631"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NPV = PV–Cost</w:t>
            </w:r>
          </w:p>
        </w:tc>
        <w:tc>
          <w:tcPr>
            <w:tcW w:w="0" w:type="auto"/>
            <w:vAlign w:val="center"/>
            <w:hideMark/>
          </w:tcPr>
          <w:p w14:paraId="654A865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p>
        </w:tc>
        <w:tc>
          <w:tcPr>
            <w:tcW w:w="0" w:type="auto"/>
            <w:vAlign w:val="center"/>
            <w:hideMark/>
          </w:tcPr>
          <w:p w14:paraId="7710B110"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+4.11</w:t>
            </w:r>
          </w:p>
        </w:tc>
        <w:tc>
          <w:tcPr>
            <w:tcW w:w="0" w:type="auto"/>
            <w:vAlign w:val="center"/>
            <w:hideMark/>
          </w:tcPr>
          <w:p w14:paraId="56659D8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+12.90</w:t>
            </w:r>
          </w:p>
        </w:tc>
        <w:tc>
          <w:tcPr>
            <w:tcW w:w="0" w:type="auto"/>
            <w:vAlign w:val="center"/>
            <w:hideMark/>
          </w:tcPr>
          <w:p w14:paraId="1358773F"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+6.69</w:t>
            </w:r>
          </w:p>
        </w:tc>
      </w:tr>
    </w:tbl>
    <w:p w14:paraId="03C2F07D" w14:textId="77777777" w:rsidR="007677B3" w:rsidRPr="006D174E" w:rsidRDefault="007677B3" w:rsidP="006D174E">
      <w:pPr>
        <w:spacing w:before="240" w:after="240" w:line="360" w:lineRule="auto"/>
        <w:jc w:val="both"/>
        <w:rPr>
          <w:rFonts w:ascii="Times New Roman" w:hAnsi="Times New Roman" w:cs="Times New Roman"/>
          <w:sz w:val="24"/>
          <w:szCs w:val="24"/>
        </w:rPr>
      </w:pPr>
    </w:p>
    <w:p w14:paraId="68909E0F" w14:textId="77777777" w:rsidR="007677B3" w:rsidRPr="006D174E" w:rsidRDefault="00A65F55" w:rsidP="006D174E">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The improved NPV shows the increased return and in this case</w:t>
      </w:r>
      <w:r w:rsidR="007677B3" w:rsidRPr="006D174E">
        <w:rPr>
          <w:rFonts w:ascii="Times New Roman" w:hAnsi="Times New Roman" w:cs="Times New Roman"/>
          <w:sz w:val="24"/>
          <w:szCs w:val="24"/>
        </w:rPr>
        <w:t xml:space="preserve"> </w:t>
      </w:r>
      <w:r w:rsidR="007677B3" w:rsidRPr="006D174E">
        <w:rPr>
          <w:rStyle w:val="Strong"/>
          <w:rFonts w:ascii="Times New Roman" w:hAnsi="Times New Roman" w:cs="Times New Roman"/>
          <w:sz w:val="24"/>
          <w:szCs w:val="24"/>
        </w:rPr>
        <w:t>Beta</w:t>
      </w:r>
      <w:r>
        <w:rPr>
          <w:rFonts w:ascii="Times New Roman" w:hAnsi="Times New Roman" w:cs="Times New Roman"/>
          <w:sz w:val="24"/>
          <w:szCs w:val="24"/>
        </w:rPr>
        <w:t xml:space="preserve"> </w:t>
      </w:r>
      <w:r w:rsidR="007677B3" w:rsidRPr="006D174E">
        <w:rPr>
          <w:rFonts w:ascii="Times New Roman" w:hAnsi="Times New Roman" w:cs="Times New Roman"/>
          <w:sz w:val="24"/>
          <w:szCs w:val="24"/>
        </w:rPr>
        <w:t>produces the highest NPV (£12.9 m), making it the most profitable in discounted terms. According to Sudacevschi and Stefan Duicu (2024), positive NPV directly cor</w:t>
      </w:r>
      <w:r>
        <w:rPr>
          <w:rFonts w:ascii="Times New Roman" w:hAnsi="Times New Roman" w:cs="Times New Roman"/>
          <w:sz w:val="24"/>
          <w:szCs w:val="24"/>
        </w:rPr>
        <w:t xml:space="preserve">relates with value maximization in business. </w:t>
      </w:r>
    </w:p>
    <w:p w14:paraId="0F0C9D90"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5.4 Internal Rate of Return (IRR)</w:t>
      </w:r>
    </w:p>
    <w:p w14:paraId="7205574E"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IRR identifies the discount rate that makes NPV = 0, expressing return as a percentage.</w:t>
      </w:r>
    </w:p>
    <w:p w14:paraId="51F33BCD"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Table 4 – IRR Estimation by Interpolation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55"/>
        <w:gridCol w:w="1997"/>
        <w:gridCol w:w="1997"/>
        <w:gridCol w:w="2773"/>
        <w:gridCol w:w="995"/>
      </w:tblGrid>
      <w:tr w:rsidR="007677B3" w:rsidRPr="006D174E" w14:paraId="620DEAEF" w14:textId="77777777" w:rsidTr="007928C8">
        <w:trPr>
          <w:tblHeader/>
          <w:tblCellSpacing w:w="15" w:type="dxa"/>
        </w:trPr>
        <w:tc>
          <w:tcPr>
            <w:tcW w:w="0" w:type="auto"/>
            <w:vAlign w:val="center"/>
            <w:hideMark/>
          </w:tcPr>
          <w:p w14:paraId="7B4A1A09"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Project</w:t>
            </w:r>
          </w:p>
        </w:tc>
        <w:tc>
          <w:tcPr>
            <w:tcW w:w="0" w:type="auto"/>
            <w:vAlign w:val="center"/>
            <w:hideMark/>
          </w:tcPr>
          <w:p w14:paraId="64D5C10E"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NPV @ 10 % (£m)</w:t>
            </w:r>
          </w:p>
        </w:tc>
        <w:tc>
          <w:tcPr>
            <w:tcW w:w="0" w:type="auto"/>
            <w:vAlign w:val="center"/>
            <w:hideMark/>
          </w:tcPr>
          <w:p w14:paraId="775C249A"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NPV @ 15 % (£m)</w:t>
            </w:r>
          </w:p>
        </w:tc>
        <w:tc>
          <w:tcPr>
            <w:tcW w:w="0" w:type="auto"/>
            <w:vAlign w:val="center"/>
            <w:hideMark/>
          </w:tcPr>
          <w:p w14:paraId="24F52514"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Formula</w:t>
            </w:r>
          </w:p>
        </w:tc>
        <w:tc>
          <w:tcPr>
            <w:tcW w:w="0" w:type="auto"/>
            <w:vAlign w:val="center"/>
            <w:hideMark/>
          </w:tcPr>
          <w:p w14:paraId="6B9C30ED"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IRR (%)</w:t>
            </w:r>
          </w:p>
        </w:tc>
      </w:tr>
      <w:tr w:rsidR="007677B3" w:rsidRPr="006D174E" w14:paraId="555A2658" w14:textId="77777777" w:rsidTr="007928C8">
        <w:trPr>
          <w:tblCellSpacing w:w="15" w:type="dxa"/>
        </w:trPr>
        <w:tc>
          <w:tcPr>
            <w:tcW w:w="0" w:type="auto"/>
            <w:vAlign w:val="center"/>
            <w:hideMark/>
          </w:tcPr>
          <w:p w14:paraId="4AFAAFF6"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Alpha</w:t>
            </w:r>
          </w:p>
        </w:tc>
        <w:tc>
          <w:tcPr>
            <w:tcW w:w="0" w:type="auto"/>
            <w:vAlign w:val="center"/>
            <w:hideMark/>
          </w:tcPr>
          <w:p w14:paraId="0E3D41BE"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4.11</w:t>
            </w:r>
          </w:p>
        </w:tc>
        <w:tc>
          <w:tcPr>
            <w:tcW w:w="0" w:type="auto"/>
            <w:vAlign w:val="center"/>
            <w:hideMark/>
          </w:tcPr>
          <w:p w14:paraId="5F0FD38A"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–2.58</w:t>
            </w:r>
          </w:p>
        </w:tc>
        <w:tc>
          <w:tcPr>
            <w:tcW w:w="0" w:type="auto"/>
            <w:vAlign w:val="center"/>
            <w:hideMark/>
          </w:tcPr>
          <w:p w14:paraId="7D3333D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=10+[(4.11/(4.11+2.58))*5]</w:t>
            </w:r>
          </w:p>
        </w:tc>
        <w:tc>
          <w:tcPr>
            <w:tcW w:w="0" w:type="auto"/>
            <w:vAlign w:val="center"/>
            <w:hideMark/>
          </w:tcPr>
          <w:p w14:paraId="3058AFB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12.8 %</w:t>
            </w:r>
          </w:p>
        </w:tc>
      </w:tr>
      <w:tr w:rsidR="007677B3" w:rsidRPr="006D174E" w14:paraId="0465D03E" w14:textId="77777777" w:rsidTr="007928C8">
        <w:trPr>
          <w:tblCellSpacing w:w="15" w:type="dxa"/>
        </w:trPr>
        <w:tc>
          <w:tcPr>
            <w:tcW w:w="0" w:type="auto"/>
            <w:vAlign w:val="center"/>
            <w:hideMark/>
          </w:tcPr>
          <w:p w14:paraId="7E7DEB8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Beta</w:t>
            </w:r>
          </w:p>
        </w:tc>
        <w:tc>
          <w:tcPr>
            <w:tcW w:w="0" w:type="auto"/>
            <w:vAlign w:val="center"/>
            <w:hideMark/>
          </w:tcPr>
          <w:p w14:paraId="3FC0EFDC"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12.90</w:t>
            </w:r>
          </w:p>
        </w:tc>
        <w:tc>
          <w:tcPr>
            <w:tcW w:w="0" w:type="auto"/>
            <w:vAlign w:val="center"/>
            <w:hideMark/>
          </w:tcPr>
          <w:p w14:paraId="67BE9AB8"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3.15</w:t>
            </w:r>
          </w:p>
        </w:tc>
        <w:tc>
          <w:tcPr>
            <w:tcW w:w="0" w:type="auto"/>
            <w:vAlign w:val="center"/>
            <w:hideMark/>
          </w:tcPr>
          <w:p w14:paraId="16426FD8"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=10+[(12.9/(12.9-3.15))*5]</w:t>
            </w:r>
          </w:p>
        </w:tc>
        <w:tc>
          <w:tcPr>
            <w:tcW w:w="0" w:type="auto"/>
            <w:vAlign w:val="center"/>
            <w:hideMark/>
          </w:tcPr>
          <w:p w14:paraId="0DC973A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14.4 %</w:t>
            </w:r>
          </w:p>
        </w:tc>
      </w:tr>
      <w:tr w:rsidR="007677B3" w:rsidRPr="006D174E" w14:paraId="549C882F" w14:textId="77777777" w:rsidTr="007928C8">
        <w:trPr>
          <w:tblCellSpacing w:w="15" w:type="dxa"/>
        </w:trPr>
        <w:tc>
          <w:tcPr>
            <w:tcW w:w="0" w:type="auto"/>
            <w:vAlign w:val="center"/>
            <w:hideMark/>
          </w:tcPr>
          <w:p w14:paraId="50F28B7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Gamma</w:t>
            </w:r>
          </w:p>
        </w:tc>
        <w:tc>
          <w:tcPr>
            <w:tcW w:w="0" w:type="auto"/>
            <w:vAlign w:val="center"/>
            <w:hideMark/>
          </w:tcPr>
          <w:p w14:paraId="03DCAC1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6.69</w:t>
            </w:r>
          </w:p>
        </w:tc>
        <w:tc>
          <w:tcPr>
            <w:tcW w:w="0" w:type="auto"/>
            <w:vAlign w:val="center"/>
            <w:hideMark/>
          </w:tcPr>
          <w:p w14:paraId="43C1FA9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–1.92</w:t>
            </w:r>
          </w:p>
        </w:tc>
        <w:tc>
          <w:tcPr>
            <w:tcW w:w="0" w:type="auto"/>
            <w:vAlign w:val="center"/>
            <w:hideMark/>
          </w:tcPr>
          <w:p w14:paraId="03B75AB6"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=10+[(6.69/(6.69+1.92))*5]</w:t>
            </w:r>
          </w:p>
        </w:tc>
        <w:tc>
          <w:tcPr>
            <w:tcW w:w="0" w:type="auto"/>
            <w:vAlign w:val="center"/>
            <w:hideMark/>
          </w:tcPr>
          <w:p w14:paraId="2C1FA227"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13.4 %</w:t>
            </w:r>
          </w:p>
        </w:tc>
      </w:tr>
    </w:tbl>
    <w:p w14:paraId="142160FF" w14:textId="77777777" w:rsidR="007677B3" w:rsidRPr="006D174E" w:rsidRDefault="00A65F55"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is shown that </w:t>
      </w:r>
      <w:r w:rsidR="007677B3" w:rsidRPr="006D174E">
        <w:rPr>
          <w:rFonts w:ascii="Times New Roman" w:eastAsia="Times New Roman" w:hAnsi="Times New Roman" w:cs="Times New Roman"/>
          <w:sz w:val="24"/>
          <w:szCs w:val="24"/>
        </w:rPr>
        <w:t xml:space="preserve">IRRs exceed the 10 % WACC, </w:t>
      </w:r>
      <w:r>
        <w:rPr>
          <w:rFonts w:ascii="Times New Roman" w:eastAsia="Times New Roman" w:hAnsi="Times New Roman" w:cs="Times New Roman"/>
          <w:sz w:val="24"/>
          <w:szCs w:val="24"/>
        </w:rPr>
        <w:t>confirming project feasibility. However, Beta</w:t>
      </w:r>
      <w:r w:rsidR="007677B3" w:rsidRPr="006D174E">
        <w:rPr>
          <w:rFonts w:ascii="Times New Roman" w:eastAsia="Times New Roman" w:hAnsi="Times New Roman" w:cs="Times New Roman"/>
          <w:sz w:val="24"/>
          <w:szCs w:val="24"/>
        </w:rPr>
        <w:t xml:space="preserve"> achi</w:t>
      </w:r>
      <w:r>
        <w:rPr>
          <w:rFonts w:ascii="Times New Roman" w:eastAsia="Times New Roman" w:hAnsi="Times New Roman" w:cs="Times New Roman"/>
          <w:sz w:val="24"/>
          <w:szCs w:val="24"/>
        </w:rPr>
        <w:t>eves the highest IRR (14.4 %) which results to g</w:t>
      </w:r>
      <w:r w:rsidR="007677B3" w:rsidRPr="006D174E">
        <w:rPr>
          <w:rFonts w:ascii="Times New Roman" w:eastAsia="Times New Roman" w:hAnsi="Times New Roman" w:cs="Times New Roman"/>
          <w:sz w:val="24"/>
          <w:szCs w:val="24"/>
        </w:rPr>
        <w:t xml:space="preserve">iving a safety cushion of 4.4 percentage points above cost of capital. Akash et al. (2024) highlight that such a margin is vital for distressed firms </w:t>
      </w:r>
      <w:r>
        <w:rPr>
          <w:rFonts w:ascii="Times New Roman" w:eastAsia="Times New Roman" w:hAnsi="Times New Roman" w:cs="Times New Roman"/>
          <w:sz w:val="24"/>
          <w:szCs w:val="24"/>
        </w:rPr>
        <w:t xml:space="preserve">exposed to interest volatility undertaken. </w:t>
      </w:r>
    </w:p>
    <w:p w14:paraId="5F92DC05"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5.5 Profitability Index and Capital Rationing</w:t>
      </w:r>
    </w:p>
    <w:p w14:paraId="200F8D4D"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With a capital budget capped at £60 m, the Profitability Index (PI) helps determine which combination of projects yields maximum value.</w:t>
      </w:r>
    </w:p>
    <w:p w14:paraId="0FAC8284"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Table 5 – Profitability Index Computation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55"/>
        <w:gridCol w:w="2020"/>
        <w:gridCol w:w="2454"/>
        <w:gridCol w:w="1063"/>
        <w:gridCol w:w="515"/>
      </w:tblGrid>
      <w:tr w:rsidR="007677B3" w:rsidRPr="006D174E" w14:paraId="57FD2C1B" w14:textId="77777777" w:rsidTr="007677B3">
        <w:trPr>
          <w:tblHeader/>
          <w:tblCellSpacing w:w="15" w:type="dxa"/>
        </w:trPr>
        <w:tc>
          <w:tcPr>
            <w:tcW w:w="0" w:type="auto"/>
            <w:vAlign w:val="center"/>
            <w:hideMark/>
          </w:tcPr>
          <w:p w14:paraId="6817B6A0"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Project</w:t>
            </w:r>
          </w:p>
        </w:tc>
        <w:tc>
          <w:tcPr>
            <w:tcW w:w="0" w:type="auto"/>
            <w:vAlign w:val="center"/>
            <w:hideMark/>
          </w:tcPr>
          <w:p w14:paraId="70C60C90"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PV of Inflows (£m)</w:t>
            </w:r>
          </w:p>
        </w:tc>
        <w:tc>
          <w:tcPr>
            <w:tcW w:w="0" w:type="auto"/>
            <w:vAlign w:val="center"/>
            <w:hideMark/>
          </w:tcPr>
          <w:p w14:paraId="78DCD47D"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Initial Investment (£m)</w:t>
            </w:r>
          </w:p>
        </w:tc>
        <w:tc>
          <w:tcPr>
            <w:tcW w:w="0" w:type="auto"/>
            <w:vAlign w:val="center"/>
            <w:hideMark/>
          </w:tcPr>
          <w:p w14:paraId="4AD0BA11"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Formula</w:t>
            </w:r>
          </w:p>
        </w:tc>
        <w:tc>
          <w:tcPr>
            <w:tcW w:w="0" w:type="auto"/>
            <w:vAlign w:val="center"/>
            <w:hideMark/>
          </w:tcPr>
          <w:p w14:paraId="447F055A" w14:textId="77777777" w:rsidR="007677B3" w:rsidRPr="006D174E" w:rsidRDefault="007677B3"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PI</w:t>
            </w:r>
          </w:p>
        </w:tc>
      </w:tr>
      <w:tr w:rsidR="007677B3" w:rsidRPr="006D174E" w14:paraId="7DC9FE1E" w14:textId="77777777" w:rsidTr="007677B3">
        <w:trPr>
          <w:tblCellSpacing w:w="15" w:type="dxa"/>
        </w:trPr>
        <w:tc>
          <w:tcPr>
            <w:tcW w:w="0" w:type="auto"/>
            <w:vAlign w:val="center"/>
            <w:hideMark/>
          </w:tcPr>
          <w:p w14:paraId="2691DC8E"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Alpha</w:t>
            </w:r>
          </w:p>
        </w:tc>
        <w:tc>
          <w:tcPr>
            <w:tcW w:w="0" w:type="auto"/>
            <w:vAlign w:val="center"/>
            <w:hideMark/>
          </w:tcPr>
          <w:p w14:paraId="44C6F7C5"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34.11</w:t>
            </w:r>
          </w:p>
        </w:tc>
        <w:tc>
          <w:tcPr>
            <w:tcW w:w="0" w:type="auto"/>
            <w:vAlign w:val="center"/>
            <w:hideMark/>
          </w:tcPr>
          <w:p w14:paraId="201C25A6"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30</w:t>
            </w:r>
          </w:p>
        </w:tc>
        <w:tc>
          <w:tcPr>
            <w:tcW w:w="0" w:type="auto"/>
            <w:vAlign w:val="center"/>
            <w:hideMark/>
          </w:tcPr>
          <w:p w14:paraId="72DD060D"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=34.11/30</w:t>
            </w:r>
          </w:p>
        </w:tc>
        <w:tc>
          <w:tcPr>
            <w:tcW w:w="0" w:type="auto"/>
            <w:vAlign w:val="center"/>
            <w:hideMark/>
          </w:tcPr>
          <w:p w14:paraId="243E1C22"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1.14</w:t>
            </w:r>
          </w:p>
        </w:tc>
      </w:tr>
      <w:tr w:rsidR="007677B3" w:rsidRPr="006D174E" w14:paraId="0BAA0B72" w14:textId="77777777" w:rsidTr="007677B3">
        <w:trPr>
          <w:tblCellSpacing w:w="15" w:type="dxa"/>
        </w:trPr>
        <w:tc>
          <w:tcPr>
            <w:tcW w:w="0" w:type="auto"/>
            <w:vAlign w:val="center"/>
            <w:hideMark/>
          </w:tcPr>
          <w:p w14:paraId="4926C6D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Beta</w:t>
            </w:r>
          </w:p>
        </w:tc>
        <w:tc>
          <w:tcPr>
            <w:tcW w:w="0" w:type="auto"/>
            <w:vAlign w:val="center"/>
            <w:hideMark/>
          </w:tcPr>
          <w:p w14:paraId="6FA6654A"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37.90</w:t>
            </w:r>
          </w:p>
        </w:tc>
        <w:tc>
          <w:tcPr>
            <w:tcW w:w="0" w:type="auto"/>
            <w:vAlign w:val="center"/>
            <w:hideMark/>
          </w:tcPr>
          <w:p w14:paraId="5D88C38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25</w:t>
            </w:r>
          </w:p>
        </w:tc>
        <w:tc>
          <w:tcPr>
            <w:tcW w:w="0" w:type="auto"/>
            <w:vAlign w:val="center"/>
            <w:hideMark/>
          </w:tcPr>
          <w:p w14:paraId="62C16DB3"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=37.9/25</w:t>
            </w:r>
          </w:p>
        </w:tc>
        <w:tc>
          <w:tcPr>
            <w:tcW w:w="0" w:type="auto"/>
            <w:vAlign w:val="center"/>
            <w:hideMark/>
          </w:tcPr>
          <w:p w14:paraId="319A688F"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1.52</w:t>
            </w:r>
          </w:p>
        </w:tc>
      </w:tr>
      <w:tr w:rsidR="007677B3" w:rsidRPr="006D174E" w14:paraId="45812A03" w14:textId="77777777" w:rsidTr="007677B3">
        <w:trPr>
          <w:tblCellSpacing w:w="15" w:type="dxa"/>
        </w:trPr>
        <w:tc>
          <w:tcPr>
            <w:tcW w:w="0" w:type="auto"/>
            <w:vAlign w:val="center"/>
            <w:hideMark/>
          </w:tcPr>
          <w:p w14:paraId="1585D18F"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Gamma</w:t>
            </w:r>
          </w:p>
        </w:tc>
        <w:tc>
          <w:tcPr>
            <w:tcW w:w="0" w:type="auto"/>
            <w:vAlign w:val="center"/>
            <w:hideMark/>
          </w:tcPr>
          <w:p w14:paraId="49C516D1"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41.69</w:t>
            </w:r>
          </w:p>
        </w:tc>
        <w:tc>
          <w:tcPr>
            <w:tcW w:w="0" w:type="auto"/>
            <w:vAlign w:val="center"/>
            <w:hideMark/>
          </w:tcPr>
          <w:p w14:paraId="29092EC9"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35</w:t>
            </w:r>
          </w:p>
        </w:tc>
        <w:tc>
          <w:tcPr>
            <w:tcW w:w="0" w:type="auto"/>
            <w:vAlign w:val="center"/>
            <w:hideMark/>
          </w:tcPr>
          <w:p w14:paraId="6054AD35"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=41.69/35</w:t>
            </w:r>
          </w:p>
        </w:tc>
        <w:tc>
          <w:tcPr>
            <w:tcW w:w="0" w:type="auto"/>
            <w:vAlign w:val="center"/>
            <w:hideMark/>
          </w:tcPr>
          <w:p w14:paraId="2B85C271" w14:textId="77777777" w:rsidR="007677B3" w:rsidRPr="006D174E" w:rsidRDefault="007677B3"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1.19</w:t>
            </w:r>
          </w:p>
        </w:tc>
      </w:tr>
    </w:tbl>
    <w:p w14:paraId="0735A171" w14:textId="77777777" w:rsidR="007677B3" w:rsidRPr="006D174E" w:rsidRDefault="00A65F55"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shows that if PI is </w:t>
      </w:r>
      <w:r w:rsidR="007677B3" w:rsidRPr="006D174E">
        <w:rPr>
          <w:rFonts w:ascii="Times New Roman" w:eastAsia="Times New Roman" w:hAnsi="Times New Roman" w:cs="Times New Roman"/>
          <w:sz w:val="24"/>
          <w:szCs w:val="24"/>
        </w:rPr>
        <w:t xml:space="preserve">greater than 1 </w:t>
      </w:r>
      <w:r>
        <w:rPr>
          <w:rFonts w:ascii="Times New Roman" w:eastAsia="Times New Roman" w:hAnsi="Times New Roman" w:cs="Times New Roman"/>
          <w:sz w:val="24"/>
          <w:szCs w:val="24"/>
        </w:rPr>
        <w:t>then it indicates profitability. However, B</w:t>
      </w:r>
      <w:r w:rsidR="007677B3" w:rsidRPr="006D174E">
        <w:rPr>
          <w:rFonts w:ascii="Times New Roman" w:eastAsia="Times New Roman" w:hAnsi="Times New Roman" w:cs="Times New Roman"/>
          <w:sz w:val="24"/>
          <w:szCs w:val="24"/>
        </w:rPr>
        <w:t>eta again leads with 1.52, showing it creates £1.52</w:t>
      </w:r>
      <w:r>
        <w:rPr>
          <w:rFonts w:ascii="Times New Roman" w:eastAsia="Times New Roman" w:hAnsi="Times New Roman" w:cs="Times New Roman"/>
          <w:sz w:val="24"/>
          <w:szCs w:val="24"/>
        </w:rPr>
        <w:t xml:space="preserve"> of value for each £ invested. Therefore, u</w:t>
      </w:r>
      <w:r w:rsidR="007677B3" w:rsidRPr="006D174E">
        <w:rPr>
          <w:rFonts w:ascii="Times New Roman" w:eastAsia="Times New Roman" w:hAnsi="Times New Roman" w:cs="Times New Roman"/>
          <w:sz w:val="24"/>
          <w:szCs w:val="24"/>
        </w:rPr>
        <w:t>nder capital rationing, combining Alpha and Beta (£55 m total cost) produces</w:t>
      </w:r>
      <w:r>
        <w:rPr>
          <w:rFonts w:ascii="Times New Roman" w:eastAsia="Times New Roman" w:hAnsi="Times New Roman" w:cs="Times New Roman"/>
          <w:sz w:val="24"/>
          <w:szCs w:val="24"/>
        </w:rPr>
        <w:t xml:space="preserve"> a combined NPV of around £17 m i.e. within budget limits. However, </w:t>
      </w:r>
      <w:r w:rsidR="007677B3" w:rsidRPr="006D174E">
        <w:rPr>
          <w:rFonts w:ascii="Times New Roman" w:eastAsia="Times New Roman" w:hAnsi="Times New Roman" w:cs="Times New Roman"/>
          <w:sz w:val="24"/>
          <w:szCs w:val="24"/>
        </w:rPr>
        <w:t>reinforces Beta as the primary choice and Alpha as a supplementary option (Mastilo et al., 2024).</w:t>
      </w:r>
    </w:p>
    <w:p w14:paraId="2F7F1231" w14:textId="77777777" w:rsidR="006D174E" w:rsidRPr="006D174E" w:rsidRDefault="006D174E" w:rsidP="006D174E">
      <w:pPr>
        <w:pStyle w:val="Heading2"/>
        <w:spacing w:before="240" w:beforeAutospacing="0" w:after="240" w:afterAutospacing="0" w:line="360" w:lineRule="auto"/>
        <w:jc w:val="both"/>
        <w:rPr>
          <w:sz w:val="24"/>
          <w:szCs w:val="24"/>
        </w:rPr>
      </w:pPr>
      <w:bookmarkStart w:id="65" w:name="_Toc211680214"/>
      <w:bookmarkStart w:id="66" w:name="_Toc212192273"/>
      <w:r w:rsidRPr="006D174E">
        <w:rPr>
          <w:rStyle w:val="Strong"/>
          <w:b/>
          <w:bCs/>
          <w:sz w:val="24"/>
          <w:szCs w:val="24"/>
        </w:rPr>
        <w:t>5.6 Sensitivity and Risk Analysis</w:t>
      </w:r>
      <w:bookmarkEnd w:id="65"/>
      <w:bookmarkEnd w:id="66"/>
    </w:p>
    <w:p w14:paraId="38E9A6BC" w14:textId="77777777" w:rsidR="006D174E" w:rsidRPr="006D174E" w:rsidRDefault="006D174E" w:rsidP="006D174E">
      <w:pPr>
        <w:pStyle w:val="NormalWeb"/>
        <w:spacing w:before="240" w:beforeAutospacing="0" w:after="240" w:afterAutospacing="0" w:line="360" w:lineRule="auto"/>
        <w:jc w:val="both"/>
      </w:pPr>
      <w:r w:rsidRPr="006D174E">
        <w:t>To assess resilience under uncertainty, a ±10 % sensitivity test was applied to cash flows and costs.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4"/>
        <w:gridCol w:w="1800"/>
        <w:gridCol w:w="1640"/>
        <w:gridCol w:w="2015"/>
      </w:tblGrid>
      <w:tr w:rsidR="006D174E" w:rsidRPr="006D174E" w14:paraId="561D04B7" w14:textId="77777777" w:rsidTr="006D174E">
        <w:trPr>
          <w:tblHeader/>
          <w:tblCellSpacing w:w="15" w:type="dxa"/>
        </w:trPr>
        <w:tc>
          <w:tcPr>
            <w:tcW w:w="0" w:type="auto"/>
            <w:vAlign w:val="center"/>
            <w:hideMark/>
          </w:tcPr>
          <w:p w14:paraId="76AE5854"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lastRenderedPageBreak/>
              <w:t>Scenario</w:t>
            </w:r>
          </w:p>
        </w:tc>
        <w:tc>
          <w:tcPr>
            <w:tcW w:w="0" w:type="auto"/>
            <w:vAlign w:val="center"/>
            <w:hideMark/>
          </w:tcPr>
          <w:p w14:paraId="197F8D26"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Alpha NPV (£m)</w:t>
            </w:r>
          </w:p>
        </w:tc>
        <w:tc>
          <w:tcPr>
            <w:tcW w:w="0" w:type="auto"/>
            <w:vAlign w:val="center"/>
            <w:hideMark/>
          </w:tcPr>
          <w:p w14:paraId="4D569D61"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Beta NPV (£m)</w:t>
            </w:r>
          </w:p>
        </w:tc>
        <w:tc>
          <w:tcPr>
            <w:tcW w:w="0" w:type="auto"/>
            <w:vAlign w:val="center"/>
            <w:hideMark/>
          </w:tcPr>
          <w:p w14:paraId="0EE08362"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Gamma NPV (£m)</w:t>
            </w:r>
          </w:p>
        </w:tc>
      </w:tr>
      <w:tr w:rsidR="006D174E" w:rsidRPr="006D174E" w14:paraId="142D05FB" w14:textId="77777777" w:rsidTr="006D174E">
        <w:trPr>
          <w:tblCellSpacing w:w="15" w:type="dxa"/>
        </w:trPr>
        <w:tc>
          <w:tcPr>
            <w:tcW w:w="0" w:type="auto"/>
            <w:vAlign w:val="center"/>
            <w:hideMark/>
          </w:tcPr>
          <w:p w14:paraId="324AD093"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Base Case</w:t>
            </w:r>
          </w:p>
        </w:tc>
        <w:tc>
          <w:tcPr>
            <w:tcW w:w="0" w:type="auto"/>
            <w:vAlign w:val="center"/>
            <w:hideMark/>
          </w:tcPr>
          <w:p w14:paraId="7B30670C"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4.11</w:t>
            </w:r>
          </w:p>
        </w:tc>
        <w:tc>
          <w:tcPr>
            <w:tcW w:w="0" w:type="auto"/>
            <w:vAlign w:val="center"/>
            <w:hideMark/>
          </w:tcPr>
          <w:p w14:paraId="0AEE3AC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12.90</w:t>
            </w:r>
          </w:p>
        </w:tc>
        <w:tc>
          <w:tcPr>
            <w:tcW w:w="0" w:type="auto"/>
            <w:vAlign w:val="center"/>
            <w:hideMark/>
          </w:tcPr>
          <w:p w14:paraId="7051FB92"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6.69</w:t>
            </w:r>
          </w:p>
        </w:tc>
      </w:tr>
      <w:tr w:rsidR="006D174E" w:rsidRPr="006D174E" w14:paraId="39AD66F6" w14:textId="77777777" w:rsidTr="006D174E">
        <w:trPr>
          <w:tblCellSpacing w:w="15" w:type="dxa"/>
        </w:trPr>
        <w:tc>
          <w:tcPr>
            <w:tcW w:w="0" w:type="auto"/>
            <w:vAlign w:val="center"/>
            <w:hideMark/>
          </w:tcPr>
          <w:p w14:paraId="1E4B1E11"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+10 % Inflows</w:t>
            </w:r>
          </w:p>
        </w:tc>
        <w:tc>
          <w:tcPr>
            <w:tcW w:w="0" w:type="auto"/>
            <w:vAlign w:val="center"/>
            <w:hideMark/>
          </w:tcPr>
          <w:p w14:paraId="42CD284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7.52</w:t>
            </w:r>
          </w:p>
        </w:tc>
        <w:tc>
          <w:tcPr>
            <w:tcW w:w="0" w:type="auto"/>
            <w:vAlign w:val="center"/>
            <w:hideMark/>
          </w:tcPr>
          <w:p w14:paraId="538EE4D0"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16.99</w:t>
            </w:r>
          </w:p>
        </w:tc>
        <w:tc>
          <w:tcPr>
            <w:tcW w:w="0" w:type="auto"/>
            <w:vAlign w:val="center"/>
            <w:hideMark/>
          </w:tcPr>
          <w:p w14:paraId="2BECE22B"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10.85</w:t>
            </w:r>
          </w:p>
        </w:tc>
      </w:tr>
      <w:tr w:rsidR="006D174E" w:rsidRPr="006D174E" w14:paraId="2D96C561" w14:textId="77777777" w:rsidTr="006D174E">
        <w:trPr>
          <w:tblCellSpacing w:w="15" w:type="dxa"/>
        </w:trPr>
        <w:tc>
          <w:tcPr>
            <w:tcW w:w="0" w:type="auto"/>
            <w:vAlign w:val="center"/>
            <w:hideMark/>
          </w:tcPr>
          <w:p w14:paraId="4C53AEF4"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–10 % Inflows</w:t>
            </w:r>
          </w:p>
        </w:tc>
        <w:tc>
          <w:tcPr>
            <w:tcW w:w="0" w:type="auto"/>
            <w:vAlign w:val="center"/>
            <w:hideMark/>
          </w:tcPr>
          <w:p w14:paraId="416B9A5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0.70</w:t>
            </w:r>
          </w:p>
        </w:tc>
        <w:tc>
          <w:tcPr>
            <w:tcW w:w="0" w:type="auto"/>
            <w:vAlign w:val="center"/>
            <w:hideMark/>
          </w:tcPr>
          <w:p w14:paraId="580CAAF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8.81</w:t>
            </w:r>
          </w:p>
        </w:tc>
        <w:tc>
          <w:tcPr>
            <w:tcW w:w="0" w:type="auto"/>
            <w:vAlign w:val="center"/>
            <w:hideMark/>
          </w:tcPr>
          <w:p w14:paraId="79077169"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2.53</w:t>
            </w:r>
          </w:p>
        </w:tc>
      </w:tr>
      <w:tr w:rsidR="006D174E" w:rsidRPr="006D174E" w14:paraId="51658D18" w14:textId="77777777" w:rsidTr="006D174E">
        <w:trPr>
          <w:tblCellSpacing w:w="15" w:type="dxa"/>
        </w:trPr>
        <w:tc>
          <w:tcPr>
            <w:tcW w:w="0" w:type="auto"/>
            <w:vAlign w:val="center"/>
            <w:hideMark/>
          </w:tcPr>
          <w:p w14:paraId="0C1ED403"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+10 % Costs</w:t>
            </w:r>
          </w:p>
        </w:tc>
        <w:tc>
          <w:tcPr>
            <w:tcW w:w="0" w:type="auto"/>
            <w:vAlign w:val="center"/>
            <w:hideMark/>
          </w:tcPr>
          <w:p w14:paraId="15B82C4B"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1.11</w:t>
            </w:r>
          </w:p>
        </w:tc>
        <w:tc>
          <w:tcPr>
            <w:tcW w:w="0" w:type="auto"/>
            <w:vAlign w:val="center"/>
            <w:hideMark/>
          </w:tcPr>
          <w:p w14:paraId="5587EB5F"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10.40</w:t>
            </w:r>
          </w:p>
        </w:tc>
        <w:tc>
          <w:tcPr>
            <w:tcW w:w="0" w:type="auto"/>
            <w:vAlign w:val="center"/>
            <w:hideMark/>
          </w:tcPr>
          <w:p w14:paraId="5A5D8935"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4.19</w:t>
            </w:r>
          </w:p>
        </w:tc>
      </w:tr>
      <w:tr w:rsidR="006D174E" w:rsidRPr="006D174E" w14:paraId="068986F8" w14:textId="77777777" w:rsidTr="006D174E">
        <w:trPr>
          <w:tblCellSpacing w:w="15" w:type="dxa"/>
        </w:trPr>
        <w:tc>
          <w:tcPr>
            <w:tcW w:w="0" w:type="auto"/>
            <w:vAlign w:val="center"/>
            <w:hideMark/>
          </w:tcPr>
          <w:p w14:paraId="3FE2BF90"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–10 % Costs</w:t>
            </w:r>
          </w:p>
        </w:tc>
        <w:tc>
          <w:tcPr>
            <w:tcW w:w="0" w:type="auto"/>
            <w:vAlign w:val="center"/>
            <w:hideMark/>
          </w:tcPr>
          <w:p w14:paraId="78DBDC17"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7.11</w:t>
            </w:r>
          </w:p>
        </w:tc>
        <w:tc>
          <w:tcPr>
            <w:tcW w:w="0" w:type="auto"/>
            <w:vAlign w:val="center"/>
            <w:hideMark/>
          </w:tcPr>
          <w:p w14:paraId="259743F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15.40</w:t>
            </w:r>
          </w:p>
        </w:tc>
        <w:tc>
          <w:tcPr>
            <w:tcW w:w="0" w:type="auto"/>
            <w:vAlign w:val="center"/>
            <w:hideMark/>
          </w:tcPr>
          <w:p w14:paraId="3716F388"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9.19</w:t>
            </w:r>
          </w:p>
        </w:tc>
      </w:tr>
    </w:tbl>
    <w:p w14:paraId="650B9469" w14:textId="77777777" w:rsidR="006D174E" w:rsidRPr="006D174E" w:rsidRDefault="00A65F55"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w:t>
      </w:r>
      <w:r w:rsidR="006D174E" w:rsidRPr="006D174E">
        <w:rPr>
          <w:rFonts w:ascii="Times New Roman" w:eastAsia="Times New Roman" w:hAnsi="Times New Roman" w:cs="Times New Roman"/>
          <w:sz w:val="24"/>
          <w:szCs w:val="24"/>
        </w:rPr>
        <w:t xml:space="preserve">Beta remains positive under all stress scenarios, proving least sensitive to adverse changes. </w:t>
      </w:r>
      <w:r>
        <w:rPr>
          <w:rFonts w:ascii="Times New Roman" w:eastAsia="Times New Roman" w:hAnsi="Times New Roman" w:cs="Times New Roman"/>
          <w:sz w:val="24"/>
          <w:szCs w:val="24"/>
        </w:rPr>
        <w:t xml:space="preserve">As suggested by </w:t>
      </w:r>
      <w:r w:rsidR="006D174E" w:rsidRPr="006D174E">
        <w:rPr>
          <w:rFonts w:ascii="Times New Roman" w:eastAsia="Times New Roman" w:hAnsi="Times New Roman" w:cs="Times New Roman"/>
          <w:sz w:val="24"/>
          <w:szCs w:val="24"/>
        </w:rPr>
        <w:t>Zouaghi (2024) stable NPVs under stress re</w:t>
      </w:r>
      <w:r>
        <w:rPr>
          <w:rFonts w:ascii="Times New Roman" w:eastAsia="Times New Roman" w:hAnsi="Times New Roman" w:cs="Times New Roman"/>
          <w:sz w:val="24"/>
          <w:szCs w:val="24"/>
        </w:rPr>
        <w:t xml:space="preserve">flect operational flexibility and important </w:t>
      </w:r>
      <w:r w:rsidR="006D174E" w:rsidRPr="006D174E">
        <w:rPr>
          <w:rFonts w:ascii="Times New Roman" w:eastAsia="Times New Roman" w:hAnsi="Times New Roman" w:cs="Times New Roman"/>
          <w:sz w:val="24"/>
          <w:szCs w:val="24"/>
        </w:rPr>
        <w:t>for firms recovering from leverage pressures de</w:t>
      </w:r>
      <w:r>
        <w:rPr>
          <w:rFonts w:ascii="Times New Roman" w:eastAsia="Times New Roman" w:hAnsi="Times New Roman" w:cs="Times New Roman"/>
          <w:sz w:val="24"/>
          <w:szCs w:val="24"/>
        </w:rPr>
        <w:t xml:space="preserve">tailed in Appendix 1. </w:t>
      </w:r>
    </w:p>
    <w:p w14:paraId="08496274"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5.7 Strategic and Ethical Alignment</w:t>
      </w:r>
    </w:p>
    <w:p w14:paraId="0252BB9C" w14:textId="77777777" w:rsidR="006D174E" w:rsidRPr="006D174E" w:rsidRDefault="00A65F55"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case, f</w:t>
      </w:r>
      <w:r w:rsidR="006D174E" w:rsidRPr="006D174E">
        <w:rPr>
          <w:rFonts w:ascii="Times New Roman" w:eastAsia="Times New Roman" w:hAnsi="Times New Roman" w:cs="Times New Roman"/>
          <w:sz w:val="24"/>
          <w:szCs w:val="24"/>
        </w:rPr>
        <w:t xml:space="preserve">inancial metrics </w:t>
      </w:r>
      <w:r>
        <w:rPr>
          <w:rFonts w:ascii="Times New Roman" w:eastAsia="Times New Roman" w:hAnsi="Times New Roman" w:cs="Times New Roman"/>
          <w:sz w:val="24"/>
          <w:szCs w:val="24"/>
        </w:rPr>
        <w:t>alone cannot justify investment and</w:t>
      </w:r>
      <w:r w:rsidR="006D174E" w:rsidRPr="006D174E">
        <w:rPr>
          <w:rFonts w:ascii="Times New Roman" w:eastAsia="Times New Roman" w:hAnsi="Times New Roman" w:cs="Times New Roman"/>
          <w:sz w:val="24"/>
          <w:szCs w:val="24"/>
        </w:rPr>
        <w:t xml:space="preserve"> alignment with strategic</w:t>
      </w:r>
      <w:r>
        <w:rPr>
          <w:rFonts w:ascii="Times New Roman" w:eastAsia="Times New Roman" w:hAnsi="Times New Roman" w:cs="Times New Roman"/>
          <w:sz w:val="24"/>
          <w:szCs w:val="24"/>
        </w:rPr>
        <w:t xml:space="preserve">. The </w:t>
      </w:r>
      <w:r w:rsidR="006D174E" w:rsidRPr="006D174E">
        <w:rPr>
          <w:rFonts w:ascii="Times New Roman" w:eastAsia="Times New Roman" w:hAnsi="Times New Roman" w:cs="Times New Roman"/>
          <w:sz w:val="24"/>
          <w:szCs w:val="24"/>
        </w:rPr>
        <w:t>ethical o</w:t>
      </w:r>
      <w:r>
        <w:rPr>
          <w:rFonts w:ascii="Times New Roman" w:eastAsia="Times New Roman" w:hAnsi="Times New Roman" w:cs="Times New Roman"/>
          <w:sz w:val="24"/>
          <w:szCs w:val="24"/>
        </w:rPr>
        <w:t>bjectives is equally important and showing that the p</w:t>
      </w:r>
      <w:r w:rsidR="006D174E" w:rsidRPr="006D174E">
        <w:rPr>
          <w:rFonts w:ascii="Times New Roman" w:eastAsia="Times New Roman" w:hAnsi="Times New Roman" w:cs="Times New Roman"/>
          <w:sz w:val="24"/>
          <w:szCs w:val="24"/>
        </w:rPr>
        <w:t>roject Beta focuses on energy-efficient consumer electronics, directly supporting General Electronics’ sustainability a</w:t>
      </w:r>
      <w:r>
        <w:rPr>
          <w:rFonts w:ascii="Times New Roman" w:eastAsia="Times New Roman" w:hAnsi="Times New Roman" w:cs="Times New Roman"/>
          <w:sz w:val="24"/>
          <w:szCs w:val="24"/>
        </w:rPr>
        <w:t xml:space="preserve">nd digital transition goals. However, it </w:t>
      </w:r>
      <w:r w:rsidR="006D174E" w:rsidRPr="006D174E">
        <w:rPr>
          <w:rFonts w:ascii="Times New Roman" w:eastAsia="Times New Roman" w:hAnsi="Times New Roman" w:cs="Times New Roman"/>
          <w:sz w:val="24"/>
          <w:szCs w:val="24"/>
        </w:rPr>
        <w:t>requires moderate capital and ensures faster cash turnover, consistent with the company’s restructuring plan (Ramdhan et al., 2025).</w:t>
      </w:r>
    </w:p>
    <w:p w14:paraId="3AF3FD61" w14:textId="77777777" w:rsidR="00A65F55" w:rsidRDefault="00A65F55" w:rsidP="006D174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it is evaluated that</w:t>
      </w:r>
      <w:r w:rsidR="006D174E" w:rsidRPr="006D174E">
        <w:rPr>
          <w:rFonts w:ascii="Times New Roman" w:eastAsia="Times New Roman" w:hAnsi="Times New Roman" w:cs="Times New Roman"/>
          <w:sz w:val="24"/>
          <w:szCs w:val="24"/>
        </w:rPr>
        <w:t xml:space="preserve"> Gamma relies heavily on R&amp;D and bears higher execution risk. Hence, it should be deferred until financial strength improves. Embedding ESG</w:t>
      </w:r>
      <w:r>
        <w:rPr>
          <w:rFonts w:ascii="Times New Roman" w:eastAsia="Times New Roman" w:hAnsi="Times New Roman" w:cs="Times New Roman"/>
          <w:sz w:val="24"/>
          <w:szCs w:val="24"/>
        </w:rPr>
        <w:t xml:space="preserve"> standards in project </w:t>
      </w:r>
      <w:r w:rsidR="00D50C63">
        <w:rPr>
          <w:rFonts w:ascii="Times New Roman" w:eastAsia="Times New Roman" w:hAnsi="Times New Roman" w:cs="Times New Roman"/>
          <w:sz w:val="24"/>
          <w:szCs w:val="24"/>
        </w:rPr>
        <w:t>appraisal</w:t>
      </w:r>
      <w:r>
        <w:rPr>
          <w:rFonts w:ascii="Times New Roman" w:eastAsia="Times New Roman" w:hAnsi="Times New Roman" w:cs="Times New Roman"/>
          <w:sz w:val="24"/>
          <w:szCs w:val="24"/>
        </w:rPr>
        <w:t xml:space="preserve"> i.e. </w:t>
      </w:r>
      <w:r w:rsidR="006D174E" w:rsidRPr="006D174E">
        <w:rPr>
          <w:rFonts w:ascii="Times New Roman" w:eastAsia="Times New Roman" w:hAnsi="Times New Roman" w:cs="Times New Roman"/>
          <w:sz w:val="24"/>
          <w:szCs w:val="24"/>
        </w:rPr>
        <w:t>energy effi</w:t>
      </w:r>
      <w:r>
        <w:rPr>
          <w:rFonts w:ascii="Times New Roman" w:eastAsia="Times New Roman" w:hAnsi="Times New Roman" w:cs="Times New Roman"/>
          <w:sz w:val="24"/>
          <w:szCs w:val="24"/>
        </w:rPr>
        <w:t xml:space="preserve">ciency and responsible for </w:t>
      </w:r>
      <w:r w:rsidR="006D174E" w:rsidRPr="006D174E">
        <w:rPr>
          <w:rFonts w:ascii="Times New Roman" w:eastAsia="Times New Roman" w:hAnsi="Times New Roman" w:cs="Times New Roman"/>
          <w:sz w:val="24"/>
          <w:szCs w:val="24"/>
        </w:rPr>
        <w:t xml:space="preserve">capital allocation (Tan &amp; F., 2021). </w:t>
      </w:r>
    </w:p>
    <w:p w14:paraId="3D4C4470"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5.8 Integrating Appraisal with Corporate Finance Policy</w:t>
      </w:r>
    </w:p>
    <w:p w14:paraId="31EA5122" w14:textId="77777777" w:rsidR="006D174E" w:rsidRPr="006D174E" w:rsidRDefault="00A65F55" w:rsidP="006D174E">
      <w:pPr>
        <w:pStyle w:val="NormalWeb"/>
        <w:spacing w:before="240" w:beforeAutospacing="0" w:after="240" w:afterAutospacing="0" w:line="360" w:lineRule="auto"/>
        <w:jc w:val="both"/>
      </w:pPr>
      <w:r>
        <w:lastRenderedPageBreak/>
        <w:t>It is evaluated that e</w:t>
      </w:r>
      <w:r w:rsidR="006D174E" w:rsidRPr="006D174E">
        <w:t xml:space="preserve">very indicator </w:t>
      </w:r>
      <w:r w:rsidR="00D50C63" w:rsidRPr="006D174E">
        <w:t>favors</w:t>
      </w:r>
      <w:r w:rsidR="006D174E" w:rsidRPr="006D174E">
        <w:t xml:space="preserve"> </w:t>
      </w:r>
      <w:r w:rsidR="006D174E" w:rsidRPr="006D174E">
        <w:rPr>
          <w:rStyle w:val="Strong"/>
        </w:rPr>
        <w:t>Project Beta</w:t>
      </w:r>
      <w:r>
        <w:t xml:space="preserve"> and it</w:t>
      </w:r>
      <w:r w:rsidR="006D174E" w:rsidRPr="006D174E">
        <w:t xml:space="preserve"> offers the highest return and fastest cash recovery wi</w:t>
      </w:r>
      <w:r>
        <w:t xml:space="preserve">th manageable risk. However, </w:t>
      </w:r>
      <w:r w:rsidR="006D174E" w:rsidRPr="006D174E">
        <w:t>Alpha may serve as a secondary choice if funds permit, whe</w:t>
      </w:r>
      <w:r>
        <w:t xml:space="preserve">reas Gamma should be postponed </w:t>
      </w:r>
      <w:r w:rsidR="006D174E" w:rsidRPr="006D174E">
        <w:t>(Mastilo et al., 2024).</w:t>
      </w:r>
    </w:p>
    <w:p w14:paraId="05375408" w14:textId="77777777" w:rsidR="006D174E" w:rsidRPr="006D174E" w:rsidRDefault="00A65F55" w:rsidP="006D174E">
      <w:pPr>
        <w:pStyle w:val="NormalWeb"/>
        <w:spacing w:before="240" w:beforeAutospacing="0" w:after="240" w:afterAutospacing="0" w:line="360" w:lineRule="auto"/>
        <w:jc w:val="both"/>
      </w:pPr>
      <w:r>
        <w:t>Therefore, t</w:t>
      </w:r>
      <w:r w:rsidR="006D174E" w:rsidRPr="006D174E">
        <w:t xml:space="preserve">he comprehensive analysis demonstrates that General Electronics should </w:t>
      </w:r>
      <w:r w:rsidR="00D50C63" w:rsidRPr="006D174E">
        <w:t>priorities</w:t>
      </w:r>
      <w:r w:rsidR="006D174E" w:rsidRPr="006D174E">
        <w:t xml:space="preserve"> </w:t>
      </w:r>
      <w:r w:rsidR="006D174E" w:rsidRPr="006D174E">
        <w:rPr>
          <w:rStyle w:val="Strong"/>
        </w:rPr>
        <w:t>Project Beta</w:t>
      </w:r>
      <w:r w:rsidR="006D174E" w:rsidRPr="006D174E">
        <w:t xml:space="preserve">, followed by </w:t>
      </w:r>
      <w:r>
        <w:t>Alpha under capital rationing. However, t</w:t>
      </w:r>
      <w:r w:rsidR="006D174E" w:rsidRPr="006D174E">
        <w:t xml:space="preserve">his decision </w:t>
      </w:r>
      <w:r w:rsidR="00D50C63" w:rsidRPr="006D174E">
        <w:t>maximizes</w:t>
      </w:r>
      <w:r w:rsidR="006D174E" w:rsidRPr="006D174E">
        <w:t xml:space="preserve"> NPV, enhances liquidity, and supports sustainability targets. </w:t>
      </w:r>
      <w:r>
        <w:t xml:space="preserve"> Therefore, it could be </w:t>
      </w:r>
      <w:r w:rsidR="00D50C63">
        <w:t>inferred</w:t>
      </w:r>
      <w:r>
        <w:t xml:space="preserve"> that </w:t>
      </w:r>
      <w:r w:rsidR="00D50C63" w:rsidRPr="006D174E">
        <w:t>ultimately</w:t>
      </w:r>
      <w:r w:rsidR="006D174E" w:rsidRPr="006D174E">
        <w:t>, effective capital budgeting bridges the path from financial distress to sustained profitability and growth (Ramdhan et al., 2025; Fadillah et al., 2024; Akash et al., 2024).</w:t>
      </w:r>
    </w:p>
    <w:p w14:paraId="369F5FBE" w14:textId="77777777" w:rsidR="006D174E" w:rsidRPr="006D174E" w:rsidRDefault="006D174E" w:rsidP="006D174E">
      <w:pPr>
        <w:pStyle w:val="Heading1"/>
        <w:spacing w:after="240" w:line="360" w:lineRule="auto"/>
        <w:jc w:val="both"/>
        <w:rPr>
          <w:rFonts w:ascii="Times New Roman" w:hAnsi="Times New Roman" w:cs="Times New Roman"/>
          <w:sz w:val="24"/>
          <w:szCs w:val="24"/>
        </w:rPr>
      </w:pPr>
      <w:bookmarkStart w:id="67" w:name="_Toc211680216"/>
      <w:bookmarkStart w:id="68" w:name="_Toc212192274"/>
      <w:r w:rsidRPr="006D174E">
        <w:rPr>
          <w:rStyle w:val="Strong"/>
          <w:rFonts w:ascii="Times New Roman" w:hAnsi="Times New Roman" w:cs="Times New Roman"/>
          <w:b w:val="0"/>
          <w:bCs w:val="0"/>
          <w:sz w:val="24"/>
          <w:szCs w:val="24"/>
        </w:rPr>
        <w:t>6</w:t>
      </w:r>
      <w:r>
        <w:rPr>
          <w:rStyle w:val="Strong"/>
          <w:rFonts w:ascii="Times New Roman" w:hAnsi="Times New Roman" w:cs="Times New Roman"/>
          <w:b w:val="0"/>
          <w:bCs w:val="0"/>
          <w:sz w:val="24"/>
          <w:szCs w:val="24"/>
        </w:rPr>
        <w:t>.0</w:t>
      </w:r>
      <w:r w:rsidRPr="006D174E">
        <w:rPr>
          <w:rStyle w:val="Strong"/>
          <w:rFonts w:ascii="Times New Roman" w:hAnsi="Times New Roman" w:cs="Times New Roman"/>
          <w:b w:val="0"/>
          <w:bCs w:val="0"/>
          <w:sz w:val="24"/>
          <w:szCs w:val="24"/>
        </w:rPr>
        <w:t>: Ethical, Global, and Governance Considerations</w:t>
      </w:r>
      <w:bookmarkEnd w:id="67"/>
      <w:bookmarkEnd w:id="68"/>
    </w:p>
    <w:p w14:paraId="1B28D5A4" w14:textId="77777777" w:rsidR="006D174E" w:rsidRPr="006D174E" w:rsidRDefault="00595CB0" w:rsidP="007928C8">
      <w:pPr>
        <w:pStyle w:val="NormalWeb"/>
        <w:spacing w:before="240" w:beforeAutospacing="0" w:after="240" w:afterAutospacing="0" w:line="360" w:lineRule="auto"/>
        <w:jc w:val="both"/>
      </w:pPr>
      <w:r>
        <w:t>There is set up for turnaround for</w:t>
      </w:r>
      <w:r w:rsidR="006D174E" w:rsidRPr="006D174E">
        <w:t xml:space="preserve"> General Electronics</w:t>
      </w:r>
      <w:r>
        <w:t xml:space="preserve"> where it should not only focuses on </w:t>
      </w:r>
      <w:r w:rsidR="006D174E" w:rsidRPr="006D174E">
        <w:t xml:space="preserve">financial recovery but also on </w:t>
      </w:r>
      <w:r w:rsidR="006D174E" w:rsidRPr="006D174E">
        <w:rPr>
          <w:rStyle w:val="Strong"/>
        </w:rPr>
        <w:t>responsible governance and ethical integrity</w:t>
      </w:r>
      <w:r w:rsidR="006D174E" w:rsidRPr="006D174E">
        <w:t xml:space="preserve">. </w:t>
      </w:r>
      <w:r>
        <w:t xml:space="preserve">Therefore, company needs to set up </w:t>
      </w:r>
      <w:r w:rsidR="006D174E" w:rsidRPr="006D174E">
        <w:t>ethical finance, sound governance, and global awareness must guide all restruct</w:t>
      </w:r>
      <w:r w:rsidR="007928C8">
        <w:t>uring and investment decisions.</w:t>
      </w:r>
    </w:p>
    <w:p w14:paraId="0898B159" w14:textId="77777777" w:rsidR="006D174E" w:rsidRPr="006D174E" w:rsidRDefault="006D174E" w:rsidP="006D174E">
      <w:pPr>
        <w:pStyle w:val="Heading2"/>
        <w:spacing w:before="240" w:beforeAutospacing="0" w:after="240" w:afterAutospacing="0" w:line="360" w:lineRule="auto"/>
        <w:jc w:val="both"/>
        <w:rPr>
          <w:sz w:val="24"/>
          <w:szCs w:val="24"/>
        </w:rPr>
      </w:pPr>
      <w:bookmarkStart w:id="69" w:name="_Toc211680217"/>
      <w:bookmarkStart w:id="70" w:name="_Toc212192275"/>
      <w:r w:rsidRPr="006D174E">
        <w:rPr>
          <w:rStyle w:val="Strong"/>
          <w:b/>
          <w:bCs/>
          <w:sz w:val="24"/>
          <w:szCs w:val="24"/>
        </w:rPr>
        <w:t>6.1 Ethical Financial Practices</w:t>
      </w:r>
      <w:bookmarkEnd w:id="69"/>
      <w:bookmarkEnd w:id="70"/>
    </w:p>
    <w:p w14:paraId="64D862B8" w14:textId="77777777" w:rsidR="00595CB0" w:rsidRDefault="00595CB0" w:rsidP="006D174E">
      <w:pPr>
        <w:pStyle w:val="NormalWeb"/>
        <w:spacing w:before="240" w:beforeAutospacing="0" w:after="240" w:afterAutospacing="0" w:line="360" w:lineRule="auto"/>
        <w:jc w:val="both"/>
      </w:pPr>
      <w:r>
        <w:t xml:space="preserve">Company has faced loss due to the </w:t>
      </w:r>
      <w:r w:rsidR="00D50C63">
        <w:t>ethical</w:t>
      </w:r>
      <w:r>
        <w:t xml:space="preserve"> practice failure in business by management </w:t>
      </w:r>
      <w:r w:rsidR="00D50C63">
        <w:t>showing</w:t>
      </w:r>
      <w:r>
        <w:t xml:space="preserve"> the (Appendix 1). It has</w:t>
      </w:r>
      <w:r w:rsidR="006D174E" w:rsidRPr="006D174E">
        <w:t xml:space="preserve"> raised concerns about management credibility and disclosure quality. Restoring stakeholder trust begins with transparent reporting, timely communication, and adherence to accounting standards such as </w:t>
      </w:r>
      <w:r w:rsidR="006D174E" w:rsidRPr="006D174E">
        <w:rPr>
          <w:rStyle w:val="Strong"/>
        </w:rPr>
        <w:t>IFRS 9</w:t>
      </w:r>
      <w:r w:rsidR="006D174E" w:rsidRPr="006D174E">
        <w:t xml:space="preserve"> and </w:t>
      </w:r>
      <w:r w:rsidR="006D174E" w:rsidRPr="006D174E">
        <w:rPr>
          <w:rStyle w:val="Strong"/>
        </w:rPr>
        <w:t>IAS 1</w:t>
      </w:r>
      <w:r>
        <w:rPr>
          <w:rStyle w:val="Strong"/>
        </w:rPr>
        <w:t xml:space="preserve"> in the accounting </w:t>
      </w:r>
      <w:r w:rsidR="00D50C63">
        <w:rPr>
          <w:rStyle w:val="Strong"/>
        </w:rPr>
        <w:t xml:space="preserve">standard </w:t>
      </w:r>
      <w:r w:rsidR="00D50C63" w:rsidRPr="006D174E">
        <w:t>(</w:t>
      </w:r>
      <w:r w:rsidR="006D174E" w:rsidRPr="006D174E">
        <w:t xml:space="preserve">Fadillah et al., 2024). </w:t>
      </w:r>
    </w:p>
    <w:p w14:paraId="5C50204F" w14:textId="77777777" w:rsidR="006D174E" w:rsidRPr="006D174E" w:rsidRDefault="006D174E" w:rsidP="006D174E">
      <w:pPr>
        <w:pStyle w:val="Heading2"/>
        <w:spacing w:before="240" w:beforeAutospacing="0" w:after="240" w:afterAutospacing="0" w:line="360" w:lineRule="auto"/>
        <w:jc w:val="both"/>
        <w:rPr>
          <w:sz w:val="24"/>
          <w:szCs w:val="24"/>
        </w:rPr>
      </w:pPr>
      <w:bookmarkStart w:id="71" w:name="_Toc211680218"/>
      <w:bookmarkStart w:id="72" w:name="_Toc212192276"/>
      <w:r w:rsidRPr="006D174E">
        <w:rPr>
          <w:rStyle w:val="Strong"/>
          <w:b/>
          <w:bCs/>
          <w:sz w:val="24"/>
          <w:szCs w:val="24"/>
        </w:rPr>
        <w:t>6.2 Corporate Governance and Board Accountability</w:t>
      </w:r>
      <w:bookmarkEnd w:id="71"/>
      <w:bookmarkEnd w:id="72"/>
    </w:p>
    <w:p w14:paraId="08F44D05" w14:textId="77777777" w:rsidR="006D174E" w:rsidRPr="006D174E" w:rsidRDefault="00595CB0" w:rsidP="00595CB0">
      <w:pPr>
        <w:pStyle w:val="NormalWeb"/>
        <w:spacing w:before="240" w:beforeAutospacing="0" w:after="240" w:afterAutospacing="0" w:line="360" w:lineRule="auto"/>
        <w:jc w:val="both"/>
      </w:pPr>
      <w:r>
        <w:t xml:space="preserve">The </w:t>
      </w:r>
      <w:r w:rsidRPr="006D174E">
        <w:t>corporate</w:t>
      </w:r>
      <w:r w:rsidR="006D174E" w:rsidRPr="006D174E">
        <w:t xml:space="preserve"> governance is the framework through which financial control and ethical conduct are maintained</w:t>
      </w:r>
      <w:r>
        <w:t xml:space="preserve"> in business.</w:t>
      </w:r>
      <w:r w:rsidR="006D174E" w:rsidRPr="006D174E">
        <w:t xml:space="preserve"> For General Electronics, poor financial results indicate historical weaknesses in oversight and internal control. </w:t>
      </w:r>
      <w:r>
        <w:t xml:space="preserve">Company needs to align its </w:t>
      </w:r>
      <w:r w:rsidR="00D50C63">
        <w:t>corporate</w:t>
      </w:r>
      <w:r>
        <w:t xml:space="preserve"> practice and manage the legal team to comply with the all standards.</w:t>
      </w:r>
    </w:p>
    <w:p w14:paraId="1F3B75E3" w14:textId="77777777" w:rsidR="006D174E" w:rsidRPr="006D174E" w:rsidRDefault="006D174E" w:rsidP="006D174E">
      <w:pPr>
        <w:pStyle w:val="Heading2"/>
        <w:spacing w:before="240" w:beforeAutospacing="0" w:after="240" w:afterAutospacing="0" w:line="360" w:lineRule="auto"/>
        <w:jc w:val="both"/>
        <w:rPr>
          <w:sz w:val="24"/>
          <w:szCs w:val="24"/>
        </w:rPr>
      </w:pPr>
      <w:bookmarkStart w:id="73" w:name="_Toc211680220"/>
      <w:bookmarkStart w:id="74" w:name="_Toc212192277"/>
      <w:r w:rsidRPr="006D174E">
        <w:rPr>
          <w:rStyle w:val="Strong"/>
          <w:b/>
          <w:bCs/>
          <w:sz w:val="24"/>
          <w:szCs w:val="24"/>
        </w:rPr>
        <w:t>6</w:t>
      </w:r>
      <w:r w:rsidR="00595CB0">
        <w:rPr>
          <w:rStyle w:val="Strong"/>
          <w:b/>
          <w:bCs/>
          <w:sz w:val="24"/>
          <w:szCs w:val="24"/>
        </w:rPr>
        <w:t>.3</w:t>
      </w:r>
      <w:r w:rsidRPr="006D174E">
        <w:rPr>
          <w:rStyle w:val="Strong"/>
          <w:b/>
          <w:bCs/>
          <w:sz w:val="24"/>
          <w:szCs w:val="24"/>
        </w:rPr>
        <w:t xml:space="preserve"> Corporate Social Responsibility (CSR) and Environmental Ethics</w:t>
      </w:r>
      <w:bookmarkEnd w:id="73"/>
      <w:bookmarkEnd w:id="74"/>
    </w:p>
    <w:p w14:paraId="47263A5D" w14:textId="77777777" w:rsidR="003831F6" w:rsidRDefault="003831F6" w:rsidP="006D174E">
      <w:pPr>
        <w:pStyle w:val="NormalWeb"/>
        <w:spacing w:before="240" w:beforeAutospacing="0" w:after="240" w:afterAutospacing="0" w:line="360" w:lineRule="auto"/>
        <w:jc w:val="both"/>
      </w:pPr>
      <w:r>
        <w:lastRenderedPageBreak/>
        <w:t xml:space="preserve">There could be followed proper </w:t>
      </w:r>
      <w:r w:rsidR="006D174E" w:rsidRPr="006D174E">
        <w:t xml:space="preserve">CSR </w:t>
      </w:r>
      <w:r>
        <w:t>activity to boost</w:t>
      </w:r>
      <w:r w:rsidR="006D174E" w:rsidRPr="006D174E">
        <w:t xml:space="preserve"> moral fo</w:t>
      </w:r>
      <w:r>
        <w:t xml:space="preserve">undation of corporate strategy and </w:t>
      </w:r>
      <w:r w:rsidR="006D174E" w:rsidRPr="006D174E">
        <w:t>General Electronics operates in a sector heavily reliant on en</w:t>
      </w:r>
      <w:r>
        <w:t xml:space="preserve">ergy and electronic components </w:t>
      </w:r>
      <w:r w:rsidR="00D50C63">
        <w:t>where there</w:t>
      </w:r>
      <w:r>
        <w:t xml:space="preserve"> is need to set up the environmental footprint which is every </w:t>
      </w:r>
      <w:r w:rsidR="006D174E" w:rsidRPr="006D174E">
        <w:t xml:space="preserve">significant. </w:t>
      </w:r>
    </w:p>
    <w:p w14:paraId="2099E4C5" w14:textId="77777777" w:rsidR="006D174E" w:rsidRPr="006D174E" w:rsidRDefault="006D174E" w:rsidP="007928C8">
      <w:pPr>
        <w:pStyle w:val="NormalWeb"/>
        <w:spacing w:before="240" w:beforeAutospacing="0" w:after="240" w:afterAutospacing="0" w:line="360" w:lineRule="auto"/>
        <w:jc w:val="both"/>
      </w:pPr>
      <w:r w:rsidRPr="006D174E">
        <w:t xml:space="preserve">The firm </w:t>
      </w:r>
      <w:r w:rsidR="003831F6">
        <w:t xml:space="preserve">also needs to set up </w:t>
      </w:r>
      <w:r w:rsidRPr="006D174E">
        <w:rPr>
          <w:rStyle w:val="Strong"/>
        </w:rPr>
        <w:t>ethics audits</w:t>
      </w:r>
      <w:r w:rsidRPr="006D174E">
        <w:t xml:space="preserve"> to ensure fair </w:t>
      </w:r>
      <w:r w:rsidR="00D50C63" w:rsidRPr="006D174E">
        <w:t>labor</w:t>
      </w:r>
      <w:r w:rsidRPr="006D174E">
        <w:t xml:space="preserve"> practices, especially in coun</w:t>
      </w:r>
      <w:r w:rsidR="003831F6">
        <w:t xml:space="preserve">tries with weaker </w:t>
      </w:r>
      <w:r w:rsidR="00D50C63">
        <w:t>labor</w:t>
      </w:r>
      <w:r w:rsidR="003831F6">
        <w:t xml:space="preserve"> laws. As suggested by R</w:t>
      </w:r>
      <w:r w:rsidRPr="006D174E">
        <w:t>amdhan et al. (2025) ethical sourcing and sustainable production increase long-term brand equity and reduce the risk of supply disruptions</w:t>
      </w:r>
      <w:r w:rsidR="003831F6">
        <w:t xml:space="preserve"> for the company. </w:t>
      </w:r>
      <w:r w:rsidR="00D50C63">
        <w:t>However</w:t>
      </w:r>
      <w:r w:rsidR="003831F6">
        <w:t xml:space="preserve">, it is as important as </w:t>
      </w:r>
      <w:r w:rsidR="00D50C63">
        <w:t>financial</w:t>
      </w:r>
      <w:r w:rsidR="003831F6">
        <w:t xml:space="preserve"> management in business to </w:t>
      </w:r>
      <w:r w:rsidR="00D50C63">
        <w:t>improve</w:t>
      </w:r>
      <w:r w:rsidR="003831F6">
        <w:t xml:space="preserve"> the social image of business</w:t>
      </w:r>
      <w:r w:rsidR="007928C8">
        <w:t xml:space="preserve"> (Mastilo et al., 2024).</w:t>
      </w:r>
    </w:p>
    <w:p w14:paraId="4AEA0B05" w14:textId="77777777" w:rsidR="006D174E" w:rsidRPr="006D174E" w:rsidRDefault="00595CB0" w:rsidP="006D174E">
      <w:pPr>
        <w:pStyle w:val="Heading2"/>
        <w:spacing w:before="240" w:beforeAutospacing="0" w:after="240" w:afterAutospacing="0" w:line="360" w:lineRule="auto"/>
        <w:jc w:val="both"/>
        <w:rPr>
          <w:sz w:val="24"/>
          <w:szCs w:val="24"/>
        </w:rPr>
      </w:pPr>
      <w:bookmarkStart w:id="75" w:name="_Toc211680221"/>
      <w:bookmarkStart w:id="76" w:name="_Toc212192278"/>
      <w:r>
        <w:rPr>
          <w:rStyle w:val="Strong"/>
          <w:b/>
          <w:bCs/>
          <w:sz w:val="24"/>
          <w:szCs w:val="24"/>
        </w:rPr>
        <w:t>6.4</w:t>
      </w:r>
      <w:r w:rsidR="006D174E" w:rsidRPr="006D174E">
        <w:rPr>
          <w:rStyle w:val="Strong"/>
          <w:b/>
          <w:bCs/>
          <w:sz w:val="24"/>
          <w:szCs w:val="24"/>
        </w:rPr>
        <w:t xml:space="preserve"> Global Governance and Anti-Corruption Frameworks</w:t>
      </w:r>
      <w:bookmarkEnd w:id="75"/>
      <w:bookmarkEnd w:id="76"/>
    </w:p>
    <w:p w14:paraId="0FB5942A" w14:textId="77777777" w:rsidR="006D174E" w:rsidRPr="006D174E" w:rsidRDefault="003831F6" w:rsidP="006D174E">
      <w:pPr>
        <w:pStyle w:val="NormalWeb"/>
        <w:spacing w:before="240" w:beforeAutospacing="0" w:after="240" w:afterAutospacing="0" w:line="360" w:lineRule="auto"/>
        <w:jc w:val="both"/>
      </w:pPr>
      <w:r>
        <w:t xml:space="preserve">It is evaluate </w:t>
      </w:r>
      <w:r w:rsidR="00D50C63">
        <w:t>that</w:t>
      </w:r>
      <w:r>
        <w:t xml:space="preserve"> </w:t>
      </w:r>
      <w:r w:rsidR="00D50C63">
        <w:t>company</w:t>
      </w:r>
      <w:r>
        <w:t xml:space="preserve"> to manage the business ethically, there is to maintain integrity there is need to</w:t>
      </w:r>
      <w:r w:rsidR="006D174E" w:rsidRPr="006D174E">
        <w:t xml:space="preserve"> comply with global frameworks such as the </w:t>
      </w:r>
      <w:r w:rsidR="006D174E" w:rsidRPr="006D174E">
        <w:rPr>
          <w:rStyle w:val="Strong"/>
        </w:rPr>
        <w:t>UK Bribery Act (2010)</w:t>
      </w:r>
      <w:r w:rsidR="006D174E" w:rsidRPr="006D174E">
        <w:t xml:space="preserve">, </w:t>
      </w:r>
      <w:r w:rsidR="006D174E" w:rsidRPr="006D174E">
        <w:rPr>
          <w:rStyle w:val="Strong"/>
        </w:rPr>
        <w:t>US Foreign Corrupt Practices Act (FCPA)</w:t>
      </w:r>
      <w:r w:rsidR="006D174E" w:rsidRPr="006D174E">
        <w:t xml:space="preserve">, and </w:t>
      </w:r>
      <w:r w:rsidR="006D174E" w:rsidRPr="006D174E">
        <w:rPr>
          <w:rStyle w:val="Strong"/>
        </w:rPr>
        <w:t>OECD Anti-Bribery Convention</w:t>
      </w:r>
      <w:r>
        <w:rPr>
          <w:rStyle w:val="Strong"/>
        </w:rPr>
        <w:t xml:space="preserve"> in business</w:t>
      </w:r>
      <w:r w:rsidR="006D174E" w:rsidRPr="006D174E">
        <w:t xml:space="preserve">. </w:t>
      </w:r>
    </w:p>
    <w:p w14:paraId="4401BE76" w14:textId="77777777" w:rsidR="006D174E" w:rsidRPr="006D174E" w:rsidRDefault="003831F6" w:rsidP="007928C8">
      <w:pPr>
        <w:pStyle w:val="NormalWeb"/>
        <w:spacing w:before="240" w:beforeAutospacing="0" w:after="240" w:afterAutospacing="0" w:line="360" w:lineRule="auto"/>
        <w:jc w:val="both"/>
      </w:pPr>
      <w:r>
        <w:t>To enhance the credibility, proper code of conduct could be followed</w:t>
      </w:r>
      <w:r w:rsidR="007928C8">
        <w:t xml:space="preserve"> (Akash et al., 2024).</w:t>
      </w:r>
    </w:p>
    <w:p w14:paraId="11F49F58" w14:textId="77777777" w:rsidR="006D174E" w:rsidRPr="006D174E" w:rsidRDefault="00595CB0" w:rsidP="006D174E">
      <w:pPr>
        <w:pStyle w:val="Heading2"/>
        <w:spacing w:before="240" w:beforeAutospacing="0" w:after="240" w:afterAutospacing="0" w:line="360" w:lineRule="auto"/>
        <w:jc w:val="both"/>
        <w:rPr>
          <w:sz w:val="24"/>
          <w:szCs w:val="24"/>
        </w:rPr>
      </w:pPr>
      <w:bookmarkStart w:id="77" w:name="_Toc211680222"/>
      <w:bookmarkStart w:id="78" w:name="_Toc212192279"/>
      <w:r>
        <w:rPr>
          <w:rStyle w:val="Strong"/>
          <w:b/>
          <w:bCs/>
          <w:sz w:val="24"/>
          <w:szCs w:val="24"/>
        </w:rPr>
        <w:t>6.5</w:t>
      </w:r>
      <w:r w:rsidR="006D174E" w:rsidRPr="006D174E">
        <w:rPr>
          <w:rStyle w:val="Strong"/>
          <w:b/>
          <w:bCs/>
          <w:sz w:val="24"/>
          <w:szCs w:val="24"/>
        </w:rPr>
        <w:t xml:space="preserve"> Ethical Challenges in Financial Restructuring</w:t>
      </w:r>
      <w:bookmarkEnd w:id="77"/>
      <w:bookmarkEnd w:id="78"/>
    </w:p>
    <w:p w14:paraId="7091AAB6" w14:textId="77777777" w:rsidR="006D174E" w:rsidRPr="006D174E" w:rsidRDefault="003831F6" w:rsidP="006D174E">
      <w:pPr>
        <w:pStyle w:val="NormalWeb"/>
        <w:spacing w:before="240" w:beforeAutospacing="0" w:after="240" w:afterAutospacing="0" w:line="360" w:lineRule="auto"/>
        <w:jc w:val="both"/>
      </w:pPr>
      <w:r>
        <w:t xml:space="preserve">There is need to set up </w:t>
      </w:r>
      <w:r w:rsidR="00D50C63">
        <w:t>transparency</w:t>
      </w:r>
      <w:r>
        <w:t xml:space="preserve"> in the </w:t>
      </w:r>
      <w:r w:rsidR="00D50C63">
        <w:t>restricting</w:t>
      </w:r>
      <w:r>
        <w:t xml:space="preserve"> by focusing on taking proper voting and compliance process. </w:t>
      </w:r>
      <w:r w:rsidR="00D50C63">
        <w:t>With</w:t>
      </w:r>
      <w:r>
        <w:t xml:space="preserve"> the proper legal team and proper structure, there is these issues could be managed. </w:t>
      </w:r>
    </w:p>
    <w:p w14:paraId="1F4F0DB7" w14:textId="77777777" w:rsidR="006D174E" w:rsidRPr="006D174E" w:rsidRDefault="003831F6" w:rsidP="007928C8">
      <w:pPr>
        <w:pStyle w:val="NormalWeb"/>
        <w:spacing w:before="240" w:beforeAutospacing="0" w:after="240" w:afterAutospacing="0" w:line="360" w:lineRule="auto"/>
        <w:jc w:val="both"/>
      </w:pPr>
      <w:r>
        <w:t xml:space="preserve">Company General </w:t>
      </w:r>
      <w:r w:rsidR="006D174E" w:rsidRPr="006D174E">
        <w:t xml:space="preserve">Electronics must ensure </w:t>
      </w:r>
      <w:r w:rsidR="006D174E" w:rsidRPr="006D174E">
        <w:rPr>
          <w:rStyle w:val="Strong"/>
        </w:rPr>
        <w:t>fair valuation of assets</w:t>
      </w:r>
      <w:r w:rsidR="006D174E" w:rsidRPr="006D174E">
        <w:t xml:space="preserve"> during dive</w:t>
      </w:r>
      <w:r>
        <w:t>stment or merger negotiations. However, there is found that if m</w:t>
      </w:r>
      <w:r w:rsidR="006D174E" w:rsidRPr="006D174E">
        <w:t xml:space="preserve">anipulated valuations </w:t>
      </w:r>
      <w:r>
        <w:t xml:space="preserve">found, then it </w:t>
      </w:r>
      <w:r w:rsidR="006D174E" w:rsidRPr="006D174E">
        <w:t xml:space="preserve">could harm minority shareholders and violate fiduciary duties (Fadillah et al., 2024). </w:t>
      </w:r>
    </w:p>
    <w:p w14:paraId="36CDFA3A" w14:textId="77777777" w:rsidR="006D174E" w:rsidRPr="006D174E" w:rsidRDefault="00595CB0" w:rsidP="006D174E">
      <w:pPr>
        <w:pStyle w:val="Heading2"/>
        <w:spacing w:before="240" w:beforeAutospacing="0" w:after="240" w:afterAutospacing="0" w:line="360" w:lineRule="auto"/>
        <w:jc w:val="both"/>
        <w:rPr>
          <w:sz w:val="24"/>
          <w:szCs w:val="24"/>
        </w:rPr>
      </w:pPr>
      <w:bookmarkStart w:id="79" w:name="_Toc211680223"/>
      <w:bookmarkStart w:id="80" w:name="_Toc212192280"/>
      <w:r>
        <w:rPr>
          <w:rStyle w:val="Strong"/>
          <w:b/>
          <w:bCs/>
          <w:sz w:val="24"/>
          <w:szCs w:val="24"/>
        </w:rPr>
        <w:t xml:space="preserve">6.6 </w:t>
      </w:r>
      <w:r w:rsidR="006D174E" w:rsidRPr="006D174E">
        <w:rPr>
          <w:rStyle w:val="Strong"/>
          <w:b/>
          <w:bCs/>
          <w:sz w:val="24"/>
          <w:szCs w:val="24"/>
        </w:rPr>
        <w:t>Integration of Ethics with Corporate Performance</w:t>
      </w:r>
      <w:bookmarkEnd w:id="79"/>
      <w:bookmarkEnd w:id="80"/>
    </w:p>
    <w:p w14:paraId="17054742" w14:textId="77777777" w:rsidR="006D174E" w:rsidRPr="006D174E" w:rsidRDefault="003831F6" w:rsidP="006D174E">
      <w:pPr>
        <w:pStyle w:val="NormalWeb"/>
        <w:spacing w:before="240" w:beforeAutospacing="0" w:after="240" w:afterAutospacing="0" w:line="360" w:lineRule="auto"/>
        <w:jc w:val="both"/>
      </w:pPr>
      <w:r>
        <w:t>It is evaluated that e</w:t>
      </w:r>
      <w:r w:rsidR="006D174E" w:rsidRPr="006D174E">
        <w:t xml:space="preserve">mbedding ethics into financial strategy leads to measurable business outcomes. </w:t>
      </w:r>
      <w:r>
        <w:t>There is</w:t>
      </w:r>
      <w:r w:rsidR="006D174E" w:rsidRPr="006D174E">
        <w:t xml:space="preserve"> companies with high ESG scores consistently</w:t>
      </w:r>
      <w:r>
        <w:t xml:space="preserve"> resulted to</w:t>
      </w:r>
      <w:r w:rsidR="006D174E" w:rsidRPr="006D174E">
        <w:t xml:space="preserve"> outperform peers in market valuation and risk-adjusted r</w:t>
      </w:r>
      <w:r>
        <w:t xml:space="preserve">eturns (Mastilo et al., 2024). In context with </w:t>
      </w:r>
      <w:r w:rsidR="006D174E" w:rsidRPr="006D174E">
        <w:t xml:space="preserve">General Electronics, </w:t>
      </w:r>
      <w:r>
        <w:t xml:space="preserve">there </w:t>
      </w:r>
      <w:r>
        <w:lastRenderedPageBreak/>
        <w:t xml:space="preserve">is need to </w:t>
      </w:r>
      <w:r w:rsidR="006D174E" w:rsidRPr="006D174E">
        <w:t>integrating sustai</w:t>
      </w:r>
      <w:r>
        <w:t xml:space="preserve">nability into capital budgeting by focusing on </w:t>
      </w:r>
      <w:r w:rsidR="00D50C63">
        <w:t>prioritizing</w:t>
      </w:r>
      <w:r>
        <w:t xml:space="preserve"> projects. These will result to yield financial and social benefits (Fadillah et al., 2024).</w:t>
      </w:r>
    </w:p>
    <w:p w14:paraId="408B6DB1" w14:textId="77777777" w:rsidR="006D174E" w:rsidRPr="006D174E" w:rsidRDefault="006D174E" w:rsidP="007928C8">
      <w:pPr>
        <w:pStyle w:val="NormalWeb"/>
        <w:spacing w:before="240" w:beforeAutospacing="0" w:after="240" w:afterAutospacing="0" w:line="360" w:lineRule="auto"/>
        <w:jc w:val="both"/>
      </w:pPr>
      <w:r w:rsidRPr="006D174E">
        <w:t xml:space="preserve">For example, Project Beta, which focuses on energy-efficient product lines (Section 5), aligns perfectly with this ethical-financial synergy. By financing green technologies, the firm can access lower-cost </w:t>
      </w:r>
      <w:r w:rsidRPr="006D174E">
        <w:rPr>
          <w:rStyle w:val="Strong"/>
        </w:rPr>
        <w:t>green bonds</w:t>
      </w:r>
      <w:r w:rsidRPr="006D174E">
        <w:t xml:space="preserve"> or </w:t>
      </w:r>
      <w:r w:rsidRPr="006D174E">
        <w:rPr>
          <w:rStyle w:val="Strong"/>
        </w:rPr>
        <w:t>sustainability-linked loans</w:t>
      </w:r>
      <w:r w:rsidRPr="006D174E">
        <w:t>, r</w:t>
      </w:r>
      <w:r w:rsidR="003831F6">
        <w:t xml:space="preserve">einforcing long-term viability </w:t>
      </w:r>
      <w:r w:rsidR="003831F6" w:rsidRPr="006D174E">
        <w:t>Akash et al., 2024).</w:t>
      </w:r>
    </w:p>
    <w:p w14:paraId="3FFBFA6A" w14:textId="77777777" w:rsidR="003831F6" w:rsidRDefault="003831F6">
      <w:pPr>
        <w:rPr>
          <w:rStyle w:val="Strong"/>
          <w:rFonts w:ascii="Times New Roman" w:eastAsiaTheme="majorEastAsia" w:hAnsi="Times New Roman" w:cs="Times New Roman"/>
          <w:b w:val="0"/>
          <w:bCs w:val="0"/>
          <w:color w:val="2E74B5" w:themeColor="accent1" w:themeShade="BF"/>
          <w:sz w:val="24"/>
          <w:szCs w:val="24"/>
        </w:rPr>
      </w:pPr>
      <w:bookmarkStart w:id="81" w:name="_Toc211680225"/>
      <w:r>
        <w:rPr>
          <w:rStyle w:val="Strong"/>
          <w:rFonts w:ascii="Times New Roman" w:hAnsi="Times New Roman" w:cs="Times New Roman"/>
          <w:b w:val="0"/>
          <w:bCs w:val="0"/>
          <w:sz w:val="24"/>
          <w:szCs w:val="24"/>
        </w:rPr>
        <w:br w:type="page"/>
      </w:r>
    </w:p>
    <w:p w14:paraId="40C2898D" w14:textId="77777777" w:rsidR="006D174E" w:rsidRPr="006D174E" w:rsidRDefault="006D174E" w:rsidP="006D174E">
      <w:pPr>
        <w:pStyle w:val="Heading1"/>
        <w:spacing w:after="240" w:line="360" w:lineRule="auto"/>
        <w:jc w:val="both"/>
        <w:rPr>
          <w:rFonts w:ascii="Times New Roman" w:hAnsi="Times New Roman" w:cs="Times New Roman"/>
          <w:sz w:val="24"/>
          <w:szCs w:val="24"/>
        </w:rPr>
      </w:pPr>
      <w:bookmarkStart w:id="82" w:name="_Toc212192281"/>
      <w:r w:rsidRPr="006D174E">
        <w:rPr>
          <w:rStyle w:val="Strong"/>
          <w:rFonts w:ascii="Times New Roman" w:hAnsi="Times New Roman" w:cs="Times New Roman"/>
          <w:b w:val="0"/>
          <w:bCs w:val="0"/>
          <w:sz w:val="24"/>
          <w:szCs w:val="24"/>
        </w:rPr>
        <w:lastRenderedPageBreak/>
        <w:t>7</w:t>
      </w:r>
      <w:r>
        <w:rPr>
          <w:rStyle w:val="Strong"/>
          <w:rFonts w:ascii="Times New Roman" w:hAnsi="Times New Roman" w:cs="Times New Roman"/>
          <w:b w:val="0"/>
          <w:bCs w:val="0"/>
          <w:sz w:val="24"/>
          <w:szCs w:val="24"/>
        </w:rPr>
        <w:t>.0</w:t>
      </w:r>
      <w:r w:rsidRPr="006D174E">
        <w:rPr>
          <w:rStyle w:val="Strong"/>
          <w:rFonts w:ascii="Times New Roman" w:hAnsi="Times New Roman" w:cs="Times New Roman"/>
          <w:b w:val="0"/>
          <w:bCs w:val="0"/>
          <w:sz w:val="24"/>
          <w:szCs w:val="24"/>
        </w:rPr>
        <w:t>: Conclusion and Recommendations</w:t>
      </w:r>
      <w:bookmarkEnd w:id="81"/>
      <w:bookmarkEnd w:id="82"/>
    </w:p>
    <w:p w14:paraId="0223C649" w14:textId="77777777" w:rsidR="003831F6" w:rsidRDefault="003831F6" w:rsidP="006D174E">
      <w:pPr>
        <w:pStyle w:val="NormalWeb"/>
        <w:spacing w:before="240" w:beforeAutospacing="0" w:after="240" w:afterAutospacing="0" w:line="360" w:lineRule="auto"/>
        <w:jc w:val="both"/>
      </w:pPr>
      <w:r>
        <w:t xml:space="preserve">After assessing the financial analysis, it could be </w:t>
      </w:r>
      <w:r w:rsidR="00D50C63">
        <w:t>inferred</w:t>
      </w:r>
      <w:r>
        <w:t xml:space="preserve"> that t</w:t>
      </w:r>
      <w:r w:rsidR="006D174E" w:rsidRPr="006D174E">
        <w:t xml:space="preserve">he financial review </w:t>
      </w:r>
      <w:r>
        <w:t xml:space="preserve">of General Electronics shows company needs to rebound its </w:t>
      </w:r>
      <w:r w:rsidR="00D50C63">
        <w:t>financial</w:t>
      </w:r>
      <w:r>
        <w:t xml:space="preserve"> </w:t>
      </w:r>
      <w:r w:rsidR="00D50C63">
        <w:t>structure</w:t>
      </w:r>
      <w:r w:rsidR="006D174E" w:rsidRPr="006D174E">
        <w:t xml:space="preserve">. </w:t>
      </w:r>
      <w:r>
        <w:t xml:space="preserve"> During past five years, </w:t>
      </w:r>
      <w:r w:rsidR="006D174E" w:rsidRPr="006D174E">
        <w:t>profitabili</w:t>
      </w:r>
      <w:r>
        <w:t>ty and liquidity have weakened and resulted t</w:t>
      </w:r>
      <w:r w:rsidR="006D174E" w:rsidRPr="006D174E">
        <w:t xml:space="preserve"> increased beyond safe limits (Appendix 1). </w:t>
      </w:r>
      <w:r>
        <w:t>Therefore,</w:t>
      </w:r>
      <w:r w:rsidR="006D174E" w:rsidRPr="006D174E">
        <w:t xml:space="preserve"> the detailed ratio, working capital, and investment analyses demonstrate that recovery is achievable through disciplined financial ma</w:t>
      </w:r>
      <w:r>
        <w:t xml:space="preserve">nagement and ethical governance in business. </w:t>
      </w:r>
    </w:p>
    <w:p w14:paraId="317A8CC0" w14:textId="77777777" w:rsidR="006D174E" w:rsidRPr="006D174E" w:rsidRDefault="003831F6" w:rsidP="006D174E">
      <w:pPr>
        <w:pStyle w:val="NormalWeb"/>
        <w:spacing w:before="240" w:beforeAutospacing="0" w:after="240" w:afterAutospacing="0" w:line="360" w:lineRule="auto"/>
        <w:jc w:val="both"/>
      </w:pPr>
      <w:r>
        <w:t xml:space="preserve">Company </w:t>
      </w:r>
      <w:r w:rsidR="00D50C63">
        <w:t xml:space="preserve">should </w:t>
      </w:r>
      <w:r w:rsidR="00D50C63" w:rsidRPr="006D174E">
        <w:t>first</w:t>
      </w:r>
      <w:r w:rsidR="006D174E" w:rsidRPr="006D174E">
        <w:t xml:space="preserve"> priority should be </w:t>
      </w:r>
      <w:r w:rsidR="006D174E" w:rsidRPr="003831F6">
        <w:rPr>
          <w:rStyle w:val="Strong"/>
          <w:b w:val="0"/>
          <w:bCs w:val="0"/>
        </w:rPr>
        <w:t>improving liquidity</w:t>
      </w:r>
      <w:r w:rsidR="006D174E" w:rsidRPr="003831F6">
        <w:rPr>
          <w:b/>
          <w:bCs/>
        </w:rPr>
        <w:t xml:space="preserve"> through</w:t>
      </w:r>
      <w:r w:rsidR="006D174E" w:rsidRPr="006D174E">
        <w:t xml:space="preserve"> tighter contro</w:t>
      </w:r>
      <w:r>
        <w:t>l of inventory and receivables. However, it could be done by s</w:t>
      </w:r>
      <w:r w:rsidR="006D174E" w:rsidRPr="006D174E">
        <w:t>horter cash cycles and</w:t>
      </w:r>
      <w:r>
        <w:t xml:space="preserve"> improved supplier negotiation. It </w:t>
      </w:r>
      <w:r w:rsidR="006D174E" w:rsidRPr="006D174E">
        <w:t>will ease working capital pressure</w:t>
      </w:r>
      <w:r>
        <w:t xml:space="preserve"> and resulted to</w:t>
      </w:r>
      <w:r w:rsidR="006D174E" w:rsidRPr="006D174E">
        <w:t xml:space="preserve"> </w:t>
      </w:r>
      <w:r w:rsidR="006D174E" w:rsidRPr="006D174E">
        <w:rPr>
          <w:rStyle w:val="Strong"/>
        </w:rPr>
        <w:t xml:space="preserve">cost </w:t>
      </w:r>
      <w:r w:rsidR="00D50C63" w:rsidRPr="006D174E">
        <w:rPr>
          <w:rStyle w:val="Strong"/>
        </w:rPr>
        <w:t>optimization</w:t>
      </w:r>
      <w:r w:rsidR="006D174E" w:rsidRPr="006D174E">
        <w:rPr>
          <w:rStyle w:val="Strong"/>
        </w:rPr>
        <w:t xml:space="preserve"> and asset restructuring</w:t>
      </w:r>
      <w:r>
        <w:t xml:space="preserve">. These </w:t>
      </w:r>
      <w:r w:rsidR="006D174E" w:rsidRPr="006D174E">
        <w:t xml:space="preserve">should focus on divesting non-performing segments and redeploying </w:t>
      </w:r>
      <w:r>
        <w:t xml:space="preserve">funds to high-margin divisions and </w:t>
      </w:r>
      <w:r w:rsidR="006D174E" w:rsidRPr="006D174E">
        <w:t>reduce financial risk and enhance operational flexibility.</w:t>
      </w:r>
    </w:p>
    <w:p w14:paraId="45767E5D" w14:textId="77777777" w:rsidR="003831F6" w:rsidRDefault="003831F6" w:rsidP="006D174E">
      <w:pPr>
        <w:pStyle w:val="NormalWeb"/>
        <w:spacing w:before="240" w:beforeAutospacing="0" w:after="240" w:afterAutospacing="0" w:line="360" w:lineRule="auto"/>
        <w:jc w:val="both"/>
      </w:pPr>
      <w:r>
        <w:t>The</w:t>
      </w:r>
      <w:r w:rsidR="006D174E" w:rsidRPr="006D174E">
        <w:t xml:space="preserve"> </w:t>
      </w:r>
      <w:r w:rsidR="006D174E" w:rsidRPr="006D174E">
        <w:rPr>
          <w:rStyle w:val="Strong"/>
        </w:rPr>
        <w:t>Project Beta</w:t>
      </w:r>
      <w:r w:rsidR="006D174E" w:rsidRPr="006D174E">
        <w:t xml:space="preserve"> </w:t>
      </w:r>
      <w:r>
        <w:t xml:space="preserve">is best and </w:t>
      </w:r>
      <w:r w:rsidR="006D174E" w:rsidRPr="006D174E">
        <w:t xml:space="preserve">offers the strongest return, fastest payback, and lowest risk </w:t>
      </w:r>
      <w:r>
        <w:t xml:space="preserve">exposure. There is need to </w:t>
      </w:r>
      <w:r w:rsidRPr="006D174E">
        <w:t>prioritized</w:t>
      </w:r>
      <w:r w:rsidR="006D174E" w:rsidRPr="006D174E">
        <w:t xml:space="preserve"> as the lead investment, support</w:t>
      </w:r>
      <w:r>
        <w:t xml:space="preserve">ed by Alpha if capital permits. </w:t>
      </w:r>
    </w:p>
    <w:p w14:paraId="6DDA93BE" w14:textId="77777777" w:rsidR="006D174E" w:rsidRPr="006D174E" w:rsidRDefault="003831F6" w:rsidP="006D174E">
      <w:pPr>
        <w:pStyle w:val="NormalWeb"/>
        <w:spacing w:before="240" w:beforeAutospacing="0" w:after="240" w:afterAutospacing="0" w:line="360" w:lineRule="auto"/>
        <w:jc w:val="both"/>
      </w:pPr>
      <w:r>
        <w:t>Therefore, to survive,</w:t>
      </w:r>
      <w:r w:rsidR="006D174E" w:rsidRPr="006D174E">
        <w:t xml:space="preserve"> General Electronics must embed a culture of </w:t>
      </w:r>
      <w:r w:rsidR="006D174E" w:rsidRPr="006D174E">
        <w:rPr>
          <w:rStyle w:val="Strong"/>
        </w:rPr>
        <w:t>financial disci</w:t>
      </w:r>
      <w:r>
        <w:rPr>
          <w:rStyle w:val="Strong"/>
        </w:rPr>
        <w:t xml:space="preserve">pline and ethical accountability in its business. However, </w:t>
      </w:r>
      <w:r>
        <w:t xml:space="preserve">by </w:t>
      </w:r>
      <w:r w:rsidRPr="006D174E">
        <w:t>integrating</w:t>
      </w:r>
      <w:r w:rsidR="006D174E" w:rsidRPr="006D174E">
        <w:t xml:space="preserve"> global risk management with</w:t>
      </w:r>
      <w:r>
        <w:t xml:space="preserve"> socially responsible practices, there is need to </w:t>
      </w:r>
      <w:r w:rsidR="006D174E" w:rsidRPr="006D174E">
        <w:t>transform the firm into a resilient and competitive enterprise</w:t>
      </w:r>
      <w:r w:rsidR="00D50C63" w:rsidRPr="006D174E">
        <w:t>...</w:t>
      </w:r>
    </w:p>
    <w:p w14:paraId="7562D7AE"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br w:type="page"/>
      </w:r>
    </w:p>
    <w:p w14:paraId="6BF9318F" w14:textId="77777777" w:rsidR="006D174E" w:rsidRPr="006D174E" w:rsidRDefault="006D174E" w:rsidP="006D174E">
      <w:pPr>
        <w:pStyle w:val="Heading1"/>
        <w:rPr>
          <w:rFonts w:eastAsia="Times New Roman"/>
        </w:rPr>
      </w:pPr>
      <w:bookmarkStart w:id="83" w:name="_Toc211680226"/>
      <w:bookmarkStart w:id="84" w:name="_Toc212192282"/>
      <w:r>
        <w:rPr>
          <w:rFonts w:eastAsia="Times New Roman"/>
        </w:rPr>
        <w:lastRenderedPageBreak/>
        <w:t xml:space="preserve">8.0 </w:t>
      </w:r>
      <w:r w:rsidRPr="006D174E">
        <w:rPr>
          <w:rFonts w:eastAsia="Times New Roman"/>
        </w:rPr>
        <w:t>References</w:t>
      </w:r>
      <w:bookmarkEnd w:id="83"/>
      <w:bookmarkEnd w:id="84"/>
      <w:r>
        <w:rPr>
          <w:rFonts w:eastAsia="Times New Roman"/>
        </w:rPr>
        <w:tab/>
      </w:r>
    </w:p>
    <w:p w14:paraId="51EF24D2" w14:textId="77777777" w:rsidR="001F5A23" w:rsidRDefault="001F5A23" w:rsidP="001F5A23">
      <w:pPr>
        <w:pStyle w:val="NormalWeb"/>
        <w:spacing w:before="240" w:beforeAutospacing="0" w:after="240" w:afterAutospacing="0" w:line="360" w:lineRule="auto"/>
        <w:ind w:left="360"/>
        <w:jc w:val="both"/>
      </w:pPr>
      <w:r w:rsidRPr="006D174E">
        <w:t xml:space="preserve">Akash, T. R., Reza, J., &amp; Alam, M. A. (2024). Evaluating financial risk management in corporation financial security systems. </w:t>
      </w:r>
      <w:r w:rsidRPr="006D174E">
        <w:rPr>
          <w:rStyle w:val="Emphasis"/>
        </w:rPr>
        <w:t>World Journal of Advanced Research and Reviews</w:t>
      </w:r>
      <w:r w:rsidRPr="006D174E">
        <w:t>, 23(1), 2203–2213.</w:t>
      </w:r>
      <w:r w:rsidRPr="001F5A23">
        <w:t xml:space="preserve"> </w:t>
      </w:r>
      <w:hyperlink r:id="rId13" w:history="1">
        <w:r w:rsidRPr="0096580E">
          <w:rPr>
            <w:rStyle w:val="Hyperlink"/>
          </w:rPr>
          <w:t>https://wjarr.com/sites/default/files/WJARR-2024-2206.pdf</w:t>
        </w:r>
      </w:hyperlink>
    </w:p>
    <w:p w14:paraId="5E647F74" w14:textId="77777777" w:rsidR="001F5A23" w:rsidRDefault="001F5A23" w:rsidP="001F5A23">
      <w:pPr>
        <w:pStyle w:val="NormalWeb"/>
        <w:spacing w:before="240" w:beforeAutospacing="0" w:after="240" w:afterAutospacing="0" w:line="360" w:lineRule="auto"/>
        <w:ind w:left="360"/>
        <w:jc w:val="both"/>
      </w:pPr>
      <w:r w:rsidRPr="006D174E">
        <w:t xml:space="preserve">Akbar, M. (2021). Global financial crisis, working capital management, and financial performance of firms. </w:t>
      </w:r>
      <w:r w:rsidRPr="006D174E">
        <w:rPr>
          <w:rStyle w:val="Emphasis"/>
        </w:rPr>
        <w:t>Journal of Business &amp; Economic Research</w:t>
      </w:r>
      <w:r w:rsidRPr="006D174E">
        <w:t xml:space="preserve"> / </w:t>
      </w:r>
      <w:r w:rsidRPr="006D174E">
        <w:rPr>
          <w:rStyle w:val="Emphasis"/>
        </w:rPr>
        <w:t>International Journal of Financial Studies</w:t>
      </w:r>
      <w:r w:rsidRPr="006D174E">
        <w:t>.</w:t>
      </w:r>
      <w:r w:rsidRPr="001F5A23">
        <w:t xml:space="preserve"> </w:t>
      </w:r>
      <w:hyperlink r:id="rId14" w:history="1">
        <w:r w:rsidRPr="0096580E">
          <w:rPr>
            <w:rStyle w:val="Hyperlink"/>
          </w:rPr>
          <w:t>https://journals.sagepub.com/doi/full/10.1177/21582440211015705</w:t>
        </w:r>
      </w:hyperlink>
    </w:p>
    <w:p w14:paraId="507A65F3" w14:textId="77777777" w:rsidR="001F5A23" w:rsidRDefault="001F5A23" w:rsidP="001F5A23">
      <w:pPr>
        <w:pStyle w:val="NormalWeb"/>
        <w:spacing w:before="240" w:beforeAutospacing="0" w:after="240" w:afterAutospacing="0" w:line="360" w:lineRule="auto"/>
        <w:ind w:left="360"/>
        <w:jc w:val="both"/>
      </w:pPr>
      <w:r w:rsidRPr="006D174E">
        <w:t xml:space="preserve">Aktas, N., Croci, E., &amp; </w:t>
      </w:r>
      <w:proofErr w:type="spellStart"/>
      <w:r w:rsidRPr="006D174E">
        <w:t>Petmezas</w:t>
      </w:r>
      <w:proofErr w:type="spellEnd"/>
      <w:r w:rsidRPr="006D174E">
        <w:t xml:space="preserve">, D. (2015). Is working capital management value-enhancing? Evidence from firm performance. </w:t>
      </w:r>
      <w:r w:rsidRPr="006D174E">
        <w:rPr>
          <w:rStyle w:val="Emphasis"/>
        </w:rPr>
        <w:t>Journal of Corporate Finance</w:t>
      </w:r>
      <w:r w:rsidRPr="006D174E">
        <w:t>.</w:t>
      </w:r>
      <w:r w:rsidRPr="001F5A23">
        <w:t xml:space="preserve"> </w:t>
      </w:r>
      <w:r>
        <w:t xml:space="preserve"> </w:t>
      </w:r>
      <w:hyperlink r:id="rId15" w:history="1">
        <w:r w:rsidRPr="0096580E">
          <w:rPr>
            <w:rStyle w:val="Hyperlink"/>
          </w:rPr>
          <w:t>https://www.sciencedirect.com/science/article/abs/pii/S0929119914001606</w:t>
        </w:r>
      </w:hyperlink>
    </w:p>
    <w:p w14:paraId="02A5E8D5" w14:textId="77777777" w:rsidR="001F5A23" w:rsidRDefault="001F5A23" w:rsidP="00D50C63">
      <w:pPr>
        <w:pStyle w:val="NormalWeb"/>
        <w:spacing w:before="240" w:beforeAutospacing="0" w:after="240" w:afterAutospacing="0" w:line="360" w:lineRule="auto"/>
        <w:ind w:left="360"/>
        <w:jc w:val="both"/>
      </w:pPr>
      <w:r w:rsidRPr="006D174E">
        <w:t xml:space="preserve">Altaf, N., &amp; Shah, S. Z. A. (2017). Working capital management, firm performance and financial constraints. </w:t>
      </w:r>
      <w:r w:rsidRPr="006D174E">
        <w:rPr>
          <w:rStyle w:val="Emphasis"/>
        </w:rPr>
        <w:t>Asia Pacific Journal of Business Administration</w:t>
      </w:r>
      <w:r w:rsidRPr="006D174E">
        <w:t>.</w:t>
      </w:r>
      <w:r w:rsidRPr="001F5A23">
        <w:t xml:space="preserve"> </w:t>
      </w:r>
      <w:hyperlink r:id="rId16" w:history="1">
        <w:r w:rsidRPr="0096580E">
          <w:rPr>
            <w:rStyle w:val="Hyperlink"/>
          </w:rPr>
          <w:t>https://www.researchgate.net/publication/318545480_Working_capital_management_firm_performance_and_financial_constraints_Empirical_evidence_from_India</w:t>
        </w:r>
      </w:hyperlink>
    </w:p>
    <w:p w14:paraId="31E1E6C8" w14:textId="77777777" w:rsidR="001F5A23" w:rsidRDefault="001F5A23" w:rsidP="00D50C63">
      <w:pPr>
        <w:pStyle w:val="NormalWeb"/>
        <w:spacing w:before="240" w:beforeAutospacing="0" w:after="240" w:afterAutospacing="0" w:line="360" w:lineRule="auto"/>
        <w:ind w:left="360"/>
        <w:jc w:val="both"/>
      </w:pPr>
      <w:proofErr w:type="spellStart"/>
      <w:r w:rsidRPr="006D174E">
        <w:t>Aulová</w:t>
      </w:r>
      <w:proofErr w:type="spellEnd"/>
      <w:r w:rsidRPr="006D174E">
        <w:t xml:space="preserve">, R., Pánková, L., &amp; </w:t>
      </w:r>
      <w:proofErr w:type="spellStart"/>
      <w:r w:rsidRPr="006D174E">
        <w:t>Rumánková</w:t>
      </w:r>
      <w:proofErr w:type="spellEnd"/>
      <w:r w:rsidRPr="006D174E">
        <w:t xml:space="preserve">, L. (2019). Analysis of selected profitability ratios in the agricultural sector. </w:t>
      </w:r>
      <w:r w:rsidRPr="006D174E">
        <w:rPr>
          <w:rStyle w:val="Emphasis"/>
        </w:rPr>
        <w:t>AGRIS on-line Papers in Economics and Informatics</w:t>
      </w:r>
      <w:r w:rsidRPr="006D174E">
        <w:t>, 11(3), 3–12.</w:t>
      </w:r>
      <w:r w:rsidRPr="001F5A23">
        <w:t xml:space="preserve"> </w:t>
      </w:r>
      <w:hyperlink r:id="rId17" w:history="1">
        <w:r w:rsidRPr="0096580E">
          <w:rPr>
            <w:rStyle w:val="Hyperlink"/>
          </w:rPr>
          <w:t>https://www.researchgate.net/publication/336144030_Analysis_of_Selected_Profitability_Ratios_in_the_Agricultural_Sector</w:t>
        </w:r>
      </w:hyperlink>
    </w:p>
    <w:p w14:paraId="425F515D" w14:textId="77777777" w:rsidR="001F5A23" w:rsidRDefault="001F5A23" w:rsidP="00D50C63">
      <w:pPr>
        <w:pStyle w:val="NormalWeb"/>
        <w:spacing w:before="240" w:beforeAutospacing="0" w:after="240" w:afterAutospacing="0" w:line="360" w:lineRule="auto"/>
        <w:ind w:left="360"/>
        <w:jc w:val="both"/>
      </w:pPr>
      <w:r w:rsidRPr="006D174E">
        <w:t xml:space="preserve">Banerjee, P., &amp; Deb, S. G. (2023). Capital investment, working capital management, and firm performance: Role of managerial ability. </w:t>
      </w:r>
      <w:r w:rsidRPr="006D174E">
        <w:rPr>
          <w:rStyle w:val="Emphasis"/>
        </w:rPr>
        <w:t>Transportation Research Part E: Logistics and Transportation Review</w:t>
      </w:r>
      <w:r w:rsidRPr="006D174E">
        <w:t>.</w:t>
      </w:r>
      <w:r w:rsidRPr="001F5A23">
        <w:t xml:space="preserve"> </w:t>
      </w:r>
      <w:hyperlink r:id="rId18" w:history="1">
        <w:r w:rsidRPr="0096580E">
          <w:rPr>
            <w:rStyle w:val="Hyperlink"/>
          </w:rPr>
          <w:t>https://ideas.repec.org/a/eee/transe/v176y2023ics1366554523002120.html</w:t>
        </w:r>
      </w:hyperlink>
    </w:p>
    <w:p w14:paraId="5DC12AEF" w14:textId="77777777" w:rsidR="001F5A23" w:rsidRDefault="001F5A23" w:rsidP="00D50C63">
      <w:pPr>
        <w:pStyle w:val="NormalWeb"/>
        <w:spacing w:before="240" w:beforeAutospacing="0" w:after="240" w:afterAutospacing="0" w:line="360" w:lineRule="auto"/>
        <w:ind w:left="360"/>
        <w:jc w:val="both"/>
      </w:pPr>
      <w:r w:rsidRPr="006D174E">
        <w:t xml:space="preserve">Fadillah, I. R., Nadiyah, N., </w:t>
      </w:r>
      <w:proofErr w:type="spellStart"/>
      <w:r w:rsidRPr="006D174E">
        <w:t>Rohmah</w:t>
      </w:r>
      <w:proofErr w:type="spellEnd"/>
      <w:r w:rsidRPr="006D174E">
        <w:t xml:space="preserve">, L., Haryadi, D., &amp; Wahyudi, W. (2024). Profitability ratio analysis to assess the financial performance. </w:t>
      </w:r>
      <w:r w:rsidRPr="006D174E">
        <w:rPr>
          <w:rStyle w:val="Emphasis"/>
        </w:rPr>
        <w:t>International Journal of Applied Finance and Business Studies</w:t>
      </w:r>
      <w:r w:rsidRPr="006D174E">
        <w:t>, 11(4), 964–969.</w:t>
      </w:r>
      <w:r w:rsidRPr="001F5A23">
        <w:t xml:space="preserve"> </w:t>
      </w:r>
      <w:hyperlink r:id="rId19" w:history="1">
        <w:r w:rsidRPr="0096580E">
          <w:rPr>
            <w:rStyle w:val="Hyperlink"/>
          </w:rPr>
          <w:t>https://ijafibs.pelnus.ac.id/index.php/ijafibs/article/view/243</w:t>
        </w:r>
      </w:hyperlink>
    </w:p>
    <w:p w14:paraId="5698FDF8" w14:textId="77777777" w:rsidR="001F5A23" w:rsidRDefault="001F5A23" w:rsidP="00D50C63">
      <w:pPr>
        <w:pStyle w:val="NormalWeb"/>
        <w:spacing w:before="240" w:beforeAutospacing="0" w:after="240" w:afterAutospacing="0" w:line="360" w:lineRule="auto"/>
        <w:ind w:left="360"/>
        <w:jc w:val="both"/>
      </w:pPr>
      <w:r w:rsidRPr="006D174E">
        <w:lastRenderedPageBreak/>
        <w:t xml:space="preserve">Huynh, T. X. (2025). The impact of working capital management on the financial performance of listed enterprises. </w:t>
      </w:r>
      <w:r w:rsidRPr="006D174E">
        <w:rPr>
          <w:rStyle w:val="Emphasis"/>
        </w:rPr>
        <w:t>Journal of Economics &amp; Business</w:t>
      </w:r>
      <w:r w:rsidRPr="006D174E">
        <w:t>.</w:t>
      </w:r>
      <w:r w:rsidRPr="001F5A23">
        <w:t xml:space="preserve"> </w:t>
      </w:r>
      <w:hyperlink r:id="rId20" w:history="1">
        <w:r w:rsidRPr="0096580E">
          <w:rPr>
            <w:rStyle w:val="Hyperlink"/>
          </w:rPr>
          <w:t>https://www.researchgate.net/publication/389599597_The_impact_of_working_capital_management_on_the_financial_performance_of_listed_enterprises_an_empirical_evidence_from_Vietnam</w:t>
        </w:r>
      </w:hyperlink>
    </w:p>
    <w:p w14:paraId="4654098E" w14:textId="77777777" w:rsidR="001F5A23" w:rsidRDefault="001F5A23" w:rsidP="00D50C63">
      <w:pPr>
        <w:pStyle w:val="NormalWeb"/>
        <w:spacing w:before="240" w:beforeAutospacing="0" w:after="240" w:afterAutospacing="0" w:line="360" w:lineRule="auto"/>
        <w:ind w:left="360"/>
        <w:jc w:val="both"/>
      </w:pPr>
      <w:r w:rsidRPr="006D174E">
        <w:t xml:space="preserve">Kayani, U., De Silva, T.-A., &amp; Gan, C. (2021). A systematic literature review on working capital management – an identification of new avenues. </w:t>
      </w:r>
      <w:r w:rsidRPr="006D174E">
        <w:rPr>
          <w:rStyle w:val="Emphasis"/>
        </w:rPr>
        <w:t>Journal of Business &amp; Finance Studies</w:t>
      </w:r>
      <w:r w:rsidRPr="006D174E">
        <w:t xml:space="preserve"> or equivalent.</w:t>
      </w:r>
      <w:r w:rsidRPr="001F5A23">
        <w:t xml:space="preserve"> </w:t>
      </w:r>
      <w:hyperlink r:id="rId21" w:history="1">
        <w:r w:rsidRPr="0096580E">
          <w:rPr>
            <w:rStyle w:val="Hyperlink"/>
          </w:rPr>
          <w:t>https://www.researchgate.net/publication/334751254_A_systematic_literature_review_on_working_capital_management_-_an_identification_of_new_avenues</w:t>
        </w:r>
      </w:hyperlink>
    </w:p>
    <w:p w14:paraId="20FF6D19" w14:textId="77777777" w:rsidR="001F5A23" w:rsidRDefault="001F5A23" w:rsidP="00D50C63">
      <w:pPr>
        <w:pStyle w:val="NormalWeb"/>
        <w:spacing w:before="240" w:beforeAutospacing="0" w:after="240" w:afterAutospacing="0" w:line="360" w:lineRule="auto"/>
        <w:ind w:left="360"/>
        <w:jc w:val="both"/>
      </w:pPr>
      <w:proofErr w:type="spellStart"/>
      <w:r w:rsidRPr="006D174E">
        <w:t>Kiymaz</w:t>
      </w:r>
      <w:proofErr w:type="spellEnd"/>
      <w:r w:rsidRPr="006D174E">
        <w:t xml:space="preserve">, H. (2024). Working capital management and firm performance. </w:t>
      </w:r>
      <w:r w:rsidRPr="006D174E">
        <w:rPr>
          <w:rStyle w:val="Emphasis"/>
        </w:rPr>
        <w:t>Journal of Financial Studies</w:t>
      </w:r>
      <w:r w:rsidRPr="006D174E">
        <w:t xml:space="preserve"> (or relevant journal) [empirical study on WCM and performance].</w:t>
      </w:r>
      <w:r w:rsidRPr="001F5A23">
        <w:t xml:space="preserve"> </w:t>
      </w:r>
      <w:hyperlink r:id="rId22" w:history="1">
        <w:r w:rsidRPr="0096580E">
          <w:rPr>
            <w:rStyle w:val="Hyperlink"/>
          </w:rPr>
          <w:t>https://www.sciencedirect.com/science/article/pii/S2214845024000462</w:t>
        </w:r>
      </w:hyperlink>
    </w:p>
    <w:p w14:paraId="020909C3" w14:textId="77777777" w:rsidR="001F5A23" w:rsidRDefault="001F5A23" w:rsidP="00D50C63">
      <w:pPr>
        <w:pStyle w:val="NormalWeb"/>
        <w:spacing w:before="240" w:beforeAutospacing="0" w:after="240" w:afterAutospacing="0" w:line="360" w:lineRule="auto"/>
        <w:ind w:left="360"/>
        <w:jc w:val="both"/>
      </w:pPr>
      <w:r w:rsidRPr="006D174E">
        <w:t xml:space="preserve">Li, C., Dong, Y., &amp; Yang, J. (2014). Working capital management, corporate performance, and financial constraints. </w:t>
      </w:r>
      <w:r w:rsidRPr="006D174E">
        <w:rPr>
          <w:rStyle w:val="Emphasis"/>
        </w:rPr>
        <w:t>Management Accounting Research</w:t>
      </w:r>
      <w:r w:rsidRPr="006D174E">
        <w:t>.</w:t>
      </w:r>
      <w:r w:rsidRPr="001F5A23">
        <w:t xml:space="preserve"> </w:t>
      </w:r>
      <w:hyperlink r:id="rId23" w:history="1">
        <w:r w:rsidRPr="0096580E">
          <w:rPr>
            <w:rStyle w:val="Hyperlink"/>
          </w:rPr>
          <w:t>https://onlinelibrary.wiley.com/doi/10.1155/2014/953945</w:t>
        </w:r>
      </w:hyperlink>
    </w:p>
    <w:p w14:paraId="2FC841BA" w14:textId="77777777" w:rsidR="001F5A23" w:rsidRDefault="001F5A23" w:rsidP="00D50C63">
      <w:pPr>
        <w:pStyle w:val="NormalWeb"/>
        <w:spacing w:before="240" w:beforeAutospacing="0" w:after="240" w:afterAutospacing="0" w:line="360" w:lineRule="auto"/>
        <w:ind w:left="360"/>
        <w:jc w:val="both"/>
      </w:pPr>
      <w:r w:rsidRPr="006D174E">
        <w:t xml:space="preserve">Liu, L., Zhou, X., &amp; Xu, J. (2024). Does working capital management improve financial performance in China’s agri-food sector during COVID-19? </w:t>
      </w:r>
      <w:proofErr w:type="spellStart"/>
      <w:r w:rsidRPr="006D174E">
        <w:rPr>
          <w:rStyle w:val="Emphasis"/>
        </w:rPr>
        <w:t>PLoS</w:t>
      </w:r>
      <w:proofErr w:type="spellEnd"/>
      <w:r w:rsidRPr="006D174E">
        <w:rPr>
          <w:rStyle w:val="Emphasis"/>
        </w:rPr>
        <w:t xml:space="preserve"> ONE</w:t>
      </w:r>
      <w:r w:rsidRPr="006D174E">
        <w:t>.</w:t>
      </w:r>
      <w:r w:rsidRPr="001F5A23">
        <w:t xml:space="preserve"> </w:t>
      </w:r>
      <w:hyperlink r:id="rId24" w:history="1">
        <w:r w:rsidRPr="0096580E">
          <w:rPr>
            <w:rStyle w:val="Hyperlink"/>
          </w:rPr>
          <w:t>https://journals.plos.org/plosone/article?id=10.1371/journal.pone.0300217</w:t>
        </w:r>
      </w:hyperlink>
    </w:p>
    <w:p w14:paraId="308E45C7" w14:textId="77777777" w:rsidR="001F5A23" w:rsidRDefault="001F5A23" w:rsidP="00D50C63">
      <w:pPr>
        <w:pStyle w:val="NormalWeb"/>
        <w:spacing w:before="240" w:beforeAutospacing="0" w:after="240" w:afterAutospacing="0" w:line="360" w:lineRule="auto"/>
        <w:ind w:left="360"/>
        <w:jc w:val="both"/>
      </w:pPr>
      <w:proofErr w:type="spellStart"/>
      <w:r w:rsidRPr="006D174E">
        <w:t>Mastilo</w:t>
      </w:r>
      <w:proofErr w:type="spellEnd"/>
      <w:r w:rsidRPr="006D174E">
        <w:t xml:space="preserve">, Z., </w:t>
      </w:r>
      <w:proofErr w:type="spellStart"/>
      <w:r w:rsidRPr="006D174E">
        <w:t>Štilić</w:t>
      </w:r>
      <w:proofErr w:type="spellEnd"/>
      <w:r w:rsidRPr="006D174E">
        <w:t xml:space="preserve">, A., </w:t>
      </w:r>
      <w:proofErr w:type="spellStart"/>
      <w:r w:rsidRPr="006D174E">
        <w:t>Gligović</w:t>
      </w:r>
      <w:proofErr w:type="spellEnd"/>
      <w:r w:rsidRPr="006D174E">
        <w:t xml:space="preserve">, D., &amp; </w:t>
      </w:r>
      <w:proofErr w:type="spellStart"/>
      <w:r w:rsidRPr="006D174E">
        <w:t>Puška</w:t>
      </w:r>
      <w:proofErr w:type="spellEnd"/>
      <w:r w:rsidRPr="006D174E">
        <w:t xml:space="preserve">, A. (2024). Assessing the banking sector of Bosnia and Herzegovina: An analysis of financial indicators through the MEREC and MARCOS methods. </w:t>
      </w:r>
      <w:r w:rsidRPr="006D174E">
        <w:rPr>
          <w:rStyle w:val="Emphasis"/>
        </w:rPr>
        <w:t>Journal of Central Banking Theory and Practice</w:t>
      </w:r>
      <w:r w:rsidRPr="006D174E">
        <w:t>, 13(1), 167–197.</w:t>
      </w:r>
      <w:r w:rsidRPr="001F5A23">
        <w:t xml:space="preserve"> </w:t>
      </w:r>
      <w:hyperlink r:id="rId25" w:history="1">
        <w:r w:rsidRPr="0096580E">
          <w:rPr>
            <w:rStyle w:val="Hyperlink"/>
          </w:rPr>
          <w:t>https://www.researchgate.net/publication/377394145_Assessing_the_Banking_Sector_of_Bosnia_and_Herzegovina_An_Analysis_of_Financial_Indicators_through_the_MEREC_and_MARCOS_Methods</w:t>
        </w:r>
      </w:hyperlink>
    </w:p>
    <w:p w14:paraId="5D17BF87" w14:textId="77777777" w:rsidR="001F5A23" w:rsidRDefault="001F5A23" w:rsidP="00D50C63">
      <w:pPr>
        <w:pStyle w:val="NormalWeb"/>
        <w:spacing w:before="240" w:beforeAutospacing="0" w:after="240" w:afterAutospacing="0" w:line="360" w:lineRule="auto"/>
        <w:ind w:left="360"/>
        <w:jc w:val="both"/>
      </w:pPr>
      <w:r w:rsidRPr="006D174E">
        <w:t xml:space="preserve">Muigai, R. G., &amp; </w:t>
      </w:r>
      <w:proofErr w:type="spellStart"/>
      <w:r w:rsidRPr="006D174E">
        <w:t>Nasieku</w:t>
      </w:r>
      <w:proofErr w:type="spellEnd"/>
      <w:r w:rsidRPr="006D174E">
        <w:t xml:space="preserve">, T. (2021). Working capital management and financial distress of non-financial companies listed on the Nairobi Securities Exchange. </w:t>
      </w:r>
      <w:r w:rsidRPr="006D174E">
        <w:rPr>
          <w:rStyle w:val="Emphasis"/>
        </w:rPr>
        <w:t xml:space="preserve">European Journal of </w:t>
      </w:r>
      <w:r w:rsidRPr="006D174E">
        <w:rPr>
          <w:rStyle w:val="Emphasis"/>
        </w:rPr>
        <w:lastRenderedPageBreak/>
        <w:t>Economic and Financial Research</w:t>
      </w:r>
      <w:r w:rsidRPr="006D174E">
        <w:t>, 5(1).</w:t>
      </w:r>
      <w:r w:rsidRPr="001F5A23">
        <w:t xml:space="preserve"> </w:t>
      </w:r>
      <w:hyperlink r:id="rId26" w:history="1">
        <w:r w:rsidRPr="0096580E">
          <w:rPr>
            <w:rStyle w:val="Hyperlink"/>
          </w:rPr>
          <w:t>https://oapub.org/soc/index.php/EJEFR/article/view/1073</w:t>
        </w:r>
      </w:hyperlink>
    </w:p>
    <w:p w14:paraId="731B8EE2" w14:textId="77777777" w:rsidR="001F5A23" w:rsidRDefault="001F5A23" w:rsidP="00D50C63">
      <w:pPr>
        <w:pStyle w:val="NormalWeb"/>
        <w:spacing w:before="240" w:beforeAutospacing="0" w:after="240" w:afterAutospacing="0" w:line="360" w:lineRule="auto"/>
        <w:ind w:left="360"/>
        <w:jc w:val="both"/>
      </w:pPr>
      <w:r w:rsidRPr="006D174E">
        <w:t>Pandey, A. K. (2023). Nexus between working capital management &amp; firm performance. SSRN Working Paper.</w:t>
      </w:r>
      <w:r w:rsidRPr="001F5A23">
        <w:t xml:space="preserve"> </w:t>
      </w:r>
      <w:hyperlink r:id="rId27" w:history="1">
        <w:r w:rsidRPr="0096580E">
          <w:rPr>
            <w:rStyle w:val="Hyperlink"/>
          </w:rPr>
          <w:t>https://papers.ssrn.com/sol3/papers.cfm?abstract_id=4484564</w:t>
        </w:r>
      </w:hyperlink>
    </w:p>
    <w:p w14:paraId="03456313" w14:textId="77777777" w:rsidR="001F5A23" w:rsidRDefault="001F5A23" w:rsidP="00D50C63">
      <w:pPr>
        <w:pStyle w:val="NormalWeb"/>
        <w:spacing w:before="240" w:beforeAutospacing="0" w:after="240" w:afterAutospacing="0" w:line="360" w:lineRule="auto"/>
        <w:ind w:left="360"/>
        <w:jc w:val="both"/>
      </w:pPr>
      <w:r w:rsidRPr="006D174E">
        <w:t xml:space="preserve">Ramdhan, A. N., Yulianti, N. A., &amp; </w:t>
      </w:r>
      <w:proofErr w:type="spellStart"/>
      <w:r w:rsidRPr="006D174E">
        <w:t>Parlina</w:t>
      </w:r>
      <w:proofErr w:type="spellEnd"/>
      <w:r w:rsidRPr="006D174E">
        <w:t xml:space="preserve">, N. D. (2025). Profitability ratio analysis to measure the financial performance of food and beverage companies for the period of 2020–2023. </w:t>
      </w:r>
      <w:r w:rsidRPr="006D174E">
        <w:rPr>
          <w:rStyle w:val="Emphasis"/>
        </w:rPr>
        <w:t>International Journal of Entrepreneurship and Business Development</w:t>
      </w:r>
      <w:r w:rsidRPr="006D174E">
        <w:t>, 8(2), 315–330.</w:t>
      </w:r>
      <w:r w:rsidRPr="001F5A23">
        <w:t xml:space="preserve"> </w:t>
      </w:r>
      <w:hyperlink r:id="rId28" w:history="1">
        <w:r w:rsidRPr="0096580E">
          <w:rPr>
            <w:rStyle w:val="Hyperlink"/>
          </w:rPr>
          <w:t>https://www.researchgate.net/publication/393745539_Profitability_Ratio_Analysis_to_Measure_the_Financial_Performance_of_Food_and_Beverage_Companies_for_the_Period_of_2020_-_2023</w:t>
        </w:r>
      </w:hyperlink>
    </w:p>
    <w:p w14:paraId="17F683D5" w14:textId="77777777" w:rsidR="001F5A23" w:rsidRDefault="001F5A23" w:rsidP="00D50C63">
      <w:pPr>
        <w:pStyle w:val="NormalWeb"/>
        <w:spacing w:before="240" w:beforeAutospacing="0" w:after="240" w:afterAutospacing="0" w:line="360" w:lineRule="auto"/>
        <w:ind w:left="360"/>
        <w:jc w:val="both"/>
      </w:pPr>
      <w:r w:rsidRPr="006D174E">
        <w:t xml:space="preserve">Saputra, R. E., &amp; </w:t>
      </w:r>
      <w:proofErr w:type="spellStart"/>
      <w:r w:rsidRPr="006D174E">
        <w:t>Nirawati</w:t>
      </w:r>
      <w:proofErr w:type="spellEnd"/>
      <w:r w:rsidRPr="006D174E">
        <w:t xml:space="preserve">, L. (2025). Financial ratio analysis for strategic decision-making in the football industry: A case study of PT Bali Bintang Sejahtera (2019–2023). </w:t>
      </w:r>
      <w:r w:rsidRPr="006D174E">
        <w:rPr>
          <w:rStyle w:val="Emphasis"/>
        </w:rPr>
        <w:t>Indonesian Interdisciplinary Journal of Sharia Economics (IIJSE)</w:t>
      </w:r>
      <w:r w:rsidRPr="006D174E">
        <w:t>, 8(1), 7846–7856.</w:t>
      </w:r>
      <w:r w:rsidRPr="001F5A23">
        <w:t xml:space="preserve"> </w:t>
      </w:r>
      <w:hyperlink r:id="rId29" w:history="1">
        <w:r w:rsidRPr="0096580E">
          <w:rPr>
            <w:rStyle w:val="Hyperlink"/>
          </w:rPr>
          <w:t>https://e-journal.uac.ac.id/index.php/iijse/article/view/6858</w:t>
        </w:r>
      </w:hyperlink>
    </w:p>
    <w:p w14:paraId="672C3122" w14:textId="77777777" w:rsidR="001F5A23" w:rsidRDefault="001F5A23" w:rsidP="00D50C63">
      <w:pPr>
        <w:pStyle w:val="NormalWeb"/>
        <w:spacing w:before="240" w:beforeAutospacing="0" w:after="240" w:afterAutospacing="0" w:line="360" w:lineRule="auto"/>
        <w:ind w:left="360"/>
        <w:jc w:val="both"/>
      </w:pPr>
      <w:r w:rsidRPr="006D174E">
        <w:t xml:space="preserve">Silva, F., &amp; Silva, S. (2025). Working capital management and corporate performance: The role of financial constraints. </w:t>
      </w:r>
      <w:r w:rsidRPr="006D174E">
        <w:rPr>
          <w:rStyle w:val="Emphasis"/>
        </w:rPr>
        <w:t>SSRN Working Paper or Journal</w:t>
      </w:r>
      <w:r w:rsidRPr="006D174E">
        <w:t>.</w:t>
      </w:r>
      <w:r w:rsidRPr="001F5A23">
        <w:t xml:space="preserve"> </w:t>
      </w:r>
      <w:hyperlink r:id="rId30" w:history="1">
        <w:r w:rsidRPr="0096580E">
          <w:rPr>
            <w:rStyle w:val="Hyperlink"/>
          </w:rPr>
          <w:t>https://papers.ssrn.com/sol3/papers.cfm?abstract_id=5351316</w:t>
        </w:r>
      </w:hyperlink>
    </w:p>
    <w:p w14:paraId="2565E362" w14:textId="77777777" w:rsidR="001F5A23" w:rsidRDefault="001F5A23" w:rsidP="00D50C63">
      <w:pPr>
        <w:pStyle w:val="NormalWeb"/>
        <w:spacing w:before="240" w:beforeAutospacing="0" w:after="240" w:afterAutospacing="0" w:line="360" w:lineRule="auto"/>
        <w:ind w:left="360"/>
        <w:jc w:val="both"/>
      </w:pPr>
      <w:proofErr w:type="spellStart"/>
      <w:r w:rsidRPr="006D174E">
        <w:t>Sudacevschi</w:t>
      </w:r>
      <w:proofErr w:type="spellEnd"/>
      <w:r w:rsidRPr="006D174E">
        <w:t xml:space="preserve">, M., &amp; Duicu, V. M. (2024). Financial performance analysis of the company through profitability ratios. </w:t>
      </w:r>
      <w:r w:rsidRPr="006D174E">
        <w:rPr>
          <w:rStyle w:val="Emphasis"/>
        </w:rPr>
        <w:t>Challenges of the Knowledge Society</w:t>
      </w:r>
      <w:r w:rsidRPr="006D174E">
        <w:t>, 17.</w:t>
      </w:r>
      <w:r w:rsidRPr="001F5A23">
        <w:t xml:space="preserve"> </w:t>
      </w:r>
      <w:hyperlink r:id="rId31" w:history="1">
        <w:r w:rsidRPr="0096580E">
          <w:rPr>
            <w:rStyle w:val="Hyperlink"/>
          </w:rPr>
          <w:t>http://cks.univnt.ro/download/cks_2024_articles%252F5_CKS_2024_ECONOMIC_SCIENCES%252FCKS_2024_ECONOMIC_SCIENCES_010.pdf</w:t>
        </w:r>
      </w:hyperlink>
    </w:p>
    <w:p w14:paraId="50D0EE02" w14:textId="77777777" w:rsidR="001F5A23" w:rsidRDefault="001F5A23" w:rsidP="00D50C63">
      <w:pPr>
        <w:pStyle w:val="NormalWeb"/>
        <w:spacing w:before="240" w:beforeAutospacing="0" w:after="240" w:afterAutospacing="0" w:line="360" w:lineRule="auto"/>
        <w:ind w:left="360"/>
        <w:jc w:val="both"/>
      </w:pPr>
      <w:proofErr w:type="spellStart"/>
      <w:r w:rsidRPr="006D174E">
        <w:t>Talonpoika</w:t>
      </w:r>
      <w:proofErr w:type="spellEnd"/>
      <w:r w:rsidRPr="006D174E">
        <w:t xml:space="preserve">, A.-M., </w:t>
      </w:r>
      <w:proofErr w:type="spellStart"/>
      <w:r w:rsidRPr="006D174E">
        <w:t>Kärri</w:t>
      </w:r>
      <w:proofErr w:type="spellEnd"/>
      <w:r w:rsidRPr="006D174E">
        <w:t xml:space="preserve">, T., </w:t>
      </w:r>
      <w:proofErr w:type="spellStart"/>
      <w:r w:rsidRPr="006D174E">
        <w:t>Pirttilä</w:t>
      </w:r>
      <w:proofErr w:type="spellEnd"/>
      <w:r w:rsidRPr="006D174E">
        <w:t xml:space="preserve">, M., &amp; Monto, S. (2016). Defined strategies for financial working capital management. </w:t>
      </w:r>
      <w:r w:rsidRPr="006D174E">
        <w:rPr>
          <w:rStyle w:val="Emphasis"/>
        </w:rPr>
        <w:t>International Journal of Managerial Finance</w:t>
      </w:r>
      <w:r w:rsidRPr="006D174E">
        <w:t>.</w:t>
      </w:r>
      <w:r w:rsidRPr="001F5A23">
        <w:t xml:space="preserve"> </w:t>
      </w:r>
      <w:hyperlink r:id="rId32" w:history="1">
        <w:r w:rsidRPr="0096580E">
          <w:rPr>
            <w:rStyle w:val="Hyperlink"/>
          </w:rPr>
          <w:t>https://www.researchgate.net/publication/303870118_Defined_strategies_for_financial_working_capital_management</w:t>
        </w:r>
      </w:hyperlink>
    </w:p>
    <w:p w14:paraId="7A47A089" w14:textId="77777777" w:rsidR="007677B3" w:rsidRPr="006D174E" w:rsidRDefault="007677B3" w:rsidP="006D174E">
      <w:pPr>
        <w:spacing w:before="240" w:after="240" w:line="360" w:lineRule="auto"/>
        <w:jc w:val="both"/>
        <w:rPr>
          <w:rFonts w:ascii="Times New Roman" w:hAnsi="Times New Roman" w:cs="Times New Roman"/>
          <w:sz w:val="24"/>
          <w:szCs w:val="24"/>
        </w:rPr>
      </w:pPr>
    </w:p>
    <w:p w14:paraId="28E6917F" w14:textId="77777777" w:rsidR="007677B3" w:rsidRPr="006D174E" w:rsidRDefault="007677B3" w:rsidP="006D174E">
      <w:pPr>
        <w:spacing w:before="240" w:after="240" w:line="360" w:lineRule="auto"/>
        <w:jc w:val="both"/>
        <w:rPr>
          <w:rFonts w:ascii="Times New Roman" w:hAnsi="Times New Roman" w:cs="Times New Roman"/>
          <w:sz w:val="24"/>
          <w:szCs w:val="24"/>
        </w:rPr>
      </w:pPr>
      <w:r w:rsidRPr="006D174E">
        <w:rPr>
          <w:rFonts w:ascii="Times New Roman" w:hAnsi="Times New Roman" w:cs="Times New Roman"/>
          <w:sz w:val="24"/>
          <w:szCs w:val="24"/>
        </w:rPr>
        <w:lastRenderedPageBreak/>
        <w:t>Appendix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71"/>
        <w:gridCol w:w="1134"/>
        <w:gridCol w:w="1253"/>
        <w:gridCol w:w="1253"/>
        <w:gridCol w:w="1253"/>
        <w:gridCol w:w="1196"/>
        <w:gridCol w:w="1196"/>
      </w:tblGrid>
      <w:tr w:rsidR="006D174E" w:rsidRPr="006D174E" w14:paraId="0F97E19A" w14:textId="77777777" w:rsidTr="006D174E">
        <w:trPr>
          <w:tblHeader/>
          <w:tblCellSpacing w:w="15" w:type="dxa"/>
        </w:trPr>
        <w:tc>
          <w:tcPr>
            <w:tcW w:w="1226" w:type="dxa"/>
            <w:vAlign w:val="center"/>
            <w:hideMark/>
          </w:tcPr>
          <w:p w14:paraId="30687401"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Item / Ratio</w:t>
            </w:r>
          </w:p>
        </w:tc>
        <w:tc>
          <w:tcPr>
            <w:tcW w:w="1104" w:type="dxa"/>
            <w:vAlign w:val="center"/>
            <w:hideMark/>
          </w:tcPr>
          <w:p w14:paraId="32370D0D"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Formula </w:t>
            </w:r>
          </w:p>
        </w:tc>
        <w:tc>
          <w:tcPr>
            <w:tcW w:w="1223" w:type="dxa"/>
            <w:vAlign w:val="center"/>
            <w:hideMark/>
          </w:tcPr>
          <w:p w14:paraId="04FC7887"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2020</w:t>
            </w:r>
          </w:p>
        </w:tc>
        <w:tc>
          <w:tcPr>
            <w:tcW w:w="1223" w:type="dxa"/>
            <w:vAlign w:val="center"/>
            <w:hideMark/>
          </w:tcPr>
          <w:p w14:paraId="64A88D7C"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2021</w:t>
            </w:r>
          </w:p>
        </w:tc>
        <w:tc>
          <w:tcPr>
            <w:tcW w:w="1223" w:type="dxa"/>
            <w:vAlign w:val="center"/>
            <w:hideMark/>
          </w:tcPr>
          <w:p w14:paraId="3148C1F6"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2022</w:t>
            </w:r>
          </w:p>
        </w:tc>
        <w:tc>
          <w:tcPr>
            <w:tcW w:w="1166" w:type="dxa"/>
            <w:vAlign w:val="center"/>
            <w:hideMark/>
          </w:tcPr>
          <w:p w14:paraId="4F45D421"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2023</w:t>
            </w:r>
          </w:p>
        </w:tc>
        <w:tc>
          <w:tcPr>
            <w:tcW w:w="1151" w:type="dxa"/>
            <w:vAlign w:val="center"/>
            <w:hideMark/>
          </w:tcPr>
          <w:p w14:paraId="44E7E70E" w14:textId="77777777" w:rsidR="006D174E" w:rsidRPr="006D174E" w:rsidRDefault="006D174E" w:rsidP="006D174E">
            <w:pPr>
              <w:spacing w:before="240" w:after="240" w:line="360" w:lineRule="auto"/>
              <w:jc w:val="both"/>
              <w:rPr>
                <w:rFonts w:ascii="Times New Roman" w:eastAsia="Times New Roman" w:hAnsi="Times New Roman" w:cs="Times New Roman"/>
                <w:b/>
                <w:bCs/>
                <w:sz w:val="24"/>
                <w:szCs w:val="24"/>
              </w:rPr>
            </w:pPr>
            <w:r w:rsidRPr="006D174E">
              <w:rPr>
                <w:rFonts w:ascii="Times New Roman" w:eastAsia="Times New Roman" w:hAnsi="Times New Roman" w:cs="Times New Roman"/>
                <w:b/>
                <w:bCs/>
                <w:sz w:val="24"/>
                <w:szCs w:val="24"/>
              </w:rPr>
              <w:t>2024</w:t>
            </w:r>
          </w:p>
        </w:tc>
      </w:tr>
      <w:tr w:rsidR="006D174E" w:rsidRPr="006D174E" w14:paraId="5BCAC905" w14:textId="77777777" w:rsidTr="006D174E">
        <w:trPr>
          <w:tblCellSpacing w:w="15" w:type="dxa"/>
        </w:trPr>
        <w:tc>
          <w:tcPr>
            <w:tcW w:w="1226" w:type="dxa"/>
            <w:vAlign w:val="center"/>
            <w:hideMark/>
          </w:tcPr>
          <w:p w14:paraId="50B6786F"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Current Assets (£m)</w:t>
            </w:r>
          </w:p>
        </w:tc>
        <w:tc>
          <w:tcPr>
            <w:tcW w:w="1104" w:type="dxa"/>
            <w:vAlign w:val="center"/>
            <w:hideMark/>
          </w:tcPr>
          <w:p w14:paraId="0337099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
        </w:tc>
        <w:tc>
          <w:tcPr>
            <w:tcW w:w="1223" w:type="dxa"/>
            <w:vAlign w:val="center"/>
            <w:hideMark/>
          </w:tcPr>
          <w:p w14:paraId="71781329"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326,843</w:t>
            </w:r>
          </w:p>
        </w:tc>
        <w:tc>
          <w:tcPr>
            <w:tcW w:w="1223" w:type="dxa"/>
            <w:vAlign w:val="center"/>
            <w:hideMark/>
          </w:tcPr>
          <w:p w14:paraId="26841145"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337,146</w:t>
            </w:r>
          </w:p>
        </w:tc>
        <w:tc>
          <w:tcPr>
            <w:tcW w:w="1223" w:type="dxa"/>
            <w:vAlign w:val="center"/>
            <w:hideMark/>
          </w:tcPr>
          <w:p w14:paraId="33975AE9"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338,040</w:t>
            </w:r>
          </w:p>
        </w:tc>
        <w:tc>
          <w:tcPr>
            <w:tcW w:w="1166" w:type="dxa"/>
            <w:vAlign w:val="center"/>
            <w:hideMark/>
          </w:tcPr>
          <w:p w14:paraId="50876420"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258,851</w:t>
            </w:r>
          </w:p>
        </w:tc>
        <w:tc>
          <w:tcPr>
            <w:tcW w:w="1151" w:type="dxa"/>
            <w:vAlign w:val="center"/>
            <w:hideMark/>
          </w:tcPr>
          <w:p w14:paraId="75190467"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242,494</w:t>
            </w:r>
          </w:p>
        </w:tc>
      </w:tr>
      <w:tr w:rsidR="006D174E" w:rsidRPr="006D174E" w14:paraId="73266930" w14:textId="77777777" w:rsidTr="006D174E">
        <w:trPr>
          <w:tblCellSpacing w:w="15" w:type="dxa"/>
        </w:trPr>
        <w:tc>
          <w:tcPr>
            <w:tcW w:w="1226" w:type="dxa"/>
            <w:vAlign w:val="center"/>
            <w:hideMark/>
          </w:tcPr>
          <w:p w14:paraId="0D8EAA59"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Current Liabilities (£m)</w:t>
            </w:r>
          </w:p>
        </w:tc>
        <w:tc>
          <w:tcPr>
            <w:tcW w:w="1104" w:type="dxa"/>
            <w:vAlign w:val="center"/>
            <w:hideMark/>
          </w:tcPr>
          <w:p w14:paraId="3529D087"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
        </w:tc>
        <w:tc>
          <w:tcPr>
            <w:tcW w:w="1223" w:type="dxa"/>
            <w:vAlign w:val="center"/>
            <w:hideMark/>
          </w:tcPr>
          <w:p w14:paraId="2031ADB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179,510</w:t>
            </w:r>
          </w:p>
        </w:tc>
        <w:tc>
          <w:tcPr>
            <w:tcW w:w="1223" w:type="dxa"/>
            <w:vAlign w:val="center"/>
            <w:hideMark/>
          </w:tcPr>
          <w:p w14:paraId="2CE27484"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216,787</w:t>
            </w:r>
          </w:p>
        </w:tc>
        <w:tc>
          <w:tcPr>
            <w:tcW w:w="1223" w:type="dxa"/>
            <w:vAlign w:val="center"/>
            <w:hideMark/>
          </w:tcPr>
          <w:p w14:paraId="069CAB6C"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216,473</w:t>
            </w:r>
          </w:p>
        </w:tc>
        <w:tc>
          <w:tcPr>
            <w:tcW w:w="1166" w:type="dxa"/>
            <w:vAlign w:val="center"/>
            <w:hideMark/>
          </w:tcPr>
          <w:p w14:paraId="4368FBF1"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161,148</w:t>
            </w:r>
          </w:p>
        </w:tc>
        <w:tc>
          <w:tcPr>
            <w:tcW w:w="1151" w:type="dxa"/>
            <w:vAlign w:val="center"/>
            <w:hideMark/>
          </w:tcPr>
          <w:p w14:paraId="2D961EC0"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158,291</w:t>
            </w:r>
          </w:p>
        </w:tc>
      </w:tr>
      <w:tr w:rsidR="006D174E" w:rsidRPr="006D174E" w14:paraId="01540B60" w14:textId="77777777" w:rsidTr="006D174E">
        <w:trPr>
          <w:tblCellSpacing w:w="15" w:type="dxa"/>
        </w:trPr>
        <w:tc>
          <w:tcPr>
            <w:tcW w:w="1226" w:type="dxa"/>
            <w:vAlign w:val="center"/>
            <w:hideMark/>
          </w:tcPr>
          <w:p w14:paraId="239E548B"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Net Working Capital (£m)</w:t>
            </w:r>
          </w:p>
        </w:tc>
        <w:tc>
          <w:tcPr>
            <w:tcW w:w="1104" w:type="dxa"/>
            <w:vAlign w:val="center"/>
            <w:hideMark/>
          </w:tcPr>
          <w:p w14:paraId="0C1E26F3"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roofErr w:type="spellStart"/>
            <w:r w:rsidRPr="006D174E">
              <w:rPr>
                <w:rFonts w:ascii="Times New Roman" w:eastAsia="Times New Roman" w:hAnsi="Times New Roman" w:cs="Times New Roman"/>
                <w:sz w:val="24"/>
                <w:szCs w:val="24"/>
              </w:rPr>
              <w:t>Current_Assets</w:t>
            </w:r>
            <w:proofErr w:type="spellEnd"/>
            <w:r w:rsidRPr="006D174E">
              <w:rPr>
                <w:rFonts w:ascii="Times New Roman" w:eastAsia="Times New Roman" w:hAnsi="Times New Roman" w:cs="Times New Roman"/>
                <w:sz w:val="24"/>
                <w:szCs w:val="24"/>
              </w:rPr>
              <w:t xml:space="preserve"> – </w:t>
            </w:r>
            <w:proofErr w:type="spellStart"/>
            <w:r w:rsidRPr="006D174E">
              <w:rPr>
                <w:rFonts w:ascii="Times New Roman" w:eastAsia="Times New Roman" w:hAnsi="Times New Roman" w:cs="Times New Roman"/>
                <w:sz w:val="24"/>
                <w:szCs w:val="24"/>
              </w:rPr>
              <w:t>Current_Liabilities</w:t>
            </w:r>
            <w:proofErr w:type="spellEnd"/>
          </w:p>
        </w:tc>
        <w:tc>
          <w:tcPr>
            <w:tcW w:w="1223" w:type="dxa"/>
            <w:vAlign w:val="center"/>
            <w:hideMark/>
          </w:tcPr>
          <w:p w14:paraId="7BC8F291"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147,333</w:t>
            </w:r>
          </w:p>
        </w:tc>
        <w:tc>
          <w:tcPr>
            <w:tcW w:w="1223" w:type="dxa"/>
            <w:vAlign w:val="center"/>
            <w:hideMark/>
          </w:tcPr>
          <w:p w14:paraId="670EB104"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120,359</w:t>
            </w:r>
          </w:p>
        </w:tc>
        <w:tc>
          <w:tcPr>
            <w:tcW w:w="1223" w:type="dxa"/>
            <w:vAlign w:val="center"/>
            <w:hideMark/>
          </w:tcPr>
          <w:p w14:paraId="39A9C889"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121,567</w:t>
            </w:r>
          </w:p>
        </w:tc>
        <w:tc>
          <w:tcPr>
            <w:tcW w:w="1166" w:type="dxa"/>
            <w:vAlign w:val="center"/>
            <w:hideMark/>
          </w:tcPr>
          <w:p w14:paraId="417F00B1"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97,703</w:t>
            </w:r>
          </w:p>
        </w:tc>
        <w:tc>
          <w:tcPr>
            <w:tcW w:w="1151" w:type="dxa"/>
            <w:vAlign w:val="center"/>
            <w:hideMark/>
          </w:tcPr>
          <w:p w14:paraId="404A66BC"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84,203</w:t>
            </w:r>
          </w:p>
        </w:tc>
      </w:tr>
      <w:tr w:rsidR="006D174E" w:rsidRPr="006D174E" w14:paraId="3C4079EA" w14:textId="77777777" w:rsidTr="006D174E">
        <w:trPr>
          <w:tblCellSpacing w:w="15" w:type="dxa"/>
        </w:trPr>
        <w:tc>
          <w:tcPr>
            <w:tcW w:w="1226" w:type="dxa"/>
            <w:vAlign w:val="center"/>
            <w:hideMark/>
          </w:tcPr>
          <w:p w14:paraId="10450385"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Inventory (£m)</w:t>
            </w:r>
          </w:p>
        </w:tc>
        <w:tc>
          <w:tcPr>
            <w:tcW w:w="1104" w:type="dxa"/>
            <w:vAlign w:val="center"/>
            <w:hideMark/>
          </w:tcPr>
          <w:p w14:paraId="42A4CE2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
        </w:tc>
        <w:tc>
          <w:tcPr>
            <w:tcW w:w="1223" w:type="dxa"/>
            <w:vAlign w:val="center"/>
            <w:hideMark/>
          </w:tcPr>
          <w:p w14:paraId="47855C10"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56,740</w:t>
            </w:r>
          </w:p>
        </w:tc>
        <w:tc>
          <w:tcPr>
            <w:tcW w:w="1223" w:type="dxa"/>
            <w:vAlign w:val="center"/>
            <w:hideMark/>
          </w:tcPr>
          <w:p w14:paraId="6229A249"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54,964</w:t>
            </w:r>
          </w:p>
        </w:tc>
        <w:tc>
          <w:tcPr>
            <w:tcW w:w="1223" w:type="dxa"/>
            <w:vAlign w:val="center"/>
            <w:hideMark/>
          </w:tcPr>
          <w:p w14:paraId="7243A781"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51,287</w:t>
            </w:r>
          </w:p>
        </w:tc>
        <w:tc>
          <w:tcPr>
            <w:tcW w:w="1166" w:type="dxa"/>
            <w:vAlign w:val="center"/>
            <w:hideMark/>
          </w:tcPr>
          <w:p w14:paraId="287DE9A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45,302</w:t>
            </w:r>
          </w:p>
        </w:tc>
        <w:tc>
          <w:tcPr>
            <w:tcW w:w="1151" w:type="dxa"/>
            <w:vAlign w:val="center"/>
            <w:hideMark/>
          </w:tcPr>
          <w:p w14:paraId="0179E485"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42,975</w:t>
            </w:r>
          </w:p>
        </w:tc>
      </w:tr>
      <w:tr w:rsidR="006D174E" w:rsidRPr="006D174E" w14:paraId="09E7579C" w14:textId="77777777" w:rsidTr="006D174E">
        <w:trPr>
          <w:tblCellSpacing w:w="15" w:type="dxa"/>
        </w:trPr>
        <w:tc>
          <w:tcPr>
            <w:tcW w:w="1226" w:type="dxa"/>
            <w:vAlign w:val="center"/>
            <w:hideMark/>
          </w:tcPr>
          <w:p w14:paraId="1091D74F"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Accounts Receivable (£m)</w:t>
            </w:r>
          </w:p>
        </w:tc>
        <w:tc>
          <w:tcPr>
            <w:tcW w:w="1104" w:type="dxa"/>
            <w:vAlign w:val="center"/>
            <w:hideMark/>
          </w:tcPr>
          <w:p w14:paraId="45FDB3B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
        </w:tc>
        <w:tc>
          <w:tcPr>
            <w:tcW w:w="1223" w:type="dxa"/>
            <w:vAlign w:val="center"/>
            <w:hideMark/>
          </w:tcPr>
          <w:p w14:paraId="30E427EE"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129,324</w:t>
            </w:r>
          </w:p>
        </w:tc>
        <w:tc>
          <w:tcPr>
            <w:tcW w:w="1223" w:type="dxa"/>
            <w:vAlign w:val="center"/>
            <w:hideMark/>
          </w:tcPr>
          <w:p w14:paraId="3BDCB4FF"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120,000</w:t>
            </w:r>
          </w:p>
        </w:tc>
        <w:tc>
          <w:tcPr>
            <w:tcW w:w="1223" w:type="dxa"/>
            <w:vAlign w:val="center"/>
            <w:hideMark/>
          </w:tcPr>
          <w:p w14:paraId="1D1864D1"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120,780</w:t>
            </w:r>
          </w:p>
        </w:tc>
        <w:tc>
          <w:tcPr>
            <w:tcW w:w="1166" w:type="dxa"/>
            <w:vAlign w:val="center"/>
            <w:hideMark/>
          </w:tcPr>
          <w:p w14:paraId="4BE07905"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120,505</w:t>
            </w:r>
          </w:p>
        </w:tc>
        <w:tc>
          <w:tcPr>
            <w:tcW w:w="1151" w:type="dxa"/>
            <w:vAlign w:val="center"/>
            <w:hideMark/>
          </w:tcPr>
          <w:p w14:paraId="7D8F9F83"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113,389</w:t>
            </w:r>
          </w:p>
        </w:tc>
      </w:tr>
      <w:tr w:rsidR="006D174E" w:rsidRPr="006D174E" w14:paraId="106120AD" w14:textId="77777777" w:rsidTr="006D174E">
        <w:trPr>
          <w:tblCellSpacing w:w="15" w:type="dxa"/>
        </w:trPr>
        <w:tc>
          <w:tcPr>
            <w:tcW w:w="1226" w:type="dxa"/>
            <w:vAlign w:val="center"/>
            <w:hideMark/>
          </w:tcPr>
          <w:p w14:paraId="0B18A842"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Accounts Payable (£m)</w:t>
            </w:r>
          </w:p>
        </w:tc>
        <w:tc>
          <w:tcPr>
            <w:tcW w:w="1104" w:type="dxa"/>
            <w:vAlign w:val="center"/>
            <w:hideMark/>
          </w:tcPr>
          <w:p w14:paraId="4BFBA260"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
        </w:tc>
        <w:tc>
          <w:tcPr>
            <w:tcW w:w="1223" w:type="dxa"/>
            <w:vAlign w:val="center"/>
            <w:hideMark/>
          </w:tcPr>
          <w:p w14:paraId="0F9111C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72,031</w:t>
            </w:r>
          </w:p>
        </w:tc>
        <w:tc>
          <w:tcPr>
            <w:tcW w:w="1223" w:type="dxa"/>
            <w:vAlign w:val="center"/>
            <w:hideMark/>
          </w:tcPr>
          <w:p w14:paraId="4B6384B0"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57,033</w:t>
            </w:r>
          </w:p>
        </w:tc>
        <w:tc>
          <w:tcPr>
            <w:tcW w:w="1223" w:type="dxa"/>
            <w:vAlign w:val="center"/>
            <w:hideMark/>
          </w:tcPr>
          <w:p w14:paraId="43E630C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71,373</w:t>
            </w:r>
          </w:p>
        </w:tc>
        <w:tc>
          <w:tcPr>
            <w:tcW w:w="1166" w:type="dxa"/>
            <w:vAlign w:val="center"/>
            <w:hideMark/>
          </w:tcPr>
          <w:p w14:paraId="70E9F7C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92,707</w:t>
            </w:r>
          </w:p>
        </w:tc>
        <w:tc>
          <w:tcPr>
            <w:tcW w:w="1151" w:type="dxa"/>
            <w:vAlign w:val="center"/>
            <w:hideMark/>
          </w:tcPr>
          <w:p w14:paraId="5AD3F4BF"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83,229</w:t>
            </w:r>
          </w:p>
        </w:tc>
      </w:tr>
      <w:tr w:rsidR="006D174E" w:rsidRPr="006D174E" w14:paraId="78E7ADCD" w14:textId="77777777" w:rsidTr="006D174E">
        <w:trPr>
          <w:tblCellSpacing w:w="15" w:type="dxa"/>
        </w:trPr>
        <w:tc>
          <w:tcPr>
            <w:tcW w:w="1226" w:type="dxa"/>
            <w:vAlign w:val="center"/>
            <w:hideMark/>
          </w:tcPr>
          <w:p w14:paraId="792F45C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lastRenderedPageBreak/>
              <w:t>Cash Conversion Cycle (days)</w:t>
            </w:r>
          </w:p>
        </w:tc>
        <w:tc>
          <w:tcPr>
            <w:tcW w:w="1104" w:type="dxa"/>
            <w:vAlign w:val="center"/>
            <w:hideMark/>
          </w:tcPr>
          <w:p w14:paraId="25955863"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roofErr w:type="spellStart"/>
            <w:r w:rsidRPr="006D174E">
              <w:rPr>
                <w:rFonts w:ascii="Times New Roman" w:eastAsia="Times New Roman" w:hAnsi="Times New Roman" w:cs="Times New Roman"/>
                <w:sz w:val="24"/>
                <w:szCs w:val="24"/>
              </w:rPr>
              <w:t>Inventory_Days</w:t>
            </w:r>
            <w:proofErr w:type="spellEnd"/>
            <w:r w:rsidRPr="006D174E">
              <w:rPr>
                <w:rFonts w:ascii="Times New Roman" w:eastAsia="Times New Roman" w:hAnsi="Times New Roman" w:cs="Times New Roman"/>
                <w:sz w:val="24"/>
                <w:szCs w:val="24"/>
              </w:rPr>
              <w:t xml:space="preserve"> + </w:t>
            </w:r>
            <w:proofErr w:type="spellStart"/>
            <w:r w:rsidRPr="006D174E">
              <w:rPr>
                <w:rFonts w:ascii="Times New Roman" w:eastAsia="Times New Roman" w:hAnsi="Times New Roman" w:cs="Times New Roman"/>
                <w:sz w:val="24"/>
                <w:szCs w:val="24"/>
              </w:rPr>
              <w:t>Receivable_Days</w:t>
            </w:r>
            <w:proofErr w:type="spellEnd"/>
            <w:r w:rsidRPr="006D174E">
              <w:rPr>
                <w:rFonts w:ascii="Times New Roman" w:eastAsia="Times New Roman" w:hAnsi="Times New Roman" w:cs="Times New Roman"/>
                <w:sz w:val="24"/>
                <w:szCs w:val="24"/>
              </w:rPr>
              <w:t xml:space="preserve"> – </w:t>
            </w:r>
            <w:proofErr w:type="spellStart"/>
            <w:r w:rsidRPr="006D174E">
              <w:rPr>
                <w:rFonts w:ascii="Times New Roman" w:eastAsia="Times New Roman" w:hAnsi="Times New Roman" w:cs="Times New Roman"/>
                <w:sz w:val="24"/>
                <w:szCs w:val="24"/>
              </w:rPr>
              <w:t>Payable_Days</w:t>
            </w:r>
            <w:proofErr w:type="spellEnd"/>
          </w:p>
        </w:tc>
        <w:tc>
          <w:tcPr>
            <w:tcW w:w="1223" w:type="dxa"/>
            <w:vAlign w:val="center"/>
            <w:hideMark/>
          </w:tcPr>
          <w:p w14:paraId="6D6C8722"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(106 + 77 – 43)=</w:t>
            </w:r>
            <w:r w:rsidRPr="006D174E">
              <w:rPr>
                <w:rFonts w:ascii="Times New Roman" w:eastAsia="Times New Roman" w:hAnsi="Times New Roman" w:cs="Times New Roman"/>
                <w:b/>
                <w:bCs/>
                <w:sz w:val="24"/>
                <w:szCs w:val="24"/>
              </w:rPr>
              <w:t>140 days</w:t>
            </w:r>
          </w:p>
        </w:tc>
        <w:tc>
          <w:tcPr>
            <w:tcW w:w="1223" w:type="dxa"/>
            <w:vAlign w:val="center"/>
            <w:hideMark/>
          </w:tcPr>
          <w:p w14:paraId="778913E4"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(113 + 73 – 38)=</w:t>
            </w:r>
            <w:r w:rsidRPr="006D174E">
              <w:rPr>
                <w:rFonts w:ascii="Times New Roman" w:eastAsia="Times New Roman" w:hAnsi="Times New Roman" w:cs="Times New Roman"/>
                <w:b/>
                <w:bCs/>
                <w:sz w:val="24"/>
                <w:szCs w:val="24"/>
              </w:rPr>
              <w:t>148 days</w:t>
            </w:r>
          </w:p>
        </w:tc>
        <w:tc>
          <w:tcPr>
            <w:tcW w:w="1223" w:type="dxa"/>
            <w:vAlign w:val="center"/>
            <w:hideMark/>
          </w:tcPr>
          <w:p w14:paraId="60CD0B6F"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(128 + 81 – 47)=</w:t>
            </w:r>
            <w:r w:rsidRPr="006D174E">
              <w:rPr>
                <w:rFonts w:ascii="Times New Roman" w:eastAsia="Times New Roman" w:hAnsi="Times New Roman" w:cs="Times New Roman"/>
                <w:b/>
                <w:bCs/>
                <w:sz w:val="24"/>
                <w:szCs w:val="24"/>
              </w:rPr>
              <w:t>162 days</w:t>
            </w:r>
          </w:p>
        </w:tc>
        <w:tc>
          <w:tcPr>
            <w:tcW w:w="1166" w:type="dxa"/>
            <w:vAlign w:val="center"/>
            <w:hideMark/>
          </w:tcPr>
          <w:p w14:paraId="353C9A09"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(155 + 89 – 59)=</w:t>
            </w:r>
            <w:r w:rsidRPr="006D174E">
              <w:rPr>
                <w:rFonts w:ascii="Times New Roman" w:eastAsia="Times New Roman" w:hAnsi="Times New Roman" w:cs="Times New Roman"/>
                <w:b/>
                <w:bCs/>
                <w:sz w:val="24"/>
                <w:szCs w:val="24"/>
              </w:rPr>
              <w:t>185 days</w:t>
            </w:r>
          </w:p>
        </w:tc>
        <w:tc>
          <w:tcPr>
            <w:tcW w:w="1151" w:type="dxa"/>
            <w:vAlign w:val="center"/>
            <w:hideMark/>
          </w:tcPr>
          <w:p w14:paraId="70EE16A5"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(149 + 85 – 56)=</w:t>
            </w:r>
            <w:r w:rsidRPr="006D174E">
              <w:rPr>
                <w:rFonts w:ascii="Times New Roman" w:eastAsia="Times New Roman" w:hAnsi="Times New Roman" w:cs="Times New Roman"/>
                <w:b/>
                <w:bCs/>
                <w:sz w:val="24"/>
                <w:szCs w:val="24"/>
              </w:rPr>
              <w:t>178 days</w:t>
            </w:r>
          </w:p>
        </w:tc>
      </w:tr>
      <w:tr w:rsidR="006D174E" w:rsidRPr="006D174E" w14:paraId="60176A78" w14:textId="77777777" w:rsidTr="006D174E">
        <w:trPr>
          <w:tblCellSpacing w:w="15" w:type="dxa"/>
        </w:trPr>
        <w:tc>
          <w:tcPr>
            <w:tcW w:w="1226" w:type="dxa"/>
            <w:vAlign w:val="center"/>
            <w:hideMark/>
          </w:tcPr>
          <w:p w14:paraId="6B038708"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Operating Cash Flow (£m)</w:t>
            </w:r>
          </w:p>
        </w:tc>
        <w:tc>
          <w:tcPr>
            <w:tcW w:w="1104" w:type="dxa"/>
            <w:vAlign w:val="center"/>
            <w:hideMark/>
          </w:tcPr>
          <w:p w14:paraId="01603DF6"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 xml:space="preserve">from cash-flow </w:t>
            </w:r>
            <w:proofErr w:type="spellStart"/>
            <w:r w:rsidRPr="006D174E">
              <w:rPr>
                <w:rFonts w:ascii="Times New Roman" w:eastAsia="Times New Roman" w:hAnsi="Times New Roman" w:cs="Times New Roman"/>
                <w:sz w:val="24"/>
                <w:szCs w:val="24"/>
              </w:rPr>
              <w:t>stmt</w:t>
            </w:r>
            <w:proofErr w:type="spellEnd"/>
          </w:p>
        </w:tc>
        <w:tc>
          <w:tcPr>
            <w:tcW w:w="1223" w:type="dxa"/>
            <w:vAlign w:val="center"/>
            <w:hideMark/>
          </w:tcPr>
          <w:p w14:paraId="6435CA2D"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73,392</w:t>
            </w:r>
          </w:p>
        </w:tc>
        <w:tc>
          <w:tcPr>
            <w:tcW w:w="1223" w:type="dxa"/>
            <w:vAlign w:val="center"/>
            <w:hideMark/>
          </w:tcPr>
          <w:p w14:paraId="7E9A08F2"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40,283</w:t>
            </w:r>
          </w:p>
        </w:tc>
        <w:tc>
          <w:tcPr>
            <w:tcW w:w="1223" w:type="dxa"/>
            <w:vAlign w:val="center"/>
            <w:hideMark/>
          </w:tcPr>
          <w:p w14:paraId="76562718"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10,926</w:t>
            </w:r>
          </w:p>
        </w:tc>
        <w:tc>
          <w:tcPr>
            <w:tcW w:w="1166" w:type="dxa"/>
            <w:vAlign w:val="center"/>
            <w:hideMark/>
          </w:tcPr>
          <w:p w14:paraId="6226B53C"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25,190</w:t>
            </w:r>
          </w:p>
        </w:tc>
        <w:tc>
          <w:tcPr>
            <w:tcW w:w="1151" w:type="dxa"/>
            <w:vAlign w:val="center"/>
            <w:hideMark/>
          </w:tcPr>
          <w:p w14:paraId="02039FD5"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14,822</w:t>
            </w:r>
          </w:p>
        </w:tc>
      </w:tr>
      <w:tr w:rsidR="006D174E" w:rsidRPr="006D174E" w14:paraId="7577043A" w14:textId="77777777" w:rsidTr="006D174E">
        <w:trPr>
          <w:tblCellSpacing w:w="15" w:type="dxa"/>
        </w:trPr>
        <w:tc>
          <w:tcPr>
            <w:tcW w:w="1226" w:type="dxa"/>
            <w:vAlign w:val="center"/>
            <w:hideMark/>
          </w:tcPr>
          <w:p w14:paraId="7D5C715B"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Current Ratio</w:t>
            </w:r>
          </w:p>
        </w:tc>
        <w:tc>
          <w:tcPr>
            <w:tcW w:w="1104" w:type="dxa"/>
            <w:vAlign w:val="center"/>
            <w:hideMark/>
          </w:tcPr>
          <w:p w14:paraId="5E75B940"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roofErr w:type="spellStart"/>
            <w:r w:rsidRPr="006D174E">
              <w:rPr>
                <w:rFonts w:ascii="Times New Roman" w:eastAsia="Times New Roman" w:hAnsi="Times New Roman" w:cs="Times New Roman"/>
                <w:sz w:val="24"/>
                <w:szCs w:val="24"/>
              </w:rPr>
              <w:t>Current_Assets</w:t>
            </w:r>
            <w:proofErr w:type="spellEnd"/>
            <w:r w:rsidRPr="006D174E">
              <w:rPr>
                <w:rFonts w:ascii="Times New Roman" w:eastAsia="Times New Roman" w:hAnsi="Times New Roman" w:cs="Times New Roman"/>
                <w:sz w:val="24"/>
                <w:szCs w:val="24"/>
              </w:rPr>
              <w:t>/</w:t>
            </w:r>
            <w:proofErr w:type="spellStart"/>
            <w:r w:rsidRPr="006D174E">
              <w:rPr>
                <w:rFonts w:ascii="Times New Roman" w:eastAsia="Times New Roman" w:hAnsi="Times New Roman" w:cs="Times New Roman"/>
                <w:sz w:val="24"/>
                <w:szCs w:val="24"/>
              </w:rPr>
              <w:t>Current_Liabilities</w:t>
            </w:r>
            <w:proofErr w:type="spellEnd"/>
          </w:p>
        </w:tc>
        <w:tc>
          <w:tcPr>
            <w:tcW w:w="1223" w:type="dxa"/>
            <w:vAlign w:val="center"/>
            <w:hideMark/>
          </w:tcPr>
          <w:p w14:paraId="6550BC91"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1.82</w:t>
            </w:r>
          </w:p>
        </w:tc>
        <w:tc>
          <w:tcPr>
            <w:tcW w:w="1223" w:type="dxa"/>
            <w:vAlign w:val="center"/>
            <w:hideMark/>
          </w:tcPr>
          <w:p w14:paraId="655EEB3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1.55</w:t>
            </w:r>
          </w:p>
        </w:tc>
        <w:tc>
          <w:tcPr>
            <w:tcW w:w="1223" w:type="dxa"/>
            <w:vAlign w:val="center"/>
            <w:hideMark/>
          </w:tcPr>
          <w:p w14:paraId="05730723"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1.56</w:t>
            </w:r>
          </w:p>
        </w:tc>
        <w:tc>
          <w:tcPr>
            <w:tcW w:w="1166" w:type="dxa"/>
            <w:vAlign w:val="center"/>
            <w:hideMark/>
          </w:tcPr>
          <w:p w14:paraId="28E56EE2"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1.61</w:t>
            </w:r>
          </w:p>
        </w:tc>
        <w:tc>
          <w:tcPr>
            <w:tcW w:w="1151" w:type="dxa"/>
            <w:vAlign w:val="center"/>
            <w:hideMark/>
          </w:tcPr>
          <w:p w14:paraId="04DB8B2E"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1.53</w:t>
            </w:r>
          </w:p>
        </w:tc>
      </w:tr>
      <w:tr w:rsidR="006D174E" w:rsidRPr="006D174E" w14:paraId="58DCC1D2" w14:textId="77777777" w:rsidTr="006D174E">
        <w:trPr>
          <w:tblCellSpacing w:w="15" w:type="dxa"/>
        </w:trPr>
        <w:tc>
          <w:tcPr>
            <w:tcW w:w="1226" w:type="dxa"/>
            <w:vAlign w:val="center"/>
            <w:hideMark/>
          </w:tcPr>
          <w:p w14:paraId="71EA1ED3"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t>Quick Ratio</w:t>
            </w:r>
          </w:p>
        </w:tc>
        <w:tc>
          <w:tcPr>
            <w:tcW w:w="1104" w:type="dxa"/>
            <w:vAlign w:val="center"/>
            <w:hideMark/>
          </w:tcPr>
          <w:p w14:paraId="3DAD8B4D"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roofErr w:type="spellStart"/>
            <w:r w:rsidRPr="006D174E">
              <w:rPr>
                <w:rFonts w:ascii="Times New Roman" w:eastAsia="Times New Roman" w:hAnsi="Times New Roman" w:cs="Times New Roman"/>
                <w:sz w:val="24"/>
                <w:szCs w:val="24"/>
              </w:rPr>
              <w:t>Current_Assets</w:t>
            </w:r>
            <w:proofErr w:type="spellEnd"/>
            <w:r w:rsidRPr="006D174E">
              <w:rPr>
                <w:rFonts w:ascii="Times New Roman" w:eastAsia="Times New Roman" w:hAnsi="Times New Roman" w:cs="Times New Roman"/>
                <w:sz w:val="24"/>
                <w:szCs w:val="24"/>
              </w:rPr>
              <w:t>–Inventory)/</w:t>
            </w:r>
            <w:proofErr w:type="spellStart"/>
            <w:r w:rsidRPr="006D174E">
              <w:rPr>
                <w:rFonts w:ascii="Times New Roman" w:eastAsia="Times New Roman" w:hAnsi="Times New Roman" w:cs="Times New Roman"/>
                <w:sz w:val="24"/>
                <w:szCs w:val="24"/>
              </w:rPr>
              <w:t>Current_Liabilities</w:t>
            </w:r>
            <w:proofErr w:type="spellEnd"/>
          </w:p>
        </w:tc>
        <w:tc>
          <w:tcPr>
            <w:tcW w:w="1223" w:type="dxa"/>
            <w:vAlign w:val="center"/>
            <w:hideMark/>
          </w:tcPr>
          <w:p w14:paraId="45C5CC2F"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1.15</w:t>
            </w:r>
          </w:p>
        </w:tc>
        <w:tc>
          <w:tcPr>
            <w:tcW w:w="1223" w:type="dxa"/>
            <w:vAlign w:val="center"/>
            <w:hideMark/>
          </w:tcPr>
          <w:p w14:paraId="5036FE4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1.05</w:t>
            </w:r>
          </w:p>
        </w:tc>
        <w:tc>
          <w:tcPr>
            <w:tcW w:w="1223" w:type="dxa"/>
            <w:vAlign w:val="center"/>
            <w:hideMark/>
          </w:tcPr>
          <w:p w14:paraId="68C64734"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0.99</w:t>
            </w:r>
          </w:p>
        </w:tc>
        <w:tc>
          <w:tcPr>
            <w:tcW w:w="1166" w:type="dxa"/>
            <w:vAlign w:val="center"/>
            <w:hideMark/>
          </w:tcPr>
          <w:p w14:paraId="19A68C6E"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0.89</w:t>
            </w:r>
          </w:p>
        </w:tc>
        <w:tc>
          <w:tcPr>
            <w:tcW w:w="1151" w:type="dxa"/>
            <w:vAlign w:val="center"/>
            <w:hideMark/>
          </w:tcPr>
          <w:p w14:paraId="25661913"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0.83</w:t>
            </w:r>
          </w:p>
        </w:tc>
      </w:tr>
      <w:tr w:rsidR="006D174E" w:rsidRPr="006D174E" w14:paraId="07D588B5" w14:textId="77777777" w:rsidTr="006D174E">
        <w:trPr>
          <w:tblCellSpacing w:w="15" w:type="dxa"/>
        </w:trPr>
        <w:tc>
          <w:tcPr>
            <w:tcW w:w="1226" w:type="dxa"/>
            <w:vAlign w:val="center"/>
            <w:hideMark/>
          </w:tcPr>
          <w:p w14:paraId="28047FEA"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b/>
                <w:bCs/>
                <w:sz w:val="24"/>
                <w:szCs w:val="24"/>
              </w:rPr>
              <w:lastRenderedPageBreak/>
              <w:t>Working-Capital Turnover (times)</w:t>
            </w:r>
          </w:p>
        </w:tc>
        <w:tc>
          <w:tcPr>
            <w:tcW w:w="1104" w:type="dxa"/>
            <w:vAlign w:val="center"/>
            <w:hideMark/>
          </w:tcPr>
          <w:p w14:paraId="4FABF9B1"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w:t>
            </w:r>
            <w:proofErr w:type="spellStart"/>
            <w:r w:rsidRPr="006D174E">
              <w:rPr>
                <w:rFonts w:ascii="Times New Roman" w:eastAsia="Times New Roman" w:hAnsi="Times New Roman" w:cs="Times New Roman"/>
                <w:sz w:val="24"/>
                <w:szCs w:val="24"/>
              </w:rPr>
              <w:t>Net_Sales</w:t>
            </w:r>
            <w:proofErr w:type="spellEnd"/>
            <w:r w:rsidRPr="006D174E">
              <w:rPr>
                <w:rFonts w:ascii="Times New Roman" w:eastAsia="Times New Roman" w:hAnsi="Times New Roman" w:cs="Times New Roman"/>
                <w:sz w:val="24"/>
                <w:szCs w:val="24"/>
              </w:rPr>
              <w:t>/</w:t>
            </w:r>
            <w:proofErr w:type="spellStart"/>
            <w:r w:rsidRPr="006D174E">
              <w:rPr>
                <w:rFonts w:ascii="Times New Roman" w:eastAsia="Times New Roman" w:hAnsi="Times New Roman" w:cs="Times New Roman"/>
                <w:sz w:val="24"/>
                <w:szCs w:val="24"/>
              </w:rPr>
              <w:t>Net_Working_Capital</w:t>
            </w:r>
            <w:proofErr w:type="spellEnd"/>
          </w:p>
        </w:tc>
        <w:tc>
          <w:tcPr>
            <w:tcW w:w="1223" w:type="dxa"/>
            <w:vAlign w:val="center"/>
            <w:hideMark/>
          </w:tcPr>
          <w:p w14:paraId="1396D24C"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(614,680/147,333)=</w:t>
            </w:r>
            <w:r w:rsidRPr="006D174E">
              <w:rPr>
                <w:rFonts w:ascii="Times New Roman" w:eastAsia="Times New Roman" w:hAnsi="Times New Roman" w:cs="Times New Roman"/>
                <w:b/>
                <w:bCs/>
                <w:sz w:val="24"/>
                <w:szCs w:val="24"/>
              </w:rPr>
              <w:t>4.17x</w:t>
            </w:r>
          </w:p>
        </w:tc>
        <w:tc>
          <w:tcPr>
            <w:tcW w:w="1223" w:type="dxa"/>
            <w:vAlign w:val="center"/>
            <w:hideMark/>
          </w:tcPr>
          <w:p w14:paraId="1C0E5CAB"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(601,602/120,359)=</w:t>
            </w:r>
            <w:r w:rsidRPr="006D174E">
              <w:rPr>
                <w:rFonts w:ascii="Times New Roman" w:eastAsia="Times New Roman" w:hAnsi="Times New Roman" w:cs="Times New Roman"/>
                <w:b/>
                <w:bCs/>
                <w:sz w:val="24"/>
                <w:szCs w:val="24"/>
              </w:rPr>
              <w:t>5.00x</w:t>
            </w:r>
          </w:p>
        </w:tc>
        <w:tc>
          <w:tcPr>
            <w:tcW w:w="1223" w:type="dxa"/>
            <w:vAlign w:val="center"/>
            <w:hideMark/>
          </w:tcPr>
          <w:p w14:paraId="6E05C24B"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(542,751/121,567)=</w:t>
            </w:r>
            <w:r w:rsidRPr="006D174E">
              <w:rPr>
                <w:rFonts w:ascii="Times New Roman" w:eastAsia="Times New Roman" w:hAnsi="Times New Roman" w:cs="Times New Roman"/>
                <w:b/>
                <w:bCs/>
                <w:sz w:val="24"/>
                <w:szCs w:val="24"/>
              </w:rPr>
              <w:t>4.46x</w:t>
            </w:r>
          </w:p>
        </w:tc>
        <w:tc>
          <w:tcPr>
            <w:tcW w:w="1166" w:type="dxa"/>
            <w:vAlign w:val="center"/>
            <w:hideMark/>
          </w:tcPr>
          <w:p w14:paraId="6DFB9D98"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(420,457/97,703)=</w:t>
            </w:r>
            <w:r w:rsidRPr="006D174E">
              <w:rPr>
                <w:rFonts w:ascii="Times New Roman" w:eastAsia="Times New Roman" w:hAnsi="Times New Roman" w:cs="Times New Roman"/>
                <w:b/>
                <w:bCs/>
                <w:sz w:val="24"/>
                <w:szCs w:val="24"/>
              </w:rPr>
              <w:t>4.30x</w:t>
            </w:r>
          </w:p>
        </w:tc>
        <w:tc>
          <w:tcPr>
            <w:tcW w:w="1151" w:type="dxa"/>
            <w:vAlign w:val="center"/>
            <w:hideMark/>
          </w:tcPr>
          <w:p w14:paraId="68D9D537" w14:textId="77777777" w:rsidR="006D174E" w:rsidRPr="006D174E" w:rsidRDefault="006D174E" w:rsidP="006D174E">
            <w:pPr>
              <w:spacing w:before="240" w:after="240" w:line="360" w:lineRule="auto"/>
              <w:jc w:val="both"/>
              <w:rPr>
                <w:rFonts w:ascii="Times New Roman" w:eastAsia="Times New Roman" w:hAnsi="Times New Roman" w:cs="Times New Roman"/>
                <w:sz w:val="24"/>
                <w:szCs w:val="24"/>
              </w:rPr>
            </w:pPr>
            <w:r w:rsidRPr="006D174E">
              <w:rPr>
                <w:rFonts w:ascii="Times New Roman" w:eastAsia="Times New Roman" w:hAnsi="Times New Roman" w:cs="Times New Roman"/>
                <w:sz w:val="24"/>
                <w:szCs w:val="24"/>
              </w:rPr>
              <w:t>(394,879/84,203)=</w:t>
            </w:r>
            <w:r w:rsidRPr="006D174E">
              <w:rPr>
                <w:rFonts w:ascii="Times New Roman" w:eastAsia="Times New Roman" w:hAnsi="Times New Roman" w:cs="Times New Roman"/>
                <w:b/>
                <w:bCs/>
                <w:sz w:val="24"/>
                <w:szCs w:val="24"/>
              </w:rPr>
              <w:t>4.69x</w:t>
            </w:r>
          </w:p>
        </w:tc>
      </w:tr>
    </w:tbl>
    <w:p w14:paraId="25EA468C" w14:textId="77777777" w:rsidR="007677B3" w:rsidRPr="006D174E" w:rsidRDefault="007677B3" w:rsidP="006D174E">
      <w:pPr>
        <w:spacing w:before="240" w:after="240" w:line="360" w:lineRule="auto"/>
        <w:jc w:val="both"/>
        <w:rPr>
          <w:rFonts w:ascii="Times New Roman" w:hAnsi="Times New Roman" w:cs="Times New Roman"/>
          <w:sz w:val="24"/>
          <w:szCs w:val="24"/>
        </w:rPr>
      </w:pPr>
    </w:p>
    <w:sectPr w:rsidR="007677B3" w:rsidRPr="006D174E" w:rsidSect="006D174E">
      <w:headerReference w:type="default" r:id="rId3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E5E8C" w14:textId="77777777" w:rsidR="00DF0E83" w:rsidRDefault="00DF0E83" w:rsidP="006D174E">
      <w:pPr>
        <w:spacing w:after="0" w:line="240" w:lineRule="auto"/>
      </w:pPr>
      <w:r>
        <w:separator/>
      </w:r>
    </w:p>
  </w:endnote>
  <w:endnote w:type="continuationSeparator" w:id="0">
    <w:p w14:paraId="0230B9F4" w14:textId="77777777" w:rsidR="00DF0E83" w:rsidRDefault="00DF0E83" w:rsidP="006D1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18440" w14:textId="77777777" w:rsidR="00DF0E83" w:rsidRDefault="00DF0E83" w:rsidP="006D174E">
      <w:pPr>
        <w:spacing w:after="0" w:line="240" w:lineRule="auto"/>
      </w:pPr>
      <w:r>
        <w:separator/>
      </w:r>
    </w:p>
  </w:footnote>
  <w:footnote w:type="continuationSeparator" w:id="0">
    <w:p w14:paraId="3C326B41" w14:textId="77777777" w:rsidR="00DF0E83" w:rsidRDefault="00DF0E83" w:rsidP="006D1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BB7FB" w14:textId="77777777" w:rsidR="00A65F55" w:rsidRPr="006D174E" w:rsidRDefault="00A65F55" w:rsidP="006D174E">
    <w:pPr>
      <w:rPr>
        <w:rFonts w:ascii="Times New Roman" w:hAnsi="Times New Roman" w:cs="Times New Roman"/>
        <w:sz w:val="24"/>
        <w:szCs w:val="24"/>
      </w:rPr>
    </w:pPr>
    <w:r w:rsidRPr="006D174E">
      <w:rPr>
        <w:rStyle w:val="Strong"/>
        <w:rFonts w:ascii="Times New Roman" w:hAnsi="Times New Roman" w:cs="Times New Roman"/>
        <w:b w:val="0"/>
        <w:bCs w:val="0"/>
        <w:sz w:val="24"/>
        <w:szCs w:val="24"/>
      </w:rPr>
      <w:t xml:space="preserve"> Financial Management</w:t>
    </w:r>
    <w:r>
      <w:rPr>
        <w:rStyle w:val="Strong"/>
        <w:rFonts w:ascii="Times New Roman" w:hAnsi="Times New Roman" w:cs="Times New Roman"/>
        <w:b w:val="0"/>
        <w:bCs w:val="0"/>
        <w:sz w:val="24"/>
        <w:szCs w:val="24"/>
      </w:rPr>
      <w:tab/>
    </w:r>
    <w:r>
      <w:rPr>
        <w:rStyle w:val="Strong"/>
        <w:rFonts w:ascii="Times New Roman" w:hAnsi="Times New Roman" w:cs="Times New Roman"/>
        <w:b w:val="0"/>
        <w:bCs w:val="0"/>
        <w:sz w:val="24"/>
        <w:szCs w:val="24"/>
      </w:rPr>
      <w:tab/>
    </w:r>
    <w:r>
      <w:rPr>
        <w:rStyle w:val="Strong"/>
        <w:rFonts w:ascii="Times New Roman" w:hAnsi="Times New Roman" w:cs="Times New Roman"/>
        <w:b w:val="0"/>
        <w:bCs w:val="0"/>
        <w:sz w:val="24"/>
        <w:szCs w:val="24"/>
      </w:rPr>
      <w:tab/>
    </w:r>
    <w:r>
      <w:rPr>
        <w:rStyle w:val="Strong"/>
        <w:rFonts w:ascii="Times New Roman" w:hAnsi="Times New Roman" w:cs="Times New Roman"/>
        <w:b w:val="0"/>
        <w:bCs w:val="0"/>
        <w:sz w:val="24"/>
        <w:szCs w:val="24"/>
      </w:rPr>
      <w:tab/>
    </w:r>
    <w:r>
      <w:rPr>
        <w:rStyle w:val="Strong"/>
        <w:rFonts w:ascii="Times New Roman" w:hAnsi="Times New Roman" w:cs="Times New Roman"/>
        <w:b w:val="0"/>
        <w:bCs w:val="0"/>
        <w:sz w:val="24"/>
        <w:szCs w:val="24"/>
      </w:rPr>
      <w:tab/>
    </w:r>
    <w:r>
      <w:rPr>
        <w:rStyle w:val="Strong"/>
        <w:rFonts w:ascii="Times New Roman" w:hAnsi="Times New Roman" w:cs="Times New Roman"/>
        <w:b w:val="0"/>
        <w:bCs w:val="0"/>
        <w:sz w:val="24"/>
        <w:szCs w:val="24"/>
      </w:rPr>
      <w:tab/>
    </w:r>
    <w:r>
      <w:rPr>
        <w:rStyle w:val="Strong"/>
        <w:rFonts w:ascii="Times New Roman" w:hAnsi="Times New Roman" w:cs="Times New Roman"/>
        <w:b w:val="0"/>
        <w:bCs w:val="0"/>
        <w:sz w:val="24"/>
        <w:szCs w:val="24"/>
      </w:rPr>
      <w:tab/>
    </w:r>
    <w:r>
      <w:rPr>
        <w:rStyle w:val="Strong"/>
        <w:rFonts w:ascii="Times New Roman" w:hAnsi="Times New Roman" w:cs="Times New Roman"/>
        <w:b w:val="0"/>
        <w:bCs w:val="0"/>
        <w:sz w:val="24"/>
        <w:szCs w:val="24"/>
      </w:rPr>
      <w:tab/>
    </w:r>
    <w:r>
      <w:rPr>
        <w:rStyle w:val="Strong"/>
        <w:rFonts w:ascii="Times New Roman" w:hAnsi="Times New Roman" w:cs="Times New Roman"/>
        <w:b w:val="0"/>
        <w:bCs w:val="0"/>
        <w:sz w:val="24"/>
        <w:szCs w:val="24"/>
      </w:rPr>
      <w:tab/>
    </w:r>
    <w:r w:rsidR="00DD3CEF" w:rsidRPr="00DD3CEF">
      <w:rPr>
        <w:rStyle w:val="Strong"/>
        <w:rFonts w:ascii="Times New Roman" w:hAnsi="Times New Roman" w:cs="Times New Roman"/>
        <w:b w:val="0"/>
        <w:bCs w:val="0"/>
        <w:sz w:val="24"/>
        <w:szCs w:val="24"/>
      </w:rPr>
      <w:fldChar w:fldCharType="begin"/>
    </w:r>
    <w:r w:rsidR="00DD3CEF" w:rsidRPr="00DD3CEF">
      <w:rPr>
        <w:rStyle w:val="Strong"/>
        <w:rFonts w:ascii="Times New Roman" w:hAnsi="Times New Roman" w:cs="Times New Roman"/>
        <w:b w:val="0"/>
        <w:bCs w:val="0"/>
        <w:sz w:val="24"/>
        <w:szCs w:val="24"/>
      </w:rPr>
      <w:instrText xml:space="preserve"> PAGE   \* MERGEFORMAT </w:instrText>
    </w:r>
    <w:r w:rsidR="00DD3CEF" w:rsidRPr="00DD3CEF">
      <w:rPr>
        <w:rStyle w:val="Strong"/>
        <w:rFonts w:ascii="Times New Roman" w:hAnsi="Times New Roman" w:cs="Times New Roman"/>
        <w:b w:val="0"/>
        <w:bCs w:val="0"/>
        <w:sz w:val="24"/>
        <w:szCs w:val="24"/>
      </w:rPr>
      <w:fldChar w:fldCharType="separate"/>
    </w:r>
    <w:r w:rsidR="00DD3CEF">
      <w:rPr>
        <w:rStyle w:val="Strong"/>
        <w:rFonts w:ascii="Times New Roman" w:hAnsi="Times New Roman" w:cs="Times New Roman"/>
        <w:b w:val="0"/>
        <w:bCs w:val="0"/>
        <w:noProof/>
        <w:sz w:val="24"/>
        <w:szCs w:val="24"/>
      </w:rPr>
      <w:t>4</w:t>
    </w:r>
    <w:r w:rsidR="00DD3CEF" w:rsidRPr="00DD3CEF">
      <w:rPr>
        <w:rStyle w:val="Strong"/>
        <w:rFonts w:ascii="Times New Roman" w:hAnsi="Times New Roman" w:cs="Times New Roman"/>
        <w:b w:val="0"/>
        <w:bCs w:val="0"/>
        <w:noProof/>
        <w:sz w:val="24"/>
        <w:szCs w:val="24"/>
      </w:rPr>
      <w:fldChar w:fldCharType="end"/>
    </w:r>
    <w:r w:rsidR="00DD3CEF" w:rsidRPr="00DD3CEF">
      <w:rPr>
        <w:rStyle w:val="Strong"/>
        <w:rFonts w:ascii="Times New Roman" w:hAnsi="Times New Roman" w:cs="Times New Roman"/>
        <w:b w:val="0"/>
        <w:bCs w:val="0"/>
        <w:sz w:val="24"/>
        <w:szCs w:val="24"/>
      </w:rPr>
      <w:t xml:space="preserve"> | </w:t>
    </w:r>
    <w:r w:rsidR="00DD3CEF" w:rsidRPr="00DD3CEF">
      <w:rPr>
        <w:rStyle w:val="Strong"/>
        <w:rFonts w:ascii="Times New Roman" w:hAnsi="Times New Roman" w:cs="Times New Roman"/>
        <w:b w:val="0"/>
        <w:bCs w:val="0"/>
        <w:color w:val="7F7F7F" w:themeColor="background1" w:themeShade="7F"/>
        <w:spacing w:val="60"/>
        <w:sz w:val="24"/>
        <w:szCs w:val="24"/>
      </w:rPr>
      <w:t>Page</w:t>
    </w:r>
  </w:p>
  <w:p w14:paraId="567DBE52" w14:textId="77777777" w:rsidR="00A65F55" w:rsidRDefault="00A65F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2C6C"/>
    <w:multiLevelType w:val="hybridMultilevel"/>
    <w:tmpl w:val="B478E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C01EAF"/>
    <w:multiLevelType w:val="multilevel"/>
    <w:tmpl w:val="C5780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1914A5"/>
    <w:multiLevelType w:val="multilevel"/>
    <w:tmpl w:val="67AC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764C56"/>
    <w:multiLevelType w:val="multilevel"/>
    <w:tmpl w:val="81146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B3711B"/>
    <w:multiLevelType w:val="multilevel"/>
    <w:tmpl w:val="CCFC6B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6031958">
    <w:abstractNumId w:val="3"/>
  </w:num>
  <w:num w:numId="2" w16cid:durableId="59255256">
    <w:abstractNumId w:val="1"/>
  </w:num>
  <w:num w:numId="3" w16cid:durableId="1236621039">
    <w:abstractNumId w:val="2"/>
  </w:num>
  <w:num w:numId="4" w16cid:durableId="343556909">
    <w:abstractNumId w:val="4"/>
  </w:num>
  <w:num w:numId="5" w16cid:durableId="2062942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29A"/>
    <w:rsid w:val="0008129A"/>
    <w:rsid w:val="000B539D"/>
    <w:rsid w:val="001B1083"/>
    <w:rsid w:val="001F5A23"/>
    <w:rsid w:val="00243650"/>
    <w:rsid w:val="00307676"/>
    <w:rsid w:val="003831F6"/>
    <w:rsid w:val="003F4548"/>
    <w:rsid w:val="00452B40"/>
    <w:rsid w:val="00523CBD"/>
    <w:rsid w:val="005806F7"/>
    <w:rsid w:val="00595CB0"/>
    <w:rsid w:val="006D174E"/>
    <w:rsid w:val="006E3803"/>
    <w:rsid w:val="00765EEC"/>
    <w:rsid w:val="007677B3"/>
    <w:rsid w:val="007928C8"/>
    <w:rsid w:val="007D23FD"/>
    <w:rsid w:val="008C2808"/>
    <w:rsid w:val="00A40180"/>
    <w:rsid w:val="00A5681D"/>
    <w:rsid w:val="00A65F55"/>
    <w:rsid w:val="00A92884"/>
    <w:rsid w:val="00BF780D"/>
    <w:rsid w:val="00C204F9"/>
    <w:rsid w:val="00D50C63"/>
    <w:rsid w:val="00DD3CEF"/>
    <w:rsid w:val="00DF0E83"/>
    <w:rsid w:val="00E37281"/>
    <w:rsid w:val="00EA5106"/>
    <w:rsid w:val="00F5343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2D2FD"/>
  <w15:chartTrackingRefBased/>
  <w15:docId w15:val="{3569D371-DEE0-40FB-8943-7474D1AC1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
    <w:next w:val="Normal"/>
    <w:link w:val="Heading1Char"/>
    <w:uiPriority w:val="9"/>
    <w:qFormat/>
    <w:rsid w:val="007D23FD"/>
    <w:pPr>
      <w:keepNext/>
      <w:keepLines/>
      <w:spacing w:before="240" w:after="0"/>
      <w:outlineLvl w:val="0"/>
    </w:pPr>
    <w:rPr>
      <w:rFonts w:asciiTheme="majorHAnsi" w:eastAsiaTheme="majorEastAsia" w:hAnsiTheme="majorHAnsi" w:cstheme="majorBidi"/>
      <w:color w:val="2E74B5" w:themeColor="accent1" w:themeShade="BF"/>
      <w:sz w:val="32"/>
      <w:szCs w:val="29"/>
    </w:rPr>
  </w:style>
  <w:style w:type="paragraph" w:styleId="Heading2">
    <w:name w:val="heading 2"/>
    <w:basedOn w:val="Normal"/>
    <w:link w:val="Heading2Char"/>
    <w:uiPriority w:val="9"/>
    <w:qFormat/>
    <w:rsid w:val="007D23F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7D23FD"/>
    <w:pPr>
      <w:keepNext/>
      <w:keepLines/>
      <w:spacing w:before="40" w:after="0"/>
      <w:outlineLvl w:val="2"/>
    </w:pPr>
    <w:rPr>
      <w:rFonts w:asciiTheme="majorHAnsi" w:eastAsiaTheme="majorEastAsia" w:hAnsiTheme="majorHAnsi" w:cstheme="majorBidi"/>
      <w:color w:val="1F4D78" w:themeColor="accent1" w:themeShade="7F"/>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23FD"/>
    <w:rPr>
      <w:rFonts w:ascii="Times New Roman" w:eastAsia="Times New Roman" w:hAnsi="Times New Roman" w:cs="Times New Roman"/>
      <w:b/>
      <w:bCs/>
      <w:sz w:val="36"/>
      <w:szCs w:val="36"/>
    </w:rPr>
  </w:style>
  <w:style w:type="character" w:styleId="Strong">
    <w:name w:val="Strong"/>
    <w:basedOn w:val="DefaultParagraphFont"/>
    <w:uiPriority w:val="22"/>
    <w:qFormat/>
    <w:rsid w:val="007D23FD"/>
    <w:rPr>
      <w:b/>
      <w:bCs/>
    </w:rPr>
  </w:style>
  <w:style w:type="paragraph" w:styleId="NormalWeb">
    <w:name w:val="Normal (Web)"/>
    <w:basedOn w:val="Normal"/>
    <w:uiPriority w:val="99"/>
    <w:unhideWhenUsed/>
    <w:rsid w:val="007D23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D23FD"/>
    <w:rPr>
      <w:rFonts w:asciiTheme="majorHAnsi" w:eastAsiaTheme="majorEastAsia" w:hAnsiTheme="majorHAnsi" w:cstheme="majorBidi"/>
      <w:color w:val="2E74B5" w:themeColor="accent1" w:themeShade="BF"/>
      <w:sz w:val="32"/>
      <w:szCs w:val="29"/>
    </w:rPr>
  </w:style>
  <w:style w:type="character" w:customStyle="1" w:styleId="Heading3Char">
    <w:name w:val="Heading 3 Char"/>
    <w:basedOn w:val="DefaultParagraphFont"/>
    <w:link w:val="Heading3"/>
    <w:uiPriority w:val="9"/>
    <w:rsid w:val="007D23FD"/>
    <w:rPr>
      <w:rFonts w:asciiTheme="majorHAnsi" w:eastAsiaTheme="majorEastAsia" w:hAnsiTheme="majorHAnsi" w:cstheme="majorBidi"/>
      <w:color w:val="1F4D78" w:themeColor="accent1" w:themeShade="7F"/>
      <w:sz w:val="24"/>
      <w:szCs w:val="21"/>
    </w:rPr>
  </w:style>
  <w:style w:type="character" w:styleId="HTMLCode">
    <w:name w:val="HTML Code"/>
    <w:basedOn w:val="DefaultParagraphFont"/>
    <w:uiPriority w:val="99"/>
    <w:semiHidden/>
    <w:unhideWhenUsed/>
    <w:rsid w:val="007D23FD"/>
    <w:rPr>
      <w:rFonts w:ascii="Courier New" w:eastAsia="Times New Roman" w:hAnsi="Courier New" w:cs="Courier New"/>
      <w:sz w:val="20"/>
      <w:szCs w:val="20"/>
    </w:rPr>
  </w:style>
  <w:style w:type="table" w:styleId="TableGrid">
    <w:name w:val="Table Grid"/>
    <w:basedOn w:val="TableNormal"/>
    <w:uiPriority w:val="39"/>
    <w:rsid w:val="0076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D174E"/>
    <w:rPr>
      <w:i/>
      <w:iCs/>
    </w:rPr>
  </w:style>
  <w:style w:type="paragraph" w:styleId="Header">
    <w:name w:val="header"/>
    <w:basedOn w:val="Normal"/>
    <w:link w:val="HeaderChar"/>
    <w:uiPriority w:val="99"/>
    <w:unhideWhenUsed/>
    <w:rsid w:val="006D17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174E"/>
    <w:rPr>
      <w:rFonts w:cs="Mangal"/>
    </w:rPr>
  </w:style>
  <w:style w:type="paragraph" w:styleId="Footer">
    <w:name w:val="footer"/>
    <w:basedOn w:val="Normal"/>
    <w:link w:val="FooterChar"/>
    <w:uiPriority w:val="99"/>
    <w:unhideWhenUsed/>
    <w:rsid w:val="006D17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174E"/>
    <w:rPr>
      <w:rFonts w:cs="Mangal"/>
    </w:rPr>
  </w:style>
  <w:style w:type="paragraph" w:styleId="TOCHeading">
    <w:name w:val="TOC Heading"/>
    <w:basedOn w:val="Heading1"/>
    <w:next w:val="Normal"/>
    <w:uiPriority w:val="39"/>
    <w:unhideWhenUsed/>
    <w:qFormat/>
    <w:rsid w:val="006D174E"/>
    <w:pPr>
      <w:outlineLvl w:val="9"/>
    </w:pPr>
    <w:rPr>
      <w:szCs w:val="32"/>
      <w:lang w:bidi="ar-SA"/>
    </w:rPr>
  </w:style>
  <w:style w:type="paragraph" w:styleId="TOC2">
    <w:name w:val="toc 2"/>
    <w:basedOn w:val="Normal"/>
    <w:next w:val="Normal"/>
    <w:autoRedefine/>
    <w:uiPriority w:val="39"/>
    <w:unhideWhenUsed/>
    <w:rsid w:val="006D174E"/>
    <w:pPr>
      <w:spacing w:after="100"/>
      <w:ind w:left="220"/>
    </w:pPr>
  </w:style>
  <w:style w:type="paragraph" w:styleId="TOC1">
    <w:name w:val="toc 1"/>
    <w:basedOn w:val="Normal"/>
    <w:next w:val="Normal"/>
    <w:autoRedefine/>
    <w:uiPriority w:val="39"/>
    <w:unhideWhenUsed/>
    <w:rsid w:val="006D174E"/>
    <w:pPr>
      <w:spacing w:after="100"/>
    </w:pPr>
  </w:style>
  <w:style w:type="paragraph" w:styleId="TOC3">
    <w:name w:val="toc 3"/>
    <w:basedOn w:val="Normal"/>
    <w:next w:val="Normal"/>
    <w:autoRedefine/>
    <w:uiPriority w:val="39"/>
    <w:unhideWhenUsed/>
    <w:rsid w:val="006D174E"/>
    <w:pPr>
      <w:spacing w:after="100"/>
      <w:ind w:left="440"/>
    </w:pPr>
  </w:style>
  <w:style w:type="character" w:styleId="Hyperlink">
    <w:name w:val="Hyperlink"/>
    <w:basedOn w:val="DefaultParagraphFont"/>
    <w:uiPriority w:val="99"/>
    <w:unhideWhenUsed/>
    <w:rsid w:val="006D17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7712">
      <w:bodyDiv w:val="1"/>
      <w:marLeft w:val="0"/>
      <w:marRight w:val="0"/>
      <w:marTop w:val="0"/>
      <w:marBottom w:val="0"/>
      <w:divBdr>
        <w:top w:val="none" w:sz="0" w:space="0" w:color="auto"/>
        <w:left w:val="none" w:sz="0" w:space="0" w:color="auto"/>
        <w:bottom w:val="none" w:sz="0" w:space="0" w:color="auto"/>
        <w:right w:val="none" w:sz="0" w:space="0" w:color="auto"/>
      </w:divBdr>
    </w:div>
    <w:div w:id="53434826">
      <w:bodyDiv w:val="1"/>
      <w:marLeft w:val="0"/>
      <w:marRight w:val="0"/>
      <w:marTop w:val="0"/>
      <w:marBottom w:val="0"/>
      <w:divBdr>
        <w:top w:val="none" w:sz="0" w:space="0" w:color="auto"/>
        <w:left w:val="none" w:sz="0" w:space="0" w:color="auto"/>
        <w:bottom w:val="none" w:sz="0" w:space="0" w:color="auto"/>
        <w:right w:val="none" w:sz="0" w:space="0" w:color="auto"/>
      </w:divBdr>
    </w:div>
    <w:div w:id="67198010">
      <w:bodyDiv w:val="1"/>
      <w:marLeft w:val="0"/>
      <w:marRight w:val="0"/>
      <w:marTop w:val="0"/>
      <w:marBottom w:val="0"/>
      <w:divBdr>
        <w:top w:val="none" w:sz="0" w:space="0" w:color="auto"/>
        <w:left w:val="none" w:sz="0" w:space="0" w:color="auto"/>
        <w:bottom w:val="none" w:sz="0" w:space="0" w:color="auto"/>
        <w:right w:val="none" w:sz="0" w:space="0" w:color="auto"/>
      </w:divBdr>
    </w:div>
    <w:div w:id="95909086">
      <w:bodyDiv w:val="1"/>
      <w:marLeft w:val="0"/>
      <w:marRight w:val="0"/>
      <w:marTop w:val="0"/>
      <w:marBottom w:val="0"/>
      <w:divBdr>
        <w:top w:val="none" w:sz="0" w:space="0" w:color="auto"/>
        <w:left w:val="none" w:sz="0" w:space="0" w:color="auto"/>
        <w:bottom w:val="none" w:sz="0" w:space="0" w:color="auto"/>
        <w:right w:val="none" w:sz="0" w:space="0" w:color="auto"/>
      </w:divBdr>
    </w:div>
    <w:div w:id="246502979">
      <w:bodyDiv w:val="1"/>
      <w:marLeft w:val="0"/>
      <w:marRight w:val="0"/>
      <w:marTop w:val="0"/>
      <w:marBottom w:val="0"/>
      <w:divBdr>
        <w:top w:val="none" w:sz="0" w:space="0" w:color="auto"/>
        <w:left w:val="none" w:sz="0" w:space="0" w:color="auto"/>
        <w:bottom w:val="none" w:sz="0" w:space="0" w:color="auto"/>
        <w:right w:val="none" w:sz="0" w:space="0" w:color="auto"/>
      </w:divBdr>
    </w:div>
    <w:div w:id="396510473">
      <w:bodyDiv w:val="1"/>
      <w:marLeft w:val="0"/>
      <w:marRight w:val="0"/>
      <w:marTop w:val="0"/>
      <w:marBottom w:val="0"/>
      <w:divBdr>
        <w:top w:val="none" w:sz="0" w:space="0" w:color="auto"/>
        <w:left w:val="none" w:sz="0" w:space="0" w:color="auto"/>
        <w:bottom w:val="none" w:sz="0" w:space="0" w:color="auto"/>
        <w:right w:val="none" w:sz="0" w:space="0" w:color="auto"/>
      </w:divBdr>
    </w:div>
    <w:div w:id="402263539">
      <w:bodyDiv w:val="1"/>
      <w:marLeft w:val="0"/>
      <w:marRight w:val="0"/>
      <w:marTop w:val="0"/>
      <w:marBottom w:val="0"/>
      <w:divBdr>
        <w:top w:val="none" w:sz="0" w:space="0" w:color="auto"/>
        <w:left w:val="none" w:sz="0" w:space="0" w:color="auto"/>
        <w:bottom w:val="none" w:sz="0" w:space="0" w:color="auto"/>
        <w:right w:val="none" w:sz="0" w:space="0" w:color="auto"/>
      </w:divBdr>
    </w:div>
    <w:div w:id="402678488">
      <w:bodyDiv w:val="1"/>
      <w:marLeft w:val="0"/>
      <w:marRight w:val="0"/>
      <w:marTop w:val="0"/>
      <w:marBottom w:val="0"/>
      <w:divBdr>
        <w:top w:val="none" w:sz="0" w:space="0" w:color="auto"/>
        <w:left w:val="none" w:sz="0" w:space="0" w:color="auto"/>
        <w:bottom w:val="none" w:sz="0" w:space="0" w:color="auto"/>
        <w:right w:val="none" w:sz="0" w:space="0" w:color="auto"/>
      </w:divBdr>
    </w:div>
    <w:div w:id="418911728">
      <w:bodyDiv w:val="1"/>
      <w:marLeft w:val="0"/>
      <w:marRight w:val="0"/>
      <w:marTop w:val="0"/>
      <w:marBottom w:val="0"/>
      <w:divBdr>
        <w:top w:val="none" w:sz="0" w:space="0" w:color="auto"/>
        <w:left w:val="none" w:sz="0" w:space="0" w:color="auto"/>
        <w:bottom w:val="none" w:sz="0" w:space="0" w:color="auto"/>
        <w:right w:val="none" w:sz="0" w:space="0" w:color="auto"/>
      </w:divBdr>
    </w:div>
    <w:div w:id="443155354">
      <w:bodyDiv w:val="1"/>
      <w:marLeft w:val="0"/>
      <w:marRight w:val="0"/>
      <w:marTop w:val="0"/>
      <w:marBottom w:val="0"/>
      <w:divBdr>
        <w:top w:val="none" w:sz="0" w:space="0" w:color="auto"/>
        <w:left w:val="none" w:sz="0" w:space="0" w:color="auto"/>
        <w:bottom w:val="none" w:sz="0" w:space="0" w:color="auto"/>
        <w:right w:val="none" w:sz="0" w:space="0" w:color="auto"/>
      </w:divBdr>
    </w:div>
    <w:div w:id="512956891">
      <w:bodyDiv w:val="1"/>
      <w:marLeft w:val="0"/>
      <w:marRight w:val="0"/>
      <w:marTop w:val="0"/>
      <w:marBottom w:val="0"/>
      <w:divBdr>
        <w:top w:val="none" w:sz="0" w:space="0" w:color="auto"/>
        <w:left w:val="none" w:sz="0" w:space="0" w:color="auto"/>
        <w:bottom w:val="none" w:sz="0" w:space="0" w:color="auto"/>
        <w:right w:val="none" w:sz="0" w:space="0" w:color="auto"/>
      </w:divBdr>
    </w:div>
    <w:div w:id="724917695">
      <w:bodyDiv w:val="1"/>
      <w:marLeft w:val="0"/>
      <w:marRight w:val="0"/>
      <w:marTop w:val="0"/>
      <w:marBottom w:val="0"/>
      <w:divBdr>
        <w:top w:val="none" w:sz="0" w:space="0" w:color="auto"/>
        <w:left w:val="none" w:sz="0" w:space="0" w:color="auto"/>
        <w:bottom w:val="none" w:sz="0" w:space="0" w:color="auto"/>
        <w:right w:val="none" w:sz="0" w:space="0" w:color="auto"/>
      </w:divBdr>
    </w:div>
    <w:div w:id="775910703">
      <w:bodyDiv w:val="1"/>
      <w:marLeft w:val="0"/>
      <w:marRight w:val="0"/>
      <w:marTop w:val="0"/>
      <w:marBottom w:val="0"/>
      <w:divBdr>
        <w:top w:val="none" w:sz="0" w:space="0" w:color="auto"/>
        <w:left w:val="none" w:sz="0" w:space="0" w:color="auto"/>
        <w:bottom w:val="none" w:sz="0" w:space="0" w:color="auto"/>
        <w:right w:val="none" w:sz="0" w:space="0" w:color="auto"/>
      </w:divBdr>
      <w:divsChild>
        <w:div w:id="667439959">
          <w:marLeft w:val="0"/>
          <w:marRight w:val="0"/>
          <w:marTop w:val="0"/>
          <w:marBottom w:val="0"/>
          <w:divBdr>
            <w:top w:val="none" w:sz="0" w:space="0" w:color="auto"/>
            <w:left w:val="none" w:sz="0" w:space="0" w:color="auto"/>
            <w:bottom w:val="none" w:sz="0" w:space="0" w:color="auto"/>
            <w:right w:val="none" w:sz="0" w:space="0" w:color="auto"/>
          </w:divBdr>
          <w:divsChild>
            <w:div w:id="108090698">
              <w:marLeft w:val="0"/>
              <w:marRight w:val="0"/>
              <w:marTop w:val="0"/>
              <w:marBottom w:val="0"/>
              <w:divBdr>
                <w:top w:val="none" w:sz="0" w:space="0" w:color="auto"/>
                <w:left w:val="none" w:sz="0" w:space="0" w:color="auto"/>
                <w:bottom w:val="none" w:sz="0" w:space="0" w:color="auto"/>
                <w:right w:val="none" w:sz="0" w:space="0" w:color="auto"/>
              </w:divBdr>
            </w:div>
          </w:divsChild>
        </w:div>
        <w:div w:id="2051806931">
          <w:marLeft w:val="0"/>
          <w:marRight w:val="0"/>
          <w:marTop w:val="0"/>
          <w:marBottom w:val="0"/>
          <w:divBdr>
            <w:top w:val="none" w:sz="0" w:space="0" w:color="auto"/>
            <w:left w:val="none" w:sz="0" w:space="0" w:color="auto"/>
            <w:bottom w:val="none" w:sz="0" w:space="0" w:color="auto"/>
            <w:right w:val="none" w:sz="0" w:space="0" w:color="auto"/>
          </w:divBdr>
          <w:divsChild>
            <w:div w:id="208583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500240">
      <w:bodyDiv w:val="1"/>
      <w:marLeft w:val="0"/>
      <w:marRight w:val="0"/>
      <w:marTop w:val="0"/>
      <w:marBottom w:val="0"/>
      <w:divBdr>
        <w:top w:val="none" w:sz="0" w:space="0" w:color="auto"/>
        <w:left w:val="none" w:sz="0" w:space="0" w:color="auto"/>
        <w:bottom w:val="none" w:sz="0" w:space="0" w:color="auto"/>
        <w:right w:val="none" w:sz="0" w:space="0" w:color="auto"/>
      </w:divBdr>
    </w:div>
    <w:div w:id="804588654">
      <w:bodyDiv w:val="1"/>
      <w:marLeft w:val="0"/>
      <w:marRight w:val="0"/>
      <w:marTop w:val="0"/>
      <w:marBottom w:val="0"/>
      <w:divBdr>
        <w:top w:val="none" w:sz="0" w:space="0" w:color="auto"/>
        <w:left w:val="none" w:sz="0" w:space="0" w:color="auto"/>
        <w:bottom w:val="none" w:sz="0" w:space="0" w:color="auto"/>
        <w:right w:val="none" w:sz="0" w:space="0" w:color="auto"/>
      </w:divBdr>
    </w:div>
    <w:div w:id="807012614">
      <w:bodyDiv w:val="1"/>
      <w:marLeft w:val="0"/>
      <w:marRight w:val="0"/>
      <w:marTop w:val="0"/>
      <w:marBottom w:val="0"/>
      <w:divBdr>
        <w:top w:val="none" w:sz="0" w:space="0" w:color="auto"/>
        <w:left w:val="none" w:sz="0" w:space="0" w:color="auto"/>
        <w:bottom w:val="none" w:sz="0" w:space="0" w:color="auto"/>
        <w:right w:val="none" w:sz="0" w:space="0" w:color="auto"/>
      </w:divBdr>
    </w:div>
    <w:div w:id="810365404">
      <w:bodyDiv w:val="1"/>
      <w:marLeft w:val="0"/>
      <w:marRight w:val="0"/>
      <w:marTop w:val="0"/>
      <w:marBottom w:val="0"/>
      <w:divBdr>
        <w:top w:val="none" w:sz="0" w:space="0" w:color="auto"/>
        <w:left w:val="none" w:sz="0" w:space="0" w:color="auto"/>
        <w:bottom w:val="none" w:sz="0" w:space="0" w:color="auto"/>
        <w:right w:val="none" w:sz="0" w:space="0" w:color="auto"/>
      </w:divBdr>
    </w:div>
    <w:div w:id="967593097">
      <w:bodyDiv w:val="1"/>
      <w:marLeft w:val="0"/>
      <w:marRight w:val="0"/>
      <w:marTop w:val="0"/>
      <w:marBottom w:val="0"/>
      <w:divBdr>
        <w:top w:val="none" w:sz="0" w:space="0" w:color="auto"/>
        <w:left w:val="none" w:sz="0" w:space="0" w:color="auto"/>
        <w:bottom w:val="none" w:sz="0" w:space="0" w:color="auto"/>
        <w:right w:val="none" w:sz="0" w:space="0" w:color="auto"/>
      </w:divBdr>
    </w:div>
    <w:div w:id="998120133">
      <w:bodyDiv w:val="1"/>
      <w:marLeft w:val="0"/>
      <w:marRight w:val="0"/>
      <w:marTop w:val="0"/>
      <w:marBottom w:val="0"/>
      <w:divBdr>
        <w:top w:val="none" w:sz="0" w:space="0" w:color="auto"/>
        <w:left w:val="none" w:sz="0" w:space="0" w:color="auto"/>
        <w:bottom w:val="none" w:sz="0" w:space="0" w:color="auto"/>
        <w:right w:val="none" w:sz="0" w:space="0" w:color="auto"/>
      </w:divBdr>
    </w:div>
    <w:div w:id="1063872298">
      <w:bodyDiv w:val="1"/>
      <w:marLeft w:val="0"/>
      <w:marRight w:val="0"/>
      <w:marTop w:val="0"/>
      <w:marBottom w:val="0"/>
      <w:divBdr>
        <w:top w:val="none" w:sz="0" w:space="0" w:color="auto"/>
        <w:left w:val="none" w:sz="0" w:space="0" w:color="auto"/>
        <w:bottom w:val="none" w:sz="0" w:space="0" w:color="auto"/>
        <w:right w:val="none" w:sz="0" w:space="0" w:color="auto"/>
      </w:divBdr>
    </w:div>
    <w:div w:id="1113279921">
      <w:bodyDiv w:val="1"/>
      <w:marLeft w:val="0"/>
      <w:marRight w:val="0"/>
      <w:marTop w:val="0"/>
      <w:marBottom w:val="0"/>
      <w:divBdr>
        <w:top w:val="none" w:sz="0" w:space="0" w:color="auto"/>
        <w:left w:val="none" w:sz="0" w:space="0" w:color="auto"/>
        <w:bottom w:val="none" w:sz="0" w:space="0" w:color="auto"/>
        <w:right w:val="none" w:sz="0" w:space="0" w:color="auto"/>
      </w:divBdr>
    </w:div>
    <w:div w:id="1166893674">
      <w:bodyDiv w:val="1"/>
      <w:marLeft w:val="0"/>
      <w:marRight w:val="0"/>
      <w:marTop w:val="0"/>
      <w:marBottom w:val="0"/>
      <w:divBdr>
        <w:top w:val="none" w:sz="0" w:space="0" w:color="auto"/>
        <w:left w:val="none" w:sz="0" w:space="0" w:color="auto"/>
        <w:bottom w:val="none" w:sz="0" w:space="0" w:color="auto"/>
        <w:right w:val="none" w:sz="0" w:space="0" w:color="auto"/>
      </w:divBdr>
    </w:div>
    <w:div w:id="1170366513">
      <w:bodyDiv w:val="1"/>
      <w:marLeft w:val="0"/>
      <w:marRight w:val="0"/>
      <w:marTop w:val="0"/>
      <w:marBottom w:val="0"/>
      <w:divBdr>
        <w:top w:val="none" w:sz="0" w:space="0" w:color="auto"/>
        <w:left w:val="none" w:sz="0" w:space="0" w:color="auto"/>
        <w:bottom w:val="none" w:sz="0" w:space="0" w:color="auto"/>
        <w:right w:val="none" w:sz="0" w:space="0" w:color="auto"/>
      </w:divBdr>
    </w:div>
    <w:div w:id="1181700943">
      <w:bodyDiv w:val="1"/>
      <w:marLeft w:val="0"/>
      <w:marRight w:val="0"/>
      <w:marTop w:val="0"/>
      <w:marBottom w:val="0"/>
      <w:divBdr>
        <w:top w:val="none" w:sz="0" w:space="0" w:color="auto"/>
        <w:left w:val="none" w:sz="0" w:space="0" w:color="auto"/>
        <w:bottom w:val="none" w:sz="0" w:space="0" w:color="auto"/>
        <w:right w:val="none" w:sz="0" w:space="0" w:color="auto"/>
      </w:divBdr>
    </w:div>
    <w:div w:id="1276667879">
      <w:bodyDiv w:val="1"/>
      <w:marLeft w:val="0"/>
      <w:marRight w:val="0"/>
      <w:marTop w:val="0"/>
      <w:marBottom w:val="0"/>
      <w:divBdr>
        <w:top w:val="none" w:sz="0" w:space="0" w:color="auto"/>
        <w:left w:val="none" w:sz="0" w:space="0" w:color="auto"/>
        <w:bottom w:val="none" w:sz="0" w:space="0" w:color="auto"/>
        <w:right w:val="none" w:sz="0" w:space="0" w:color="auto"/>
      </w:divBdr>
    </w:div>
    <w:div w:id="1284844939">
      <w:bodyDiv w:val="1"/>
      <w:marLeft w:val="0"/>
      <w:marRight w:val="0"/>
      <w:marTop w:val="0"/>
      <w:marBottom w:val="0"/>
      <w:divBdr>
        <w:top w:val="none" w:sz="0" w:space="0" w:color="auto"/>
        <w:left w:val="none" w:sz="0" w:space="0" w:color="auto"/>
        <w:bottom w:val="none" w:sz="0" w:space="0" w:color="auto"/>
        <w:right w:val="none" w:sz="0" w:space="0" w:color="auto"/>
      </w:divBdr>
    </w:div>
    <w:div w:id="1287783565">
      <w:bodyDiv w:val="1"/>
      <w:marLeft w:val="0"/>
      <w:marRight w:val="0"/>
      <w:marTop w:val="0"/>
      <w:marBottom w:val="0"/>
      <w:divBdr>
        <w:top w:val="none" w:sz="0" w:space="0" w:color="auto"/>
        <w:left w:val="none" w:sz="0" w:space="0" w:color="auto"/>
        <w:bottom w:val="none" w:sz="0" w:space="0" w:color="auto"/>
        <w:right w:val="none" w:sz="0" w:space="0" w:color="auto"/>
      </w:divBdr>
    </w:div>
    <w:div w:id="1325663938">
      <w:bodyDiv w:val="1"/>
      <w:marLeft w:val="0"/>
      <w:marRight w:val="0"/>
      <w:marTop w:val="0"/>
      <w:marBottom w:val="0"/>
      <w:divBdr>
        <w:top w:val="none" w:sz="0" w:space="0" w:color="auto"/>
        <w:left w:val="none" w:sz="0" w:space="0" w:color="auto"/>
        <w:bottom w:val="none" w:sz="0" w:space="0" w:color="auto"/>
        <w:right w:val="none" w:sz="0" w:space="0" w:color="auto"/>
      </w:divBdr>
    </w:div>
    <w:div w:id="1328169270">
      <w:bodyDiv w:val="1"/>
      <w:marLeft w:val="0"/>
      <w:marRight w:val="0"/>
      <w:marTop w:val="0"/>
      <w:marBottom w:val="0"/>
      <w:divBdr>
        <w:top w:val="none" w:sz="0" w:space="0" w:color="auto"/>
        <w:left w:val="none" w:sz="0" w:space="0" w:color="auto"/>
        <w:bottom w:val="none" w:sz="0" w:space="0" w:color="auto"/>
        <w:right w:val="none" w:sz="0" w:space="0" w:color="auto"/>
      </w:divBdr>
    </w:div>
    <w:div w:id="1362585376">
      <w:bodyDiv w:val="1"/>
      <w:marLeft w:val="0"/>
      <w:marRight w:val="0"/>
      <w:marTop w:val="0"/>
      <w:marBottom w:val="0"/>
      <w:divBdr>
        <w:top w:val="none" w:sz="0" w:space="0" w:color="auto"/>
        <w:left w:val="none" w:sz="0" w:space="0" w:color="auto"/>
        <w:bottom w:val="none" w:sz="0" w:space="0" w:color="auto"/>
        <w:right w:val="none" w:sz="0" w:space="0" w:color="auto"/>
      </w:divBdr>
    </w:div>
    <w:div w:id="1375422203">
      <w:bodyDiv w:val="1"/>
      <w:marLeft w:val="0"/>
      <w:marRight w:val="0"/>
      <w:marTop w:val="0"/>
      <w:marBottom w:val="0"/>
      <w:divBdr>
        <w:top w:val="none" w:sz="0" w:space="0" w:color="auto"/>
        <w:left w:val="none" w:sz="0" w:space="0" w:color="auto"/>
        <w:bottom w:val="none" w:sz="0" w:space="0" w:color="auto"/>
        <w:right w:val="none" w:sz="0" w:space="0" w:color="auto"/>
      </w:divBdr>
    </w:div>
    <w:div w:id="1394699273">
      <w:bodyDiv w:val="1"/>
      <w:marLeft w:val="0"/>
      <w:marRight w:val="0"/>
      <w:marTop w:val="0"/>
      <w:marBottom w:val="0"/>
      <w:divBdr>
        <w:top w:val="none" w:sz="0" w:space="0" w:color="auto"/>
        <w:left w:val="none" w:sz="0" w:space="0" w:color="auto"/>
        <w:bottom w:val="none" w:sz="0" w:space="0" w:color="auto"/>
        <w:right w:val="none" w:sz="0" w:space="0" w:color="auto"/>
      </w:divBdr>
    </w:div>
    <w:div w:id="1403025961">
      <w:bodyDiv w:val="1"/>
      <w:marLeft w:val="0"/>
      <w:marRight w:val="0"/>
      <w:marTop w:val="0"/>
      <w:marBottom w:val="0"/>
      <w:divBdr>
        <w:top w:val="none" w:sz="0" w:space="0" w:color="auto"/>
        <w:left w:val="none" w:sz="0" w:space="0" w:color="auto"/>
        <w:bottom w:val="none" w:sz="0" w:space="0" w:color="auto"/>
        <w:right w:val="none" w:sz="0" w:space="0" w:color="auto"/>
      </w:divBdr>
    </w:div>
    <w:div w:id="1452285398">
      <w:bodyDiv w:val="1"/>
      <w:marLeft w:val="0"/>
      <w:marRight w:val="0"/>
      <w:marTop w:val="0"/>
      <w:marBottom w:val="0"/>
      <w:divBdr>
        <w:top w:val="none" w:sz="0" w:space="0" w:color="auto"/>
        <w:left w:val="none" w:sz="0" w:space="0" w:color="auto"/>
        <w:bottom w:val="none" w:sz="0" w:space="0" w:color="auto"/>
        <w:right w:val="none" w:sz="0" w:space="0" w:color="auto"/>
      </w:divBdr>
    </w:div>
    <w:div w:id="1491941676">
      <w:bodyDiv w:val="1"/>
      <w:marLeft w:val="0"/>
      <w:marRight w:val="0"/>
      <w:marTop w:val="0"/>
      <w:marBottom w:val="0"/>
      <w:divBdr>
        <w:top w:val="none" w:sz="0" w:space="0" w:color="auto"/>
        <w:left w:val="none" w:sz="0" w:space="0" w:color="auto"/>
        <w:bottom w:val="none" w:sz="0" w:space="0" w:color="auto"/>
        <w:right w:val="none" w:sz="0" w:space="0" w:color="auto"/>
      </w:divBdr>
    </w:div>
    <w:div w:id="1516965434">
      <w:bodyDiv w:val="1"/>
      <w:marLeft w:val="0"/>
      <w:marRight w:val="0"/>
      <w:marTop w:val="0"/>
      <w:marBottom w:val="0"/>
      <w:divBdr>
        <w:top w:val="none" w:sz="0" w:space="0" w:color="auto"/>
        <w:left w:val="none" w:sz="0" w:space="0" w:color="auto"/>
        <w:bottom w:val="none" w:sz="0" w:space="0" w:color="auto"/>
        <w:right w:val="none" w:sz="0" w:space="0" w:color="auto"/>
      </w:divBdr>
    </w:div>
    <w:div w:id="1539122793">
      <w:bodyDiv w:val="1"/>
      <w:marLeft w:val="0"/>
      <w:marRight w:val="0"/>
      <w:marTop w:val="0"/>
      <w:marBottom w:val="0"/>
      <w:divBdr>
        <w:top w:val="none" w:sz="0" w:space="0" w:color="auto"/>
        <w:left w:val="none" w:sz="0" w:space="0" w:color="auto"/>
        <w:bottom w:val="none" w:sz="0" w:space="0" w:color="auto"/>
        <w:right w:val="none" w:sz="0" w:space="0" w:color="auto"/>
      </w:divBdr>
    </w:div>
    <w:div w:id="1570533659">
      <w:bodyDiv w:val="1"/>
      <w:marLeft w:val="0"/>
      <w:marRight w:val="0"/>
      <w:marTop w:val="0"/>
      <w:marBottom w:val="0"/>
      <w:divBdr>
        <w:top w:val="none" w:sz="0" w:space="0" w:color="auto"/>
        <w:left w:val="none" w:sz="0" w:space="0" w:color="auto"/>
        <w:bottom w:val="none" w:sz="0" w:space="0" w:color="auto"/>
        <w:right w:val="none" w:sz="0" w:space="0" w:color="auto"/>
      </w:divBdr>
    </w:div>
    <w:div w:id="1597985032">
      <w:bodyDiv w:val="1"/>
      <w:marLeft w:val="0"/>
      <w:marRight w:val="0"/>
      <w:marTop w:val="0"/>
      <w:marBottom w:val="0"/>
      <w:divBdr>
        <w:top w:val="none" w:sz="0" w:space="0" w:color="auto"/>
        <w:left w:val="none" w:sz="0" w:space="0" w:color="auto"/>
        <w:bottom w:val="none" w:sz="0" w:space="0" w:color="auto"/>
        <w:right w:val="none" w:sz="0" w:space="0" w:color="auto"/>
      </w:divBdr>
    </w:div>
    <w:div w:id="1674600172">
      <w:bodyDiv w:val="1"/>
      <w:marLeft w:val="0"/>
      <w:marRight w:val="0"/>
      <w:marTop w:val="0"/>
      <w:marBottom w:val="0"/>
      <w:divBdr>
        <w:top w:val="none" w:sz="0" w:space="0" w:color="auto"/>
        <w:left w:val="none" w:sz="0" w:space="0" w:color="auto"/>
        <w:bottom w:val="none" w:sz="0" w:space="0" w:color="auto"/>
        <w:right w:val="none" w:sz="0" w:space="0" w:color="auto"/>
      </w:divBdr>
    </w:div>
    <w:div w:id="1712145497">
      <w:bodyDiv w:val="1"/>
      <w:marLeft w:val="0"/>
      <w:marRight w:val="0"/>
      <w:marTop w:val="0"/>
      <w:marBottom w:val="0"/>
      <w:divBdr>
        <w:top w:val="none" w:sz="0" w:space="0" w:color="auto"/>
        <w:left w:val="none" w:sz="0" w:space="0" w:color="auto"/>
        <w:bottom w:val="none" w:sz="0" w:space="0" w:color="auto"/>
        <w:right w:val="none" w:sz="0" w:space="0" w:color="auto"/>
      </w:divBdr>
    </w:div>
    <w:div w:id="1716276745">
      <w:bodyDiv w:val="1"/>
      <w:marLeft w:val="0"/>
      <w:marRight w:val="0"/>
      <w:marTop w:val="0"/>
      <w:marBottom w:val="0"/>
      <w:divBdr>
        <w:top w:val="none" w:sz="0" w:space="0" w:color="auto"/>
        <w:left w:val="none" w:sz="0" w:space="0" w:color="auto"/>
        <w:bottom w:val="none" w:sz="0" w:space="0" w:color="auto"/>
        <w:right w:val="none" w:sz="0" w:space="0" w:color="auto"/>
      </w:divBdr>
    </w:div>
    <w:div w:id="1781871335">
      <w:bodyDiv w:val="1"/>
      <w:marLeft w:val="0"/>
      <w:marRight w:val="0"/>
      <w:marTop w:val="0"/>
      <w:marBottom w:val="0"/>
      <w:divBdr>
        <w:top w:val="none" w:sz="0" w:space="0" w:color="auto"/>
        <w:left w:val="none" w:sz="0" w:space="0" w:color="auto"/>
        <w:bottom w:val="none" w:sz="0" w:space="0" w:color="auto"/>
        <w:right w:val="none" w:sz="0" w:space="0" w:color="auto"/>
      </w:divBdr>
    </w:div>
    <w:div w:id="1790202612">
      <w:bodyDiv w:val="1"/>
      <w:marLeft w:val="0"/>
      <w:marRight w:val="0"/>
      <w:marTop w:val="0"/>
      <w:marBottom w:val="0"/>
      <w:divBdr>
        <w:top w:val="none" w:sz="0" w:space="0" w:color="auto"/>
        <w:left w:val="none" w:sz="0" w:space="0" w:color="auto"/>
        <w:bottom w:val="none" w:sz="0" w:space="0" w:color="auto"/>
        <w:right w:val="none" w:sz="0" w:space="0" w:color="auto"/>
      </w:divBdr>
    </w:div>
    <w:div w:id="1816487189">
      <w:bodyDiv w:val="1"/>
      <w:marLeft w:val="0"/>
      <w:marRight w:val="0"/>
      <w:marTop w:val="0"/>
      <w:marBottom w:val="0"/>
      <w:divBdr>
        <w:top w:val="none" w:sz="0" w:space="0" w:color="auto"/>
        <w:left w:val="none" w:sz="0" w:space="0" w:color="auto"/>
        <w:bottom w:val="none" w:sz="0" w:space="0" w:color="auto"/>
        <w:right w:val="none" w:sz="0" w:space="0" w:color="auto"/>
      </w:divBdr>
    </w:div>
    <w:div w:id="1852254231">
      <w:bodyDiv w:val="1"/>
      <w:marLeft w:val="0"/>
      <w:marRight w:val="0"/>
      <w:marTop w:val="0"/>
      <w:marBottom w:val="0"/>
      <w:divBdr>
        <w:top w:val="none" w:sz="0" w:space="0" w:color="auto"/>
        <w:left w:val="none" w:sz="0" w:space="0" w:color="auto"/>
        <w:bottom w:val="none" w:sz="0" w:space="0" w:color="auto"/>
        <w:right w:val="none" w:sz="0" w:space="0" w:color="auto"/>
      </w:divBdr>
    </w:div>
    <w:div w:id="1917473412">
      <w:bodyDiv w:val="1"/>
      <w:marLeft w:val="0"/>
      <w:marRight w:val="0"/>
      <w:marTop w:val="0"/>
      <w:marBottom w:val="0"/>
      <w:divBdr>
        <w:top w:val="none" w:sz="0" w:space="0" w:color="auto"/>
        <w:left w:val="none" w:sz="0" w:space="0" w:color="auto"/>
        <w:bottom w:val="none" w:sz="0" w:space="0" w:color="auto"/>
        <w:right w:val="none" w:sz="0" w:space="0" w:color="auto"/>
      </w:divBdr>
    </w:div>
    <w:div w:id="1945109136">
      <w:bodyDiv w:val="1"/>
      <w:marLeft w:val="0"/>
      <w:marRight w:val="0"/>
      <w:marTop w:val="0"/>
      <w:marBottom w:val="0"/>
      <w:divBdr>
        <w:top w:val="none" w:sz="0" w:space="0" w:color="auto"/>
        <w:left w:val="none" w:sz="0" w:space="0" w:color="auto"/>
        <w:bottom w:val="none" w:sz="0" w:space="0" w:color="auto"/>
        <w:right w:val="none" w:sz="0" w:space="0" w:color="auto"/>
      </w:divBdr>
    </w:div>
    <w:div w:id="204690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jarr.com/sites/default/files/WJARR-2024-2206.pdf" TargetMode="External"/><Relationship Id="rId18" Type="http://schemas.openxmlformats.org/officeDocument/2006/relationships/hyperlink" Target="https://ideas.repec.org/a/eee/transe/v176y2023ics1366554523002120.html" TargetMode="External"/><Relationship Id="rId26" Type="http://schemas.openxmlformats.org/officeDocument/2006/relationships/hyperlink" Target="https://oapub.org/soc/index.php/EJEFR/article/view/1073" TargetMode="External"/><Relationship Id="rId3" Type="http://schemas.openxmlformats.org/officeDocument/2006/relationships/styles" Target="styles.xml"/><Relationship Id="rId21" Type="http://schemas.openxmlformats.org/officeDocument/2006/relationships/hyperlink" Target="https://www.researchgate.net/publication/334751254_A_systematic_literature_review_on_working_capital_management_-_an_identification_of_new_avenu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publication/336144030_Analysis_of_Selected_Profitability_Ratios_in_the_Agricultural_Sector" TargetMode="External"/><Relationship Id="rId25" Type="http://schemas.openxmlformats.org/officeDocument/2006/relationships/hyperlink" Target="https://www.researchgate.net/publication/377394145_Assessing_the_Banking_Sector_of_Bosnia_and_Herzegovina_An_Analysis_of_Financial_Indicators_through_the_MEREC_and_MARCOS_Methods"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esearchgate.net/publication/318545480_Working_capital_management_firm_performance_and_financial_constraints_Empirical_evidence_from_India" TargetMode="External"/><Relationship Id="rId20" Type="http://schemas.openxmlformats.org/officeDocument/2006/relationships/hyperlink" Target="https://www.researchgate.net/publication/389599597_The_impact_of_working_capital_management_on_the_financial_performance_of_listed_enterprises_an_empirical_evidence_from_Vietnam" TargetMode="External"/><Relationship Id="rId29" Type="http://schemas.openxmlformats.org/officeDocument/2006/relationships/hyperlink" Target="https://e-journal.uac.ac.id/index.php/iijse/article/view/68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journals.plos.org/plosone/article?id=10.1371/journal.pone.0300217" TargetMode="External"/><Relationship Id="rId32" Type="http://schemas.openxmlformats.org/officeDocument/2006/relationships/hyperlink" Target="https://www.researchgate.net/publication/303870118_Defined_strategies_for_financial_working_capital_management" TargetMode="External"/><Relationship Id="rId5" Type="http://schemas.openxmlformats.org/officeDocument/2006/relationships/webSettings" Target="webSettings.xml"/><Relationship Id="rId15" Type="http://schemas.openxmlformats.org/officeDocument/2006/relationships/hyperlink" Target="https://www.sciencedirect.com/science/article/abs/pii/S0929119914001606" TargetMode="External"/><Relationship Id="rId23" Type="http://schemas.openxmlformats.org/officeDocument/2006/relationships/hyperlink" Target="https://onlinelibrary.wiley.com/doi/10.1155/2014/953945" TargetMode="External"/><Relationship Id="rId28" Type="http://schemas.openxmlformats.org/officeDocument/2006/relationships/hyperlink" Target="https://www.researchgate.net/publication/393745539_Profitability_Ratio_Analysis_to_Measure_the_Financial_Performance_of_Food_and_Beverage_Companies_for_the_Period_of_2020_-_2023" TargetMode="External"/><Relationship Id="rId10" Type="http://schemas.openxmlformats.org/officeDocument/2006/relationships/image" Target="media/image3.png"/><Relationship Id="rId19" Type="http://schemas.openxmlformats.org/officeDocument/2006/relationships/hyperlink" Target="https://ijafibs.pelnus.ac.id/index.php/ijafibs/article/view/243" TargetMode="External"/><Relationship Id="rId31" Type="http://schemas.openxmlformats.org/officeDocument/2006/relationships/hyperlink" Target="http://cks.univnt.ro/download/cks_2024_articles%252F5_CKS_2024_ECONOMIC_SCIENCES%252FCKS_2024_ECONOMIC_SCIENCES_01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full/10.1177/21582440211015705" TargetMode="External"/><Relationship Id="rId22" Type="http://schemas.openxmlformats.org/officeDocument/2006/relationships/hyperlink" Target="https://www.sciencedirect.com/science/article/pii/S2214845024000462" TargetMode="External"/><Relationship Id="rId27" Type="http://schemas.openxmlformats.org/officeDocument/2006/relationships/hyperlink" Target="https://papers.ssrn.com/sol3/papers.cfm?abstract_id=4484564" TargetMode="External"/><Relationship Id="rId30" Type="http://schemas.openxmlformats.org/officeDocument/2006/relationships/hyperlink" Target="https://papers.ssrn.com/sol3/papers.cfm?abstract_id=5351316"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B68A5-E877-4EEC-83B4-2A692369A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50</Pages>
  <Words>8286</Words>
  <Characters>47232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LUKHI MIT</cp:lastModifiedBy>
  <cp:revision>18</cp:revision>
  <dcterms:created xsi:type="dcterms:W3CDTF">2025-10-18T05:27:00Z</dcterms:created>
  <dcterms:modified xsi:type="dcterms:W3CDTF">2025-11-24T00:06:00Z</dcterms:modified>
</cp:coreProperties>
</file>