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779C2" w14:textId="77777777" w:rsidR="008109FF" w:rsidRPr="006A2833" w:rsidRDefault="008109FF" w:rsidP="008109FF">
      <w:pPr>
        <w:jc w:val="center"/>
        <w:rPr>
          <w:rFonts w:ascii="Arial" w:hAnsi="Arial" w:cs="Arial"/>
          <w:bCs/>
          <w:color w:val="000000" w:themeColor="text1"/>
          <w:sz w:val="40"/>
          <w:szCs w:val="40"/>
        </w:rPr>
      </w:pPr>
      <w:r w:rsidRPr="006A2833">
        <w:rPr>
          <w:rFonts w:ascii="Arial" w:hAnsi="Arial" w:cs="Arial"/>
          <w:bCs/>
          <w:color w:val="000000" w:themeColor="text1"/>
          <w:sz w:val="40"/>
          <w:szCs w:val="40"/>
        </w:rPr>
        <w:t>Name: Gabor Istvan Kovacs</w:t>
      </w:r>
    </w:p>
    <w:p w14:paraId="0B46C512" w14:textId="77777777" w:rsidR="008109FF" w:rsidRPr="006A2833" w:rsidRDefault="008109FF" w:rsidP="008109FF">
      <w:pPr>
        <w:jc w:val="center"/>
        <w:rPr>
          <w:rFonts w:ascii="Arial" w:hAnsi="Arial" w:cs="Arial"/>
          <w:bCs/>
          <w:color w:val="000000" w:themeColor="text1"/>
          <w:sz w:val="40"/>
          <w:szCs w:val="40"/>
          <w:lang w:val="en-US"/>
        </w:rPr>
      </w:pPr>
      <w:r w:rsidRPr="006A2833">
        <w:rPr>
          <w:rFonts w:ascii="Arial" w:hAnsi="Arial" w:cs="Arial"/>
          <w:bCs/>
          <w:color w:val="000000" w:themeColor="text1"/>
          <w:sz w:val="40"/>
          <w:szCs w:val="40"/>
        </w:rPr>
        <w:t>Student Number: 2011284</w:t>
      </w:r>
    </w:p>
    <w:p w14:paraId="350302DB" w14:textId="77777777" w:rsidR="008109FF" w:rsidRPr="006A2833" w:rsidRDefault="008109FF" w:rsidP="008109FF">
      <w:pPr>
        <w:spacing w:line="360" w:lineRule="auto"/>
        <w:jc w:val="center"/>
        <w:rPr>
          <w:rFonts w:ascii="Arial" w:hAnsi="Arial" w:cs="Arial"/>
          <w:bCs/>
          <w:sz w:val="40"/>
          <w:szCs w:val="40"/>
          <w:lang w:val="en-IN"/>
        </w:rPr>
      </w:pPr>
      <w:r w:rsidRPr="006A2833">
        <w:rPr>
          <w:rFonts w:ascii="Arial" w:hAnsi="Arial" w:cs="Arial"/>
          <w:bCs/>
          <w:color w:val="000000" w:themeColor="text1"/>
          <w:sz w:val="40"/>
          <w:szCs w:val="40"/>
        </w:rPr>
        <w:t xml:space="preserve">Assignment Title: </w:t>
      </w:r>
      <w:r w:rsidRPr="006A2833">
        <w:rPr>
          <w:rFonts w:ascii="Arial" w:hAnsi="Arial" w:cs="Arial"/>
          <w:bCs/>
          <w:sz w:val="40"/>
          <w:szCs w:val="40"/>
          <w:lang w:val="en-IN"/>
        </w:rPr>
        <w:t>Managing People</w:t>
      </w:r>
    </w:p>
    <w:p w14:paraId="4F9151B1" w14:textId="77777777" w:rsidR="008109FF" w:rsidRPr="006A2833" w:rsidRDefault="008109FF" w:rsidP="008109FF">
      <w:pPr>
        <w:jc w:val="center"/>
        <w:rPr>
          <w:rFonts w:ascii="Arial" w:hAnsi="Arial" w:cs="Arial"/>
          <w:bCs/>
          <w:color w:val="323130"/>
          <w:sz w:val="40"/>
          <w:szCs w:val="40"/>
          <w:shd w:val="clear" w:color="auto" w:fill="FFFFFF"/>
          <w:lang w:val="en-US"/>
        </w:rPr>
      </w:pPr>
      <w:r w:rsidRPr="006A2833">
        <w:rPr>
          <w:rFonts w:ascii="Arial" w:hAnsi="Arial" w:cs="Arial"/>
          <w:bCs/>
          <w:color w:val="000000" w:themeColor="text1"/>
          <w:sz w:val="40"/>
          <w:szCs w:val="40"/>
        </w:rPr>
        <w:t>Module Lecturer’s Name:</w:t>
      </w:r>
      <w:r w:rsidRPr="006A2833">
        <w:rPr>
          <w:rFonts w:ascii="Arial" w:hAnsi="Arial" w:cs="Arial"/>
          <w:bCs/>
          <w:color w:val="323130"/>
          <w:sz w:val="40"/>
          <w:szCs w:val="40"/>
          <w:shd w:val="clear" w:color="auto" w:fill="FFFFFF"/>
        </w:rPr>
        <w:t xml:space="preserve"> Charles </w:t>
      </w:r>
      <w:proofErr w:type="spellStart"/>
      <w:r w:rsidRPr="006A2833">
        <w:rPr>
          <w:rFonts w:ascii="Arial" w:hAnsi="Arial" w:cs="Arial"/>
          <w:bCs/>
          <w:color w:val="323130"/>
          <w:sz w:val="40"/>
          <w:szCs w:val="40"/>
          <w:shd w:val="clear" w:color="auto" w:fill="FFFFFF"/>
        </w:rPr>
        <w:t>Oham</w:t>
      </w:r>
      <w:proofErr w:type="spellEnd"/>
    </w:p>
    <w:p w14:paraId="19974562" w14:textId="77777777" w:rsidR="000D5F1E" w:rsidRPr="000D5F1E" w:rsidRDefault="000D5F1E" w:rsidP="008109FF">
      <w:pPr>
        <w:rPr>
          <w:rFonts w:ascii="Arial" w:hAnsi="Arial" w:cs="Arial"/>
          <w:b/>
          <w:sz w:val="36"/>
          <w:szCs w:val="36"/>
        </w:rPr>
      </w:pPr>
    </w:p>
    <w:p w14:paraId="5B4D7859" w14:textId="77777777" w:rsidR="004C5B93" w:rsidRPr="006A2833" w:rsidRDefault="00FF6F80" w:rsidP="000D5F1E">
      <w:pPr>
        <w:jc w:val="center"/>
        <w:rPr>
          <w:rFonts w:ascii="Arial" w:hAnsi="Arial" w:cs="Arial"/>
          <w:b/>
          <w:sz w:val="40"/>
          <w:szCs w:val="40"/>
        </w:rPr>
      </w:pPr>
      <w:r w:rsidRPr="006A2833">
        <w:rPr>
          <w:rFonts w:ascii="Arial" w:hAnsi="Arial" w:cs="Arial"/>
          <w:b/>
          <w:sz w:val="40"/>
          <w:szCs w:val="40"/>
        </w:rPr>
        <w:t>A REPORT ON EMPLOYEE ENGAGEMENT</w:t>
      </w:r>
    </w:p>
    <w:p w14:paraId="460ECD91" w14:textId="77777777" w:rsidR="004C5B93" w:rsidRDefault="00FF6F80">
      <w:pPr>
        <w:rPr>
          <w:rFonts w:ascii="Arial" w:hAnsi="Arial" w:cs="Arial"/>
          <w:b/>
          <w:sz w:val="36"/>
          <w:szCs w:val="36"/>
        </w:rPr>
      </w:pPr>
      <w:r>
        <w:rPr>
          <w:rFonts w:ascii="Arial" w:hAnsi="Arial" w:cs="Arial"/>
          <w:b/>
          <w:sz w:val="36"/>
          <w:szCs w:val="36"/>
        </w:rPr>
        <w:br w:type="page"/>
      </w:r>
    </w:p>
    <w:sdt>
      <w:sdtPr>
        <w:rPr>
          <w:rFonts w:asciiTheme="minorHAnsi" w:eastAsiaTheme="minorHAnsi" w:hAnsiTheme="minorHAnsi" w:cstheme="minorBidi"/>
          <w:b w:val="0"/>
          <w:bCs w:val="0"/>
          <w:color w:val="auto"/>
          <w:sz w:val="22"/>
          <w:szCs w:val="22"/>
          <w:lang w:val="en-GB"/>
        </w:rPr>
        <w:id w:val="32184019"/>
        <w:docPartObj>
          <w:docPartGallery w:val="Table of Contents"/>
          <w:docPartUnique/>
        </w:docPartObj>
      </w:sdtPr>
      <w:sdtEndPr/>
      <w:sdtContent>
        <w:p w14:paraId="40F10858" w14:textId="77777777" w:rsidR="004C5B93" w:rsidRDefault="00FF6F80" w:rsidP="004C5B93">
          <w:pPr>
            <w:pStyle w:val="TOCHeading"/>
            <w:jc w:val="center"/>
          </w:pPr>
          <w:r w:rsidRPr="004C5B93">
            <w:rPr>
              <w:rFonts w:ascii="Arial" w:hAnsi="Arial" w:cs="Arial"/>
              <w:color w:val="000000" w:themeColor="text1"/>
            </w:rPr>
            <w:t>Table of Contents</w:t>
          </w:r>
        </w:p>
        <w:p w14:paraId="79D9FB8C" w14:textId="77777777" w:rsidR="004C5B93" w:rsidRPr="004C5B93" w:rsidRDefault="005F33C4" w:rsidP="004C5B93">
          <w:pPr>
            <w:pStyle w:val="TOC1"/>
            <w:tabs>
              <w:tab w:val="right" w:leader="dot" w:pos="9016"/>
            </w:tabs>
            <w:spacing w:line="360" w:lineRule="auto"/>
            <w:rPr>
              <w:rFonts w:ascii="Arial" w:hAnsi="Arial" w:cs="Arial"/>
              <w:noProof/>
            </w:rPr>
          </w:pPr>
          <w:hyperlink w:anchor="_Toc98707200" w:history="1">
            <w:r w:rsidR="00FF6F80" w:rsidRPr="004C5B93">
              <w:rPr>
                <w:rStyle w:val="Hyperlink"/>
                <w:rFonts w:ascii="Arial" w:hAnsi="Arial" w:cs="Arial"/>
                <w:noProof/>
              </w:rPr>
              <w:t>Introduction</w:t>
            </w:r>
            <w:r w:rsidR="00FF6F80" w:rsidRPr="004C5B93">
              <w:rPr>
                <w:rFonts w:ascii="Arial" w:hAnsi="Arial" w:cs="Arial"/>
                <w:noProof/>
                <w:webHidden/>
              </w:rPr>
              <w:tab/>
            </w:r>
            <w:r w:rsidR="00E95BCE" w:rsidRPr="004C5B93">
              <w:rPr>
                <w:rFonts w:ascii="Arial" w:hAnsi="Arial" w:cs="Arial"/>
                <w:noProof/>
                <w:webHidden/>
              </w:rPr>
              <w:fldChar w:fldCharType="begin"/>
            </w:r>
            <w:r w:rsidR="00FF6F80" w:rsidRPr="004C5B93">
              <w:rPr>
                <w:rFonts w:ascii="Arial" w:hAnsi="Arial" w:cs="Arial"/>
                <w:noProof/>
                <w:webHidden/>
              </w:rPr>
              <w:instrText xml:space="preserve"> PAGEREF _Toc98707200 \h </w:instrText>
            </w:r>
            <w:r w:rsidR="00E95BCE" w:rsidRPr="004C5B93">
              <w:rPr>
                <w:rFonts w:ascii="Arial" w:hAnsi="Arial" w:cs="Arial"/>
                <w:noProof/>
                <w:webHidden/>
              </w:rPr>
            </w:r>
            <w:r w:rsidR="00E95BCE" w:rsidRPr="004C5B93">
              <w:rPr>
                <w:rFonts w:ascii="Arial" w:hAnsi="Arial" w:cs="Arial"/>
                <w:noProof/>
                <w:webHidden/>
              </w:rPr>
              <w:fldChar w:fldCharType="separate"/>
            </w:r>
            <w:r w:rsidR="00FF6F80" w:rsidRPr="004C5B93">
              <w:rPr>
                <w:rFonts w:ascii="Arial" w:hAnsi="Arial" w:cs="Arial"/>
                <w:noProof/>
                <w:webHidden/>
              </w:rPr>
              <w:t>3</w:t>
            </w:r>
            <w:r w:rsidR="00E95BCE" w:rsidRPr="004C5B93">
              <w:rPr>
                <w:rFonts w:ascii="Arial" w:hAnsi="Arial" w:cs="Arial"/>
                <w:noProof/>
                <w:webHidden/>
              </w:rPr>
              <w:fldChar w:fldCharType="end"/>
            </w:r>
          </w:hyperlink>
        </w:p>
        <w:p w14:paraId="3A94130F" w14:textId="77777777" w:rsidR="004C5B93" w:rsidRPr="004C5B93" w:rsidRDefault="005F33C4" w:rsidP="004C5B93">
          <w:pPr>
            <w:pStyle w:val="TOC1"/>
            <w:tabs>
              <w:tab w:val="right" w:leader="dot" w:pos="9016"/>
            </w:tabs>
            <w:spacing w:line="360" w:lineRule="auto"/>
            <w:rPr>
              <w:rFonts w:ascii="Arial" w:hAnsi="Arial" w:cs="Arial"/>
              <w:noProof/>
            </w:rPr>
          </w:pPr>
          <w:hyperlink w:anchor="_Toc98707201" w:history="1">
            <w:r w:rsidR="00FF6F80" w:rsidRPr="004C5B93">
              <w:rPr>
                <w:rStyle w:val="Hyperlink"/>
                <w:rFonts w:ascii="Arial" w:hAnsi="Arial" w:cs="Arial"/>
                <w:noProof/>
              </w:rPr>
              <w:t>Concept and drivers of employee engagement</w:t>
            </w:r>
            <w:r w:rsidR="00FF6F80" w:rsidRPr="004C5B93">
              <w:rPr>
                <w:rFonts w:ascii="Arial" w:hAnsi="Arial" w:cs="Arial"/>
                <w:noProof/>
                <w:webHidden/>
              </w:rPr>
              <w:tab/>
              <w:t>3</w:t>
            </w:r>
          </w:hyperlink>
        </w:p>
        <w:p w14:paraId="5DAC0130" w14:textId="77777777" w:rsidR="004C5B93" w:rsidRPr="004C5B93" w:rsidRDefault="005F33C4" w:rsidP="004C5B93">
          <w:pPr>
            <w:pStyle w:val="TOC1"/>
            <w:tabs>
              <w:tab w:val="right" w:leader="dot" w:pos="9016"/>
            </w:tabs>
            <w:spacing w:line="360" w:lineRule="auto"/>
            <w:rPr>
              <w:rFonts w:ascii="Arial" w:hAnsi="Arial" w:cs="Arial"/>
              <w:noProof/>
            </w:rPr>
          </w:pPr>
          <w:hyperlink w:anchor="_Toc98707202" w:history="1">
            <w:r w:rsidR="00FF6F80" w:rsidRPr="004C5B93">
              <w:rPr>
                <w:rStyle w:val="Hyperlink"/>
                <w:rFonts w:ascii="Arial" w:hAnsi="Arial" w:cs="Arial"/>
                <w:noProof/>
              </w:rPr>
              <w:t>Diagnostic tools to measure employee engagement</w:t>
            </w:r>
            <w:r w:rsidR="00FF6F80" w:rsidRPr="004C5B93">
              <w:rPr>
                <w:rFonts w:ascii="Arial" w:hAnsi="Arial" w:cs="Arial"/>
                <w:noProof/>
                <w:webHidden/>
              </w:rPr>
              <w:tab/>
              <w:t>5</w:t>
            </w:r>
          </w:hyperlink>
        </w:p>
        <w:p w14:paraId="2AB66701" w14:textId="77777777" w:rsidR="004C5B93" w:rsidRPr="004C5B93" w:rsidRDefault="005F33C4" w:rsidP="004C5B93">
          <w:pPr>
            <w:pStyle w:val="TOC1"/>
            <w:tabs>
              <w:tab w:val="right" w:leader="dot" w:pos="9016"/>
            </w:tabs>
            <w:spacing w:line="360" w:lineRule="auto"/>
            <w:rPr>
              <w:rFonts w:ascii="Arial" w:hAnsi="Arial" w:cs="Arial"/>
              <w:noProof/>
            </w:rPr>
          </w:pPr>
          <w:hyperlink w:anchor="_Toc98707203" w:history="1">
            <w:r w:rsidR="00FF6F80" w:rsidRPr="004C5B93">
              <w:rPr>
                <w:rStyle w:val="Hyperlink"/>
                <w:rFonts w:ascii="Arial" w:hAnsi="Arial" w:cs="Arial"/>
                <w:noProof/>
              </w:rPr>
              <w:t>Employee value proposition</w:t>
            </w:r>
            <w:r w:rsidR="00FF6F80" w:rsidRPr="004C5B93">
              <w:rPr>
                <w:rFonts w:ascii="Arial" w:hAnsi="Arial" w:cs="Arial"/>
                <w:noProof/>
                <w:webHidden/>
              </w:rPr>
              <w:tab/>
              <w:t>6</w:t>
            </w:r>
          </w:hyperlink>
        </w:p>
        <w:p w14:paraId="329A5FAA" w14:textId="77777777" w:rsidR="004C5B93" w:rsidRPr="004C5B93" w:rsidRDefault="005F33C4" w:rsidP="004C5B93">
          <w:pPr>
            <w:pStyle w:val="TOC1"/>
            <w:tabs>
              <w:tab w:val="right" w:leader="dot" w:pos="9016"/>
            </w:tabs>
            <w:spacing w:line="360" w:lineRule="auto"/>
            <w:rPr>
              <w:rFonts w:ascii="Arial" w:hAnsi="Arial" w:cs="Arial"/>
              <w:noProof/>
            </w:rPr>
          </w:pPr>
          <w:hyperlink w:anchor="_Toc98707204" w:history="1">
            <w:r w:rsidR="00FF6F80" w:rsidRPr="004C5B93">
              <w:rPr>
                <w:rStyle w:val="Hyperlink"/>
                <w:rFonts w:ascii="Arial" w:hAnsi="Arial" w:cs="Arial"/>
                <w:noProof/>
              </w:rPr>
              <w:t>Strategies to raise levels of engagement</w:t>
            </w:r>
            <w:r w:rsidR="00FF6F80" w:rsidRPr="004C5B93">
              <w:rPr>
                <w:rFonts w:ascii="Arial" w:hAnsi="Arial" w:cs="Arial"/>
                <w:noProof/>
                <w:webHidden/>
              </w:rPr>
              <w:tab/>
              <w:t>6</w:t>
            </w:r>
          </w:hyperlink>
        </w:p>
        <w:p w14:paraId="6754CF7A" w14:textId="77777777" w:rsidR="004C5B93" w:rsidRPr="004C5B93" w:rsidRDefault="005F33C4" w:rsidP="004C5B93">
          <w:pPr>
            <w:pStyle w:val="TOC1"/>
            <w:tabs>
              <w:tab w:val="right" w:leader="dot" w:pos="9016"/>
            </w:tabs>
            <w:spacing w:line="360" w:lineRule="auto"/>
            <w:rPr>
              <w:rFonts w:ascii="Arial" w:hAnsi="Arial" w:cs="Arial"/>
              <w:noProof/>
            </w:rPr>
          </w:pPr>
          <w:hyperlink w:anchor="_Toc98707205" w:history="1">
            <w:r w:rsidR="00FF6F80" w:rsidRPr="004C5B93">
              <w:rPr>
                <w:rStyle w:val="Hyperlink"/>
                <w:rFonts w:ascii="Arial" w:hAnsi="Arial" w:cs="Arial"/>
                <w:noProof/>
              </w:rPr>
              <w:t>Conclusion</w:t>
            </w:r>
            <w:r w:rsidR="00FF6F80" w:rsidRPr="004C5B93">
              <w:rPr>
                <w:rFonts w:ascii="Arial" w:hAnsi="Arial" w:cs="Arial"/>
                <w:noProof/>
                <w:webHidden/>
              </w:rPr>
              <w:tab/>
              <w:t>7</w:t>
            </w:r>
          </w:hyperlink>
        </w:p>
        <w:p w14:paraId="3BA8698A" w14:textId="77777777" w:rsidR="004C5B93" w:rsidRDefault="005F33C4" w:rsidP="004C5B93">
          <w:pPr>
            <w:pStyle w:val="TOC1"/>
            <w:tabs>
              <w:tab w:val="right" w:leader="dot" w:pos="9016"/>
            </w:tabs>
            <w:spacing w:line="360" w:lineRule="auto"/>
            <w:rPr>
              <w:noProof/>
            </w:rPr>
          </w:pPr>
          <w:hyperlink w:anchor="_Toc98707206" w:history="1">
            <w:r w:rsidR="00FF6F80" w:rsidRPr="004C5B93">
              <w:rPr>
                <w:rStyle w:val="Hyperlink"/>
                <w:rFonts w:ascii="Arial" w:hAnsi="Arial" w:cs="Arial"/>
                <w:noProof/>
              </w:rPr>
              <w:t>Reference List</w:t>
            </w:r>
            <w:r w:rsidR="00FF6F80" w:rsidRPr="004C5B93">
              <w:rPr>
                <w:rFonts w:ascii="Arial" w:hAnsi="Arial" w:cs="Arial"/>
                <w:noProof/>
                <w:webHidden/>
              </w:rPr>
              <w:tab/>
              <w:t>8</w:t>
            </w:r>
          </w:hyperlink>
        </w:p>
        <w:p w14:paraId="46E5B464" w14:textId="77777777" w:rsidR="004C5B93" w:rsidRDefault="005F33C4"/>
      </w:sdtContent>
    </w:sdt>
    <w:p w14:paraId="75463153" w14:textId="77777777" w:rsidR="002C1B25" w:rsidRDefault="00FF6F80" w:rsidP="000D5F1E">
      <w:pPr>
        <w:jc w:val="center"/>
        <w:rPr>
          <w:rFonts w:ascii="Arial" w:hAnsi="Arial" w:cs="Arial"/>
          <w:b/>
        </w:rPr>
      </w:pPr>
      <w:r>
        <w:rPr>
          <w:rFonts w:ascii="Arial" w:hAnsi="Arial" w:cs="Arial"/>
          <w:b/>
        </w:rPr>
        <w:br w:type="page"/>
      </w:r>
    </w:p>
    <w:p w14:paraId="20DF248E" w14:textId="77777777" w:rsidR="00BD4435" w:rsidRDefault="00FF6F80" w:rsidP="000D5F1E">
      <w:pPr>
        <w:pStyle w:val="Heading1"/>
      </w:pPr>
      <w:bookmarkStart w:id="0" w:name="_Toc98707200"/>
      <w:r w:rsidRPr="00D47748">
        <w:lastRenderedPageBreak/>
        <w:t>Introduction</w:t>
      </w:r>
      <w:bookmarkEnd w:id="0"/>
    </w:p>
    <w:p w14:paraId="2B8A288A" w14:textId="77777777" w:rsidR="00D47748" w:rsidRPr="00D47748" w:rsidRDefault="00FF6F80" w:rsidP="000D5F1E">
      <w:pPr>
        <w:spacing w:line="360" w:lineRule="auto"/>
        <w:jc w:val="both"/>
        <w:rPr>
          <w:rFonts w:ascii="Arial" w:hAnsi="Arial" w:cs="Arial"/>
        </w:rPr>
      </w:pPr>
      <w:r>
        <w:rPr>
          <w:rFonts w:ascii="Arial" w:hAnsi="Arial" w:cs="Arial"/>
        </w:rPr>
        <w:t xml:space="preserve">Employee engagement is a concept akin to human resource management (HRM), which seeks </w:t>
      </w:r>
      <w:r w:rsidR="001E00F4">
        <w:rPr>
          <w:rFonts w:ascii="Arial" w:hAnsi="Arial" w:cs="Arial"/>
        </w:rPr>
        <w:t xml:space="preserve">to describe the degree of commitment and zeal of the employees towards the job/tasks that they are assigned with. This description can take both qualitative and quantitative forms. </w:t>
      </w:r>
      <w:r w:rsidR="0050009D">
        <w:rPr>
          <w:rFonts w:ascii="Arial" w:hAnsi="Arial" w:cs="Arial"/>
        </w:rPr>
        <w:t>Employee engagement as a concept is helpful to understand the relationship of an org</w:t>
      </w:r>
      <w:r w:rsidR="00E34CE5">
        <w:rPr>
          <w:rFonts w:ascii="Arial" w:hAnsi="Arial" w:cs="Arial"/>
        </w:rPr>
        <w:t xml:space="preserve">anisation with its employees. As employee management </w:t>
      </w:r>
      <w:r w:rsidR="00C04E7E">
        <w:rPr>
          <w:rFonts w:ascii="Arial" w:hAnsi="Arial" w:cs="Arial"/>
        </w:rPr>
        <w:t xml:space="preserve">helps in increasing the productivity of an employee, the key-value it offers to the employees is increased efficiency and skills to attend works of higher merit. In this context, </w:t>
      </w:r>
      <w:r w:rsidR="0040107B">
        <w:rPr>
          <w:rFonts w:ascii="Arial" w:hAnsi="Arial" w:cs="Arial"/>
        </w:rPr>
        <w:t xml:space="preserve">after a critical review of the concept and drivers of employee engagement, this report will evaluate the diagnostic tools to measure employee engagement. Moreover, the report will also critically analyse the value propositions of employee engagement while formulating strategies that can help organisations to raise the levels of employee engagement. </w:t>
      </w:r>
    </w:p>
    <w:p w14:paraId="6E41FE83" w14:textId="77777777" w:rsidR="00866551" w:rsidRDefault="00FF6F80" w:rsidP="000D5F1E">
      <w:pPr>
        <w:pStyle w:val="Heading1"/>
      </w:pPr>
      <w:bookmarkStart w:id="1" w:name="_Toc98707201"/>
      <w:r w:rsidRPr="00D47748">
        <w:t>Concept and drivers of employee engagement</w:t>
      </w:r>
      <w:bookmarkEnd w:id="1"/>
    </w:p>
    <w:p w14:paraId="74CDD342" w14:textId="77777777" w:rsidR="00235C1A" w:rsidRDefault="00FF6F80" w:rsidP="000D5F1E">
      <w:pPr>
        <w:spacing w:line="360" w:lineRule="auto"/>
        <w:jc w:val="both"/>
        <w:rPr>
          <w:rFonts w:ascii="Arial" w:hAnsi="Arial" w:cs="Arial"/>
        </w:rPr>
      </w:pPr>
      <w:r>
        <w:rPr>
          <w:rFonts w:ascii="Arial" w:hAnsi="Arial" w:cs="Arial"/>
        </w:rPr>
        <w:t>In the critical tradition associated</w:t>
      </w:r>
      <w:r w:rsidR="002B4DE2">
        <w:rPr>
          <w:rFonts w:ascii="Arial" w:hAnsi="Arial" w:cs="Arial"/>
        </w:rPr>
        <w:t xml:space="preserve"> with HRM, the concept of employee engagement is always treated with an air of cardinality probably due to its direct links with boosting job satisfaction and morale of the employees</w:t>
      </w:r>
      <w:r w:rsidR="006669AD">
        <w:rPr>
          <w:rFonts w:ascii="Arial" w:hAnsi="Arial" w:cs="Arial"/>
        </w:rPr>
        <w:t xml:space="preserve">. This concept came into being in the 1990s through an article by William Kahn that seeks to </w:t>
      </w:r>
      <w:r w:rsidR="00042A1A">
        <w:rPr>
          <w:rFonts w:ascii="Arial" w:hAnsi="Arial" w:cs="Arial"/>
        </w:rPr>
        <w:t xml:space="preserve">deal with the psychological conditions of employees that determine their engagement or disengagement in work. </w:t>
      </w:r>
      <w:r w:rsidR="00DA2332">
        <w:rPr>
          <w:rFonts w:ascii="Arial" w:hAnsi="Arial" w:cs="Arial"/>
        </w:rPr>
        <w:t xml:space="preserve">In other words, according to Kahn (1990), employee engagement is a function of the degree of investing personal selves in the work by employees. </w:t>
      </w:r>
      <w:r w:rsidR="00A04AF2">
        <w:rPr>
          <w:rFonts w:ascii="Arial" w:hAnsi="Arial" w:cs="Arial"/>
        </w:rPr>
        <w:t>These varying degrees of self are categorised by Kahn into three major forms of individual investment: physical, cognitive, and emotional (</w:t>
      </w:r>
      <w:r w:rsidR="003453E9">
        <w:rPr>
          <w:rFonts w:ascii="Arial" w:hAnsi="Arial" w:cs="Arial"/>
        </w:rPr>
        <w:t>Kahn, 1990</w:t>
      </w:r>
      <w:r w:rsidR="00A04AF2">
        <w:rPr>
          <w:rFonts w:ascii="Arial" w:hAnsi="Arial" w:cs="Arial"/>
        </w:rPr>
        <w:t>).</w:t>
      </w:r>
      <w:r w:rsidR="003453E9">
        <w:rPr>
          <w:rFonts w:ascii="Arial" w:hAnsi="Arial" w:cs="Arial"/>
        </w:rPr>
        <w:t xml:space="preserve"> Known as Kahn's three dimensions of employee engagement, </w:t>
      </w:r>
      <w:r w:rsidR="00527E0B">
        <w:rPr>
          <w:rFonts w:ascii="Arial" w:hAnsi="Arial" w:cs="Arial"/>
        </w:rPr>
        <w:t xml:space="preserve">the dimension of physical engagement refers to </w:t>
      </w:r>
      <w:r w:rsidR="0043124C">
        <w:rPr>
          <w:rFonts w:ascii="Arial" w:hAnsi="Arial" w:cs="Arial"/>
        </w:rPr>
        <w:t xml:space="preserve">the proportion of expending physical and mental efforts in the work. In this regard, as noted in </w:t>
      </w:r>
      <w:proofErr w:type="spellStart"/>
      <w:r w:rsidR="00206D00">
        <w:rPr>
          <w:rFonts w:ascii="Arial" w:hAnsi="Arial" w:cs="Arial"/>
        </w:rPr>
        <w:t>Bedarkar</w:t>
      </w:r>
      <w:proofErr w:type="spellEnd"/>
      <w:r w:rsidR="00206D00">
        <w:rPr>
          <w:rFonts w:ascii="Arial" w:hAnsi="Arial" w:cs="Arial"/>
        </w:rPr>
        <w:t xml:space="preserve"> </w:t>
      </w:r>
      <w:r w:rsidR="00206D00" w:rsidRPr="002A0A6A">
        <w:rPr>
          <w:rFonts w:ascii="Arial" w:hAnsi="Arial" w:cs="Arial"/>
        </w:rPr>
        <w:t>and Pandita</w:t>
      </w:r>
      <w:r w:rsidR="00206D00">
        <w:rPr>
          <w:rFonts w:ascii="Arial" w:hAnsi="Arial" w:cs="Arial"/>
        </w:rPr>
        <w:t xml:space="preserve"> </w:t>
      </w:r>
      <w:r w:rsidR="0043124C">
        <w:rPr>
          <w:rFonts w:ascii="Arial" w:hAnsi="Arial" w:cs="Arial"/>
        </w:rPr>
        <w:t>(</w:t>
      </w:r>
      <w:r w:rsidR="00206D00">
        <w:rPr>
          <w:rFonts w:ascii="Arial" w:hAnsi="Arial" w:cs="Arial"/>
        </w:rPr>
        <w:t>2014</w:t>
      </w:r>
      <w:r w:rsidR="0043124C">
        <w:rPr>
          <w:rFonts w:ascii="Arial" w:hAnsi="Arial" w:cs="Arial"/>
        </w:rPr>
        <w:t>), the physical and mental wellbeing of the employees in the workplace is one of the pri</w:t>
      </w:r>
      <w:r w:rsidR="00893CD8">
        <w:rPr>
          <w:rFonts w:ascii="Arial" w:hAnsi="Arial" w:cs="Arial"/>
        </w:rPr>
        <w:t>ncipal concerns of employers, as, nowadays, employees are treated as valuable strategic assets in the organisations.</w:t>
      </w:r>
      <w:r w:rsidR="00206D00">
        <w:rPr>
          <w:rFonts w:ascii="Arial" w:hAnsi="Arial" w:cs="Arial"/>
        </w:rPr>
        <w:t xml:space="preserve"> To give a real-life example, we can take the case of the rise of injuries in the Fremont car assembly plant of Tesla.</w:t>
      </w:r>
      <w:r w:rsidR="00A87C38">
        <w:rPr>
          <w:rFonts w:ascii="Arial" w:hAnsi="Arial" w:cs="Arial"/>
        </w:rPr>
        <w:t xml:space="preserve"> As noted in </w:t>
      </w:r>
      <w:r w:rsidR="000F6FAD">
        <w:rPr>
          <w:rFonts w:ascii="Arial" w:hAnsi="Arial" w:cs="Arial"/>
        </w:rPr>
        <w:t xml:space="preserve">Hull and </w:t>
      </w:r>
      <w:proofErr w:type="spellStart"/>
      <w:r w:rsidR="000F6FAD">
        <w:rPr>
          <w:rFonts w:ascii="Arial" w:hAnsi="Arial" w:cs="Arial"/>
        </w:rPr>
        <w:t>Eidelson</w:t>
      </w:r>
      <w:proofErr w:type="spellEnd"/>
      <w:r w:rsidR="000F6FAD">
        <w:rPr>
          <w:rFonts w:ascii="Arial" w:hAnsi="Arial" w:cs="Arial"/>
        </w:rPr>
        <w:t xml:space="preserve"> </w:t>
      </w:r>
      <w:r w:rsidR="00A87C38">
        <w:rPr>
          <w:rFonts w:ascii="Arial" w:hAnsi="Arial" w:cs="Arial"/>
        </w:rPr>
        <w:t>(</w:t>
      </w:r>
      <w:r w:rsidR="000F6FAD">
        <w:rPr>
          <w:rFonts w:ascii="Arial" w:hAnsi="Arial" w:cs="Arial"/>
        </w:rPr>
        <w:t>2019</w:t>
      </w:r>
      <w:r w:rsidR="00A87C38">
        <w:rPr>
          <w:rFonts w:ascii="Arial" w:hAnsi="Arial" w:cs="Arial"/>
        </w:rPr>
        <w:t xml:space="preserve">), the impact of these injuries on the output is immense </w:t>
      </w:r>
      <w:proofErr w:type="gramStart"/>
      <w:r w:rsidR="00FF2995">
        <w:rPr>
          <w:rFonts w:ascii="Arial" w:hAnsi="Arial" w:cs="Arial"/>
        </w:rPr>
        <w:t>i.e.</w:t>
      </w:r>
      <w:proofErr w:type="gramEnd"/>
      <w:r w:rsidR="00FF2995">
        <w:rPr>
          <w:rFonts w:ascii="Arial" w:hAnsi="Arial" w:cs="Arial"/>
        </w:rPr>
        <w:t xml:space="preserve"> the firm lost 22,454 days in 2018, which is immense as </w:t>
      </w:r>
      <w:r w:rsidR="000F6FAD">
        <w:rPr>
          <w:rFonts w:ascii="Arial" w:hAnsi="Arial" w:cs="Arial"/>
        </w:rPr>
        <w:t xml:space="preserve">compared to 7,619 days in 2017. As it alarmed Elon Musk, the CEO of the company, he relied on communicating the safety expectations with the manufacturing unit. Here, this report must note that clear communication of employee concerns is one of the key drivers of employee engagement since, primarily, it installs </w:t>
      </w:r>
      <w:r w:rsidR="0039726B">
        <w:rPr>
          <w:rFonts w:ascii="Arial" w:hAnsi="Arial" w:cs="Arial"/>
        </w:rPr>
        <w:t xml:space="preserve">confidence regarding their worth </w:t>
      </w:r>
      <w:r w:rsidR="000F6FAD">
        <w:rPr>
          <w:rFonts w:ascii="Arial" w:hAnsi="Arial" w:cs="Arial"/>
        </w:rPr>
        <w:t xml:space="preserve">in the organisation on the employees. </w:t>
      </w:r>
      <w:r w:rsidR="00241B56">
        <w:rPr>
          <w:rFonts w:ascii="Arial" w:hAnsi="Arial" w:cs="Arial"/>
        </w:rPr>
        <w:t xml:space="preserve">Moreover, as </w:t>
      </w:r>
      <w:r w:rsidR="00DC6BD8" w:rsidRPr="001E610C">
        <w:rPr>
          <w:rFonts w:ascii="Arial" w:hAnsi="Arial" w:cs="Arial"/>
        </w:rPr>
        <w:t>Albrecht</w:t>
      </w:r>
      <w:r w:rsidR="00DC6BD8">
        <w:rPr>
          <w:rFonts w:ascii="Arial" w:hAnsi="Arial" w:cs="Arial"/>
        </w:rPr>
        <w:t xml:space="preserve"> </w:t>
      </w:r>
      <w:r w:rsidR="00DC6BD8">
        <w:rPr>
          <w:rFonts w:ascii="Arial" w:hAnsi="Arial" w:cs="Arial"/>
          <w:i/>
        </w:rPr>
        <w:t>et al</w:t>
      </w:r>
      <w:r w:rsidR="00DC6BD8">
        <w:rPr>
          <w:rFonts w:ascii="Arial" w:hAnsi="Arial" w:cs="Arial"/>
        </w:rPr>
        <w:t xml:space="preserve">. </w:t>
      </w:r>
      <w:r w:rsidR="00241B56">
        <w:rPr>
          <w:rFonts w:ascii="Arial" w:hAnsi="Arial" w:cs="Arial"/>
        </w:rPr>
        <w:t>(</w:t>
      </w:r>
      <w:r w:rsidR="00DC6BD8">
        <w:rPr>
          <w:rFonts w:ascii="Arial" w:hAnsi="Arial" w:cs="Arial"/>
        </w:rPr>
        <w:t>2018</w:t>
      </w:r>
      <w:r w:rsidR="00241B56">
        <w:rPr>
          <w:rFonts w:ascii="Arial" w:hAnsi="Arial" w:cs="Arial"/>
        </w:rPr>
        <w:t xml:space="preserve">) noted, communicating day-to-day </w:t>
      </w:r>
      <w:r w:rsidR="00241B56">
        <w:rPr>
          <w:rFonts w:ascii="Arial" w:hAnsi="Arial" w:cs="Arial"/>
        </w:rPr>
        <w:lastRenderedPageBreak/>
        <w:t>activities to the employees directly inform employee engagement since it reduces the possibi</w:t>
      </w:r>
      <w:r w:rsidR="00762682">
        <w:rPr>
          <w:rFonts w:ascii="Arial" w:hAnsi="Arial" w:cs="Arial"/>
        </w:rPr>
        <w:t>lities of conflicting job roles, and, hence, increase job</w:t>
      </w:r>
      <w:r w:rsidR="00DC6BD8">
        <w:rPr>
          <w:rFonts w:ascii="Arial" w:hAnsi="Arial" w:cs="Arial"/>
        </w:rPr>
        <w:t xml:space="preserve"> satisfaction of the employees. By cognitive engagement, Kahn primarily meant the meaning or purpose that the employees draw from their work. </w:t>
      </w:r>
      <w:r w:rsidR="00EF3652">
        <w:rPr>
          <w:rFonts w:ascii="Arial" w:hAnsi="Arial" w:cs="Arial"/>
        </w:rPr>
        <w:t xml:space="preserve">Employers need to ensure greater cognitive engagement of the employees with their work since </w:t>
      </w:r>
      <w:r w:rsidR="00B804A6">
        <w:rPr>
          <w:rFonts w:ascii="Arial" w:hAnsi="Arial" w:cs="Arial"/>
        </w:rPr>
        <w:t xml:space="preserve">it is directly related to the identification of the employees with the vision and strategies of the organisation. Here, seamless flow of knowledge within the workplace is one of the key drivers of cognitive engagement </w:t>
      </w:r>
      <w:r w:rsidR="009F7B8C">
        <w:rPr>
          <w:rFonts w:ascii="Arial" w:hAnsi="Arial" w:cs="Arial"/>
        </w:rPr>
        <w:t>since fosters creativity, innovation, and</w:t>
      </w:r>
      <w:r w:rsidR="009D325D">
        <w:rPr>
          <w:rFonts w:ascii="Arial" w:hAnsi="Arial" w:cs="Arial"/>
        </w:rPr>
        <w:t xml:space="preserve"> confidence in decision-making. For instance, the employee engagement model of Google places paramount importance on knowledge and knowledge sharing in the workplace. </w:t>
      </w:r>
      <w:r w:rsidR="001D2F1E">
        <w:rPr>
          <w:rFonts w:ascii="Arial" w:hAnsi="Arial" w:cs="Arial"/>
        </w:rPr>
        <w:t xml:space="preserve">As illustrated by </w:t>
      </w:r>
      <w:proofErr w:type="spellStart"/>
      <w:r w:rsidR="00FA7C7F">
        <w:rPr>
          <w:rFonts w:ascii="Arial" w:hAnsi="Arial" w:cs="Arial"/>
        </w:rPr>
        <w:t>Steiber</w:t>
      </w:r>
      <w:proofErr w:type="spellEnd"/>
      <w:r w:rsidR="00FA7C7F">
        <w:rPr>
          <w:rFonts w:ascii="Arial" w:hAnsi="Arial" w:cs="Arial"/>
        </w:rPr>
        <w:t xml:space="preserve"> </w:t>
      </w:r>
      <w:r w:rsidR="00FA7C7F" w:rsidRPr="00946ED6">
        <w:rPr>
          <w:rFonts w:ascii="Arial" w:hAnsi="Arial" w:cs="Arial"/>
        </w:rPr>
        <w:t xml:space="preserve">and </w:t>
      </w:r>
      <w:proofErr w:type="spellStart"/>
      <w:r w:rsidR="00FA7C7F" w:rsidRPr="00946ED6">
        <w:rPr>
          <w:rFonts w:ascii="Arial" w:hAnsi="Arial" w:cs="Arial"/>
        </w:rPr>
        <w:t>Alänge</w:t>
      </w:r>
      <w:proofErr w:type="spellEnd"/>
      <w:r w:rsidR="00FA7C7F">
        <w:rPr>
          <w:rFonts w:ascii="Arial" w:hAnsi="Arial" w:cs="Arial"/>
        </w:rPr>
        <w:t xml:space="preserve"> </w:t>
      </w:r>
      <w:r w:rsidR="001D2F1E">
        <w:rPr>
          <w:rFonts w:ascii="Arial" w:hAnsi="Arial" w:cs="Arial"/>
        </w:rPr>
        <w:t>(</w:t>
      </w:r>
      <w:r w:rsidR="00FA7C7F">
        <w:rPr>
          <w:rFonts w:ascii="Arial" w:hAnsi="Arial" w:cs="Arial"/>
        </w:rPr>
        <w:t>2013</w:t>
      </w:r>
      <w:r w:rsidR="001D2F1E">
        <w:rPr>
          <w:rFonts w:ascii="Arial" w:hAnsi="Arial" w:cs="Arial"/>
        </w:rPr>
        <w:t>), apart from the emphasis on cognitive ability and role-related knowledge in the hiring phase</w:t>
      </w:r>
      <w:r w:rsidR="005E79A8">
        <w:rPr>
          <w:rFonts w:ascii="Arial" w:hAnsi="Arial" w:cs="Arial"/>
        </w:rPr>
        <w:t xml:space="preserve">, instead of formal learning, Google uses virtual cross-functional teams for knowledge exchange, which positively contributes to </w:t>
      </w:r>
      <w:r w:rsidR="0039726B">
        <w:rPr>
          <w:rFonts w:ascii="Arial" w:hAnsi="Arial" w:cs="Arial"/>
        </w:rPr>
        <w:t xml:space="preserve">their open innovation strategy. </w:t>
      </w:r>
      <w:r w:rsidR="00C25D09">
        <w:rPr>
          <w:rFonts w:ascii="Arial" w:hAnsi="Arial" w:cs="Arial"/>
        </w:rPr>
        <w:t xml:space="preserve">Emotional engagement in Kahn's model refers to positive interpersonal relations between employers and employees. </w:t>
      </w:r>
      <w:r w:rsidR="002F6707">
        <w:rPr>
          <w:rFonts w:ascii="Arial" w:hAnsi="Arial" w:cs="Arial"/>
        </w:rPr>
        <w:t xml:space="preserve">Emotional engagement </w:t>
      </w:r>
      <w:r w:rsidR="00DE7C2B">
        <w:rPr>
          <w:rFonts w:ascii="Arial" w:hAnsi="Arial" w:cs="Arial"/>
        </w:rPr>
        <w:t xml:space="preserve">is helpful for the employers since, primarily, it advocates the trust of the employees in the organisation, which eventually promotes better alignment with organisational values and mission. </w:t>
      </w:r>
    </w:p>
    <w:p w14:paraId="172E8BEE" w14:textId="77777777" w:rsidR="009D5E9B" w:rsidRPr="009D5E9B" w:rsidRDefault="00FF6F80" w:rsidP="000D5F1E">
      <w:pPr>
        <w:spacing w:line="360" w:lineRule="auto"/>
        <w:jc w:val="both"/>
        <w:rPr>
          <w:rFonts w:ascii="Arial" w:hAnsi="Arial" w:cs="Arial"/>
        </w:rPr>
      </w:pPr>
      <w:r>
        <w:rPr>
          <w:rFonts w:ascii="Arial" w:hAnsi="Arial" w:cs="Arial"/>
        </w:rPr>
        <w:t>The emphasis on purpose or meaning as a driver of employee engagement is present in other employee engagement models. The Zinger model of employee engagement, which is also known as the Pyramid of Employee Engagement Actions for Managers</w:t>
      </w:r>
      <w:r w:rsidR="003C7E74">
        <w:rPr>
          <w:rFonts w:ascii="Arial" w:hAnsi="Arial" w:cs="Arial"/>
        </w:rPr>
        <w:t xml:space="preserve">, puts the point of ‘purposeful work’ in the bottom </w:t>
      </w:r>
      <w:r w:rsidR="00244930">
        <w:rPr>
          <w:rFonts w:ascii="Arial" w:hAnsi="Arial" w:cs="Arial"/>
        </w:rPr>
        <w:t xml:space="preserve">row of the pyramid reserved for the necessities to promote employee engagement. As pointed out by </w:t>
      </w:r>
      <w:r w:rsidR="007C1A6F">
        <w:rPr>
          <w:rFonts w:ascii="Arial" w:hAnsi="Arial" w:cs="Arial"/>
        </w:rPr>
        <w:t xml:space="preserve">Liston </w:t>
      </w:r>
      <w:r w:rsidR="00244930">
        <w:rPr>
          <w:rFonts w:ascii="Arial" w:hAnsi="Arial" w:cs="Arial"/>
        </w:rPr>
        <w:t>(</w:t>
      </w:r>
      <w:r w:rsidR="007C1A6F">
        <w:rPr>
          <w:rFonts w:ascii="Arial" w:hAnsi="Arial" w:cs="Arial"/>
        </w:rPr>
        <w:t>2021</w:t>
      </w:r>
      <w:r w:rsidR="00244930">
        <w:rPr>
          <w:rFonts w:ascii="Arial" w:hAnsi="Arial" w:cs="Arial"/>
        </w:rPr>
        <w:t xml:space="preserve">), </w:t>
      </w:r>
      <w:r w:rsidR="00BA6BEF">
        <w:rPr>
          <w:rFonts w:ascii="Arial" w:hAnsi="Arial" w:cs="Arial"/>
        </w:rPr>
        <w:t xml:space="preserve">the </w:t>
      </w:r>
      <w:r w:rsidR="007C1A6F">
        <w:rPr>
          <w:rFonts w:ascii="Arial" w:hAnsi="Arial" w:cs="Arial"/>
        </w:rPr>
        <w:t>importance of purposeful work is greater than the size of the paycheque and, hence, directly contributes</w:t>
      </w:r>
      <w:r w:rsidR="00BA6BEF">
        <w:rPr>
          <w:rFonts w:ascii="Arial" w:hAnsi="Arial" w:cs="Arial"/>
        </w:rPr>
        <w:t xml:space="preserve"> to the job</w:t>
      </w:r>
      <w:r w:rsidR="007C1A6F">
        <w:rPr>
          <w:rFonts w:ascii="Arial" w:hAnsi="Arial" w:cs="Arial"/>
        </w:rPr>
        <w:t xml:space="preserve"> satisfaction of the employees. </w:t>
      </w:r>
      <w:r w:rsidR="004E1B68">
        <w:rPr>
          <w:rFonts w:ascii="Arial" w:hAnsi="Arial" w:cs="Arial"/>
        </w:rPr>
        <w:t>The Zinger model also perceives employee engagement as a strategy that seeks to improve employee productivity while emphasising physical and mental well</w:t>
      </w:r>
      <w:r w:rsidR="004D7DC5">
        <w:rPr>
          <w:rFonts w:ascii="Arial" w:hAnsi="Arial" w:cs="Arial"/>
        </w:rPr>
        <w:t xml:space="preserve">being as two of the necessities. This model is on par with the dimensions of physical and cognitive engagement </w:t>
      </w:r>
      <w:r w:rsidR="00616E69">
        <w:rPr>
          <w:rFonts w:ascii="Arial" w:hAnsi="Arial" w:cs="Arial"/>
        </w:rPr>
        <w:t xml:space="preserve">in Kahn’s model. </w:t>
      </w:r>
      <w:r w:rsidR="00925F3D">
        <w:rPr>
          <w:rFonts w:ascii="Arial" w:hAnsi="Arial" w:cs="Arial"/>
        </w:rPr>
        <w:t xml:space="preserve">Interestingly, meaningful work is also one of the foundational elements in the Deloitte employee engagement model, which seeks to </w:t>
      </w:r>
      <w:r w:rsidR="001E781C">
        <w:rPr>
          <w:rFonts w:ascii="Arial" w:hAnsi="Arial" w:cs="Arial"/>
        </w:rPr>
        <w:t xml:space="preserve">make the workplace irresistible (Liston, 2021). </w:t>
      </w:r>
      <w:r w:rsidR="004D420A">
        <w:rPr>
          <w:rFonts w:ascii="Arial" w:hAnsi="Arial" w:cs="Arial"/>
        </w:rPr>
        <w:t>Moreover, it is also evident that e</w:t>
      </w:r>
      <w:r w:rsidR="001E781C">
        <w:rPr>
          <w:rFonts w:ascii="Arial" w:hAnsi="Arial" w:cs="Arial"/>
        </w:rPr>
        <w:t xml:space="preserve">mpowering the employees </w:t>
      </w:r>
      <w:r w:rsidR="00874149">
        <w:rPr>
          <w:rFonts w:ascii="Arial" w:hAnsi="Arial" w:cs="Arial"/>
        </w:rPr>
        <w:t xml:space="preserve">while recognising their autonomy </w:t>
      </w:r>
      <w:r w:rsidR="00FF0520">
        <w:rPr>
          <w:rFonts w:ascii="Arial" w:hAnsi="Arial" w:cs="Arial"/>
        </w:rPr>
        <w:t>is</w:t>
      </w:r>
      <w:r w:rsidR="00874149">
        <w:rPr>
          <w:rFonts w:ascii="Arial" w:hAnsi="Arial" w:cs="Arial"/>
        </w:rPr>
        <w:t xml:space="preserve"> two of the major actions </w:t>
      </w:r>
      <w:r w:rsidR="00FF0520">
        <w:rPr>
          <w:rFonts w:ascii="Arial" w:hAnsi="Arial" w:cs="Arial"/>
        </w:rPr>
        <w:t>that must be taken to ensure meaningfulness of work. A trustful relationship with the organisation, which has been highlighted in Kahn’s model under emot</w:t>
      </w:r>
      <w:r w:rsidR="005234DB">
        <w:rPr>
          <w:rFonts w:ascii="Arial" w:hAnsi="Arial" w:cs="Arial"/>
        </w:rPr>
        <w:t xml:space="preserve">ional engagement, constitutes an important segment in the Deloitte model where the major focuses are on mission, transparency, honesty, inspiration, and continuous investment in people. </w:t>
      </w:r>
      <w:r w:rsidR="00FC1B8F">
        <w:rPr>
          <w:rFonts w:ascii="Arial" w:hAnsi="Arial" w:cs="Arial"/>
        </w:rPr>
        <w:t xml:space="preserve">The possible uniqueness of the Deloitte </w:t>
      </w:r>
      <w:r w:rsidR="008A0260">
        <w:rPr>
          <w:rFonts w:ascii="Arial" w:hAnsi="Arial" w:cs="Arial"/>
        </w:rPr>
        <w:t>model lies in their emphasis on a positive work environment to ensure better</w:t>
      </w:r>
      <w:r w:rsidR="008771E2">
        <w:rPr>
          <w:rFonts w:ascii="Arial" w:hAnsi="Arial" w:cs="Arial"/>
        </w:rPr>
        <w:t xml:space="preserve"> engagement from the employees. As noted in </w:t>
      </w:r>
      <w:r w:rsidR="00834A2D">
        <w:rPr>
          <w:rFonts w:ascii="Arial" w:hAnsi="Arial" w:cs="Arial"/>
        </w:rPr>
        <w:t xml:space="preserve">Burnett </w:t>
      </w:r>
      <w:r w:rsidR="00834A2D" w:rsidRPr="00982627">
        <w:rPr>
          <w:rFonts w:ascii="Arial" w:hAnsi="Arial" w:cs="Arial"/>
        </w:rPr>
        <w:t xml:space="preserve">and </w:t>
      </w:r>
      <w:proofErr w:type="spellStart"/>
      <w:r w:rsidR="00834A2D" w:rsidRPr="00982627">
        <w:rPr>
          <w:rFonts w:ascii="Arial" w:hAnsi="Arial" w:cs="Arial"/>
        </w:rPr>
        <w:t>Lisk</w:t>
      </w:r>
      <w:proofErr w:type="spellEnd"/>
      <w:r w:rsidR="00834A2D">
        <w:rPr>
          <w:rFonts w:ascii="Arial" w:hAnsi="Arial" w:cs="Arial"/>
        </w:rPr>
        <w:t xml:space="preserve"> </w:t>
      </w:r>
      <w:r w:rsidR="008771E2">
        <w:rPr>
          <w:rFonts w:ascii="Arial" w:hAnsi="Arial" w:cs="Arial"/>
        </w:rPr>
        <w:t>(</w:t>
      </w:r>
      <w:r w:rsidR="00834A2D">
        <w:rPr>
          <w:rFonts w:ascii="Arial" w:hAnsi="Arial" w:cs="Arial"/>
        </w:rPr>
        <w:t>2019</w:t>
      </w:r>
      <w:r w:rsidR="008771E2">
        <w:rPr>
          <w:rFonts w:ascii="Arial" w:hAnsi="Arial" w:cs="Arial"/>
        </w:rPr>
        <w:t xml:space="preserve">), work environment </w:t>
      </w:r>
      <w:r w:rsidR="008771E2">
        <w:rPr>
          <w:rFonts w:ascii="Arial" w:hAnsi="Arial" w:cs="Arial"/>
        </w:rPr>
        <w:lastRenderedPageBreak/>
        <w:t>and culture are two major determinants of a workplace that can promi</w:t>
      </w:r>
      <w:r w:rsidR="00834A2D">
        <w:rPr>
          <w:rFonts w:ascii="Arial" w:hAnsi="Arial" w:cs="Arial"/>
        </w:rPr>
        <w:t xml:space="preserve">se better employee involvement. According to the suggestions of the Deloitte model, a positive workplace must be characterised by its endorsement of a culture of recognition. Flexible work is </w:t>
      </w:r>
      <w:r w:rsidR="00C779CE">
        <w:rPr>
          <w:rFonts w:ascii="Arial" w:hAnsi="Arial" w:cs="Arial"/>
        </w:rPr>
        <w:t>also an important driver for employee engagement. Moreover, compliance with inclusivity principles</w:t>
      </w:r>
      <w:r w:rsidR="00000464">
        <w:rPr>
          <w:rFonts w:ascii="Arial" w:hAnsi="Arial" w:cs="Arial"/>
        </w:rPr>
        <w:t>, which encourages diversity in the work environment</w:t>
      </w:r>
      <w:r w:rsidR="00E23793">
        <w:rPr>
          <w:rFonts w:ascii="Arial" w:hAnsi="Arial" w:cs="Arial"/>
        </w:rPr>
        <w:t xml:space="preserve">, is also an important condition to keep the employees of a workplace engaged. </w:t>
      </w:r>
    </w:p>
    <w:p w14:paraId="6FBAF429" w14:textId="77777777" w:rsidR="00866551" w:rsidRDefault="00FF6F80" w:rsidP="000D5F1E">
      <w:pPr>
        <w:pStyle w:val="Heading1"/>
      </w:pPr>
      <w:bookmarkStart w:id="2" w:name="_Toc98707202"/>
      <w:r w:rsidRPr="00D47748">
        <w:t>Diagnostic tools to measure employee e</w:t>
      </w:r>
      <w:r w:rsidR="0069491E" w:rsidRPr="00D47748">
        <w:t>ngagement</w:t>
      </w:r>
      <w:bookmarkEnd w:id="2"/>
    </w:p>
    <w:p w14:paraId="7235CCC4" w14:textId="77777777" w:rsidR="005D2C62" w:rsidRPr="005D2C62" w:rsidRDefault="00FF6F80" w:rsidP="000D5F1E">
      <w:pPr>
        <w:spacing w:line="360" w:lineRule="auto"/>
        <w:jc w:val="both"/>
        <w:rPr>
          <w:rFonts w:ascii="Arial" w:hAnsi="Arial" w:cs="Arial"/>
        </w:rPr>
      </w:pPr>
      <w:r>
        <w:rPr>
          <w:rFonts w:ascii="Arial" w:hAnsi="Arial" w:cs="Arial"/>
        </w:rPr>
        <w:t xml:space="preserve">As mentioned earlier, the degree of employee engagement can be measured both qualitatively and quantitatively. </w:t>
      </w:r>
      <w:r w:rsidR="002241A4">
        <w:rPr>
          <w:rFonts w:ascii="Arial" w:hAnsi="Arial" w:cs="Arial"/>
        </w:rPr>
        <w:t>Interviewing the employees is one of the popular modes of measuring employee engagement</w:t>
      </w:r>
      <w:r w:rsidR="009B15F8">
        <w:rPr>
          <w:rFonts w:ascii="Arial" w:hAnsi="Arial" w:cs="Arial"/>
        </w:rPr>
        <w:t xml:space="preserve">. It can be assumed that employees stay or leave an organisation for various reasons and the leaders must attempt to know these to develop </w:t>
      </w:r>
      <w:r w:rsidR="00CA0B50">
        <w:rPr>
          <w:rFonts w:ascii="Arial" w:hAnsi="Arial" w:cs="Arial"/>
        </w:rPr>
        <w:t xml:space="preserve">something better to foster employee engagement. </w:t>
      </w:r>
      <w:r w:rsidR="00EB0985">
        <w:rPr>
          <w:rFonts w:ascii="Arial" w:hAnsi="Arial" w:cs="Arial"/>
        </w:rPr>
        <w:t xml:space="preserve">The exit or stay interviews are diagnostic tools to measure employee engagement where most preferable aspects of the work, interpersonal relationship with other members, and core reasons behind leaving or staying in the work can be noted. </w:t>
      </w:r>
      <w:r w:rsidR="00DE208C">
        <w:rPr>
          <w:rFonts w:ascii="Arial" w:hAnsi="Arial" w:cs="Arial"/>
        </w:rPr>
        <w:t xml:space="preserve">As a qualitative method of measuring employee engagement, the interviews can also take one-on-ones form where the HR or the manager can directly talk </w:t>
      </w:r>
      <w:r w:rsidR="00314E14">
        <w:rPr>
          <w:rFonts w:ascii="Arial" w:hAnsi="Arial" w:cs="Arial"/>
        </w:rPr>
        <w:t>with the employees. I</w:t>
      </w:r>
      <w:r w:rsidR="00E25F8A">
        <w:rPr>
          <w:rFonts w:ascii="Arial" w:hAnsi="Arial" w:cs="Arial"/>
        </w:rPr>
        <w:t>n evaluation, the one-on-ones f</w:t>
      </w:r>
      <w:r w:rsidR="00314E14">
        <w:rPr>
          <w:rFonts w:ascii="Arial" w:hAnsi="Arial" w:cs="Arial"/>
        </w:rPr>
        <w:t>o</w:t>
      </w:r>
      <w:r w:rsidR="00E25F8A">
        <w:rPr>
          <w:rFonts w:ascii="Arial" w:hAnsi="Arial" w:cs="Arial"/>
        </w:rPr>
        <w:t>r</w:t>
      </w:r>
      <w:r w:rsidR="00314E14">
        <w:rPr>
          <w:rFonts w:ascii="Arial" w:hAnsi="Arial" w:cs="Arial"/>
        </w:rPr>
        <w:t>m promises greater effectiveness in terms of mea</w:t>
      </w:r>
      <w:r w:rsidR="00E25F8A">
        <w:rPr>
          <w:rFonts w:ascii="Arial" w:hAnsi="Arial" w:cs="Arial"/>
        </w:rPr>
        <w:t xml:space="preserve">suring employee engagement than the exit or stay interviews since, in the former, the employees were enabled to express their feelings in an uninhibited manner. </w:t>
      </w:r>
      <w:r w:rsidR="000F36E8">
        <w:rPr>
          <w:rFonts w:ascii="Arial" w:hAnsi="Arial" w:cs="Arial"/>
        </w:rPr>
        <w:t xml:space="preserve">However, as compared to the qualitative ways, the number of quantitative ways to measure employee engagement is greater. For instance, employee engagement can be measured effectively through productivity metrics (not limited to </w:t>
      </w:r>
      <w:r w:rsidR="00CE5A88">
        <w:rPr>
          <w:rFonts w:ascii="Arial" w:hAnsi="Arial" w:cs="Arial"/>
        </w:rPr>
        <w:t xml:space="preserve">company outputs) and retention rate. According to a study by </w:t>
      </w:r>
      <w:proofErr w:type="spellStart"/>
      <w:r w:rsidR="00050386" w:rsidRPr="00707F80">
        <w:rPr>
          <w:rFonts w:ascii="Arial" w:hAnsi="Arial" w:cs="Arial"/>
        </w:rPr>
        <w:t>Houssein</w:t>
      </w:r>
      <w:proofErr w:type="spellEnd"/>
      <w:r w:rsidR="00050386">
        <w:rPr>
          <w:rFonts w:ascii="Arial" w:hAnsi="Arial" w:cs="Arial"/>
        </w:rPr>
        <w:t xml:space="preserve"> </w:t>
      </w:r>
      <w:r w:rsidR="00050386">
        <w:rPr>
          <w:rFonts w:ascii="Arial" w:hAnsi="Arial" w:cs="Arial"/>
          <w:i/>
        </w:rPr>
        <w:t>et al</w:t>
      </w:r>
      <w:r w:rsidR="00050386">
        <w:rPr>
          <w:rFonts w:ascii="Arial" w:hAnsi="Arial" w:cs="Arial"/>
        </w:rPr>
        <w:t xml:space="preserve">. </w:t>
      </w:r>
      <w:r w:rsidR="00CE5A88">
        <w:rPr>
          <w:rFonts w:ascii="Arial" w:hAnsi="Arial" w:cs="Arial"/>
        </w:rPr>
        <w:t>(</w:t>
      </w:r>
      <w:r w:rsidR="00050386">
        <w:rPr>
          <w:rFonts w:ascii="Arial" w:hAnsi="Arial" w:cs="Arial"/>
        </w:rPr>
        <w:t>2020</w:t>
      </w:r>
      <w:r w:rsidR="00CE5A88">
        <w:rPr>
          <w:rFonts w:ascii="Arial" w:hAnsi="Arial" w:cs="Arial"/>
        </w:rPr>
        <w:t xml:space="preserve">), apart from other factors like work-life balance and career growth, employee engagement is reflected in the retention rate </w:t>
      </w:r>
      <w:r w:rsidR="005258E0">
        <w:rPr>
          <w:rFonts w:ascii="Arial" w:hAnsi="Arial" w:cs="Arial"/>
        </w:rPr>
        <w:t xml:space="preserve">of the best talents of a workplace. Hence, in evaluation, measurement of retention rate can be an effective measurement metric for employee engagement. </w:t>
      </w:r>
      <w:r w:rsidR="00B519D7">
        <w:rPr>
          <w:rFonts w:ascii="Arial" w:hAnsi="Arial" w:cs="Arial"/>
        </w:rPr>
        <w:t>The organisations can also use reward and recognition programs as a measure of employee eng</w:t>
      </w:r>
      <w:r w:rsidR="0089734B">
        <w:rPr>
          <w:rFonts w:ascii="Arial" w:hAnsi="Arial" w:cs="Arial"/>
        </w:rPr>
        <w:t xml:space="preserve">agement. As rewards will be offered for encouraging the most engaged employees of an organisation, </w:t>
      </w:r>
      <w:r w:rsidR="0012712A">
        <w:rPr>
          <w:rFonts w:ascii="Arial" w:hAnsi="Arial" w:cs="Arial"/>
        </w:rPr>
        <w:t xml:space="preserve">the proportion of the employees enrolled under the reward and recognition schemes against the total number of employees will be </w:t>
      </w:r>
      <w:r w:rsidR="007441DE">
        <w:rPr>
          <w:rFonts w:ascii="Arial" w:hAnsi="Arial" w:cs="Arial"/>
        </w:rPr>
        <w:t xml:space="preserve">an accurate measure of the number of engaged employees in a workplace. </w:t>
      </w:r>
    </w:p>
    <w:p w14:paraId="14FD6F6B" w14:textId="77777777" w:rsidR="0069491E" w:rsidRDefault="00FF6F80" w:rsidP="000D5F1E">
      <w:pPr>
        <w:pStyle w:val="Heading1"/>
      </w:pPr>
      <w:bookmarkStart w:id="3" w:name="_Toc98707203"/>
      <w:r w:rsidRPr="00D47748">
        <w:lastRenderedPageBreak/>
        <w:t xml:space="preserve">Employee value </w:t>
      </w:r>
      <w:r w:rsidR="008652E3" w:rsidRPr="00D47748">
        <w:t>proposition</w:t>
      </w:r>
      <w:bookmarkEnd w:id="3"/>
      <w:r w:rsidR="008652E3" w:rsidRPr="00D47748">
        <w:t xml:space="preserve"> </w:t>
      </w:r>
    </w:p>
    <w:p w14:paraId="59A82B38" w14:textId="77777777" w:rsidR="00E94294" w:rsidRPr="00E94294" w:rsidRDefault="00FF6F80" w:rsidP="000D5F1E">
      <w:pPr>
        <w:spacing w:line="360" w:lineRule="auto"/>
        <w:jc w:val="both"/>
        <w:rPr>
          <w:rFonts w:ascii="Arial" w:hAnsi="Arial" w:cs="Arial"/>
        </w:rPr>
      </w:pPr>
      <w:r>
        <w:rPr>
          <w:rFonts w:ascii="Arial" w:hAnsi="Arial" w:cs="Arial"/>
        </w:rPr>
        <w:t xml:space="preserve">Employee value proposition (EVP) is a </w:t>
      </w:r>
      <w:r w:rsidR="00E24D80">
        <w:rPr>
          <w:rFonts w:ascii="Arial" w:hAnsi="Arial" w:cs="Arial"/>
        </w:rPr>
        <w:t xml:space="preserve">concept for understanding the offerings that the organisations provide their employees in return for their skills and efforts. </w:t>
      </w:r>
      <w:r w:rsidR="00B659B1">
        <w:rPr>
          <w:rFonts w:ascii="Arial" w:hAnsi="Arial" w:cs="Arial"/>
        </w:rPr>
        <w:t xml:space="preserve">It has an essential relationship with employee engagement since </w:t>
      </w:r>
      <w:r w:rsidR="006A3411">
        <w:rPr>
          <w:rFonts w:ascii="Arial" w:hAnsi="Arial" w:cs="Arial"/>
        </w:rPr>
        <w:t xml:space="preserve">EVP mostly encapsulates the financial and non-financial benefits that organisations provide to attract, motivate, and retain employees. </w:t>
      </w:r>
      <w:r w:rsidR="002B31F0">
        <w:rPr>
          <w:rFonts w:ascii="Arial" w:hAnsi="Arial" w:cs="Arial"/>
        </w:rPr>
        <w:t xml:space="preserve">For instance, in the context of the Covid-19 pandemic, the major measures that our organisation has taken include </w:t>
      </w:r>
      <w:r w:rsidR="00E46CF4">
        <w:rPr>
          <w:rFonts w:ascii="Arial" w:hAnsi="Arial" w:cs="Arial"/>
        </w:rPr>
        <w:t xml:space="preserve">the provisions of working from home and flexible working time. These two aspects can be considered as values proposed to the employee to encourage them for better performance. According to </w:t>
      </w:r>
      <w:r w:rsidR="00BE50CE">
        <w:rPr>
          <w:rFonts w:ascii="Arial" w:hAnsi="Arial" w:cs="Arial"/>
        </w:rPr>
        <w:t xml:space="preserve">Sykes </w:t>
      </w:r>
      <w:r w:rsidR="00E46CF4">
        <w:rPr>
          <w:rFonts w:ascii="Arial" w:hAnsi="Arial" w:cs="Arial"/>
        </w:rPr>
        <w:t>(</w:t>
      </w:r>
      <w:r w:rsidR="00BE50CE">
        <w:rPr>
          <w:rFonts w:ascii="Arial" w:hAnsi="Arial" w:cs="Arial"/>
        </w:rPr>
        <w:t>2018</w:t>
      </w:r>
      <w:r w:rsidR="00E46CF4">
        <w:rPr>
          <w:rFonts w:ascii="Arial" w:hAnsi="Arial" w:cs="Arial"/>
        </w:rPr>
        <w:t xml:space="preserve">), flexible working is one of the most underused tools </w:t>
      </w:r>
      <w:r w:rsidR="00BE50CE">
        <w:rPr>
          <w:rFonts w:ascii="Arial" w:hAnsi="Arial" w:cs="Arial"/>
        </w:rPr>
        <w:t xml:space="preserve">to engage and retain employees. Other measures that our organisation has taken include making the workplace Covid-19 safe, which is a value proposition from multiple angles. </w:t>
      </w:r>
      <w:r w:rsidR="00061966">
        <w:rPr>
          <w:rFonts w:ascii="Arial" w:hAnsi="Arial" w:cs="Arial"/>
        </w:rPr>
        <w:t xml:space="preserve">If we look at the EVP of Nike, which is considered as one of the greatest examples of EVP in 2021, it will be evident </w:t>
      </w:r>
      <w:r w:rsidR="00621151">
        <w:rPr>
          <w:rFonts w:ascii="Arial" w:hAnsi="Arial" w:cs="Arial"/>
        </w:rPr>
        <w:t xml:space="preserve">‘competitive health’ is one of the core concerns of that. It is not only related to the physical engagement of the employees but also helpful in terms of building a trustful relationship with the leadership of the organisation. </w:t>
      </w:r>
      <w:r w:rsidR="001F7296">
        <w:rPr>
          <w:rFonts w:ascii="Arial" w:hAnsi="Arial" w:cs="Arial"/>
        </w:rPr>
        <w:t xml:space="preserve">At the outset of the pandemic, our organisation thought of new job designs where roles will be restructured. To </w:t>
      </w:r>
      <w:r w:rsidR="00B3339A">
        <w:rPr>
          <w:rFonts w:ascii="Arial" w:hAnsi="Arial" w:cs="Arial"/>
        </w:rPr>
        <w:t xml:space="preserve">make this strategy successful, the organisation </w:t>
      </w:r>
      <w:proofErr w:type="gramStart"/>
      <w:r w:rsidR="00B3339A">
        <w:rPr>
          <w:rFonts w:ascii="Arial" w:hAnsi="Arial" w:cs="Arial"/>
        </w:rPr>
        <w:t>has to</w:t>
      </w:r>
      <w:proofErr w:type="gramEnd"/>
      <w:r w:rsidR="00B3339A">
        <w:rPr>
          <w:rFonts w:ascii="Arial" w:hAnsi="Arial" w:cs="Arial"/>
        </w:rPr>
        <w:t xml:space="preserve"> rely on one of the principal engagement drivers: communication. </w:t>
      </w:r>
      <w:r w:rsidR="00312ADD">
        <w:rPr>
          <w:rFonts w:ascii="Arial" w:hAnsi="Arial" w:cs="Arial"/>
        </w:rPr>
        <w:t>Given the employee engagement models covered previously, it has been seen that employers play a key role in the development of skills, which</w:t>
      </w:r>
      <w:r w:rsidR="009D3A87">
        <w:rPr>
          <w:rFonts w:ascii="Arial" w:hAnsi="Arial" w:cs="Arial"/>
        </w:rPr>
        <w:t xml:space="preserve"> are </w:t>
      </w:r>
      <w:r w:rsidR="00E6744A">
        <w:rPr>
          <w:rFonts w:ascii="Arial" w:hAnsi="Arial" w:cs="Arial"/>
        </w:rPr>
        <w:t>helpful for the career growth of the employees in future.</w:t>
      </w:r>
      <w:r w:rsidR="00392278">
        <w:rPr>
          <w:rFonts w:ascii="Arial" w:hAnsi="Arial" w:cs="Arial"/>
        </w:rPr>
        <w:t xml:space="preserve"> </w:t>
      </w:r>
      <w:r w:rsidR="00273687">
        <w:rPr>
          <w:rFonts w:ascii="Arial" w:hAnsi="Arial" w:cs="Arial"/>
        </w:rPr>
        <w:t xml:space="preserve">Hence, it can be considered as a major value offered to employees. As far as the organisational objectives are concerned, this will make the process of reshuffling roles easy. </w:t>
      </w:r>
      <w:r w:rsidR="00E6744A">
        <w:rPr>
          <w:rFonts w:ascii="Arial" w:hAnsi="Arial" w:cs="Arial"/>
        </w:rPr>
        <w:t xml:space="preserve"> </w:t>
      </w:r>
    </w:p>
    <w:p w14:paraId="238EEAE6" w14:textId="77777777" w:rsidR="008652E3" w:rsidRDefault="00FF6F80" w:rsidP="000D5F1E">
      <w:pPr>
        <w:pStyle w:val="Heading1"/>
      </w:pPr>
      <w:bookmarkStart w:id="4" w:name="_Toc98707204"/>
      <w:r w:rsidRPr="00D47748">
        <w:t>Strategies to raise levels of engagement</w:t>
      </w:r>
      <w:bookmarkEnd w:id="4"/>
    </w:p>
    <w:p w14:paraId="3CD62E14" w14:textId="77777777" w:rsidR="001423DC" w:rsidRDefault="00FF6F80" w:rsidP="000D5F1E">
      <w:pPr>
        <w:spacing w:line="360" w:lineRule="auto"/>
        <w:jc w:val="both"/>
        <w:rPr>
          <w:rFonts w:ascii="Arial" w:hAnsi="Arial" w:cs="Arial"/>
        </w:rPr>
      </w:pPr>
      <w:r>
        <w:rPr>
          <w:rFonts w:ascii="Arial" w:hAnsi="Arial" w:cs="Arial"/>
        </w:rPr>
        <w:t xml:space="preserve">In the analysis of the concepts and drivers of employee engagement, though the conventional strategies of promoting employee engagement are known, </w:t>
      </w:r>
      <w:r w:rsidR="00C9425C">
        <w:rPr>
          <w:rFonts w:ascii="Arial" w:hAnsi="Arial" w:cs="Arial"/>
        </w:rPr>
        <w:t xml:space="preserve">their applicability after the Covid-19 pandemic must be revised. In their book, </w:t>
      </w:r>
      <w:proofErr w:type="spellStart"/>
      <w:r w:rsidR="00A94D0F">
        <w:rPr>
          <w:rFonts w:ascii="Arial" w:hAnsi="Arial" w:cs="Arial"/>
        </w:rPr>
        <w:t>Graban</w:t>
      </w:r>
      <w:proofErr w:type="spellEnd"/>
      <w:r w:rsidR="00A94D0F">
        <w:rPr>
          <w:rFonts w:ascii="Arial" w:hAnsi="Arial" w:cs="Arial"/>
        </w:rPr>
        <w:t xml:space="preserve"> </w:t>
      </w:r>
      <w:r w:rsidR="00A94D0F" w:rsidRPr="008A010E">
        <w:rPr>
          <w:rFonts w:ascii="Arial" w:hAnsi="Arial" w:cs="Arial"/>
        </w:rPr>
        <w:t>and Toussaint</w:t>
      </w:r>
      <w:r w:rsidR="00A94D0F">
        <w:rPr>
          <w:rFonts w:ascii="Arial" w:hAnsi="Arial" w:cs="Arial"/>
        </w:rPr>
        <w:t xml:space="preserve"> </w:t>
      </w:r>
      <w:r w:rsidR="00C9425C">
        <w:rPr>
          <w:rFonts w:ascii="Arial" w:hAnsi="Arial" w:cs="Arial"/>
        </w:rPr>
        <w:t>(</w:t>
      </w:r>
      <w:r w:rsidR="00A94D0F">
        <w:rPr>
          <w:rFonts w:ascii="Arial" w:hAnsi="Arial" w:cs="Arial"/>
        </w:rPr>
        <w:t>2018) show</w:t>
      </w:r>
      <w:r w:rsidR="00C9425C">
        <w:rPr>
          <w:rFonts w:ascii="Arial" w:hAnsi="Arial" w:cs="Arial"/>
        </w:rPr>
        <w:t xml:space="preserve"> the increasing psychological distress of the workers employed in the healthcare sector due to incr</w:t>
      </w:r>
      <w:r w:rsidR="00A94D0F">
        <w:rPr>
          <w:rFonts w:ascii="Arial" w:hAnsi="Arial" w:cs="Arial"/>
        </w:rPr>
        <w:t xml:space="preserve">eased workload. Here, </w:t>
      </w:r>
      <w:r w:rsidR="00A94D0F">
        <w:rPr>
          <w:rFonts w:ascii="Arial" w:hAnsi="Arial" w:cs="Arial"/>
          <w:i/>
        </w:rPr>
        <w:t xml:space="preserve">increasing the purpose and meaning of work </w:t>
      </w:r>
      <w:r w:rsidR="00A94D0F">
        <w:rPr>
          <w:rFonts w:ascii="Arial" w:hAnsi="Arial" w:cs="Arial"/>
        </w:rPr>
        <w:t>is one of the objectives that organisations must pursue to ensure employ</w:t>
      </w:r>
      <w:r w:rsidR="00D006E4">
        <w:rPr>
          <w:rFonts w:ascii="Arial" w:hAnsi="Arial" w:cs="Arial"/>
        </w:rPr>
        <w:t xml:space="preserve">ee engagement in the workplace. The first strategy to realise this is based on </w:t>
      </w:r>
      <w:r w:rsidR="00D006E4" w:rsidRPr="00904AEA">
        <w:rPr>
          <w:rFonts w:ascii="Arial" w:hAnsi="Arial" w:cs="Arial"/>
          <w:i/>
        </w:rPr>
        <w:t>increased communication</w:t>
      </w:r>
      <w:r w:rsidR="00D006E4">
        <w:rPr>
          <w:rFonts w:ascii="Arial" w:hAnsi="Arial" w:cs="Arial"/>
        </w:rPr>
        <w:t xml:space="preserve"> where the managers must regularly discuss the goals and performance expectations with the employees to height</w:t>
      </w:r>
      <w:r w:rsidR="00CC3D56">
        <w:rPr>
          <w:rFonts w:ascii="Arial" w:hAnsi="Arial" w:cs="Arial"/>
        </w:rPr>
        <w:t xml:space="preserve">en the sense of purposefulness. Moreover, </w:t>
      </w:r>
      <w:proofErr w:type="gramStart"/>
      <w:r w:rsidR="00CC3D56">
        <w:rPr>
          <w:rFonts w:ascii="Arial" w:hAnsi="Arial" w:cs="Arial"/>
        </w:rPr>
        <w:t>similar to</w:t>
      </w:r>
      <w:proofErr w:type="gramEnd"/>
      <w:r w:rsidR="00CC3D56">
        <w:rPr>
          <w:rFonts w:ascii="Arial" w:hAnsi="Arial" w:cs="Arial"/>
        </w:rPr>
        <w:t xml:space="preserve"> our organisation, the employers must intensify their </w:t>
      </w:r>
      <w:r w:rsidR="00CC3D56" w:rsidRPr="00904AEA">
        <w:rPr>
          <w:rFonts w:ascii="Arial" w:hAnsi="Arial" w:cs="Arial"/>
          <w:i/>
        </w:rPr>
        <w:t>focus on employee health and safety</w:t>
      </w:r>
      <w:r w:rsidR="00CC3D56">
        <w:rPr>
          <w:rFonts w:ascii="Arial" w:hAnsi="Arial" w:cs="Arial"/>
        </w:rPr>
        <w:t xml:space="preserve"> that facilitate the efforts of the employees without safety concerns. </w:t>
      </w:r>
      <w:r w:rsidR="00A94D0F">
        <w:rPr>
          <w:rFonts w:ascii="Arial" w:hAnsi="Arial" w:cs="Arial"/>
        </w:rPr>
        <w:t xml:space="preserve"> </w:t>
      </w:r>
    </w:p>
    <w:p w14:paraId="7FB29BC4" w14:textId="77777777" w:rsidR="00904AEA" w:rsidRPr="008C02CD" w:rsidRDefault="00FF6F80" w:rsidP="000D5F1E">
      <w:pPr>
        <w:spacing w:line="360" w:lineRule="auto"/>
        <w:jc w:val="both"/>
        <w:rPr>
          <w:rFonts w:ascii="Arial" w:hAnsi="Arial" w:cs="Arial"/>
        </w:rPr>
      </w:pPr>
      <w:r>
        <w:rPr>
          <w:rFonts w:ascii="Arial" w:hAnsi="Arial" w:cs="Arial"/>
        </w:rPr>
        <w:lastRenderedPageBreak/>
        <w:t xml:space="preserve">Apart from regular communication and </w:t>
      </w:r>
      <w:r w:rsidR="008C02CD">
        <w:rPr>
          <w:rFonts w:ascii="Arial" w:hAnsi="Arial" w:cs="Arial"/>
        </w:rPr>
        <w:t xml:space="preserve">investment in wellbeing, the employers must </w:t>
      </w:r>
      <w:r w:rsidR="008C02CD">
        <w:rPr>
          <w:rFonts w:ascii="Arial" w:hAnsi="Arial" w:cs="Arial"/>
          <w:i/>
        </w:rPr>
        <w:t>invite feedback</w:t>
      </w:r>
      <w:r w:rsidR="008C02CD">
        <w:rPr>
          <w:rFonts w:ascii="Arial" w:hAnsi="Arial" w:cs="Arial"/>
        </w:rPr>
        <w:t xml:space="preserve"> from the employees, which will directly cater for the sense of belongingness of the latter. Psychological stressors are not exclusive to critical infrastructures like healthcare but present in</w:t>
      </w:r>
      <w:r w:rsidR="0079471B">
        <w:rPr>
          <w:rFonts w:ascii="Arial" w:hAnsi="Arial" w:cs="Arial"/>
        </w:rPr>
        <w:t xml:space="preserve"> almost every workplace that is</w:t>
      </w:r>
      <w:r w:rsidR="008C02CD">
        <w:rPr>
          <w:rFonts w:ascii="Arial" w:hAnsi="Arial" w:cs="Arial"/>
        </w:rPr>
        <w:t xml:space="preserve"> transformed in</w:t>
      </w:r>
      <w:r w:rsidR="0079471B">
        <w:rPr>
          <w:rFonts w:ascii="Arial" w:hAnsi="Arial" w:cs="Arial"/>
        </w:rPr>
        <w:t>to</w:t>
      </w:r>
      <w:r w:rsidR="008C02CD">
        <w:rPr>
          <w:rFonts w:ascii="Arial" w:hAnsi="Arial" w:cs="Arial"/>
        </w:rPr>
        <w:t xml:space="preserve"> virtual as a response to the pandemic. </w:t>
      </w:r>
      <w:r w:rsidR="0079471B">
        <w:rPr>
          <w:rFonts w:ascii="Arial" w:hAnsi="Arial" w:cs="Arial"/>
        </w:rPr>
        <w:t>In this regard, the organisations can invite feedback on the virtual management tools to offer a greater sense of job sat</w:t>
      </w:r>
      <w:r w:rsidR="006637B3">
        <w:rPr>
          <w:rFonts w:ascii="Arial" w:hAnsi="Arial" w:cs="Arial"/>
        </w:rPr>
        <w:t xml:space="preserve">isfaction to the employees. Increasing employee autonomy by empowering them is always a successful tool to develop engaged employees. </w:t>
      </w:r>
      <w:proofErr w:type="gramStart"/>
      <w:r w:rsidR="002573E0">
        <w:rPr>
          <w:rFonts w:ascii="Arial" w:hAnsi="Arial" w:cs="Arial"/>
        </w:rPr>
        <w:t>In the course of</w:t>
      </w:r>
      <w:proofErr w:type="gramEnd"/>
      <w:r w:rsidR="002573E0">
        <w:rPr>
          <w:rFonts w:ascii="Arial" w:hAnsi="Arial" w:cs="Arial"/>
        </w:rPr>
        <w:t xml:space="preserve"> reshuffling job roles, the recognised talents can be shifted to a position where they can take independent decisions beyond the supervision of the board. This will not only hone their decision-making skills but also enable th</w:t>
      </w:r>
      <w:r w:rsidR="00E409FF">
        <w:rPr>
          <w:rFonts w:ascii="Arial" w:hAnsi="Arial" w:cs="Arial"/>
        </w:rPr>
        <w:t xml:space="preserve">em to offer their best efforts out of commitment and a sense of belongingness. The emotional engagement of the employees can be heightened by constantly recognising their efforts and offering compensation for them. </w:t>
      </w:r>
    </w:p>
    <w:p w14:paraId="020E9AA1" w14:textId="77777777" w:rsidR="00F55290" w:rsidRDefault="00FF6F80" w:rsidP="000D5F1E">
      <w:pPr>
        <w:pStyle w:val="Heading1"/>
      </w:pPr>
      <w:bookmarkStart w:id="5" w:name="_Toc98707205"/>
      <w:r w:rsidRPr="00D47748">
        <w:t>Conclusion</w:t>
      </w:r>
      <w:bookmarkEnd w:id="5"/>
      <w:r w:rsidRPr="00D47748">
        <w:t xml:space="preserve"> </w:t>
      </w:r>
    </w:p>
    <w:p w14:paraId="054EBFAD" w14:textId="77777777" w:rsidR="002C1B25" w:rsidRDefault="00FF6F80" w:rsidP="000D5F1E">
      <w:pPr>
        <w:spacing w:line="360" w:lineRule="auto"/>
        <w:jc w:val="both"/>
        <w:rPr>
          <w:rFonts w:ascii="Arial" w:hAnsi="Arial" w:cs="Arial"/>
        </w:rPr>
      </w:pPr>
      <w:proofErr w:type="gramStart"/>
      <w:r>
        <w:rPr>
          <w:rFonts w:ascii="Arial" w:hAnsi="Arial" w:cs="Arial"/>
        </w:rPr>
        <w:t>In the course of</w:t>
      </w:r>
      <w:proofErr w:type="gramEnd"/>
      <w:r>
        <w:rPr>
          <w:rFonts w:ascii="Arial" w:hAnsi="Arial" w:cs="Arial"/>
        </w:rPr>
        <w:t xml:space="preserve"> analysing the concept and drivers of employee engagement, this report notes that the majority of the models exhibit a certain degree of affinity with Kahn’s formulation of employee engagement. </w:t>
      </w:r>
      <w:r w:rsidR="000111F1">
        <w:rPr>
          <w:rFonts w:ascii="Arial" w:hAnsi="Arial" w:cs="Arial"/>
        </w:rPr>
        <w:t xml:space="preserve">After evaluating tools to measure employee engagement, this report shows that measuring productivity metrics and enrolment in recognition programs will be ideal for performing that. </w:t>
      </w:r>
      <w:r w:rsidR="00A25284">
        <w:rPr>
          <w:rFonts w:ascii="Arial" w:hAnsi="Arial" w:cs="Arial"/>
        </w:rPr>
        <w:t xml:space="preserve">Flexible working, health benefits, and critical skills are some of the values that value proposition efforts offer to the employee. This report advocated </w:t>
      </w:r>
      <w:r w:rsidR="00CA67BC">
        <w:rPr>
          <w:rFonts w:ascii="Arial" w:hAnsi="Arial" w:cs="Arial"/>
        </w:rPr>
        <w:t xml:space="preserve">regular communication, investment in employee wellbeing, and inviting employees' feedback as the strategies to raise levels of employee engagement. </w:t>
      </w:r>
    </w:p>
    <w:p w14:paraId="391BF145" w14:textId="77777777" w:rsidR="002C1B25" w:rsidRDefault="00FF6F80" w:rsidP="000D5F1E">
      <w:pPr>
        <w:jc w:val="both"/>
        <w:rPr>
          <w:rFonts w:ascii="Arial" w:hAnsi="Arial" w:cs="Arial"/>
        </w:rPr>
      </w:pPr>
      <w:r>
        <w:rPr>
          <w:rFonts w:ascii="Arial" w:hAnsi="Arial" w:cs="Arial"/>
        </w:rPr>
        <w:br w:type="page"/>
      </w:r>
    </w:p>
    <w:p w14:paraId="0003AEFD" w14:textId="77777777" w:rsidR="000D5F1E" w:rsidRPr="000D5F1E" w:rsidRDefault="00FF6F80" w:rsidP="000D5F1E">
      <w:pPr>
        <w:pStyle w:val="Heading1"/>
      </w:pPr>
      <w:bookmarkStart w:id="6" w:name="_Toc98707206"/>
      <w:r w:rsidRPr="00DE65EE">
        <w:lastRenderedPageBreak/>
        <w:t>Reference List</w:t>
      </w:r>
      <w:bookmarkEnd w:id="6"/>
    </w:p>
    <w:p w14:paraId="285CDCAE" w14:textId="77777777" w:rsidR="000D5F1E" w:rsidRDefault="00FF6F80" w:rsidP="000D5F1E">
      <w:pPr>
        <w:spacing w:line="360" w:lineRule="auto"/>
        <w:jc w:val="both"/>
        <w:rPr>
          <w:rFonts w:ascii="Arial" w:hAnsi="Arial" w:cs="Arial"/>
        </w:rPr>
      </w:pPr>
      <w:r w:rsidRPr="001E610C">
        <w:rPr>
          <w:rFonts w:ascii="Arial" w:hAnsi="Arial" w:cs="Arial"/>
        </w:rPr>
        <w:t xml:space="preserve">Albrecht, S., </w:t>
      </w:r>
      <w:proofErr w:type="spellStart"/>
      <w:r w:rsidRPr="001E610C">
        <w:rPr>
          <w:rFonts w:ascii="Arial" w:hAnsi="Arial" w:cs="Arial"/>
        </w:rPr>
        <w:t>Breidahl</w:t>
      </w:r>
      <w:proofErr w:type="spellEnd"/>
      <w:r w:rsidRPr="001E610C">
        <w:rPr>
          <w:rFonts w:ascii="Arial" w:hAnsi="Arial" w:cs="Arial"/>
        </w:rPr>
        <w:t>, E. and Marty, A., 2018. Organizational resources, organizational engagement climate, and employee engagement. </w:t>
      </w:r>
      <w:r w:rsidRPr="001E610C">
        <w:rPr>
          <w:rFonts w:ascii="Arial" w:hAnsi="Arial" w:cs="Arial"/>
          <w:i/>
          <w:iCs/>
        </w:rPr>
        <w:t>Career Development International</w:t>
      </w:r>
      <w:r>
        <w:rPr>
          <w:rFonts w:ascii="Arial" w:hAnsi="Arial" w:cs="Arial"/>
        </w:rPr>
        <w:t xml:space="preserve">, pp.1-20. </w:t>
      </w:r>
      <w:hyperlink r:id="rId7" w:history="1">
        <w:r w:rsidRPr="001B2A71">
          <w:rPr>
            <w:rStyle w:val="Hyperlink"/>
            <w:rFonts w:ascii="Arial" w:hAnsi="Arial" w:cs="Arial"/>
          </w:rPr>
          <w:t>https://fardapaper.ir/mohavaha/uploads/2018/03/Fardapaper-Organizational-resources-organizational-engagement-climate-and-employee-engagement.pdf</w:t>
        </w:r>
      </w:hyperlink>
    </w:p>
    <w:p w14:paraId="0D8ABE9B" w14:textId="77777777" w:rsidR="000D5F1E" w:rsidRDefault="00FF6F80" w:rsidP="000D5F1E">
      <w:pPr>
        <w:spacing w:line="360" w:lineRule="auto"/>
        <w:jc w:val="both"/>
        <w:rPr>
          <w:rFonts w:ascii="Arial" w:hAnsi="Arial" w:cs="Arial"/>
        </w:rPr>
      </w:pPr>
      <w:proofErr w:type="spellStart"/>
      <w:r w:rsidRPr="002A0A6A">
        <w:rPr>
          <w:rFonts w:ascii="Arial" w:hAnsi="Arial" w:cs="Arial"/>
        </w:rPr>
        <w:t>Bedarkar</w:t>
      </w:r>
      <w:proofErr w:type="spellEnd"/>
      <w:r w:rsidRPr="002A0A6A">
        <w:rPr>
          <w:rFonts w:ascii="Arial" w:hAnsi="Arial" w:cs="Arial"/>
        </w:rPr>
        <w:t>, M. and Pandita, D., 2014. A study on the drivers of employee engagement impacting employee performance. </w:t>
      </w:r>
      <w:r w:rsidRPr="002A0A6A">
        <w:rPr>
          <w:rFonts w:ascii="Arial" w:hAnsi="Arial" w:cs="Arial"/>
          <w:i/>
          <w:iCs/>
        </w:rPr>
        <w:t xml:space="preserve">Procedia-Social and </w:t>
      </w:r>
      <w:proofErr w:type="spellStart"/>
      <w:r w:rsidRPr="002A0A6A">
        <w:rPr>
          <w:rFonts w:ascii="Arial" w:hAnsi="Arial" w:cs="Arial"/>
          <w:i/>
          <w:iCs/>
        </w:rPr>
        <w:t>Behavioral</w:t>
      </w:r>
      <w:proofErr w:type="spellEnd"/>
      <w:r w:rsidRPr="002A0A6A">
        <w:rPr>
          <w:rFonts w:ascii="Arial" w:hAnsi="Arial" w:cs="Arial"/>
          <w:i/>
          <w:iCs/>
        </w:rPr>
        <w:t xml:space="preserve"> Sciences</w:t>
      </w:r>
      <w:r w:rsidRPr="002A0A6A">
        <w:rPr>
          <w:rFonts w:ascii="Arial" w:hAnsi="Arial" w:cs="Arial"/>
        </w:rPr>
        <w:t>, </w:t>
      </w:r>
      <w:r w:rsidRPr="002A0A6A">
        <w:rPr>
          <w:rFonts w:ascii="Arial" w:hAnsi="Arial" w:cs="Arial"/>
          <w:i/>
          <w:iCs/>
        </w:rPr>
        <w:t>133</w:t>
      </w:r>
      <w:r w:rsidRPr="002A0A6A">
        <w:rPr>
          <w:rFonts w:ascii="Arial" w:hAnsi="Arial" w:cs="Arial"/>
        </w:rPr>
        <w:t>, pp.106-115.</w:t>
      </w:r>
      <w:r>
        <w:rPr>
          <w:rFonts w:ascii="Arial" w:hAnsi="Arial" w:cs="Arial"/>
        </w:rPr>
        <w:t xml:space="preserve"> </w:t>
      </w:r>
      <w:hyperlink r:id="rId8" w:history="1">
        <w:r w:rsidRPr="001B2A71">
          <w:rPr>
            <w:rStyle w:val="Hyperlink"/>
            <w:rFonts w:ascii="Arial" w:hAnsi="Arial" w:cs="Arial"/>
          </w:rPr>
          <w:t>https://www.sciencedirect.com/science/article/pii/S1877042814030845/pdf?md5=d6967f881ac13d232511ed6f56192ac1&amp;pid=1-s2.0-S1877042814030845-main.pdf&amp;_valck=1</w:t>
        </w:r>
      </w:hyperlink>
    </w:p>
    <w:p w14:paraId="1EBEF4E0" w14:textId="77777777" w:rsidR="000D5F1E" w:rsidRDefault="00FF6F80" w:rsidP="000D5F1E">
      <w:pPr>
        <w:spacing w:line="360" w:lineRule="auto"/>
        <w:jc w:val="both"/>
        <w:rPr>
          <w:rFonts w:ascii="Arial" w:hAnsi="Arial" w:cs="Arial"/>
        </w:rPr>
      </w:pPr>
      <w:r w:rsidRPr="00982627">
        <w:rPr>
          <w:rFonts w:ascii="Arial" w:hAnsi="Arial" w:cs="Arial"/>
        </w:rPr>
        <w:t xml:space="preserve">Burnett, J.R. and </w:t>
      </w:r>
      <w:proofErr w:type="spellStart"/>
      <w:r w:rsidRPr="00982627">
        <w:rPr>
          <w:rFonts w:ascii="Arial" w:hAnsi="Arial" w:cs="Arial"/>
        </w:rPr>
        <w:t>Lisk</w:t>
      </w:r>
      <w:proofErr w:type="spellEnd"/>
      <w:r w:rsidRPr="00982627">
        <w:rPr>
          <w:rFonts w:ascii="Arial" w:hAnsi="Arial" w:cs="Arial"/>
        </w:rPr>
        <w:t>, T.C., 2019. The future of employee engagement: Real-time monitoring and digital tools for engaging a workforce. </w:t>
      </w:r>
      <w:r w:rsidRPr="00982627">
        <w:rPr>
          <w:rFonts w:ascii="Arial" w:hAnsi="Arial" w:cs="Arial"/>
          <w:i/>
          <w:iCs/>
        </w:rPr>
        <w:t>International Studies of Management &amp; Organization</w:t>
      </w:r>
      <w:r w:rsidRPr="00982627">
        <w:rPr>
          <w:rFonts w:ascii="Arial" w:hAnsi="Arial" w:cs="Arial"/>
        </w:rPr>
        <w:t>, </w:t>
      </w:r>
      <w:r w:rsidRPr="00982627">
        <w:rPr>
          <w:rFonts w:ascii="Arial" w:hAnsi="Arial" w:cs="Arial"/>
          <w:i/>
          <w:iCs/>
        </w:rPr>
        <w:t>49</w:t>
      </w:r>
      <w:r w:rsidRPr="00982627">
        <w:rPr>
          <w:rFonts w:ascii="Arial" w:hAnsi="Arial" w:cs="Arial"/>
        </w:rPr>
        <w:t>(1), pp.108-119.</w:t>
      </w:r>
      <w:r>
        <w:rPr>
          <w:rFonts w:ascii="Arial" w:hAnsi="Arial" w:cs="Arial"/>
        </w:rPr>
        <w:t xml:space="preserve"> </w:t>
      </w:r>
      <w:hyperlink r:id="rId9" w:history="1">
        <w:r w:rsidRPr="001B2A71">
          <w:rPr>
            <w:rStyle w:val="Hyperlink"/>
            <w:rFonts w:ascii="Arial" w:hAnsi="Arial" w:cs="Arial"/>
          </w:rPr>
          <w:t>https://www.tandfonline.com/doi/abs/10.1080/00208825.2019.1565097</w:t>
        </w:r>
      </w:hyperlink>
    </w:p>
    <w:p w14:paraId="1EC4E5D2" w14:textId="77777777" w:rsidR="000D5F1E" w:rsidRDefault="00FF6F80" w:rsidP="000D5F1E">
      <w:pPr>
        <w:spacing w:line="360" w:lineRule="auto"/>
        <w:jc w:val="both"/>
        <w:rPr>
          <w:rFonts w:ascii="Arial" w:hAnsi="Arial" w:cs="Arial"/>
        </w:rPr>
      </w:pPr>
      <w:proofErr w:type="spellStart"/>
      <w:r w:rsidRPr="008A010E">
        <w:rPr>
          <w:rFonts w:ascii="Arial" w:hAnsi="Arial" w:cs="Arial"/>
        </w:rPr>
        <w:t>Graban</w:t>
      </w:r>
      <w:proofErr w:type="spellEnd"/>
      <w:r w:rsidRPr="008A010E">
        <w:rPr>
          <w:rFonts w:ascii="Arial" w:hAnsi="Arial" w:cs="Arial"/>
        </w:rPr>
        <w:t>, M. and Toussaint, J., 2018. </w:t>
      </w:r>
      <w:r w:rsidRPr="008A010E">
        <w:rPr>
          <w:rFonts w:ascii="Arial" w:hAnsi="Arial" w:cs="Arial"/>
          <w:i/>
          <w:iCs/>
        </w:rPr>
        <w:t>Lean hospitals: improving quality, patient safety, and employee engagement</w:t>
      </w:r>
      <w:r w:rsidRPr="008A010E">
        <w:rPr>
          <w:rFonts w:ascii="Arial" w:hAnsi="Arial" w:cs="Arial"/>
        </w:rPr>
        <w:t>. Productivity Press.</w:t>
      </w:r>
      <w:r>
        <w:rPr>
          <w:rFonts w:ascii="Arial" w:hAnsi="Arial" w:cs="Arial"/>
        </w:rPr>
        <w:t xml:space="preserve"> </w:t>
      </w:r>
      <w:hyperlink r:id="rId10" w:history="1">
        <w:r w:rsidRPr="001B2A71">
          <w:rPr>
            <w:rStyle w:val="Hyperlink"/>
            <w:rFonts w:ascii="Arial" w:hAnsi="Arial" w:cs="Arial"/>
          </w:rPr>
          <w:t>https://www.taylorfrancis.com/books/mono/10.4324/9781315380827/lean-hospitals-mark-graban-john-toussaint</w:t>
        </w:r>
      </w:hyperlink>
    </w:p>
    <w:p w14:paraId="02B15A1C" w14:textId="77777777" w:rsidR="000D5F1E" w:rsidRDefault="00FF6F80" w:rsidP="000D5F1E">
      <w:pPr>
        <w:spacing w:line="360" w:lineRule="auto"/>
        <w:jc w:val="both"/>
        <w:rPr>
          <w:rFonts w:ascii="Arial" w:hAnsi="Arial" w:cs="Arial"/>
        </w:rPr>
      </w:pPr>
      <w:proofErr w:type="spellStart"/>
      <w:r w:rsidRPr="00707F80">
        <w:rPr>
          <w:rFonts w:ascii="Arial" w:hAnsi="Arial" w:cs="Arial"/>
        </w:rPr>
        <w:t>Houssein</w:t>
      </w:r>
      <w:proofErr w:type="spellEnd"/>
      <w:r w:rsidRPr="00707F80">
        <w:rPr>
          <w:rFonts w:ascii="Arial" w:hAnsi="Arial" w:cs="Arial"/>
        </w:rPr>
        <w:t>, A.A., Singh, J.S.K. and Arumugam, T., 2020. Retention of Employees through Career Development, Employee Engagement and Work-life Balance: An Empirical Study among Employees in the Financial Sector in Djibouti, East Africa. </w:t>
      </w:r>
      <w:r w:rsidRPr="00707F80">
        <w:rPr>
          <w:rFonts w:ascii="Arial" w:hAnsi="Arial" w:cs="Arial"/>
          <w:i/>
          <w:iCs/>
        </w:rPr>
        <w:t>Global Business &amp; Management Research</w:t>
      </w:r>
      <w:r w:rsidRPr="00707F80">
        <w:rPr>
          <w:rFonts w:ascii="Arial" w:hAnsi="Arial" w:cs="Arial"/>
        </w:rPr>
        <w:t>, </w:t>
      </w:r>
      <w:r w:rsidRPr="00707F80">
        <w:rPr>
          <w:rFonts w:ascii="Arial" w:hAnsi="Arial" w:cs="Arial"/>
          <w:i/>
          <w:iCs/>
        </w:rPr>
        <w:t>12</w:t>
      </w:r>
      <w:r>
        <w:rPr>
          <w:rFonts w:ascii="Arial" w:hAnsi="Arial" w:cs="Arial"/>
        </w:rPr>
        <w:t xml:space="preserve">(3), pp.17-32. </w:t>
      </w:r>
      <w:hyperlink r:id="rId11" w:history="1">
        <w:r w:rsidRPr="001B2A71">
          <w:rPr>
            <w:rStyle w:val="Hyperlink"/>
            <w:rFonts w:ascii="Arial" w:hAnsi="Arial" w:cs="Arial"/>
          </w:rPr>
          <w:t>https://www.researchgate.net/profile/Jugindar-Singh-2/publication/349108911_Retention_of_Employees_through_Career_Development_Employee_Engagement_and_Work-life_Balance_An_Empirical_Study_among_Employees_in_the_Financial_Sector_in_Djibouti_East_Africa/links/6020ea0845851589398c29ca/Retention-of-Employees-through-Career-Development-Employee-Engagement-and-Work-life-Balance-An-Empirical-Study-among-Employees-in-the-Financial-Sector-in-Djibouti-East-Africa.pdf</w:t>
        </w:r>
      </w:hyperlink>
    </w:p>
    <w:p w14:paraId="68DA9177" w14:textId="77777777" w:rsidR="000D5F1E" w:rsidRDefault="00FF6F80" w:rsidP="000D5F1E">
      <w:pPr>
        <w:spacing w:line="360" w:lineRule="auto"/>
        <w:jc w:val="both"/>
        <w:rPr>
          <w:rFonts w:ascii="Arial" w:hAnsi="Arial" w:cs="Arial"/>
        </w:rPr>
      </w:pPr>
      <w:r>
        <w:rPr>
          <w:rFonts w:ascii="Arial" w:hAnsi="Arial" w:cs="Arial"/>
        </w:rPr>
        <w:t xml:space="preserve">Hull, D. and </w:t>
      </w:r>
      <w:proofErr w:type="spellStart"/>
      <w:r>
        <w:rPr>
          <w:rFonts w:ascii="Arial" w:hAnsi="Arial" w:cs="Arial"/>
        </w:rPr>
        <w:t>Eidelson</w:t>
      </w:r>
      <w:proofErr w:type="spellEnd"/>
      <w:r>
        <w:rPr>
          <w:rFonts w:ascii="Arial" w:hAnsi="Arial" w:cs="Arial"/>
        </w:rPr>
        <w:t xml:space="preserve">, J., 20 March 2019. Tesla staff’s lost workdays triple on factory injuries, illness. </w:t>
      </w:r>
      <w:r>
        <w:rPr>
          <w:rFonts w:ascii="Arial" w:hAnsi="Arial" w:cs="Arial"/>
          <w:i/>
        </w:rPr>
        <w:t>Bloomberg Quint</w:t>
      </w:r>
      <w:r>
        <w:rPr>
          <w:rFonts w:ascii="Arial" w:hAnsi="Arial" w:cs="Arial"/>
        </w:rPr>
        <w:t xml:space="preserve">, viewed on 18 March 2022 from </w:t>
      </w:r>
      <w:hyperlink r:id="rId12" w:history="1">
        <w:r w:rsidRPr="001B2A71">
          <w:rPr>
            <w:rStyle w:val="Hyperlink"/>
            <w:rFonts w:ascii="Arial" w:hAnsi="Arial" w:cs="Arial"/>
          </w:rPr>
          <w:t>https://www.bloombergquint.com/business/tesla-factory-injuries-idled-workers-three-times-as-much-in-2018</w:t>
        </w:r>
      </w:hyperlink>
    </w:p>
    <w:p w14:paraId="240B67A6" w14:textId="77777777" w:rsidR="000D5F1E" w:rsidRDefault="00FF6F80" w:rsidP="000D5F1E">
      <w:pPr>
        <w:spacing w:line="360" w:lineRule="auto"/>
        <w:jc w:val="both"/>
        <w:rPr>
          <w:rFonts w:ascii="Arial" w:hAnsi="Arial" w:cs="Arial"/>
        </w:rPr>
      </w:pPr>
      <w:r w:rsidRPr="00994B68">
        <w:rPr>
          <w:rFonts w:ascii="Arial" w:hAnsi="Arial" w:cs="Arial"/>
        </w:rPr>
        <w:lastRenderedPageBreak/>
        <w:t>Kahn, W.A., 1990. Psychological conditions of personal engagement and disengagement at work. </w:t>
      </w:r>
      <w:r w:rsidRPr="00994B68">
        <w:rPr>
          <w:rFonts w:ascii="Arial" w:hAnsi="Arial" w:cs="Arial"/>
          <w:i/>
          <w:iCs/>
        </w:rPr>
        <w:t>Academy of management journal</w:t>
      </w:r>
      <w:r w:rsidRPr="00994B68">
        <w:rPr>
          <w:rFonts w:ascii="Arial" w:hAnsi="Arial" w:cs="Arial"/>
        </w:rPr>
        <w:t>, </w:t>
      </w:r>
      <w:r w:rsidRPr="00994B68">
        <w:rPr>
          <w:rFonts w:ascii="Arial" w:hAnsi="Arial" w:cs="Arial"/>
          <w:i/>
          <w:iCs/>
        </w:rPr>
        <w:t>33</w:t>
      </w:r>
      <w:r w:rsidRPr="00994B68">
        <w:rPr>
          <w:rFonts w:ascii="Arial" w:hAnsi="Arial" w:cs="Arial"/>
        </w:rPr>
        <w:t>(4), pp.692-724.</w:t>
      </w:r>
      <w:r>
        <w:rPr>
          <w:rFonts w:ascii="Arial" w:hAnsi="Arial" w:cs="Arial"/>
        </w:rPr>
        <w:t xml:space="preserve"> </w:t>
      </w:r>
      <w:hyperlink r:id="rId13" w:history="1">
        <w:r w:rsidRPr="001B2A71">
          <w:rPr>
            <w:rStyle w:val="Hyperlink"/>
            <w:rFonts w:ascii="Arial" w:hAnsi="Arial" w:cs="Arial"/>
          </w:rPr>
          <w:t>https://www.academia.edu/download/33787773/WILLIAM_A._KAHN.pdf</w:t>
        </w:r>
      </w:hyperlink>
    </w:p>
    <w:p w14:paraId="64942332" w14:textId="77777777" w:rsidR="000D5F1E" w:rsidRDefault="00FF6F80" w:rsidP="000D5F1E">
      <w:pPr>
        <w:spacing w:line="360" w:lineRule="auto"/>
        <w:jc w:val="both"/>
        <w:rPr>
          <w:rFonts w:ascii="Arial" w:hAnsi="Arial" w:cs="Arial"/>
        </w:rPr>
      </w:pPr>
      <w:r>
        <w:rPr>
          <w:rFonts w:ascii="Arial" w:hAnsi="Arial" w:cs="Arial"/>
        </w:rPr>
        <w:t xml:space="preserve">Liston, K., 7 January 2021. 3 employee engagement models for a happier, more profitable workplace. </w:t>
      </w:r>
      <w:r>
        <w:rPr>
          <w:rFonts w:ascii="Arial" w:hAnsi="Arial" w:cs="Arial"/>
          <w:i/>
        </w:rPr>
        <w:t>Contact Monkey</w:t>
      </w:r>
      <w:r>
        <w:rPr>
          <w:rFonts w:ascii="Arial" w:hAnsi="Arial" w:cs="Arial"/>
        </w:rPr>
        <w:t xml:space="preserve">, viewed on 18 March 2022 from </w:t>
      </w:r>
      <w:hyperlink r:id="rId14" w:history="1">
        <w:r w:rsidRPr="001B2A71">
          <w:rPr>
            <w:rStyle w:val="Hyperlink"/>
            <w:rFonts w:ascii="Arial" w:hAnsi="Arial" w:cs="Arial"/>
          </w:rPr>
          <w:t>https://www.contactmonkey.com/blog/employee-engagement-models</w:t>
        </w:r>
      </w:hyperlink>
    </w:p>
    <w:p w14:paraId="2217117A" w14:textId="77777777" w:rsidR="000D5F1E" w:rsidRDefault="00FF6F80" w:rsidP="000D5F1E">
      <w:pPr>
        <w:spacing w:line="360" w:lineRule="auto"/>
        <w:jc w:val="both"/>
        <w:rPr>
          <w:rFonts w:ascii="Arial" w:hAnsi="Arial" w:cs="Arial"/>
        </w:rPr>
      </w:pPr>
      <w:proofErr w:type="spellStart"/>
      <w:r w:rsidRPr="00946ED6">
        <w:rPr>
          <w:rFonts w:ascii="Arial" w:hAnsi="Arial" w:cs="Arial"/>
        </w:rPr>
        <w:t>Steiber</w:t>
      </w:r>
      <w:proofErr w:type="spellEnd"/>
      <w:r w:rsidRPr="00946ED6">
        <w:rPr>
          <w:rFonts w:ascii="Arial" w:hAnsi="Arial" w:cs="Arial"/>
        </w:rPr>
        <w:t xml:space="preserve">, A. and </w:t>
      </w:r>
      <w:proofErr w:type="spellStart"/>
      <w:r w:rsidRPr="00946ED6">
        <w:rPr>
          <w:rFonts w:ascii="Arial" w:hAnsi="Arial" w:cs="Arial"/>
        </w:rPr>
        <w:t>Alänge</w:t>
      </w:r>
      <w:proofErr w:type="spellEnd"/>
      <w:r w:rsidRPr="00946ED6">
        <w:rPr>
          <w:rFonts w:ascii="Arial" w:hAnsi="Arial" w:cs="Arial"/>
        </w:rPr>
        <w:t>, S., 2013. A corporate system for continuous innovation: the case of Google Inc. </w:t>
      </w:r>
      <w:r w:rsidRPr="00946ED6">
        <w:rPr>
          <w:rFonts w:ascii="Arial" w:hAnsi="Arial" w:cs="Arial"/>
          <w:i/>
          <w:iCs/>
        </w:rPr>
        <w:t>European Journal of Innovation Management</w:t>
      </w:r>
      <w:r>
        <w:rPr>
          <w:rFonts w:ascii="Arial" w:hAnsi="Arial" w:cs="Arial"/>
        </w:rPr>
        <w:t xml:space="preserve">, pp.243-264. </w:t>
      </w:r>
      <w:hyperlink r:id="rId15" w:history="1">
        <w:r w:rsidRPr="001B2A71">
          <w:rPr>
            <w:rStyle w:val="Hyperlink"/>
            <w:rFonts w:ascii="Arial" w:hAnsi="Arial" w:cs="Arial"/>
          </w:rPr>
          <w:t>https://www.researchgate.net/profile/Annika-Steiber/publication/263251371_A_corporate_system_for_continuous_innovation_The_case_of_Google_Inc/links/563e03c908ae8d65c01418c0/A-corporate-system-for-continuous-innovation-The-case-of-Google-Inc.pdf</w:t>
        </w:r>
      </w:hyperlink>
    </w:p>
    <w:p w14:paraId="6A0646C4" w14:textId="77777777" w:rsidR="000D5F1E" w:rsidRDefault="00FF6F80" w:rsidP="000D5F1E">
      <w:pPr>
        <w:spacing w:line="360" w:lineRule="auto"/>
        <w:jc w:val="both"/>
        <w:rPr>
          <w:rFonts w:ascii="Arial" w:hAnsi="Arial" w:cs="Arial"/>
        </w:rPr>
      </w:pPr>
      <w:r>
        <w:rPr>
          <w:rFonts w:ascii="Arial" w:hAnsi="Arial" w:cs="Arial"/>
        </w:rPr>
        <w:t xml:space="preserve">Sykes, J., 31 May 2018. Flexible working as a candidate value proposition. </w:t>
      </w:r>
      <w:r>
        <w:rPr>
          <w:rFonts w:ascii="Arial" w:hAnsi="Arial" w:cs="Arial"/>
          <w:i/>
        </w:rPr>
        <w:t>HR Zone</w:t>
      </w:r>
      <w:r>
        <w:rPr>
          <w:rFonts w:ascii="Arial" w:hAnsi="Arial" w:cs="Arial"/>
        </w:rPr>
        <w:t xml:space="preserve">, viewed on 19 March 2022 from </w:t>
      </w:r>
      <w:hyperlink r:id="rId16" w:history="1">
        <w:r w:rsidRPr="001B2A71">
          <w:rPr>
            <w:rStyle w:val="Hyperlink"/>
            <w:rFonts w:ascii="Arial" w:hAnsi="Arial" w:cs="Arial"/>
          </w:rPr>
          <w:t>https://www.hrzone.com/community/blogs/jim-sykes/flexible-working-as-a-candidate-value-proposition</w:t>
        </w:r>
      </w:hyperlink>
    </w:p>
    <w:sectPr w:rsidR="000D5F1E" w:rsidSect="00815D67">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EE80B" w14:textId="77777777" w:rsidR="005F33C4" w:rsidRDefault="005F33C4" w:rsidP="00E95BCE">
      <w:pPr>
        <w:spacing w:after="0" w:line="240" w:lineRule="auto"/>
      </w:pPr>
      <w:r>
        <w:separator/>
      </w:r>
    </w:p>
  </w:endnote>
  <w:endnote w:type="continuationSeparator" w:id="0">
    <w:p w14:paraId="692B02CA" w14:textId="77777777" w:rsidR="005F33C4" w:rsidRDefault="005F33C4" w:rsidP="00E95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32184016"/>
      <w:docPartObj>
        <w:docPartGallery w:val="Page Numbers (Bottom of Page)"/>
        <w:docPartUnique/>
      </w:docPartObj>
    </w:sdtPr>
    <w:sdtEndPr/>
    <w:sdtContent>
      <w:sdt>
        <w:sdtPr>
          <w:rPr>
            <w:rFonts w:ascii="Arial" w:hAnsi="Arial" w:cs="Arial"/>
          </w:rPr>
          <w:id w:val="565050523"/>
          <w:docPartObj>
            <w:docPartGallery w:val="Page Numbers (Top of Page)"/>
            <w:docPartUnique/>
          </w:docPartObj>
        </w:sdtPr>
        <w:sdtEndPr/>
        <w:sdtContent>
          <w:p w14:paraId="688CDE72" w14:textId="77777777" w:rsidR="004C5B93" w:rsidRPr="004C5B93" w:rsidRDefault="00FF6F80">
            <w:pPr>
              <w:pStyle w:val="Footer"/>
              <w:jc w:val="right"/>
              <w:rPr>
                <w:rFonts w:ascii="Arial" w:hAnsi="Arial" w:cs="Arial"/>
              </w:rPr>
            </w:pPr>
            <w:r w:rsidRPr="004C5B93">
              <w:rPr>
                <w:rFonts w:ascii="Arial" w:hAnsi="Arial" w:cs="Arial"/>
              </w:rPr>
              <w:t xml:space="preserve">Page </w:t>
            </w:r>
            <w:r w:rsidR="00664272">
              <w:rPr>
                <w:rFonts w:ascii="Arial" w:hAnsi="Arial" w:cs="Arial"/>
                <w:b/>
                <w:noProof/>
              </w:rPr>
              <w:t>1</w:t>
            </w:r>
            <w:r w:rsidRPr="004C5B93">
              <w:rPr>
                <w:rFonts w:ascii="Arial" w:hAnsi="Arial" w:cs="Arial"/>
              </w:rPr>
              <w:t xml:space="preserve"> of </w:t>
            </w:r>
            <w:r w:rsidR="00664272">
              <w:rPr>
                <w:rFonts w:ascii="Arial" w:hAnsi="Arial" w:cs="Arial"/>
                <w:b/>
                <w:noProof/>
              </w:rPr>
              <w:t>1</w:t>
            </w:r>
          </w:p>
        </w:sdtContent>
      </w:sdt>
    </w:sdtContent>
  </w:sdt>
  <w:p w14:paraId="7F3EBCF6" w14:textId="77777777" w:rsidR="004C5B93" w:rsidRDefault="004C5B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C4C4F5" w14:textId="77777777" w:rsidR="005F33C4" w:rsidRDefault="005F33C4" w:rsidP="00E95BCE">
      <w:pPr>
        <w:spacing w:after="0" w:line="240" w:lineRule="auto"/>
      </w:pPr>
      <w:r>
        <w:separator/>
      </w:r>
    </w:p>
  </w:footnote>
  <w:footnote w:type="continuationSeparator" w:id="0">
    <w:p w14:paraId="373695DC" w14:textId="77777777" w:rsidR="005F33C4" w:rsidRDefault="005F33C4" w:rsidP="00E95B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66551"/>
    <w:rsid w:val="00000464"/>
    <w:rsid w:val="000030BE"/>
    <w:rsid w:val="00007424"/>
    <w:rsid w:val="000111F1"/>
    <w:rsid w:val="00013670"/>
    <w:rsid w:val="00015653"/>
    <w:rsid w:val="000205B1"/>
    <w:rsid w:val="0002163D"/>
    <w:rsid w:val="000237C7"/>
    <w:rsid w:val="000240EC"/>
    <w:rsid w:val="0003561D"/>
    <w:rsid w:val="000367AF"/>
    <w:rsid w:val="00037FA6"/>
    <w:rsid w:val="00042A1A"/>
    <w:rsid w:val="00044F3F"/>
    <w:rsid w:val="00050386"/>
    <w:rsid w:val="00050ED4"/>
    <w:rsid w:val="00061966"/>
    <w:rsid w:val="0006450F"/>
    <w:rsid w:val="00066546"/>
    <w:rsid w:val="00081140"/>
    <w:rsid w:val="000813D0"/>
    <w:rsid w:val="00085C12"/>
    <w:rsid w:val="0008702E"/>
    <w:rsid w:val="00087C7F"/>
    <w:rsid w:val="00096679"/>
    <w:rsid w:val="000A2022"/>
    <w:rsid w:val="000A2E90"/>
    <w:rsid w:val="000B2840"/>
    <w:rsid w:val="000B399A"/>
    <w:rsid w:val="000C7CA5"/>
    <w:rsid w:val="000D0F6E"/>
    <w:rsid w:val="000D54B3"/>
    <w:rsid w:val="000D5F1E"/>
    <w:rsid w:val="000F29A8"/>
    <w:rsid w:val="000F36E8"/>
    <w:rsid w:val="000F6FAD"/>
    <w:rsid w:val="001111CA"/>
    <w:rsid w:val="00113955"/>
    <w:rsid w:val="0012712A"/>
    <w:rsid w:val="00132C85"/>
    <w:rsid w:val="001423DC"/>
    <w:rsid w:val="00147808"/>
    <w:rsid w:val="00150627"/>
    <w:rsid w:val="00160A22"/>
    <w:rsid w:val="00166938"/>
    <w:rsid w:val="00177067"/>
    <w:rsid w:val="00182052"/>
    <w:rsid w:val="00183702"/>
    <w:rsid w:val="0018383F"/>
    <w:rsid w:val="00194FA5"/>
    <w:rsid w:val="001A1761"/>
    <w:rsid w:val="001A3890"/>
    <w:rsid w:val="001B2A71"/>
    <w:rsid w:val="001D28AE"/>
    <w:rsid w:val="001D2F1E"/>
    <w:rsid w:val="001E00F4"/>
    <w:rsid w:val="001E1BDD"/>
    <w:rsid w:val="001E4CAC"/>
    <w:rsid w:val="001E610C"/>
    <w:rsid w:val="001E62EF"/>
    <w:rsid w:val="001E781C"/>
    <w:rsid w:val="001F34E2"/>
    <w:rsid w:val="001F4130"/>
    <w:rsid w:val="001F7296"/>
    <w:rsid w:val="00200781"/>
    <w:rsid w:val="002019FA"/>
    <w:rsid w:val="00206D00"/>
    <w:rsid w:val="00207255"/>
    <w:rsid w:val="00210B1E"/>
    <w:rsid w:val="00212AD3"/>
    <w:rsid w:val="002241A4"/>
    <w:rsid w:val="00230B9A"/>
    <w:rsid w:val="00232543"/>
    <w:rsid w:val="00233B60"/>
    <w:rsid w:val="00233BBA"/>
    <w:rsid w:val="00235C1A"/>
    <w:rsid w:val="00236C1D"/>
    <w:rsid w:val="00241B56"/>
    <w:rsid w:val="002421CC"/>
    <w:rsid w:val="00244930"/>
    <w:rsid w:val="00246445"/>
    <w:rsid w:val="002568D8"/>
    <w:rsid w:val="002573E0"/>
    <w:rsid w:val="00273687"/>
    <w:rsid w:val="00290477"/>
    <w:rsid w:val="00294DA6"/>
    <w:rsid w:val="002A0A6A"/>
    <w:rsid w:val="002A2554"/>
    <w:rsid w:val="002B31F0"/>
    <w:rsid w:val="002B4DE2"/>
    <w:rsid w:val="002B4E0A"/>
    <w:rsid w:val="002B5322"/>
    <w:rsid w:val="002C1B25"/>
    <w:rsid w:val="002C6A18"/>
    <w:rsid w:val="002F52C6"/>
    <w:rsid w:val="002F556D"/>
    <w:rsid w:val="002F6707"/>
    <w:rsid w:val="00312ADD"/>
    <w:rsid w:val="00314E14"/>
    <w:rsid w:val="00322E8A"/>
    <w:rsid w:val="003453E9"/>
    <w:rsid w:val="003545EB"/>
    <w:rsid w:val="00357CB0"/>
    <w:rsid w:val="003605E1"/>
    <w:rsid w:val="003656C3"/>
    <w:rsid w:val="00380768"/>
    <w:rsid w:val="0038364B"/>
    <w:rsid w:val="00383AB4"/>
    <w:rsid w:val="00392278"/>
    <w:rsid w:val="0039726B"/>
    <w:rsid w:val="003A180D"/>
    <w:rsid w:val="003A29BF"/>
    <w:rsid w:val="003B3925"/>
    <w:rsid w:val="003C63F3"/>
    <w:rsid w:val="003C7E74"/>
    <w:rsid w:val="003D2FD1"/>
    <w:rsid w:val="003D41DF"/>
    <w:rsid w:val="003E5992"/>
    <w:rsid w:val="003E6498"/>
    <w:rsid w:val="003F5AB0"/>
    <w:rsid w:val="003F5FCB"/>
    <w:rsid w:val="003F62EC"/>
    <w:rsid w:val="0040107B"/>
    <w:rsid w:val="0040410C"/>
    <w:rsid w:val="00406662"/>
    <w:rsid w:val="0042576B"/>
    <w:rsid w:val="004274E3"/>
    <w:rsid w:val="0043124C"/>
    <w:rsid w:val="004327C6"/>
    <w:rsid w:val="004542DA"/>
    <w:rsid w:val="0045754A"/>
    <w:rsid w:val="00462483"/>
    <w:rsid w:val="00465A54"/>
    <w:rsid w:val="00470F50"/>
    <w:rsid w:val="00475A20"/>
    <w:rsid w:val="00490EF8"/>
    <w:rsid w:val="004921F0"/>
    <w:rsid w:val="004962A6"/>
    <w:rsid w:val="00497898"/>
    <w:rsid w:val="004A3F02"/>
    <w:rsid w:val="004A566A"/>
    <w:rsid w:val="004B5E04"/>
    <w:rsid w:val="004C5B93"/>
    <w:rsid w:val="004D420A"/>
    <w:rsid w:val="004D4D85"/>
    <w:rsid w:val="004D7DC5"/>
    <w:rsid w:val="004E190F"/>
    <w:rsid w:val="004E1B68"/>
    <w:rsid w:val="004F78AA"/>
    <w:rsid w:val="0050009D"/>
    <w:rsid w:val="0050458C"/>
    <w:rsid w:val="005125A2"/>
    <w:rsid w:val="00514D7D"/>
    <w:rsid w:val="00515F57"/>
    <w:rsid w:val="005177A7"/>
    <w:rsid w:val="0052164F"/>
    <w:rsid w:val="005231C4"/>
    <w:rsid w:val="005234DB"/>
    <w:rsid w:val="005258E0"/>
    <w:rsid w:val="00525E23"/>
    <w:rsid w:val="00526DB5"/>
    <w:rsid w:val="0052719C"/>
    <w:rsid w:val="00527752"/>
    <w:rsid w:val="0052785B"/>
    <w:rsid w:val="00527E0B"/>
    <w:rsid w:val="00544BB2"/>
    <w:rsid w:val="00546DCD"/>
    <w:rsid w:val="005506F2"/>
    <w:rsid w:val="005510BF"/>
    <w:rsid w:val="0056330E"/>
    <w:rsid w:val="00567216"/>
    <w:rsid w:val="005852D0"/>
    <w:rsid w:val="00595D67"/>
    <w:rsid w:val="005A4E5B"/>
    <w:rsid w:val="005A6B5A"/>
    <w:rsid w:val="005B61E6"/>
    <w:rsid w:val="005C3F24"/>
    <w:rsid w:val="005D2852"/>
    <w:rsid w:val="005D2C62"/>
    <w:rsid w:val="005D6B1E"/>
    <w:rsid w:val="005D6C4E"/>
    <w:rsid w:val="005E2839"/>
    <w:rsid w:val="005E37A2"/>
    <w:rsid w:val="005E6974"/>
    <w:rsid w:val="005E79A8"/>
    <w:rsid w:val="005F305A"/>
    <w:rsid w:val="005F33C4"/>
    <w:rsid w:val="005F65ED"/>
    <w:rsid w:val="006034DE"/>
    <w:rsid w:val="00616E69"/>
    <w:rsid w:val="00621151"/>
    <w:rsid w:val="0062486C"/>
    <w:rsid w:val="00626F1F"/>
    <w:rsid w:val="00644FB1"/>
    <w:rsid w:val="00650220"/>
    <w:rsid w:val="006532A4"/>
    <w:rsid w:val="00660666"/>
    <w:rsid w:val="00662461"/>
    <w:rsid w:val="006637B3"/>
    <w:rsid w:val="00664272"/>
    <w:rsid w:val="006669AD"/>
    <w:rsid w:val="00666AC7"/>
    <w:rsid w:val="00672D0B"/>
    <w:rsid w:val="00673054"/>
    <w:rsid w:val="00675FF0"/>
    <w:rsid w:val="00693EC7"/>
    <w:rsid w:val="0069491E"/>
    <w:rsid w:val="006A2833"/>
    <w:rsid w:val="006A3411"/>
    <w:rsid w:val="006B0B92"/>
    <w:rsid w:val="006B3A11"/>
    <w:rsid w:val="006C259D"/>
    <w:rsid w:val="006C4B5E"/>
    <w:rsid w:val="006C7B92"/>
    <w:rsid w:val="006D3063"/>
    <w:rsid w:val="006D5ECA"/>
    <w:rsid w:val="006E07B5"/>
    <w:rsid w:val="006E4A54"/>
    <w:rsid w:val="006E5683"/>
    <w:rsid w:val="006E5D01"/>
    <w:rsid w:val="006F0C13"/>
    <w:rsid w:val="006F2A96"/>
    <w:rsid w:val="00700C8B"/>
    <w:rsid w:val="00702E73"/>
    <w:rsid w:val="00703BFF"/>
    <w:rsid w:val="00707F80"/>
    <w:rsid w:val="00716FD5"/>
    <w:rsid w:val="0072007A"/>
    <w:rsid w:val="00720F85"/>
    <w:rsid w:val="00731A6C"/>
    <w:rsid w:val="00737098"/>
    <w:rsid w:val="00741930"/>
    <w:rsid w:val="007441DE"/>
    <w:rsid w:val="00745EF0"/>
    <w:rsid w:val="00750FD6"/>
    <w:rsid w:val="0075333B"/>
    <w:rsid w:val="00757094"/>
    <w:rsid w:val="0076222D"/>
    <w:rsid w:val="00762682"/>
    <w:rsid w:val="007629BA"/>
    <w:rsid w:val="007703ED"/>
    <w:rsid w:val="007778EE"/>
    <w:rsid w:val="00780A02"/>
    <w:rsid w:val="007832D3"/>
    <w:rsid w:val="007850A1"/>
    <w:rsid w:val="0079471B"/>
    <w:rsid w:val="00794B24"/>
    <w:rsid w:val="007A1331"/>
    <w:rsid w:val="007A4040"/>
    <w:rsid w:val="007A643A"/>
    <w:rsid w:val="007B5525"/>
    <w:rsid w:val="007B6592"/>
    <w:rsid w:val="007C0FDB"/>
    <w:rsid w:val="007C1A6F"/>
    <w:rsid w:val="007D1906"/>
    <w:rsid w:val="007D6C19"/>
    <w:rsid w:val="007F49E7"/>
    <w:rsid w:val="00801891"/>
    <w:rsid w:val="008109FF"/>
    <w:rsid w:val="00814A83"/>
    <w:rsid w:val="00815D67"/>
    <w:rsid w:val="00816720"/>
    <w:rsid w:val="00816DA3"/>
    <w:rsid w:val="00816DDB"/>
    <w:rsid w:val="00821C26"/>
    <w:rsid w:val="008269E0"/>
    <w:rsid w:val="00832237"/>
    <w:rsid w:val="008348A7"/>
    <w:rsid w:val="00834A2D"/>
    <w:rsid w:val="008369F1"/>
    <w:rsid w:val="00842DFF"/>
    <w:rsid w:val="0085003A"/>
    <w:rsid w:val="00864C96"/>
    <w:rsid w:val="008652E3"/>
    <w:rsid w:val="00866551"/>
    <w:rsid w:val="0086752E"/>
    <w:rsid w:val="00867BD7"/>
    <w:rsid w:val="00874149"/>
    <w:rsid w:val="00877096"/>
    <w:rsid w:val="008771E2"/>
    <w:rsid w:val="008779E8"/>
    <w:rsid w:val="008811CC"/>
    <w:rsid w:val="00885938"/>
    <w:rsid w:val="00893CD8"/>
    <w:rsid w:val="0089464B"/>
    <w:rsid w:val="0089734B"/>
    <w:rsid w:val="008A010E"/>
    <w:rsid w:val="008A0260"/>
    <w:rsid w:val="008A3B87"/>
    <w:rsid w:val="008B190C"/>
    <w:rsid w:val="008B3C03"/>
    <w:rsid w:val="008C00CE"/>
    <w:rsid w:val="008C02CD"/>
    <w:rsid w:val="008C4DA9"/>
    <w:rsid w:val="008D5CB0"/>
    <w:rsid w:val="008E2711"/>
    <w:rsid w:val="008F0051"/>
    <w:rsid w:val="008F1839"/>
    <w:rsid w:val="008F29CE"/>
    <w:rsid w:val="008F2A59"/>
    <w:rsid w:val="008F5E87"/>
    <w:rsid w:val="008F6685"/>
    <w:rsid w:val="008F7D89"/>
    <w:rsid w:val="00900689"/>
    <w:rsid w:val="00904AEA"/>
    <w:rsid w:val="00906EA3"/>
    <w:rsid w:val="00915CFC"/>
    <w:rsid w:val="00925F3D"/>
    <w:rsid w:val="00927BF5"/>
    <w:rsid w:val="0093483E"/>
    <w:rsid w:val="0094641F"/>
    <w:rsid w:val="00946ED6"/>
    <w:rsid w:val="00950751"/>
    <w:rsid w:val="00954FEE"/>
    <w:rsid w:val="00957D76"/>
    <w:rsid w:val="00973DE0"/>
    <w:rsid w:val="00982627"/>
    <w:rsid w:val="00992661"/>
    <w:rsid w:val="00994B68"/>
    <w:rsid w:val="00995BFE"/>
    <w:rsid w:val="00996D94"/>
    <w:rsid w:val="009B14CD"/>
    <w:rsid w:val="009B15F8"/>
    <w:rsid w:val="009B34CF"/>
    <w:rsid w:val="009B6C1E"/>
    <w:rsid w:val="009B72E8"/>
    <w:rsid w:val="009C0F21"/>
    <w:rsid w:val="009D015D"/>
    <w:rsid w:val="009D325D"/>
    <w:rsid w:val="009D3A87"/>
    <w:rsid w:val="009D55F4"/>
    <w:rsid w:val="009D57EC"/>
    <w:rsid w:val="009D5E9B"/>
    <w:rsid w:val="009F64D6"/>
    <w:rsid w:val="009F7B8C"/>
    <w:rsid w:val="00A04AF2"/>
    <w:rsid w:val="00A06580"/>
    <w:rsid w:val="00A1629A"/>
    <w:rsid w:val="00A23636"/>
    <w:rsid w:val="00A25284"/>
    <w:rsid w:val="00A2721E"/>
    <w:rsid w:val="00A27AA2"/>
    <w:rsid w:val="00A50387"/>
    <w:rsid w:val="00A51E96"/>
    <w:rsid w:val="00A53317"/>
    <w:rsid w:val="00A54DF2"/>
    <w:rsid w:val="00A564BB"/>
    <w:rsid w:val="00A57AC4"/>
    <w:rsid w:val="00A67D9C"/>
    <w:rsid w:val="00A74CE4"/>
    <w:rsid w:val="00A771FB"/>
    <w:rsid w:val="00A807F7"/>
    <w:rsid w:val="00A87C38"/>
    <w:rsid w:val="00A90298"/>
    <w:rsid w:val="00A94D0F"/>
    <w:rsid w:val="00A95F27"/>
    <w:rsid w:val="00A97972"/>
    <w:rsid w:val="00AA16FC"/>
    <w:rsid w:val="00AA44C7"/>
    <w:rsid w:val="00AB191E"/>
    <w:rsid w:val="00AB3CC1"/>
    <w:rsid w:val="00AD2F2E"/>
    <w:rsid w:val="00AF54AA"/>
    <w:rsid w:val="00AF5E23"/>
    <w:rsid w:val="00AF70A6"/>
    <w:rsid w:val="00B1390E"/>
    <w:rsid w:val="00B31145"/>
    <w:rsid w:val="00B3339A"/>
    <w:rsid w:val="00B33FE8"/>
    <w:rsid w:val="00B46978"/>
    <w:rsid w:val="00B519D7"/>
    <w:rsid w:val="00B51EAA"/>
    <w:rsid w:val="00B633EA"/>
    <w:rsid w:val="00B659B1"/>
    <w:rsid w:val="00B804A6"/>
    <w:rsid w:val="00B8086F"/>
    <w:rsid w:val="00B87B77"/>
    <w:rsid w:val="00B92F6C"/>
    <w:rsid w:val="00B933DA"/>
    <w:rsid w:val="00B95C60"/>
    <w:rsid w:val="00BA6BEF"/>
    <w:rsid w:val="00BB2264"/>
    <w:rsid w:val="00BB2AE0"/>
    <w:rsid w:val="00BB5D2D"/>
    <w:rsid w:val="00BC2A5B"/>
    <w:rsid w:val="00BC4FD7"/>
    <w:rsid w:val="00BC7AFA"/>
    <w:rsid w:val="00BD4435"/>
    <w:rsid w:val="00BD684C"/>
    <w:rsid w:val="00BE211C"/>
    <w:rsid w:val="00BE50CE"/>
    <w:rsid w:val="00BF1EAF"/>
    <w:rsid w:val="00BF44A0"/>
    <w:rsid w:val="00BF47CD"/>
    <w:rsid w:val="00BF6741"/>
    <w:rsid w:val="00C04E7E"/>
    <w:rsid w:val="00C213E1"/>
    <w:rsid w:val="00C25D09"/>
    <w:rsid w:val="00C26C1C"/>
    <w:rsid w:val="00C31413"/>
    <w:rsid w:val="00C348A5"/>
    <w:rsid w:val="00C47CAA"/>
    <w:rsid w:val="00C53F6A"/>
    <w:rsid w:val="00C556EF"/>
    <w:rsid w:val="00C61726"/>
    <w:rsid w:val="00C71DBA"/>
    <w:rsid w:val="00C7377D"/>
    <w:rsid w:val="00C779CE"/>
    <w:rsid w:val="00C91B2C"/>
    <w:rsid w:val="00C9425C"/>
    <w:rsid w:val="00CA0B50"/>
    <w:rsid w:val="00CA67BC"/>
    <w:rsid w:val="00CC1DA7"/>
    <w:rsid w:val="00CC3D56"/>
    <w:rsid w:val="00CD0B6F"/>
    <w:rsid w:val="00CD2BAB"/>
    <w:rsid w:val="00CE5A88"/>
    <w:rsid w:val="00CF539B"/>
    <w:rsid w:val="00D006E4"/>
    <w:rsid w:val="00D14AE7"/>
    <w:rsid w:val="00D21AA7"/>
    <w:rsid w:val="00D23F5A"/>
    <w:rsid w:val="00D2749C"/>
    <w:rsid w:val="00D31A4A"/>
    <w:rsid w:val="00D332DD"/>
    <w:rsid w:val="00D40DAA"/>
    <w:rsid w:val="00D42BA7"/>
    <w:rsid w:val="00D42CB8"/>
    <w:rsid w:val="00D43F1E"/>
    <w:rsid w:val="00D475F4"/>
    <w:rsid w:val="00D47748"/>
    <w:rsid w:val="00D566B1"/>
    <w:rsid w:val="00D5777E"/>
    <w:rsid w:val="00D60105"/>
    <w:rsid w:val="00D7350D"/>
    <w:rsid w:val="00D9751A"/>
    <w:rsid w:val="00DA2332"/>
    <w:rsid w:val="00DA339B"/>
    <w:rsid w:val="00DA3783"/>
    <w:rsid w:val="00DB703B"/>
    <w:rsid w:val="00DC4DDD"/>
    <w:rsid w:val="00DC5617"/>
    <w:rsid w:val="00DC6BD8"/>
    <w:rsid w:val="00DD1B5B"/>
    <w:rsid w:val="00DD3A1A"/>
    <w:rsid w:val="00DD5A05"/>
    <w:rsid w:val="00DE17E8"/>
    <w:rsid w:val="00DE208C"/>
    <w:rsid w:val="00DE65EE"/>
    <w:rsid w:val="00DE6940"/>
    <w:rsid w:val="00DE7C2B"/>
    <w:rsid w:val="00DF6C69"/>
    <w:rsid w:val="00E01C9F"/>
    <w:rsid w:val="00E1111F"/>
    <w:rsid w:val="00E12D05"/>
    <w:rsid w:val="00E17628"/>
    <w:rsid w:val="00E20FA6"/>
    <w:rsid w:val="00E21BFC"/>
    <w:rsid w:val="00E23793"/>
    <w:rsid w:val="00E24D80"/>
    <w:rsid w:val="00E25F8A"/>
    <w:rsid w:val="00E27F7D"/>
    <w:rsid w:val="00E34CE5"/>
    <w:rsid w:val="00E409FF"/>
    <w:rsid w:val="00E41E4A"/>
    <w:rsid w:val="00E42E18"/>
    <w:rsid w:val="00E46CF4"/>
    <w:rsid w:val="00E570C9"/>
    <w:rsid w:val="00E61F30"/>
    <w:rsid w:val="00E6744A"/>
    <w:rsid w:val="00E74EFE"/>
    <w:rsid w:val="00E77736"/>
    <w:rsid w:val="00E80416"/>
    <w:rsid w:val="00E819C9"/>
    <w:rsid w:val="00E94294"/>
    <w:rsid w:val="00E9459D"/>
    <w:rsid w:val="00E95BCE"/>
    <w:rsid w:val="00EA50DB"/>
    <w:rsid w:val="00EA6FB5"/>
    <w:rsid w:val="00EA778E"/>
    <w:rsid w:val="00EA7C92"/>
    <w:rsid w:val="00EB0985"/>
    <w:rsid w:val="00EC106B"/>
    <w:rsid w:val="00EC4E36"/>
    <w:rsid w:val="00ED2E2A"/>
    <w:rsid w:val="00ED41F8"/>
    <w:rsid w:val="00EE28FE"/>
    <w:rsid w:val="00EF3652"/>
    <w:rsid w:val="00EF7D15"/>
    <w:rsid w:val="00F13AF9"/>
    <w:rsid w:val="00F31D68"/>
    <w:rsid w:val="00F32CDC"/>
    <w:rsid w:val="00F3375A"/>
    <w:rsid w:val="00F339FF"/>
    <w:rsid w:val="00F402F0"/>
    <w:rsid w:val="00F43F20"/>
    <w:rsid w:val="00F47716"/>
    <w:rsid w:val="00F55290"/>
    <w:rsid w:val="00F65D9B"/>
    <w:rsid w:val="00F70E46"/>
    <w:rsid w:val="00F73E51"/>
    <w:rsid w:val="00F76B13"/>
    <w:rsid w:val="00F80F7A"/>
    <w:rsid w:val="00F82E8E"/>
    <w:rsid w:val="00F871B6"/>
    <w:rsid w:val="00F91FA9"/>
    <w:rsid w:val="00F923B0"/>
    <w:rsid w:val="00F94371"/>
    <w:rsid w:val="00FA41F1"/>
    <w:rsid w:val="00FA7C7F"/>
    <w:rsid w:val="00FB6E71"/>
    <w:rsid w:val="00FC0426"/>
    <w:rsid w:val="00FC1B8F"/>
    <w:rsid w:val="00FC3904"/>
    <w:rsid w:val="00FC682F"/>
    <w:rsid w:val="00FE2B62"/>
    <w:rsid w:val="00FE7466"/>
    <w:rsid w:val="00FF0520"/>
    <w:rsid w:val="00FF221E"/>
    <w:rsid w:val="00FF2995"/>
    <w:rsid w:val="00FF6038"/>
    <w:rsid w:val="00FF6F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73155"/>
  <w15:docId w15:val="{25F7340D-6CDF-4F2E-B34B-9DD33BE1E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D9C"/>
    <w:rPr>
      <w:lang w:val="en-GB"/>
    </w:rPr>
  </w:style>
  <w:style w:type="paragraph" w:styleId="Heading1">
    <w:name w:val="heading 1"/>
    <w:basedOn w:val="Normal"/>
    <w:next w:val="Normal"/>
    <w:link w:val="Heading1Char"/>
    <w:uiPriority w:val="9"/>
    <w:qFormat/>
    <w:rsid w:val="000D5F1E"/>
    <w:pPr>
      <w:keepNext/>
      <w:keepLines/>
      <w:spacing w:before="480" w:after="0" w:line="480" w:lineRule="auto"/>
      <w:outlineLvl w:val="0"/>
    </w:pPr>
    <w:rPr>
      <w:rFonts w:ascii="Arial" w:eastAsiaTheme="majorEastAsia" w:hAnsi="Arial"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1B25"/>
    <w:rPr>
      <w:color w:val="0000FF" w:themeColor="hyperlink"/>
      <w:u w:val="single"/>
    </w:rPr>
  </w:style>
  <w:style w:type="character" w:customStyle="1" w:styleId="Heading1Char">
    <w:name w:val="Heading 1 Char"/>
    <w:basedOn w:val="DefaultParagraphFont"/>
    <w:link w:val="Heading1"/>
    <w:uiPriority w:val="9"/>
    <w:rsid w:val="000D5F1E"/>
    <w:rPr>
      <w:rFonts w:ascii="Arial" w:eastAsiaTheme="majorEastAsia" w:hAnsi="Arial" w:cstheme="majorBidi"/>
      <w:b/>
      <w:bCs/>
      <w:color w:val="000000" w:themeColor="text1"/>
      <w:sz w:val="28"/>
      <w:szCs w:val="28"/>
      <w:lang w:val="en-GB"/>
    </w:rPr>
  </w:style>
  <w:style w:type="paragraph" w:styleId="Header">
    <w:name w:val="header"/>
    <w:basedOn w:val="Normal"/>
    <w:link w:val="HeaderChar"/>
    <w:uiPriority w:val="99"/>
    <w:semiHidden/>
    <w:unhideWhenUsed/>
    <w:rsid w:val="004C5B9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C5B93"/>
    <w:rPr>
      <w:lang w:val="en-GB"/>
    </w:rPr>
  </w:style>
  <w:style w:type="paragraph" w:styleId="Footer">
    <w:name w:val="footer"/>
    <w:basedOn w:val="Normal"/>
    <w:link w:val="FooterChar"/>
    <w:uiPriority w:val="99"/>
    <w:unhideWhenUsed/>
    <w:rsid w:val="004C5B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B93"/>
    <w:rPr>
      <w:lang w:val="en-GB"/>
    </w:rPr>
  </w:style>
  <w:style w:type="paragraph" w:styleId="TOCHeading">
    <w:name w:val="TOC Heading"/>
    <w:basedOn w:val="Heading1"/>
    <w:next w:val="Normal"/>
    <w:uiPriority w:val="39"/>
    <w:semiHidden/>
    <w:unhideWhenUsed/>
    <w:qFormat/>
    <w:rsid w:val="004C5B93"/>
    <w:pPr>
      <w:spacing w:line="276" w:lineRule="auto"/>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C5B93"/>
    <w:pPr>
      <w:spacing w:after="100"/>
    </w:pPr>
  </w:style>
  <w:style w:type="paragraph" w:styleId="BalloonText">
    <w:name w:val="Balloon Text"/>
    <w:basedOn w:val="Normal"/>
    <w:link w:val="BalloonTextChar"/>
    <w:uiPriority w:val="99"/>
    <w:semiHidden/>
    <w:unhideWhenUsed/>
    <w:rsid w:val="004C5B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B9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9189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8F70F6-F24E-452C-BCFA-EA772211C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2583</Words>
  <Characters>14728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Gabor Kovacs</cp:lastModifiedBy>
  <cp:revision>3</cp:revision>
  <dcterms:created xsi:type="dcterms:W3CDTF">2022-03-20T16:55:00Z</dcterms:created>
  <dcterms:modified xsi:type="dcterms:W3CDTF">2022-05-11T19:43:00Z</dcterms:modified>
</cp:coreProperties>
</file>