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5F95D" w14:textId="77777777" w:rsidR="001205BF" w:rsidRDefault="001205BF">
      <w:pPr>
        <w:rPr>
          <w:color w:val="000000"/>
        </w:rPr>
      </w:pPr>
    </w:p>
    <w:p w14:paraId="7BEC32C8" w14:textId="77777777" w:rsidR="001205BF" w:rsidRDefault="001205BF">
      <w:pPr>
        <w:rPr>
          <w:color w:val="000000"/>
        </w:rPr>
      </w:pPr>
    </w:p>
    <w:p w14:paraId="2F65263B" w14:textId="77777777" w:rsidR="001205BF" w:rsidRDefault="00C24111">
      <w:pPr>
        <w:jc w:val="center"/>
        <w:rPr>
          <w:b/>
          <w:bCs/>
          <w:color w:val="000000"/>
          <w:sz w:val="32"/>
          <w:szCs w:val="32"/>
        </w:rPr>
      </w:pPr>
      <w:r>
        <w:rPr>
          <w:b/>
          <w:bCs/>
          <w:color w:val="000000"/>
          <w:sz w:val="32"/>
          <w:szCs w:val="32"/>
        </w:rPr>
        <w:t>Module: LCHS7002 Health Care System Organisation and Leadership</w:t>
      </w:r>
    </w:p>
    <w:p w14:paraId="56787DC6" w14:textId="77777777" w:rsidR="001205BF" w:rsidRDefault="00C24111">
      <w:pPr>
        <w:jc w:val="center"/>
        <w:rPr>
          <w:b/>
          <w:bCs/>
          <w:color w:val="000000"/>
          <w:sz w:val="32"/>
          <w:szCs w:val="32"/>
        </w:rPr>
      </w:pPr>
      <w:r>
        <w:rPr>
          <w:b/>
          <w:bCs/>
          <w:color w:val="000000"/>
          <w:sz w:val="32"/>
          <w:szCs w:val="32"/>
        </w:rPr>
        <w:t>Assessment:</w:t>
      </w:r>
    </w:p>
    <w:p w14:paraId="677DF4B0" w14:textId="77777777" w:rsidR="001205BF" w:rsidRDefault="00C24111">
      <w:pPr>
        <w:jc w:val="center"/>
        <w:rPr>
          <w:b/>
          <w:bCs/>
          <w:color w:val="000000"/>
          <w:sz w:val="32"/>
          <w:szCs w:val="32"/>
        </w:rPr>
      </w:pPr>
      <w:r>
        <w:rPr>
          <w:b/>
          <w:bCs/>
          <w:color w:val="000000"/>
          <w:sz w:val="32"/>
          <w:szCs w:val="32"/>
        </w:rPr>
        <w:t>Case Report</w:t>
      </w:r>
    </w:p>
    <w:p w14:paraId="6620E305" w14:textId="77777777" w:rsidR="001205BF" w:rsidRDefault="001205BF">
      <w:pPr>
        <w:rPr>
          <w:color w:val="000000"/>
        </w:rPr>
      </w:pPr>
    </w:p>
    <w:p w14:paraId="16B223EA" w14:textId="77777777" w:rsidR="001205BF" w:rsidRDefault="00C24111">
      <w:pPr>
        <w:jc w:val="center"/>
        <w:rPr>
          <w:b/>
          <w:bCs/>
          <w:color w:val="000000"/>
          <w:sz w:val="32"/>
          <w:szCs w:val="32"/>
        </w:rPr>
      </w:pPr>
      <w:r>
        <w:rPr>
          <w:b/>
          <w:bCs/>
          <w:color w:val="000000"/>
          <w:sz w:val="32"/>
          <w:szCs w:val="32"/>
        </w:rPr>
        <w:t>Case Study: NHS Infant Morphine Overdose (North East and Yorkshire)</w:t>
      </w:r>
    </w:p>
    <w:p w14:paraId="4B188D77" w14:textId="77777777" w:rsidR="001205BF" w:rsidRDefault="001205BF">
      <w:pPr>
        <w:rPr>
          <w:color w:val="000000"/>
        </w:rPr>
      </w:pPr>
    </w:p>
    <w:p w14:paraId="07F7F6AF" w14:textId="77777777" w:rsidR="001205BF" w:rsidRDefault="001205BF">
      <w:pPr>
        <w:rPr>
          <w:color w:val="000000"/>
        </w:rPr>
      </w:pPr>
    </w:p>
    <w:p w14:paraId="4EBF52FE" w14:textId="77777777" w:rsidR="001205BF" w:rsidRDefault="001205BF">
      <w:pPr>
        <w:rPr>
          <w:color w:val="000000"/>
        </w:rPr>
      </w:pPr>
    </w:p>
    <w:p w14:paraId="1CDFB5B0" w14:textId="77777777" w:rsidR="001205BF" w:rsidRDefault="00C24111">
      <w:pPr>
        <w:jc w:val="center"/>
        <w:rPr>
          <w:b/>
          <w:bCs/>
          <w:color w:val="000000"/>
          <w:sz w:val="32"/>
          <w:szCs w:val="32"/>
        </w:rPr>
      </w:pPr>
      <w:r>
        <w:rPr>
          <w:b/>
          <w:bCs/>
          <w:color w:val="000000"/>
          <w:sz w:val="32"/>
          <w:szCs w:val="32"/>
        </w:rPr>
        <w:t>Student name: Drashti Morvadiya</w:t>
      </w:r>
    </w:p>
    <w:p w14:paraId="4D49EB7E" w14:textId="77777777" w:rsidR="001205BF" w:rsidRDefault="00C24111">
      <w:pPr>
        <w:jc w:val="center"/>
        <w:rPr>
          <w:b/>
          <w:bCs/>
          <w:color w:val="000000"/>
          <w:sz w:val="32"/>
          <w:szCs w:val="32"/>
        </w:rPr>
      </w:pPr>
      <w:r>
        <w:rPr>
          <w:b/>
          <w:bCs/>
          <w:color w:val="000000"/>
          <w:sz w:val="32"/>
          <w:szCs w:val="32"/>
        </w:rPr>
        <w:t>Student Number: 2531881</w:t>
      </w:r>
    </w:p>
    <w:p w14:paraId="27DC1059" w14:textId="77777777" w:rsidR="001205BF" w:rsidRDefault="00C24111">
      <w:pPr>
        <w:jc w:val="center"/>
        <w:rPr>
          <w:b/>
          <w:bCs/>
          <w:color w:val="000000"/>
          <w:sz w:val="40"/>
          <w:szCs w:val="40"/>
        </w:rPr>
      </w:pPr>
      <w:r>
        <w:rPr>
          <w:b/>
          <w:bCs/>
          <w:sz w:val="32"/>
          <w:szCs w:val="32"/>
        </w:rPr>
        <w:t>Supervisor: Dr Fahad khan</w:t>
      </w:r>
      <w:r>
        <w:br w:type="page"/>
      </w:r>
    </w:p>
    <w:p w14:paraId="406BFC6D" w14:textId="77777777" w:rsidR="001205BF" w:rsidRDefault="00C24111">
      <w:pPr>
        <w:jc w:val="center"/>
        <w:rPr>
          <w:b/>
          <w:bCs/>
          <w:color w:val="000000"/>
          <w:sz w:val="28"/>
          <w:szCs w:val="28"/>
        </w:rPr>
      </w:pPr>
      <w:r>
        <w:rPr>
          <w:b/>
          <w:bCs/>
          <w:color w:val="000000"/>
          <w:sz w:val="28"/>
          <w:szCs w:val="28"/>
        </w:rPr>
        <w:t xml:space="preserve">Table of Contents </w:t>
      </w:r>
    </w:p>
    <w:sdt>
      <w:sdtPr>
        <w:id w:val="-286836230"/>
        <w:docPartObj>
          <w:docPartGallery w:val="Table of Contents"/>
          <w:docPartUnique/>
        </w:docPartObj>
      </w:sdtPr>
      <w:sdtEndPr/>
      <w:sdtContent>
        <w:p w14:paraId="09BFB020" w14:textId="77777777" w:rsidR="001205BF" w:rsidRDefault="00C24111">
          <w:pPr>
            <w:pBdr>
              <w:top w:val="nil"/>
              <w:left w:val="nil"/>
              <w:bottom w:val="nil"/>
              <w:right w:val="nil"/>
              <w:between w:val="nil"/>
            </w:pBdr>
            <w:tabs>
              <w:tab w:val="right" w:pos="9350"/>
            </w:tabs>
            <w:spacing w:after="10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vz2sybdgn0y9">
            <w:r>
              <w:rPr>
                <w:color w:val="000000"/>
              </w:rPr>
              <w:t>1. INTRODUCTION</w:t>
            </w:r>
            <w:r>
              <w:rPr>
                <w:color w:val="000000"/>
              </w:rPr>
              <w:tab/>
              <w:t>4</w:t>
            </w:r>
          </w:hyperlink>
        </w:p>
        <w:p w14:paraId="19D47CE4"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1j1ht6wlzgbc">
            <w:r>
              <w:rPr>
                <w:color w:val="000000"/>
              </w:rPr>
              <w:t>1.1 Background</w:t>
            </w:r>
            <w:r>
              <w:rPr>
                <w:color w:val="000000"/>
              </w:rPr>
              <w:tab/>
              <w:t>4</w:t>
            </w:r>
          </w:hyperlink>
        </w:p>
        <w:p w14:paraId="07C7F253"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dxebfobxxvkn">
            <w:r>
              <w:rPr>
                <w:color w:val="000000"/>
              </w:rPr>
              <w:t>1.2 Centralisation and Decentralisation of Leadership</w:t>
            </w:r>
            <w:r>
              <w:rPr>
                <w:color w:val="000000"/>
              </w:rPr>
              <w:tab/>
              <w:t>4</w:t>
            </w:r>
          </w:hyperlink>
        </w:p>
        <w:p w14:paraId="1CA8162C"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2kbl1vjk4lpi">
            <w:r>
              <w:rPr>
                <w:color w:val="000000"/>
              </w:rPr>
              <w:t>1.3 Selection of Right Leadership</w:t>
            </w:r>
            <w:r>
              <w:rPr>
                <w:color w:val="000000"/>
              </w:rPr>
              <w:tab/>
              <w:t>4</w:t>
            </w:r>
          </w:hyperlink>
        </w:p>
        <w:p w14:paraId="77675C6A" w14:textId="77777777" w:rsidR="001205BF" w:rsidRDefault="00C24111">
          <w:pPr>
            <w:pBdr>
              <w:top w:val="nil"/>
              <w:left w:val="nil"/>
              <w:bottom w:val="nil"/>
              <w:right w:val="nil"/>
              <w:between w:val="nil"/>
            </w:pBdr>
            <w:tabs>
              <w:tab w:val="right" w:pos="9350"/>
            </w:tabs>
            <w:spacing w:after="100"/>
            <w:rPr>
              <w:rFonts w:ascii="Cambria" w:eastAsia="Cambria" w:hAnsi="Cambria" w:cs="Cambria"/>
              <w:color w:val="000000"/>
            </w:rPr>
          </w:pPr>
          <w:hyperlink w:anchor="_l8r1nwia1133">
            <w:r>
              <w:rPr>
                <w:color w:val="000000"/>
              </w:rPr>
              <w:t>2. IDENTIFYING THE PROBLEM AND SETTING THE SYSTEM CONTEXT</w:t>
            </w:r>
            <w:r>
              <w:rPr>
                <w:color w:val="000000"/>
              </w:rPr>
              <w:tab/>
              <w:t>5</w:t>
            </w:r>
          </w:hyperlink>
        </w:p>
        <w:p w14:paraId="535144D2"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3gf0qacg9sv8">
            <w:r>
              <w:rPr>
                <w:color w:val="000000"/>
              </w:rPr>
              <w:t>2.1 Central Problem</w:t>
            </w:r>
            <w:r>
              <w:rPr>
                <w:color w:val="000000"/>
              </w:rPr>
              <w:tab/>
              <w:t>5</w:t>
            </w:r>
          </w:hyperlink>
        </w:p>
        <w:p w14:paraId="6FC9FEEF"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mlu13nt8opgi">
            <w:r>
              <w:rPr>
                <w:color w:val="000000"/>
              </w:rPr>
              <w:t>2.2 Applying System Thinking to Problem</w:t>
            </w:r>
            <w:r>
              <w:rPr>
                <w:color w:val="000000"/>
              </w:rPr>
              <w:tab/>
              <w:t>5</w:t>
            </w:r>
          </w:hyperlink>
        </w:p>
        <w:p w14:paraId="3345FE14"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9m5weyuidr3f">
            <w:r>
              <w:rPr>
                <w:color w:val="000000"/>
              </w:rPr>
              <w:t>2.3 Influence of Governance Bodies</w:t>
            </w:r>
            <w:r>
              <w:rPr>
                <w:color w:val="000000"/>
              </w:rPr>
              <w:tab/>
              <w:t>6</w:t>
            </w:r>
          </w:hyperlink>
        </w:p>
        <w:p w14:paraId="1F310448"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vmaqv12yay40">
            <w:r>
              <w:rPr>
                <w:color w:val="000000"/>
              </w:rPr>
              <w:t>2.4 Underlying Challenges</w:t>
            </w:r>
            <w:r>
              <w:rPr>
                <w:color w:val="000000"/>
              </w:rPr>
              <w:tab/>
              <w:t>6</w:t>
            </w:r>
          </w:hyperlink>
        </w:p>
        <w:p w14:paraId="367E0EC8"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cvrvjoz0gql5">
            <w:r>
              <w:rPr>
                <w:color w:val="000000"/>
              </w:rPr>
              <w:t>2.5 Rich Picture</w:t>
            </w:r>
            <w:r>
              <w:rPr>
                <w:color w:val="000000"/>
              </w:rPr>
              <w:tab/>
              <w:t>7</w:t>
            </w:r>
          </w:hyperlink>
        </w:p>
        <w:p w14:paraId="1D09D338" w14:textId="77777777" w:rsidR="001205BF" w:rsidRDefault="00C24111">
          <w:pPr>
            <w:pBdr>
              <w:top w:val="nil"/>
              <w:left w:val="nil"/>
              <w:bottom w:val="nil"/>
              <w:right w:val="nil"/>
              <w:between w:val="nil"/>
            </w:pBdr>
            <w:tabs>
              <w:tab w:val="right" w:pos="9350"/>
            </w:tabs>
            <w:spacing w:after="100"/>
            <w:rPr>
              <w:rFonts w:ascii="Cambria" w:eastAsia="Cambria" w:hAnsi="Cambria" w:cs="Cambria"/>
              <w:color w:val="000000"/>
            </w:rPr>
          </w:pPr>
          <w:hyperlink w:anchor="_204zcajp12lo">
            <w:r>
              <w:rPr>
                <w:color w:val="000000"/>
              </w:rPr>
              <w:t>3. CENTRALISATION OR DECENTRALISATION WITHIN THE CASE STUDY</w:t>
            </w:r>
            <w:r>
              <w:rPr>
                <w:color w:val="000000"/>
              </w:rPr>
              <w:tab/>
              <w:t>7</w:t>
            </w:r>
          </w:hyperlink>
        </w:p>
        <w:p w14:paraId="1CF8C68A"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xo15bbnajlk0">
            <w:r>
              <w:rPr>
                <w:color w:val="000000"/>
              </w:rPr>
              <w:t>3.1 NHS Structure Overview</w:t>
            </w:r>
            <w:r>
              <w:rPr>
                <w:color w:val="000000"/>
              </w:rPr>
              <w:tab/>
              <w:t>7</w:t>
            </w:r>
          </w:hyperlink>
        </w:p>
        <w:p w14:paraId="0EE562A5"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vvfgebcynpuf">
            <w:r>
              <w:rPr>
                <w:color w:val="000000"/>
              </w:rPr>
              <w:t>3.2 Evidence of Centralisation</w:t>
            </w:r>
            <w:r>
              <w:rPr>
                <w:color w:val="000000"/>
              </w:rPr>
              <w:tab/>
              <w:t>7</w:t>
            </w:r>
          </w:hyperlink>
        </w:p>
        <w:p w14:paraId="11060480"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p5veq2ppbzd0">
            <w:r>
              <w:rPr>
                <w:color w:val="000000"/>
              </w:rPr>
              <w:t>3.3 Evidence of Decentralisation</w:t>
            </w:r>
            <w:r>
              <w:rPr>
                <w:color w:val="000000"/>
              </w:rPr>
              <w:tab/>
              <w:t>8</w:t>
            </w:r>
          </w:hyperlink>
        </w:p>
        <w:p w14:paraId="2EE74A97"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jhtjdla7l0sp">
            <w:r>
              <w:rPr>
                <w:color w:val="000000"/>
              </w:rPr>
              <w:t>3.4 Critical Evaluation of System Structure</w:t>
            </w:r>
            <w:r>
              <w:rPr>
                <w:color w:val="000000"/>
              </w:rPr>
              <w:tab/>
              <w:t>9</w:t>
            </w:r>
          </w:hyperlink>
        </w:p>
        <w:p w14:paraId="7A253D25"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lhztcpjjqtzi">
            <w:r>
              <w:rPr>
                <w:color w:val="000000"/>
              </w:rPr>
              <w:t>3.5 Impact on Crisis Management and Accountability</w:t>
            </w:r>
            <w:r>
              <w:rPr>
                <w:color w:val="000000"/>
              </w:rPr>
              <w:tab/>
              <w:t>10</w:t>
            </w:r>
          </w:hyperlink>
        </w:p>
        <w:p w14:paraId="01A7C0C9" w14:textId="77777777" w:rsidR="001205BF" w:rsidRDefault="00C24111">
          <w:pPr>
            <w:pBdr>
              <w:top w:val="nil"/>
              <w:left w:val="nil"/>
              <w:bottom w:val="nil"/>
              <w:right w:val="nil"/>
              <w:between w:val="nil"/>
            </w:pBdr>
            <w:tabs>
              <w:tab w:val="right" w:pos="9350"/>
            </w:tabs>
            <w:spacing w:after="100"/>
            <w:rPr>
              <w:rFonts w:ascii="Cambria" w:eastAsia="Cambria" w:hAnsi="Cambria" w:cs="Cambria"/>
              <w:color w:val="000000"/>
            </w:rPr>
          </w:pPr>
          <w:hyperlink w:anchor="_ad65fyome8q2">
            <w:r>
              <w:rPr>
                <w:color w:val="000000"/>
              </w:rPr>
              <w:t>4. LEADERSHIP THEORIES AND APPLICATION TO THE CASE STUDY</w:t>
            </w:r>
            <w:r>
              <w:rPr>
                <w:color w:val="000000"/>
              </w:rPr>
              <w:tab/>
              <w:t>11</w:t>
            </w:r>
          </w:hyperlink>
        </w:p>
        <w:p w14:paraId="1B9B9ABD"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d1x4ws72zyyc">
            <w:r>
              <w:rPr>
                <w:color w:val="000000"/>
              </w:rPr>
              <w:t>4.1 Transformational Leadership</w:t>
            </w:r>
            <w:r>
              <w:rPr>
                <w:color w:val="000000"/>
              </w:rPr>
              <w:tab/>
              <w:t>11</w:t>
            </w:r>
          </w:hyperlink>
        </w:p>
        <w:p w14:paraId="3B8C1596"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a66itgmxfzn1">
            <w:r>
              <w:rPr>
                <w:color w:val="000000"/>
              </w:rPr>
              <w:t>4.2 Transactional Leadership</w:t>
            </w:r>
            <w:r>
              <w:rPr>
                <w:color w:val="000000"/>
              </w:rPr>
              <w:tab/>
              <w:t>11</w:t>
            </w:r>
          </w:hyperlink>
        </w:p>
        <w:p w14:paraId="0824E111"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gv57nt9mu3j1">
            <w:r>
              <w:rPr>
                <w:color w:val="000000"/>
              </w:rPr>
              <w:t>4.3 Democratic Leadership</w:t>
            </w:r>
            <w:r>
              <w:rPr>
                <w:color w:val="000000"/>
              </w:rPr>
              <w:tab/>
              <w:t>12</w:t>
            </w:r>
          </w:hyperlink>
        </w:p>
        <w:p w14:paraId="09DB0293"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va3u4xr9xyhw">
            <w:r>
              <w:rPr>
                <w:color w:val="000000"/>
              </w:rPr>
              <w:t>4.4 Theory X and Theory Y Leadership</w:t>
            </w:r>
            <w:r>
              <w:rPr>
                <w:color w:val="000000"/>
              </w:rPr>
              <w:tab/>
              <w:t>13</w:t>
            </w:r>
          </w:hyperlink>
        </w:p>
        <w:p w14:paraId="31FE7A20"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k8dq6wqn0hh0">
            <w:r>
              <w:rPr>
                <w:color w:val="000000"/>
              </w:rPr>
              <w:t>4.5 Systems Leadership and Connected Leadership</w:t>
            </w:r>
            <w:r>
              <w:rPr>
                <w:color w:val="000000"/>
              </w:rPr>
              <w:tab/>
              <w:t>13</w:t>
            </w:r>
          </w:hyperlink>
        </w:p>
        <w:p w14:paraId="0A9FE45C"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qz57tg2cumhv">
            <w:r>
              <w:rPr>
                <w:color w:val="000000"/>
              </w:rPr>
              <w:t>4.6 Leadership Effectiveness Evaluation</w:t>
            </w:r>
            <w:r>
              <w:rPr>
                <w:color w:val="000000"/>
              </w:rPr>
              <w:tab/>
              <w:t>13</w:t>
            </w:r>
          </w:hyperlink>
        </w:p>
        <w:p w14:paraId="330862E2" w14:textId="77777777" w:rsidR="001205BF" w:rsidRDefault="00C24111">
          <w:pPr>
            <w:pBdr>
              <w:top w:val="nil"/>
              <w:left w:val="nil"/>
              <w:bottom w:val="nil"/>
              <w:right w:val="nil"/>
              <w:between w:val="nil"/>
            </w:pBdr>
            <w:tabs>
              <w:tab w:val="right" w:pos="9350"/>
            </w:tabs>
            <w:spacing w:after="100"/>
            <w:rPr>
              <w:rFonts w:ascii="Cambria" w:eastAsia="Cambria" w:hAnsi="Cambria" w:cs="Cambria"/>
              <w:color w:val="000000"/>
            </w:rPr>
          </w:pPr>
          <w:hyperlink w:anchor="_ssnqtosaqqp">
            <w:r>
              <w:rPr>
                <w:color w:val="000000"/>
              </w:rPr>
              <w:t>5. IMPROVEMENT AND LESSONS LEARNED</w:t>
            </w:r>
            <w:r>
              <w:rPr>
                <w:color w:val="000000"/>
              </w:rPr>
              <w:tab/>
              <w:t>14</w:t>
            </w:r>
          </w:hyperlink>
        </w:p>
        <w:p w14:paraId="63C63A30"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dc3khu5cckib">
            <w:r>
              <w:rPr>
                <w:color w:val="000000"/>
              </w:rPr>
              <w:t>5.1 Leadership and Governance Interaction</w:t>
            </w:r>
            <w:r>
              <w:rPr>
                <w:color w:val="000000"/>
              </w:rPr>
              <w:tab/>
              <w:t>14</w:t>
            </w:r>
          </w:hyperlink>
        </w:p>
        <w:p w14:paraId="46B32538"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71aws549sox6">
            <w:r>
              <w:rPr>
                <w:color w:val="000000"/>
              </w:rPr>
              <w:t>5.2 Root Cause Analysis</w:t>
            </w:r>
            <w:r>
              <w:rPr>
                <w:color w:val="000000"/>
              </w:rPr>
              <w:tab/>
              <w:t>15</w:t>
            </w:r>
          </w:hyperlink>
        </w:p>
        <w:p w14:paraId="61A7B0C1"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t5kaj8c2q0l2">
            <w:r>
              <w:rPr>
                <w:color w:val="000000"/>
              </w:rPr>
              <w:t>5.3 Missed Opportunities</w:t>
            </w:r>
            <w:r>
              <w:rPr>
                <w:color w:val="000000"/>
              </w:rPr>
              <w:tab/>
              <w:t>15</w:t>
            </w:r>
          </w:hyperlink>
        </w:p>
        <w:p w14:paraId="7934CD07"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t5k128jzd4z1">
            <w:r>
              <w:rPr>
                <w:color w:val="000000"/>
              </w:rPr>
              <w:t>5.4 Evidence-Based Improvements</w:t>
            </w:r>
            <w:r>
              <w:rPr>
                <w:color w:val="000000"/>
              </w:rPr>
              <w:tab/>
              <w:t>16</w:t>
            </w:r>
          </w:hyperlink>
        </w:p>
        <w:p w14:paraId="79AA7B7A"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j4gk7lr1bfra">
            <w:r>
              <w:rPr>
                <w:color w:val="000000"/>
              </w:rPr>
              <w:t>5.5 Lessons for Other Organisations</w:t>
            </w:r>
            <w:r>
              <w:rPr>
                <w:color w:val="000000"/>
              </w:rPr>
              <w:tab/>
              <w:t>16</w:t>
            </w:r>
          </w:hyperlink>
        </w:p>
        <w:p w14:paraId="1C4FF3C7" w14:textId="77777777" w:rsidR="001205BF" w:rsidRDefault="00C24111">
          <w:pPr>
            <w:pBdr>
              <w:top w:val="nil"/>
              <w:left w:val="nil"/>
              <w:bottom w:val="nil"/>
              <w:right w:val="nil"/>
              <w:between w:val="nil"/>
            </w:pBdr>
            <w:tabs>
              <w:tab w:val="right" w:pos="9350"/>
            </w:tabs>
            <w:spacing w:after="100"/>
            <w:rPr>
              <w:rFonts w:ascii="Cambria" w:eastAsia="Cambria" w:hAnsi="Cambria" w:cs="Cambria"/>
              <w:color w:val="000000"/>
            </w:rPr>
          </w:pPr>
          <w:hyperlink w:anchor="_pnpjtc91shd6">
            <w:r>
              <w:rPr>
                <w:color w:val="000000"/>
              </w:rPr>
              <w:t>6. RECOMMENDATIONS</w:t>
            </w:r>
            <w:r>
              <w:rPr>
                <w:color w:val="000000"/>
              </w:rPr>
              <w:tab/>
              <w:t>17</w:t>
            </w:r>
          </w:hyperlink>
        </w:p>
        <w:p w14:paraId="4247E7E5"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1lrtnsqaymah">
            <w:r>
              <w:rPr>
                <w:color w:val="000000"/>
              </w:rPr>
              <w:t>6.1 Leadership Recommendations</w:t>
            </w:r>
            <w:r>
              <w:rPr>
                <w:color w:val="000000"/>
              </w:rPr>
              <w:tab/>
              <w:t>17</w:t>
            </w:r>
          </w:hyperlink>
        </w:p>
        <w:p w14:paraId="5B98046C"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605godinta3t">
            <w:r>
              <w:rPr>
                <w:color w:val="000000"/>
              </w:rPr>
              <w:t>6.2 Governance Recommendations</w:t>
            </w:r>
            <w:r>
              <w:rPr>
                <w:color w:val="000000"/>
              </w:rPr>
              <w:tab/>
              <w:t>17</w:t>
            </w:r>
          </w:hyperlink>
        </w:p>
        <w:p w14:paraId="71EE80F8"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5a8lajkl6fyi">
            <w:r>
              <w:rPr>
                <w:color w:val="000000"/>
              </w:rPr>
              <w:t>6.3 Communication and Integration</w:t>
            </w:r>
            <w:r>
              <w:rPr>
                <w:color w:val="000000"/>
              </w:rPr>
              <w:tab/>
              <w:t>18</w:t>
            </w:r>
          </w:hyperlink>
        </w:p>
        <w:p w14:paraId="65D68CD9"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wf759w27qmp0">
            <w:r>
              <w:rPr>
                <w:color w:val="000000"/>
              </w:rPr>
              <w:t>6.4 Technical and Allocative Efficiency</w:t>
            </w:r>
            <w:r>
              <w:rPr>
                <w:color w:val="000000"/>
              </w:rPr>
              <w:tab/>
              <w:t>19</w:t>
            </w:r>
          </w:hyperlink>
        </w:p>
        <w:p w14:paraId="72E64A1A"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ykgnocqiy04q">
            <w:r>
              <w:rPr>
                <w:color w:val="000000"/>
              </w:rPr>
              <w:t>6.5 Continuous Learning and Co-production</w:t>
            </w:r>
            <w:r>
              <w:rPr>
                <w:color w:val="000000"/>
              </w:rPr>
              <w:tab/>
              <w:t>19</w:t>
            </w:r>
          </w:hyperlink>
        </w:p>
        <w:p w14:paraId="07B5CF85" w14:textId="77777777" w:rsidR="001205BF" w:rsidRDefault="00C24111">
          <w:pPr>
            <w:pBdr>
              <w:top w:val="nil"/>
              <w:left w:val="nil"/>
              <w:bottom w:val="nil"/>
              <w:right w:val="nil"/>
              <w:between w:val="nil"/>
            </w:pBdr>
            <w:tabs>
              <w:tab w:val="right" w:pos="9350"/>
            </w:tabs>
            <w:spacing w:after="100"/>
            <w:rPr>
              <w:rFonts w:ascii="Cambria" w:eastAsia="Cambria" w:hAnsi="Cambria" w:cs="Cambria"/>
              <w:color w:val="000000"/>
            </w:rPr>
          </w:pPr>
          <w:hyperlink w:anchor="_360825zhojy1">
            <w:r>
              <w:rPr>
                <w:color w:val="000000"/>
              </w:rPr>
              <w:t>7. CONCLUSION</w:t>
            </w:r>
            <w:r>
              <w:rPr>
                <w:color w:val="000000"/>
              </w:rPr>
              <w:tab/>
              <w:t>19</w:t>
            </w:r>
          </w:hyperlink>
        </w:p>
        <w:p w14:paraId="64E6CF65" w14:textId="77777777" w:rsidR="001205BF" w:rsidRDefault="00C24111">
          <w:pPr>
            <w:pBdr>
              <w:top w:val="nil"/>
              <w:left w:val="nil"/>
              <w:bottom w:val="nil"/>
              <w:right w:val="nil"/>
              <w:between w:val="nil"/>
            </w:pBdr>
            <w:tabs>
              <w:tab w:val="right" w:pos="9350"/>
            </w:tabs>
            <w:spacing w:after="100"/>
            <w:rPr>
              <w:rFonts w:ascii="Cambria" w:eastAsia="Cambria" w:hAnsi="Cambria" w:cs="Cambria"/>
              <w:color w:val="000000"/>
            </w:rPr>
          </w:pPr>
          <w:hyperlink w:anchor="_gznjj3hxecpy">
            <w:r>
              <w:rPr>
                <w:color w:val="000000"/>
              </w:rPr>
              <w:t>REFERENCES</w:t>
            </w:r>
            <w:r>
              <w:rPr>
                <w:color w:val="000000"/>
              </w:rPr>
              <w:tab/>
              <w:t>21</w:t>
            </w:r>
          </w:hyperlink>
        </w:p>
        <w:p w14:paraId="05AF4ABC" w14:textId="77777777" w:rsidR="001205BF" w:rsidRDefault="00C24111">
          <w:pPr>
            <w:pBdr>
              <w:top w:val="nil"/>
              <w:left w:val="nil"/>
              <w:bottom w:val="nil"/>
              <w:right w:val="nil"/>
              <w:between w:val="nil"/>
            </w:pBdr>
            <w:tabs>
              <w:tab w:val="right" w:pos="9350"/>
            </w:tabs>
            <w:spacing w:after="100"/>
            <w:rPr>
              <w:rFonts w:ascii="Cambria" w:eastAsia="Cambria" w:hAnsi="Cambria" w:cs="Cambria"/>
              <w:color w:val="000000"/>
            </w:rPr>
          </w:pPr>
          <w:hyperlink w:anchor="_35o2xiwl2b1t">
            <w:r>
              <w:rPr>
                <w:color w:val="000000"/>
              </w:rPr>
              <w:t>APPENDICES</w:t>
            </w:r>
            <w:r>
              <w:rPr>
                <w:color w:val="000000"/>
              </w:rPr>
              <w:tab/>
              <w:t>26</w:t>
            </w:r>
          </w:hyperlink>
        </w:p>
        <w:p w14:paraId="30D2B722"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1zkdt2j29w5s">
            <w:r>
              <w:rPr>
                <w:color w:val="000000"/>
              </w:rPr>
              <w:t>Appendix A: Rich Picture</w:t>
            </w:r>
            <w:r>
              <w:rPr>
                <w:color w:val="000000"/>
              </w:rPr>
              <w:tab/>
              <w:t>26</w:t>
            </w:r>
          </w:hyperlink>
        </w:p>
        <w:p w14:paraId="1EC86CF8"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kji5tsprjuku">
            <w:r>
              <w:rPr>
                <w:color w:val="000000"/>
              </w:rPr>
              <w:t>Appendix B: Fish Bone Diagram</w:t>
            </w:r>
            <w:r>
              <w:rPr>
                <w:color w:val="000000"/>
              </w:rPr>
              <w:tab/>
              <w:t>26</w:t>
            </w:r>
          </w:hyperlink>
        </w:p>
        <w:p w14:paraId="0A0922DD" w14:textId="77777777" w:rsidR="001205BF" w:rsidRDefault="00C24111">
          <w:pPr>
            <w:pBdr>
              <w:top w:val="nil"/>
              <w:left w:val="nil"/>
              <w:bottom w:val="nil"/>
              <w:right w:val="nil"/>
              <w:between w:val="nil"/>
            </w:pBdr>
            <w:tabs>
              <w:tab w:val="right" w:pos="9350"/>
            </w:tabs>
            <w:spacing w:after="100"/>
            <w:ind w:left="240"/>
            <w:rPr>
              <w:rFonts w:ascii="Cambria" w:eastAsia="Cambria" w:hAnsi="Cambria" w:cs="Cambria"/>
              <w:color w:val="000000"/>
            </w:rPr>
          </w:pPr>
          <w:hyperlink w:anchor="_7sygs59pt863">
            <w:r>
              <w:rPr>
                <w:color w:val="000000"/>
              </w:rPr>
              <w:t>Appendix C: Five Whys</w:t>
            </w:r>
            <w:r>
              <w:rPr>
                <w:color w:val="000000"/>
              </w:rPr>
              <w:tab/>
              <w:t>27</w:t>
            </w:r>
          </w:hyperlink>
        </w:p>
        <w:p w14:paraId="1B8B37AD" w14:textId="77777777" w:rsidR="001205BF" w:rsidRDefault="00C24111">
          <w:pPr>
            <w:widowControl w:val="0"/>
            <w:tabs>
              <w:tab w:val="right" w:pos="9360"/>
            </w:tabs>
            <w:spacing w:before="60" w:after="0"/>
            <w:ind w:left="360"/>
            <w:jc w:val="left"/>
            <w:rPr>
              <w:color w:val="000000"/>
            </w:rPr>
          </w:pPr>
          <w:r>
            <w:fldChar w:fldCharType="end"/>
          </w:r>
        </w:p>
      </w:sdtContent>
    </w:sdt>
    <w:p w14:paraId="46E3B4F3" w14:textId="77777777" w:rsidR="001205BF" w:rsidRDefault="001205BF">
      <w:pPr>
        <w:rPr>
          <w:color w:val="000000"/>
        </w:rPr>
      </w:pPr>
    </w:p>
    <w:p w14:paraId="28A1A499" w14:textId="77777777" w:rsidR="001205BF" w:rsidRDefault="00C24111">
      <w:pPr>
        <w:rPr>
          <w:color w:val="000000"/>
        </w:rPr>
      </w:pPr>
      <w:r>
        <w:br w:type="page"/>
      </w:r>
    </w:p>
    <w:p w14:paraId="5C343EA6" w14:textId="77777777" w:rsidR="001205BF" w:rsidRDefault="00C24111">
      <w:pPr>
        <w:pStyle w:val="Heading1"/>
        <w:rPr>
          <w:color w:val="000000"/>
        </w:rPr>
      </w:pPr>
      <w:bookmarkStart w:id="0" w:name="_vz2sybdgn0y9" w:colFirst="0" w:colLast="0"/>
      <w:bookmarkEnd w:id="0"/>
      <w:r>
        <w:rPr>
          <w:color w:val="000000"/>
        </w:rPr>
        <w:t xml:space="preserve">1. INTRODUCTION </w:t>
      </w:r>
    </w:p>
    <w:p w14:paraId="5B544191" w14:textId="77777777" w:rsidR="001205BF" w:rsidRDefault="00C24111">
      <w:pPr>
        <w:pStyle w:val="Heading2"/>
        <w:rPr>
          <w:color w:val="000000"/>
        </w:rPr>
      </w:pPr>
      <w:bookmarkStart w:id="1" w:name="_1j1ht6wlzgbc" w:colFirst="0" w:colLast="0"/>
      <w:bookmarkEnd w:id="1"/>
      <w:r>
        <w:rPr>
          <w:color w:val="000000"/>
        </w:rPr>
        <w:t>1.1 Background</w:t>
      </w:r>
    </w:p>
    <w:p w14:paraId="4A643AA8" w14:textId="77777777" w:rsidR="001205BF" w:rsidRDefault="00C24111">
      <w:pPr>
        <w:rPr>
          <w:color w:val="000000"/>
        </w:rPr>
      </w:pPr>
      <w:r>
        <w:rPr>
          <w:color w:val="000000"/>
        </w:rPr>
        <w:t>Medication safety plays a significant role in the quality of healthcare and remains a global priority for the safety of patients. Modification errors lead to different preventable harm, disability, longer hospital stays and even death. The World Health Organisation (WHO) identifies medication errors as a major reason for avoidable harm. They also estimate that around 5% (1 in 20) of patients worldwide face a higher amount of medication-related harm, with nearly one-quarter of these cases considered life-thr</w:t>
      </w:r>
      <w:r>
        <w:rPr>
          <w:color w:val="000000"/>
        </w:rPr>
        <w:t>eatening and severe (Muluken Amare Wudu et al., 2025). This report mainly analyses the NHS North East and Yorkshire case that includes a 4-week-old infant who received a 20-fold overdose of morphine sulphate oral solution after giving the wrong concentration of the medication (Case study). This infant was mainly supposed to get around morphine sulphated oral solution at 100 micrograms. However, the standard limit for the infant is around 10 mg/mL, which was mistakenly provided. Thus, the child received arou</w:t>
      </w:r>
      <w:r>
        <w:rPr>
          <w:color w:val="000000"/>
        </w:rPr>
        <w:t>nd a 20-fold overdose and needed emergency treatment with naloxone. While the infant also survived, NHG investigations revealed that this was the fate of a similar incident in 2018. One previous case also led to death of another infant, which indicates that this event was mainly part of the broad system failure rather than a single clinical mistake.</w:t>
      </w:r>
    </w:p>
    <w:p w14:paraId="022B16DA" w14:textId="77777777" w:rsidR="001205BF" w:rsidRDefault="00C24111">
      <w:pPr>
        <w:pStyle w:val="Heading2"/>
        <w:rPr>
          <w:color w:val="000000"/>
        </w:rPr>
      </w:pPr>
      <w:bookmarkStart w:id="2" w:name="_dxebfobxxvkn" w:colFirst="0" w:colLast="0"/>
      <w:bookmarkEnd w:id="2"/>
      <w:r>
        <w:rPr>
          <w:color w:val="000000"/>
        </w:rPr>
        <w:t>1.2 Centralisation and Decentralisation of Leadership</w:t>
      </w:r>
    </w:p>
    <w:p w14:paraId="4A18582D" w14:textId="77777777" w:rsidR="001205BF" w:rsidRDefault="00C24111">
      <w:pPr>
        <w:rPr>
          <w:color w:val="000000"/>
        </w:rPr>
      </w:pPr>
      <w:r>
        <w:rPr>
          <w:color w:val="000000"/>
        </w:rPr>
        <w:t>Leadership is essential in preventing different adverse events. In social and health care, leadership is effective in influencing, supporting, motivating and influencing the individuals and teams for achieving the common goals, which also offer safe, patient-centred care and effective care (Restivo et al., 2022). Healthcare organisation also functions under both the centralised and decentralised leadership structures. Centralisation also consolidates the decision-making power with the senior management, whi</w:t>
      </w:r>
      <w:r>
        <w:rPr>
          <w:color w:val="000000"/>
        </w:rPr>
        <w:t>ch also promotes the governance and standardisation of the overall clinical operations (Scarffe et al., 2022). However, decentralisation also spread the decision-making among the overall frontline professionals. It allows for quick responses, increased staff engagement and local innovation (Ohrling, Øvretveit and Brommels, 2020).</w:t>
      </w:r>
    </w:p>
    <w:p w14:paraId="22FB8BEC" w14:textId="77777777" w:rsidR="001205BF" w:rsidRDefault="00C24111">
      <w:pPr>
        <w:pStyle w:val="Heading2"/>
        <w:rPr>
          <w:color w:val="000000"/>
        </w:rPr>
      </w:pPr>
      <w:bookmarkStart w:id="3" w:name="_2kbl1vjk4lpi" w:colFirst="0" w:colLast="0"/>
      <w:bookmarkEnd w:id="3"/>
      <w:r>
        <w:rPr>
          <w:color w:val="000000"/>
        </w:rPr>
        <w:t>1.3 Selection of Right Leadership</w:t>
      </w:r>
    </w:p>
    <w:p w14:paraId="2733917C" w14:textId="77777777" w:rsidR="001205BF" w:rsidRDefault="00C24111">
      <w:pPr>
        <w:rPr>
          <w:color w:val="000000"/>
        </w:rPr>
      </w:pPr>
      <w:r>
        <w:rPr>
          <w:color w:val="000000"/>
        </w:rPr>
        <w:t xml:space="preserve">Finding the right balance between these approaches is very effective at the time of managing the high-risk medicines and mitigating the patient safety challenges. Different leadership theories provide methods for reaching organisational goals. Transformational leadership motivates staff through shared vision and continuous improvement. Transactional leadership analyses compliance, develops policies and performs performance monitoring. Situational leadership also adjusts styles based on clinical demands and </w:t>
      </w:r>
      <w:r>
        <w:rPr>
          <w:color w:val="000000"/>
        </w:rPr>
        <w:t>staff skills (Singh et al., 2024). During the healthcare crisis and organisational changes, choosing right leadership affects decision-making, communication and patient outcomes.</w:t>
      </w:r>
    </w:p>
    <w:p w14:paraId="00611718" w14:textId="77777777" w:rsidR="001205BF" w:rsidRDefault="00C24111">
      <w:pPr>
        <w:pStyle w:val="Heading1"/>
        <w:rPr>
          <w:color w:val="000000"/>
        </w:rPr>
      </w:pPr>
      <w:bookmarkStart w:id="4" w:name="_l8r1nwia1133" w:colFirst="0" w:colLast="0"/>
      <w:bookmarkEnd w:id="4"/>
      <w:r>
        <w:rPr>
          <w:color w:val="000000"/>
        </w:rPr>
        <w:t xml:space="preserve">2. IDENTIFYING THE PROBLEM AND SETTING THE SYSTEM CONTEXT </w:t>
      </w:r>
    </w:p>
    <w:p w14:paraId="27BFAD6A" w14:textId="77777777" w:rsidR="001205BF" w:rsidRDefault="00C24111">
      <w:pPr>
        <w:pStyle w:val="Heading2"/>
        <w:rPr>
          <w:color w:val="000000"/>
        </w:rPr>
      </w:pPr>
      <w:bookmarkStart w:id="5" w:name="_3gf0qacg9sv8" w:colFirst="0" w:colLast="0"/>
      <w:bookmarkEnd w:id="5"/>
      <w:r>
        <w:rPr>
          <w:color w:val="000000"/>
        </w:rPr>
        <w:t>2.1 Central Problem</w:t>
      </w:r>
    </w:p>
    <w:p w14:paraId="7F6C901A" w14:textId="77777777" w:rsidR="001205BF" w:rsidRDefault="00C24111">
      <w:pPr>
        <w:rPr>
          <w:color w:val="000000"/>
        </w:rPr>
      </w:pPr>
      <w:r>
        <w:rPr>
          <w:color w:val="000000"/>
        </w:rPr>
        <w:t>The major problem in this case was the 20 times overdose of the morphine sulphate oral solution given to four-week-old infants after the healthcare professionals dispensed the wrong formulation. The infant was also being prescribed morphine sulphated oral solution at 100 micrograms/mL, a major specialist "Red Drug" given only in secondary care. Instead, the parents also get the standard 10mg/5mL oral solution that leads to dangerous overdoses, which require emergency treatments with naloxone. Although the i</w:t>
      </w:r>
      <w:r>
        <w:rPr>
          <w:color w:val="000000"/>
        </w:rPr>
        <w:t>nfant survived, NHS Yorkshire confirmed this was the fifth similar incident since 2018, with one previous case that resulted in the death of the infant (NHS Yorkshire, 2023). This pattern also shows that errors were not just a one-time mistake but a patient safety concern which was initiated from the weakness in healthcare system rather than individual negligence.</w:t>
      </w:r>
    </w:p>
    <w:p w14:paraId="02E12072" w14:textId="77777777" w:rsidR="001205BF" w:rsidRDefault="00C24111">
      <w:pPr>
        <w:rPr>
          <w:color w:val="000000"/>
        </w:rPr>
      </w:pPr>
      <w:r>
        <w:rPr>
          <w:color w:val="000000"/>
        </w:rPr>
        <w:t>The Institute for Healthcare Improvement (IHI) promotes reliable healthcare through teamwork, standardisation, and commitment from leadership and continuous learning from negative events (Institute for Healthcare Improvement (IHI), 2020). IHI also argues that lasting improvement mainly happens only when organisations strengthen the system around medication usage, including the dispensing, communication, incident reporting and staff training.</w:t>
      </w:r>
    </w:p>
    <w:p w14:paraId="11A67794" w14:textId="77777777" w:rsidR="001205BF" w:rsidRDefault="00C24111">
      <w:pPr>
        <w:pStyle w:val="Heading2"/>
        <w:rPr>
          <w:color w:val="000000"/>
        </w:rPr>
      </w:pPr>
      <w:bookmarkStart w:id="6" w:name="_mlu13nt8opgi" w:colFirst="0" w:colLast="0"/>
      <w:bookmarkEnd w:id="6"/>
      <w:r>
        <w:rPr>
          <w:color w:val="000000"/>
        </w:rPr>
        <w:t>2.2 Applying System Thinking to Problem</w:t>
      </w:r>
    </w:p>
    <w:p w14:paraId="3A462B28" w14:textId="77777777" w:rsidR="001205BF" w:rsidRDefault="00C24111">
      <w:pPr>
        <w:rPr>
          <w:color w:val="000000"/>
        </w:rPr>
      </w:pPr>
      <w:r>
        <w:rPr>
          <w:color w:val="000000"/>
        </w:rPr>
        <w:t>Applying systems thinking offers a broad view of why the incident mainly happened. Systems thinking mainly sees healthcare as a complex adaptive system where patient outcomes result from the interaction among the people, policy and environmental factors (Silburn, 2025), instead of blaming one prescriber. Systems thinking identified several small failures that mainly combined to create a chance of serious harm. In this case, prescription of the specialist formulation, dispensing of the wrong concentration, i</w:t>
      </w:r>
      <w:r>
        <w:rPr>
          <w:color w:val="000000"/>
        </w:rPr>
        <w:t>nsufficient communication and checking procedures between community services and hospitals, similarities in concentration and medicine names and limited safeguards around higher-risk medicines are causing the overdoses (Conn et al., 2023).</w:t>
      </w:r>
    </w:p>
    <w:p w14:paraId="30F26577" w14:textId="77777777" w:rsidR="001205BF" w:rsidRDefault="00C24111">
      <w:pPr>
        <w:rPr>
          <w:color w:val="000000"/>
        </w:rPr>
      </w:pPr>
      <w:r>
        <w:rPr>
          <w:color w:val="000000"/>
        </w:rPr>
        <w:t>As per prescribed formulation, which was also labelled as the hospital-only "Red Drug", this medicine was still supplied outside the governance pathway. The failure point in policy implementation, adherence to formulary guidance and clinical oversight. Furthermore, overall recurrence of similar incidents also suggests that lessons were not effectively shared across the NHS organisations, which limits the chances of preventing the overall repeat cases. Good safety leadership needs not just to investigate inc</w:t>
      </w:r>
      <w:r>
        <w:rPr>
          <w:color w:val="000000"/>
        </w:rPr>
        <w:t>idents but also to monitor and implement improvements throughout the healthcare system (Fukami, 2025).</w:t>
      </w:r>
    </w:p>
    <w:p w14:paraId="5E2B4817" w14:textId="77777777" w:rsidR="001205BF" w:rsidRDefault="00C24111">
      <w:pPr>
        <w:pStyle w:val="Heading2"/>
        <w:rPr>
          <w:color w:val="000000"/>
        </w:rPr>
      </w:pPr>
      <w:bookmarkStart w:id="7" w:name="_9m5weyuidr3f" w:colFirst="0" w:colLast="0"/>
      <w:bookmarkEnd w:id="7"/>
      <w:r>
        <w:rPr>
          <w:color w:val="000000"/>
        </w:rPr>
        <w:t>2.3 Influence of Governance Bodies</w:t>
      </w:r>
    </w:p>
    <w:p w14:paraId="3D798D98" w14:textId="77777777" w:rsidR="001205BF" w:rsidRDefault="00C24111">
      <w:pPr>
        <w:rPr>
          <w:color w:val="000000"/>
        </w:rPr>
      </w:pPr>
      <w:r>
        <w:rPr>
          <w:color w:val="000000"/>
        </w:rPr>
        <w:t>Main governance influence in this case mainly occurs at the organisational and regional levels. Regional medicines optimisation policies mainly state that low-strength morphine for inhalation needs to stay within the specialist hospital services. However, local implementation and compliance mechanisms also failed to stop the inappropriate dispensing. As influenced by the NHS (2026), National bodies such as NHS England, the Medicines and Healthcare Products Regulatory Agency (MHRA) and integrated care boards</w:t>
      </w:r>
      <w:r>
        <w:rPr>
          <w:color w:val="000000"/>
        </w:rPr>
        <w:t xml:space="preserve"> set patient safety standards and medication governance frameworks and are responsible for putting these into practice depending on individual healthcare organisations.</w:t>
      </w:r>
    </w:p>
    <w:p w14:paraId="7B39E7FE" w14:textId="77777777" w:rsidR="001205BF" w:rsidRDefault="00C24111">
      <w:pPr>
        <w:pStyle w:val="Heading2"/>
        <w:rPr>
          <w:color w:val="000000"/>
        </w:rPr>
      </w:pPr>
      <w:bookmarkStart w:id="8" w:name="_vmaqv12yay40" w:colFirst="0" w:colLast="0"/>
      <w:bookmarkEnd w:id="8"/>
      <w:r>
        <w:rPr>
          <w:color w:val="000000"/>
        </w:rPr>
        <w:t>2.4 Underlying Challenges</w:t>
      </w:r>
    </w:p>
    <w:p w14:paraId="7785EB10" w14:textId="77777777" w:rsidR="001205BF" w:rsidRDefault="00C24111">
      <w:pPr>
        <w:rPr>
          <w:color w:val="000000"/>
        </w:rPr>
      </w:pPr>
      <w:r>
        <w:rPr>
          <w:color w:val="000000"/>
        </w:rPr>
        <w:t>Organisational pressure may have made the medication errors more likely. NHS workforce shortage, increasing service pressures and rising patient demand mainly continue to impact the health care professional's ability to maintain consistently safe practices (Khan, 2023).  Higher workloads, staff fatigue, and prescribing systems raise overall chances of human challenges. When these pressures coincide with poor safety measures for the higher-risk medicines, the risk increases significantly.</w:t>
      </w:r>
    </w:p>
    <w:p w14:paraId="6797C550" w14:textId="77777777" w:rsidR="001205BF" w:rsidRDefault="00C24111">
      <w:pPr>
        <w:pStyle w:val="Heading2"/>
        <w:rPr>
          <w:color w:val="000000"/>
        </w:rPr>
      </w:pPr>
      <w:bookmarkStart w:id="9" w:name="_cvrvjoz0gql5" w:colFirst="0" w:colLast="0"/>
      <w:bookmarkEnd w:id="9"/>
      <w:r>
        <w:rPr>
          <w:color w:val="000000"/>
        </w:rPr>
        <w:t>2.5 Rich Picture</w:t>
      </w:r>
    </w:p>
    <w:p w14:paraId="44797BAF" w14:textId="77777777" w:rsidR="001205BF" w:rsidRDefault="00C24111">
      <w:pPr>
        <w:rPr>
          <w:color w:val="000000"/>
        </w:rPr>
      </w:pPr>
      <w:r>
        <w:rPr>
          <w:color w:val="000000"/>
        </w:rPr>
        <w:t xml:space="preserve">The Rich Picture (Appendix A) visualises a hospital, GP practice, community pharmacy and parents as weakly connected nodes with indirect communication lines between them. It demonstrates a disrupted feedback loop of the "Red Drug" status indicating that information (dose, strength, formulation) could not pass across all the points of handover along the pathway in an intact manner. </w:t>
      </w:r>
    </w:p>
    <w:p w14:paraId="038AB874" w14:textId="77777777" w:rsidR="001205BF" w:rsidRDefault="00C24111">
      <w:pPr>
        <w:pStyle w:val="Heading1"/>
        <w:rPr>
          <w:color w:val="000000"/>
        </w:rPr>
      </w:pPr>
      <w:bookmarkStart w:id="10" w:name="_204zcajp12lo" w:colFirst="0" w:colLast="0"/>
      <w:bookmarkEnd w:id="10"/>
      <w:r>
        <w:rPr>
          <w:color w:val="000000"/>
        </w:rPr>
        <w:t xml:space="preserve">3. CENTRALISATION OR DECENTRALISATION WITHIN THE CASE STUDY </w:t>
      </w:r>
    </w:p>
    <w:p w14:paraId="7BD2DF60" w14:textId="77777777" w:rsidR="001205BF" w:rsidRDefault="00C24111">
      <w:pPr>
        <w:pStyle w:val="Heading2"/>
        <w:rPr>
          <w:color w:val="000000"/>
        </w:rPr>
      </w:pPr>
      <w:bookmarkStart w:id="11" w:name="_xo15bbnajlk0" w:colFirst="0" w:colLast="0"/>
      <w:bookmarkEnd w:id="11"/>
      <w:r>
        <w:rPr>
          <w:color w:val="000000"/>
        </w:rPr>
        <w:t xml:space="preserve">3.1 NHS Structure Overview </w:t>
      </w:r>
    </w:p>
    <w:p w14:paraId="63D070A4" w14:textId="77777777" w:rsidR="001205BF" w:rsidRDefault="00C24111">
      <w:pPr>
        <w:rPr>
          <w:color w:val="000000"/>
        </w:rPr>
      </w:pPr>
      <w:r>
        <w:rPr>
          <w:color w:val="000000"/>
        </w:rPr>
        <w:t xml:space="preserve">The NHS in England is a hybrid system involving a combination of a centrally defined strategic direction and local operational autonomy (Charles, 2022). NHS England, together with the Department of Health and Social Care, sets national clinical governance frameworks, medicines classification policy and quality standards, including the designation of morphine sulphate 100 micrograms/ml oral solution as a hospital-only ‘Red Drug’ available only as an unlicensed ‘specials’ product (NHS Yorkshire, 2023). Under </w:t>
      </w:r>
      <w:r>
        <w:rPr>
          <w:color w:val="000000"/>
        </w:rPr>
        <w:t xml:space="preserve">this national layer, Health and Social Care Act 2022 created 42 statutory Integrated Care Systems (ICSs) in England, each of which comprised a centrally accountable Integrated Care Board (ICB) that knows NHS budgets and performance with locally accountable NHS Trusts, GP practices and community pharmacy contractors that retained day-to-day clinical and operational discretion (Health and Social Care Act 2022; Charles, 2022; NHS England, 2026). This case study occurred precisely at the seam between these two </w:t>
      </w:r>
      <w:r>
        <w:rPr>
          <w:color w:val="000000"/>
        </w:rPr>
        <w:t>levels of the system: a nationally classified ‘Red Drug’ policy, adopted regionally through the ICB medicines optimisation formulary, was implemented locally across a hospital Trust, a GP practice and a community pharmacy, none of which were formally accountable to one another for the safe transfer of the infant’s care.</w:t>
      </w:r>
    </w:p>
    <w:p w14:paraId="4E7E2CB4" w14:textId="77777777" w:rsidR="001205BF" w:rsidRDefault="00C24111">
      <w:pPr>
        <w:pStyle w:val="Heading2"/>
        <w:rPr>
          <w:color w:val="000000"/>
        </w:rPr>
      </w:pPr>
      <w:bookmarkStart w:id="12" w:name="_vvfgebcynpuf" w:colFirst="0" w:colLast="0"/>
      <w:bookmarkEnd w:id="12"/>
      <w:r>
        <w:rPr>
          <w:color w:val="000000"/>
        </w:rPr>
        <w:t xml:space="preserve">3.2 Evidence of Centralisation </w:t>
      </w:r>
    </w:p>
    <w:p w14:paraId="5985C929" w14:textId="77777777" w:rsidR="001205BF" w:rsidRDefault="00C24111">
      <w:pPr>
        <w:rPr>
          <w:color w:val="000000"/>
        </w:rPr>
      </w:pPr>
      <w:r>
        <w:rPr>
          <w:color w:val="000000"/>
        </w:rPr>
        <w:t>Centralisation is also apparent how this risky medicine was ruled. Limiting morphine sulphate 100 micrograms/ml to secondary care is a national, top-down strategy of standardisation, and is corresponding to wider NHS centralised medicines governance including the Controlled Drugs (Supervision of Management and Use) Regulations in 2013, where NHS primary care alone issued more than 74 million controlled drug items in 2024 (CQC, 2025b). National Controlled Drugs Accountable Officers and the CQC offers a centr</w:t>
      </w:r>
      <w:r>
        <w:rPr>
          <w:color w:val="000000"/>
        </w:rPr>
        <w:t>alised management of the safety of controlled drugs in England, releasing annual assurance statements and cross-organisational communication failure can be noted as proximate in future prevention death reports Medicines by coroners (Care Quality Commission (CQC), 2025a). Similarly, the Global Patient Safety Action Plan 2021-2030 by the World Health Organisation guides member states by the third strategic objective that assures the safety of all clinical procedures of high-risk medicines by centrally definin</w:t>
      </w:r>
      <w:r>
        <w:rPr>
          <w:color w:val="000000"/>
        </w:rPr>
        <w:t xml:space="preserve">g and standardising procedures (WHO, 2021). But the case demonstrates weaknesses of centralisation in the absence of corresponding enforcement infrastructure: the Red Drug rule was in place at the national and regional level, but there was no central infrastructure requirement to have the hospital, GP practice and pharmacy linked electronically such that a paper discharge letter could trigger an unsafe prescribing chain. </w:t>
      </w:r>
    </w:p>
    <w:p w14:paraId="7C830694" w14:textId="77777777" w:rsidR="001205BF" w:rsidRDefault="00C24111">
      <w:pPr>
        <w:pStyle w:val="Heading2"/>
        <w:rPr>
          <w:color w:val="000000"/>
        </w:rPr>
      </w:pPr>
      <w:bookmarkStart w:id="13" w:name="_p5veq2ppbzd0" w:colFirst="0" w:colLast="0"/>
      <w:bookmarkEnd w:id="13"/>
      <w:r>
        <w:rPr>
          <w:color w:val="000000"/>
        </w:rPr>
        <w:t xml:space="preserve">3.3 Evidence of Decentralisation </w:t>
      </w:r>
    </w:p>
    <w:p w14:paraId="49A0500E" w14:textId="77777777" w:rsidR="001205BF" w:rsidRDefault="00C24111">
      <w:pPr>
        <w:rPr>
          <w:color w:val="000000"/>
        </w:rPr>
      </w:pPr>
      <w:r>
        <w:rPr>
          <w:color w:val="000000"/>
        </w:rPr>
        <w:t>Complementing this centralised policy layer, day-to-day decision-making in the case was decentralised. The GP practice used its independent clinical judgment to issue an Electronic Prescription Service prescription based on discharge letter, whereas the community pharmacy used its own professional judgment about dispensing, labelling and counselling (NHS Yorkshire, 2023). This reflects broader decentralisation of NHS primary care and community pharmacy contracting, and of NHS Foundation Trusts, which have t</w:t>
      </w:r>
      <w:r>
        <w:rPr>
          <w:color w:val="000000"/>
        </w:rPr>
        <w:t>heir own board and financial autonomy (Charles, 2022). With good support of decentralisation, it can deliver effective local results: an independent assessment of health and social care devolution in Greater Manchester found 11.1 fewer alcohol-related hospital admissions and 14.4 fewer violence-related admissions between 2016 and 2020, due to pooled local budgets and closer relationships between local partners (Britteon et al., 2024). There was also decentralised discretion in this case, but in absence of s</w:t>
      </w:r>
      <w:r>
        <w:rPr>
          <w:color w:val="000000"/>
        </w:rPr>
        <w:t xml:space="preserve">imilar local infrastructure. There was no shared record of care to alert the GP or pharmacist of the Red Drug status, and the query raised by the first community pharmacist was not passed on as a direct clinician-to-clinician communication but as through a receptionist and a pharmacy technician (NHS Yorkshire, 2023). </w:t>
      </w:r>
    </w:p>
    <w:p w14:paraId="262BFF55" w14:textId="77777777" w:rsidR="001205BF" w:rsidRDefault="00C24111">
      <w:pPr>
        <w:pStyle w:val="Heading2"/>
        <w:rPr>
          <w:color w:val="000000"/>
        </w:rPr>
      </w:pPr>
      <w:bookmarkStart w:id="14" w:name="_jhtjdla7l0sp" w:colFirst="0" w:colLast="0"/>
      <w:bookmarkEnd w:id="14"/>
      <w:r>
        <w:rPr>
          <w:color w:val="000000"/>
        </w:rPr>
        <w:t xml:space="preserve">3.4 Critical Evaluation of System Structure </w:t>
      </w:r>
    </w:p>
    <w:p w14:paraId="00EF15FB" w14:textId="77777777" w:rsidR="001205BF" w:rsidRDefault="00C24111">
      <w:pPr>
        <w:rPr>
          <w:color w:val="000000"/>
        </w:rPr>
      </w:pPr>
      <w:r>
        <w:rPr>
          <w:color w:val="000000"/>
        </w:rPr>
        <w:t>In comparison of these two strands of evidence, it can be seen that the case itself lies in a mixed structure where the negative of both his models were merged instead of the positive. The safety rule (secondary-care-only prescribing), was characterised by centralisation, although not centrally by mandating electronic discharge and shared-record infrastructure to support it, which reflects a concern that NHS Trusts often still have significant local discretion over their own information systems (Propper and</w:t>
      </w:r>
      <w:r>
        <w:rPr>
          <w:color w:val="000000"/>
        </w:rPr>
        <w:t xml:space="preserve"> Phillips, 2020). Decentralisation provided the GP and the pharmacy with clinical autonomy without the accountability and information sharing mechanisms that ensure local discretion is safe. The CQC’s review of coroners’ Prevention of Future Death reports similarly found that a lack of effective communication between healthcare providers, both within and across care settings, is a recurring driver of medicines-related deaths, and that failure to update and share critical medicines information across care bo</w:t>
      </w:r>
      <w:r>
        <w:rPr>
          <w:color w:val="000000"/>
        </w:rPr>
        <w:t>undaries is a significant patient safety risk (CQC, 2025a). This has been exacerbated by needlessly hierarchical NHS culture: national staff survey data reveal that about 54% of NHS staff believe they can initiate improvements in their respective field of work that has been declining, and staff participation in decision-making remains among the least effective predictors of engagement throughout the service (West and Wallbank, 2024; NHS Staff Survey Coordination Centre, 2025). This helps explain why the pha</w:t>
      </w:r>
      <w:r>
        <w:rPr>
          <w:color w:val="000000"/>
        </w:rPr>
        <w:t>rmacist’s initial, professionally sound concern was diluted as it passed through several intermediaries instead of reaching prescriber directly. Table 1 below summarises how centralised and decentralised features were evident within this specific case, and where each broke down.</w:t>
      </w:r>
    </w:p>
    <w:p w14:paraId="6F2AF734" w14:textId="77777777" w:rsidR="001205BF" w:rsidRDefault="00C24111">
      <w:pPr>
        <w:rPr>
          <w:color w:val="000000"/>
        </w:rPr>
      </w:pPr>
      <w:r>
        <w:rPr>
          <w:b/>
          <w:bCs/>
          <w:color w:val="000000"/>
        </w:rPr>
        <w:t>Table 1: Centralisation and decentralisation features evident within the infant morphine overdose case study</w:t>
      </w:r>
    </w:p>
    <w:tbl>
      <w:tblPr>
        <w:tblStyle w:val="a"/>
        <w:tblW w:w="9360" w:type="dxa"/>
        <w:tblInd w:w="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000" w:firstRow="0" w:lastRow="0" w:firstColumn="0" w:lastColumn="0" w:noHBand="0" w:noVBand="0"/>
      </w:tblPr>
      <w:tblGrid>
        <w:gridCol w:w="2200"/>
        <w:gridCol w:w="3580"/>
        <w:gridCol w:w="3580"/>
      </w:tblGrid>
      <w:tr w:rsidR="001205BF" w14:paraId="4C188D23" w14:textId="77777777">
        <w:tc>
          <w:tcPr>
            <w:tcW w:w="2200" w:type="dxa"/>
            <w:shd w:val="clear" w:color="auto" w:fill="D9D9D9"/>
            <w:tcMar>
              <w:top w:w="100" w:type="dxa"/>
              <w:bottom w:w="100" w:type="dxa"/>
            </w:tcMar>
            <w:vAlign w:val="center"/>
          </w:tcPr>
          <w:p w14:paraId="5E5A687F" w14:textId="77777777" w:rsidR="001205BF" w:rsidRDefault="00C24111">
            <w:pPr>
              <w:jc w:val="center"/>
              <w:rPr>
                <w:color w:val="000000"/>
              </w:rPr>
            </w:pPr>
            <w:r>
              <w:rPr>
                <w:b/>
                <w:bCs/>
                <w:color w:val="000000"/>
              </w:rPr>
              <w:t>Feature</w:t>
            </w:r>
          </w:p>
        </w:tc>
        <w:tc>
          <w:tcPr>
            <w:tcW w:w="3580" w:type="dxa"/>
            <w:shd w:val="clear" w:color="auto" w:fill="D9D9D9"/>
            <w:tcMar>
              <w:top w:w="100" w:type="dxa"/>
              <w:bottom w:w="100" w:type="dxa"/>
            </w:tcMar>
            <w:vAlign w:val="center"/>
          </w:tcPr>
          <w:p w14:paraId="4D67B703" w14:textId="77777777" w:rsidR="001205BF" w:rsidRDefault="00C24111">
            <w:pPr>
              <w:jc w:val="center"/>
              <w:rPr>
                <w:color w:val="000000"/>
              </w:rPr>
            </w:pPr>
            <w:r>
              <w:rPr>
                <w:b/>
                <w:bCs/>
                <w:color w:val="000000"/>
              </w:rPr>
              <w:t>Centralised evidence in this case</w:t>
            </w:r>
          </w:p>
        </w:tc>
        <w:tc>
          <w:tcPr>
            <w:tcW w:w="3580" w:type="dxa"/>
            <w:shd w:val="clear" w:color="auto" w:fill="D9D9D9"/>
            <w:tcMar>
              <w:top w:w="100" w:type="dxa"/>
              <w:bottom w:w="100" w:type="dxa"/>
            </w:tcMar>
            <w:vAlign w:val="center"/>
          </w:tcPr>
          <w:p w14:paraId="1EE4D6FE" w14:textId="77777777" w:rsidR="001205BF" w:rsidRDefault="00C24111">
            <w:pPr>
              <w:jc w:val="center"/>
              <w:rPr>
                <w:color w:val="000000"/>
              </w:rPr>
            </w:pPr>
            <w:r>
              <w:rPr>
                <w:b/>
                <w:bCs/>
                <w:color w:val="000000"/>
              </w:rPr>
              <w:t>Decentralised evidence in this case</w:t>
            </w:r>
          </w:p>
        </w:tc>
      </w:tr>
      <w:tr w:rsidR="001205BF" w14:paraId="240A5C8A" w14:textId="77777777">
        <w:tc>
          <w:tcPr>
            <w:tcW w:w="2200" w:type="dxa"/>
            <w:tcMar>
              <w:top w:w="100" w:type="dxa"/>
              <w:bottom w:w="100" w:type="dxa"/>
            </w:tcMar>
            <w:vAlign w:val="center"/>
          </w:tcPr>
          <w:p w14:paraId="64EB60C3" w14:textId="77777777" w:rsidR="001205BF" w:rsidRDefault="00C24111">
            <w:pPr>
              <w:rPr>
                <w:color w:val="000000"/>
              </w:rPr>
            </w:pPr>
            <w:r>
              <w:rPr>
                <w:color w:val="000000"/>
              </w:rPr>
              <w:t>Policy setting</w:t>
            </w:r>
          </w:p>
        </w:tc>
        <w:tc>
          <w:tcPr>
            <w:tcW w:w="3580" w:type="dxa"/>
            <w:tcMar>
              <w:top w:w="100" w:type="dxa"/>
              <w:bottom w:w="100" w:type="dxa"/>
            </w:tcMar>
            <w:vAlign w:val="center"/>
          </w:tcPr>
          <w:p w14:paraId="34EC0C01" w14:textId="77777777" w:rsidR="001205BF" w:rsidRDefault="00C24111">
            <w:pPr>
              <w:rPr>
                <w:color w:val="000000"/>
              </w:rPr>
            </w:pPr>
            <w:r>
              <w:rPr>
                <w:color w:val="000000"/>
              </w:rPr>
              <w:t>‘Red Drug’ hospital-only classification set nationally and adopted in regional ICB formulary (NHS Yorkshire, 2023)</w:t>
            </w:r>
          </w:p>
        </w:tc>
        <w:tc>
          <w:tcPr>
            <w:tcW w:w="3580" w:type="dxa"/>
            <w:tcMar>
              <w:top w:w="100" w:type="dxa"/>
              <w:bottom w:w="100" w:type="dxa"/>
            </w:tcMar>
            <w:vAlign w:val="center"/>
          </w:tcPr>
          <w:p w14:paraId="5E95632B" w14:textId="77777777" w:rsidR="001205BF" w:rsidRDefault="00C24111">
            <w:pPr>
              <w:rPr>
                <w:color w:val="000000"/>
              </w:rPr>
            </w:pPr>
            <w:r>
              <w:rPr>
                <w:color w:val="000000"/>
              </w:rPr>
              <w:t>GP practice and community pharmacy retained clinical discretion to interpret and act on handwritten discharge letter</w:t>
            </w:r>
          </w:p>
        </w:tc>
      </w:tr>
      <w:tr w:rsidR="001205BF" w14:paraId="49D6CF72" w14:textId="77777777">
        <w:tc>
          <w:tcPr>
            <w:tcW w:w="2200" w:type="dxa"/>
            <w:tcMar>
              <w:top w:w="100" w:type="dxa"/>
              <w:bottom w:w="100" w:type="dxa"/>
            </w:tcMar>
            <w:vAlign w:val="center"/>
          </w:tcPr>
          <w:p w14:paraId="3C8CCD89" w14:textId="77777777" w:rsidR="001205BF" w:rsidRDefault="00C24111">
            <w:pPr>
              <w:rPr>
                <w:color w:val="000000"/>
              </w:rPr>
            </w:pPr>
            <w:r>
              <w:rPr>
                <w:color w:val="000000"/>
              </w:rPr>
              <w:t>Information systems</w:t>
            </w:r>
          </w:p>
        </w:tc>
        <w:tc>
          <w:tcPr>
            <w:tcW w:w="3580" w:type="dxa"/>
            <w:tcMar>
              <w:top w:w="100" w:type="dxa"/>
              <w:bottom w:w="100" w:type="dxa"/>
            </w:tcMar>
            <w:vAlign w:val="center"/>
          </w:tcPr>
          <w:p w14:paraId="00B5CB7A" w14:textId="77777777" w:rsidR="001205BF" w:rsidRDefault="00C24111">
            <w:pPr>
              <w:rPr>
                <w:color w:val="000000"/>
              </w:rPr>
            </w:pPr>
            <w:r>
              <w:rPr>
                <w:color w:val="000000"/>
              </w:rPr>
              <w:t>National medicines governance and oversight frameworks (CQC controlled drugs regulations; WHO Global Patient Safety Action Plan)</w:t>
            </w:r>
          </w:p>
        </w:tc>
        <w:tc>
          <w:tcPr>
            <w:tcW w:w="3580" w:type="dxa"/>
            <w:tcMar>
              <w:top w:w="100" w:type="dxa"/>
              <w:bottom w:w="100" w:type="dxa"/>
            </w:tcMar>
            <w:vAlign w:val="center"/>
          </w:tcPr>
          <w:p w14:paraId="594BBE77" w14:textId="77777777" w:rsidR="001205BF" w:rsidRDefault="00C24111">
            <w:pPr>
              <w:rPr>
                <w:color w:val="000000"/>
              </w:rPr>
            </w:pPr>
            <w:r>
              <w:rPr>
                <w:color w:val="000000"/>
              </w:rPr>
              <w:t>No shared electronic record or discharge system connected the hospital, GP practice and pharmacy</w:t>
            </w:r>
          </w:p>
        </w:tc>
      </w:tr>
      <w:tr w:rsidR="001205BF" w14:paraId="3C7C714E" w14:textId="77777777">
        <w:tc>
          <w:tcPr>
            <w:tcW w:w="2200" w:type="dxa"/>
            <w:tcMar>
              <w:top w:w="100" w:type="dxa"/>
              <w:bottom w:w="100" w:type="dxa"/>
            </w:tcMar>
            <w:vAlign w:val="center"/>
          </w:tcPr>
          <w:p w14:paraId="50E12327" w14:textId="77777777" w:rsidR="001205BF" w:rsidRDefault="00C24111">
            <w:pPr>
              <w:rPr>
                <w:color w:val="000000"/>
              </w:rPr>
            </w:pPr>
            <w:r>
              <w:rPr>
                <w:color w:val="000000"/>
              </w:rPr>
              <w:t>Accountability</w:t>
            </w:r>
          </w:p>
        </w:tc>
        <w:tc>
          <w:tcPr>
            <w:tcW w:w="3580" w:type="dxa"/>
            <w:tcMar>
              <w:top w:w="100" w:type="dxa"/>
              <w:bottom w:w="100" w:type="dxa"/>
            </w:tcMar>
            <w:vAlign w:val="center"/>
          </w:tcPr>
          <w:p w14:paraId="680E67BB" w14:textId="77777777" w:rsidR="001205BF" w:rsidRDefault="00C24111">
            <w:pPr>
              <w:rPr>
                <w:color w:val="000000"/>
              </w:rPr>
            </w:pPr>
            <w:r>
              <w:rPr>
                <w:color w:val="000000"/>
              </w:rPr>
              <w:t>ICB formally accountable to NHS England for system-wide performance (The King's Fund, 2024)</w:t>
            </w:r>
          </w:p>
        </w:tc>
        <w:tc>
          <w:tcPr>
            <w:tcW w:w="3580" w:type="dxa"/>
            <w:tcMar>
              <w:top w:w="100" w:type="dxa"/>
              <w:bottom w:w="100" w:type="dxa"/>
            </w:tcMar>
            <w:vAlign w:val="center"/>
          </w:tcPr>
          <w:p w14:paraId="0BAE659A" w14:textId="77777777" w:rsidR="001205BF" w:rsidRDefault="00C24111">
            <w:pPr>
              <w:rPr>
                <w:color w:val="000000"/>
              </w:rPr>
            </w:pPr>
            <w:r>
              <w:rPr>
                <w:color w:val="000000"/>
              </w:rPr>
              <w:t>Hospital Trust, GP practice and pharmacy each separately and locally accountable for their own actions</w:t>
            </w:r>
          </w:p>
        </w:tc>
      </w:tr>
      <w:tr w:rsidR="001205BF" w14:paraId="043626D2" w14:textId="77777777">
        <w:tc>
          <w:tcPr>
            <w:tcW w:w="2200" w:type="dxa"/>
            <w:tcMar>
              <w:top w:w="100" w:type="dxa"/>
              <w:bottom w:w="100" w:type="dxa"/>
            </w:tcMar>
            <w:vAlign w:val="center"/>
          </w:tcPr>
          <w:p w14:paraId="0D138532" w14:textId="77777777" w:rsidR="001205BF" w:rsidRDefault="00C24111">
            <w:pPr>
              <w:rPr>
                <w:color w:val="000000"/>
              </w:rPr>
            </w:pPr>
            <w:r>
              <w:rPr>
                <w:color w:val="000000"/>
              </w:rPr>
              <w:t>Communication</w:t>
            </w:r>
          </w:p>
        </w:tc>
        <w:tc>
          <w:tcPr>
            <w:tcW w:w="3580" w:type="dxa"/>
            <w:tcMar>
              <w:top w:w="100" w:type="dxa"/>
              <w:bottom w:w="100" w:type="dxa"/>
            </w:tcMar>
            <w:vAlign w:val="center"/>
          </w:tcPr>
          <w:p w14:paraId="40E98A0F" w14:textId="77777777" w:rsidR="001205BF" w:rsidRDefault="00C24111">
            <w:pPr>
              <w:rPr>
                <w:color w:val="000000"/>
              </w:rPr>
            </w:pPr>
            <w:r>
              <w:rPr>
                <w:color w:val="000000"/>
              </w:rPr>
              <w:t>Standardised national naming and classification rules exist for high-risk medicines</w:t>
            </w:r>
          </w:p>
        </w:tc>
        <w:tc>
          <w:tcPr>
            <w:tcW w:w="3580" w:type="dxa"/>
            <w:tcMar>
              <w:top w:w="100" w:type="dxa"/>
              <w:bottom w:w="100" w:type="dxa"/>
            </w:tcMar>
            <w:vAlign w:val="center"/>
          </w:tcPr>
          <w:p w14:paraId="5A623272" w14:textId="77777777" w:rsidR="001205BF" w:rsidRDefault="00C24111">
            <w:pPr>
              <w:rPr>
                <w:color w:val="000000"/>
              </w:rPr>
            </w:pPr>
            <w:r>
              <w:rPr>
                <w:color w:val="000000"/>
              </w:rPr>
              <w:t>Local discretion over discharge wording (brand name, abbreviation) and how queries were relayed</w:t>
            </w:r>
          </w:p>
        </w:tc>
      </w:tr>
      <w:tr w:rsidR="001205BF" w14:paraId="6500598D" w14:textId="77777777">
        <w:tc>
          <w:tcPr>
            <w:tcW w:w="2200" w:type="dxa"/>
            <w:tcMar>
              <w:top w:w="100" w:type="dxa"/>
              <w:bottom w:w="100" w:type="dxa"/>
            </w:tcMar>
            <w:vAlign w:val="center"/>
          </w:tcPr>
          <w:p w14:paraId="2C7BECE1" w14:textId="77777777" w:rsidR="001205BF" w:rsidRDefault="00C24111">
            <w:pPr>
              <w:rPr>
                <w:color w:val="000000"/>
              </w:rPr>
            </w:pPr>
            <w:r>
              <w:rPr>
                <w:color w:val="000000"/>
              </w:rPr>
              <w:t>Outcome in this case</w:t>
            </w:r>
          </w:p>
        </w:tc>
        <w:tc>
          <w:tcPr>
            <w:tcW w:w="3580" w:type="dxa"/>
            <w:tcMar>
              <w:top w:w="100" w:type="dxa"/>
              <w:bottom w:w="100" w:type="dxa"/>
            </w:tcMar>
            <w:vAlign w:val="center"/>
          </w:tcPr>
          <w:p w14:paraId="293B3C1F" w14:textId="77777777" w:rsidR="001205BF" w:rsidRDefault="00C24111">
            <w:pPr>
              <w:rPr>
                <w:color w:val="000000"/>
              </w:rPr>
            </w:pPr>
            <w:r>
              <w:rPr>
                <w:color w:val="000000"/>
              </w:rPr>
              <w:t>Rule existed nationally but was not locally enforced at any handover point</w:t>
            </w:r>
          </w:p>
        </w:tc>
        <w:tc>
          <w:tcPr>
            <w:tcW w:w="3580" w:type="dxa"/>
            <w:tcMar>
              <w:top w:w="100" w:type="dxa"/>
              <w:bottom w:w="100" w:type="dxa"/>
            </w:tcMar>
            <w:vAlign w:val="center"/>
          </w:tcPr>
          <w:p w14:paraId="607E3692" w14:textId="77777777" w:rsidR="001205BF" w:rsidRDefault="00C24111">
            <w:pPr>
              <w:rPr>
                <w:color w:val="000000"/>
              </w:rPr>
            </w:pPr>
            <w:r>
              <w:rPr>
                <w:color w:val="000000"/>
              </w:rPr>
              <w:t>Local autonomy was exercised without safeguarding infrastructure needed to use it safely</w:t>
            </w:r>
          </w:p>
        </w:tc>
      </w:tr>
    </w:tbl>
    <w:p w14:paraId="5978603F" w14:textId="77777777" w:rsidR="001205BF" w:rsidRDefault="001205BF">
      <w:pPr>
        <w:rPr>
          <w:b/>
          <w:bCs/>
          <w:color w:val="000000"/>
        </w:rPr>
      </w:pPr>
    </w:p>
    <w:p w14:paraId="7A112B8C" w14:textId="77777777" w:rsidR="001205BF" w:rsidRDefault="00C24111">
      <w:pPr>
        <w:pStyle w:val="Heading2"/>
        <w:rPr>
          <w:color w:val="000000"/>
        </w:rPr>
      </w:pPr>
      <w:bookmarkStart w:id="15" w:name="_lhztcpjjqtzi" w:colFirst="0" w:colLast="0"/>
      <w:bookmarkEnd w:id="15"/>
      <w:r>
        <w:rPr>
          <w:color w:val="000000"/>
        </w:rPr>
        <w:t xml:space="preserve">3.5 Impact on Crisis Management and Accountability </w:t>
      </w:r>
    </w:p>
    <w:p w14:paraId="7FC091D1" w14:textId="77777777" w:rsidR="001205BF" w:rsidRDefault="00C24111">
      <w:pPr>
        <w:rPr>
          <w:color w:val="000000"/>
        </w:rPr>
      </w:pPr>
      <w:r>
        <w:rPr>
          <w:color w:val="000000"/>
        </w:rPr>
        <w:t>This hybrid, ill-integrated structure had the overall effect of spreading accountability between at least four organisations to include discharging hospital, GP practice, community pharmacy and regional ICB responsible for medicines optimisation formulary. No single body owned the risk of ‘Red Drug’ transfer of care, which is consistent with wider evidence that ICBs, although accountable to NHS England for system performance, do not always have the levers to compel consistent practice across autonomous prim</w:t>
      </w:r>
      <w:r>
        <w:rPr>
          <w:color w:val="000000"/>
        </w:rPr>
        <w:t>ary care and community pharmacy contractors (The King’s Fund, 2024). This accountability diffusion seems to have avoided effective organisational learning nationally: NHS England confirmed that the same underlying error had already been involved four times since 2018 and one of those previous instances had led to a fatality before this fifth instance happened (NHS Yorkshire, 2023). This repetition suggests that neither centralised regulators nor decentralised local systems had, on their own, established a r</w:t>
      </w:r>
      <w:r>
        <w:rPr>
          <w:color w:val="000000"/>
        </w:rPr>
        <w:t xml:space="preserve">eliable feedback loop capable of preventing recurrence, reinforcing the WHO’s argument that high-reliability systems require centrally coordinated learning and locally embedded safety practice operating together, not in isolation (WHO, 2021). </w:t>
      </w:r>
    </w:p>
    <w:p w14:paraId="19A6F7CA" w14:textId="77777777" w:rsidR="001205BF" w:rsidRDefault="00C24111">
      <w:pPr>
        <w:pStyle w:val="Heading1"/>
        <w:rPr>
          <w:color w:val="000000"/>
        </w:rPr>
      </w:pPr>
      <w:bookmarkStart w:id="16" w:name="_ad65fyome8q2" w:colFirst="0" w:colLast="0"/>
      <w:bookmarkEnd w:id="16"/>
      <w:r>
        <w:rPr>
          <w:color w:val="000000"/>
        </w:rPr>
        <w:t xml:space="preserve">4. LEADERSHIP THEORIES AND APPLICATION TO THE CASE STUDY </w:t>
      </w:r>
    </w:p>
    <w:p w14:paraId="357CB369" w14:textId="77777777" w:rsidR="001205BF" w:rsidRDefault="00C24111">
      <w:pPr>
        <w:pStyle w:val="Heading2"/>
        <w:rPr>
          <w:color w:val="000000"/>
        </w:rPr>
      </w:pPr>
      <w:bookmarkStart w:id="17" w:name="_d1x4ws72zyyc" w:colFirst="0" w:colLast="0"/>
      <w:bookmarkEnd w:id="17"/>
      <w:r>
        <w:rPr>
          <w:color w:val="000000"/>
        </w:rPr>
        <w:t xml:space="preserve">4.1 Transformational Leadership </w:t>
      </w:r>
    </w:p>
    <w:p w14:paraId="0BFB9160" w14:textId="77777777" w:rsidR="001205BF" w:rsidRDefault="00C24111">
      <w:pPr>
        <w:rPr>
          <w:color w:val="000000"/>
        </w:rPr>
      </w:pPr>
      <w:r>
        <w:rPr>
          <w:color w:val="000000"/>
        </w:rPr>
        <w:t>In transformational leadership, where leaders motivate followers using a common vision, empowerment and personalised growth, literature generally relates better patient safety and fewer medication errors (Burns, 1978). Review of nursing work environment concluded that transformational leadership behaviours indirectly decrease medication error by structural empowerment, organisational commitment and job satisfaction, and that regular feedback and professional growth by managers reinforced this influence (Yst</w:t>
      </w:r>
      <w:r>
        <w:rPr>
          <w:color w:val="000000"/>
        </w:rPr>
        <w:t>aas et al., 2023). An example of this approach in action is often noted in the NHS in the form of Salford Royal NHS Foundation Trust, where a consistent practice of involving frontline clinicians in quality improvement and decision-making was linked to 96% MRSA infection rate reduction and a 46% decrease in pressure ulcers. According to this standard, it can be seen that this case lacks evidence of transformational leadership throughout hospital-to-community. There was no shared vision among the staff of th</w:t>
      </w:r>
      <w:r>
        <w:rPr>
          <w:color w:val="000000"/>
        </w:rPr>
        <w:t>e four organisations to safe delivery of this high-risk infant medication; each organisation had reactive responses to matter within their respective boundaries by the time the discharge letter was out.</w:t>
      </w:r>
    </w:p>
    <w:p w14:paraId="4D04B544" w14:textId="77777777" w:rsidR="001205BF" w:rsidRDefault="00C24111">
      <w:pPr>
        <w:pStyle w:val="Heading2"/>
        <w:rPr>
          <w:color w:val="000000"/>
        </w:rPr>
      </w:pPr>
      <w:bookmarkStart w:id="18" w:name="_a66itgmxfzn1" w:colFirst="0" w:colLast="0"/>
      <w:bookmarkEnd w:id="18"/>
      <w:r>
        <w:rPr>
          <w:color w:val="000000"/>
        </w:rPr>
        <w:t xml:space="preserve">4.2 Transactional Leadership </w:t>
      </w:r>
    </w:p>
    <w:p w14:paraId="48AABDAE" w14:textId="77777777" w:rsidR="001205BF" w:rsidRDefault="00C24111">
      <w:pPr>
        <w:rPr>
          <w:color w:val="000000"/>
        </w:rPr>
      </w:pPr>
      <w:r>
        <w:rPr>
          <w:color w:val="000000"/>
        </w:rPr>
        <w:t>Transactional leadership, in turn, is based on definite rules, contingent reward and management by exception, and the correction of deviations is not carried out until they are noticed (Singh et al., 2024). Morphine sulphate (100 micrograms/ml) governing was basically transactional: a fixed rule (‘Red Drug - Hospital Only’) was established, and compliance was expected, not actively observed. When the rule was broken through use of the brand name ‘Oramorph’, ambiguous abbreviation ‘mcg’ and omission of a dos</w:t>
      </w:r>
      <w:r>
        <w:rPr>
          <w:color w:val="000000"/>
        </w:rPr>
        <w:t>e expressed in millilitres – no active management-by-exception mechanism intervened until the point of patient harm (NHS Yorkshire, 2023). This is similar to the Mid Staffordshire Inquiry, which found a culture of target-driven, rule-based performance with no real staff interaction or oversight resulted in a climate of fear, denial, and lack of disclosure that led to unnecessary deaths despite explicit written guidelines being available (Francis, 2013). Data on prescribing mistakes in children also indicate</w:t>
      </w:r>
      <w:r>
        <w:rPr>
          <w:color w:val="000000"/>
        </w:rPr>
        <w:t>s that they are often caused by the poor mechanisms of identifying and remediating the deviation of safe practice, rather than an act of negligence on the part of an individual (Conn et al., 2023). A completely transactional form of high-risk medicine is thus essential but not sufficient. It needs to be coupled with a proactive form of leadership that can to identify and interrupt a mistake in an earlier step in pathway.</w:t>
      </w:r>
    </w:p>
    <w:p w14:paraId="593B9D18" w14:textId="77777777" w:rsidR="001205BF" w:rsidRDefault="00C24111">
      <w:pPr>
        <w:pStyle w:val="Heading2"/>
        <w:rPr>
          <w:color w:val="000000"/>
        </w:rPr>
      </w:pPr>
      <w:bookmarkStart w:id="19" w:name="_gv57nt9mu3j1" w:colFirst="0" w:colLast="0"/>
      <w:bookmarkEnd w:id="19"/>
      <w:r>
        <w:rPr>
          <w:color w:val="000000"/>
        </w:rPr>
        <w:t xml:space="preserve">4.3 Democratic Leadership </w:t>
      </w:r>
    </w:p>
    <w:p w14:paraId="5F06763C" w14:textId="77777777" w:rsidR="001205BF" w:rsidRDefault="00C24111">
      <w:pPr>
        <w:rPr>
          <w:color w:val="000000"/>
        </w:rPr>
      </w:pPr>
      <w:r>
        <w:rPr>
          <w:color w:val="000000"/>
        </w:rPr>
        <w:t>Democratic or participative leadership is an actively engaged leadership style whereby the staff participate in decision-making, which considers professional issues as appropriate initiation to discussions and not as administrative clatter (Elliman, 2026). NHS trusts incorporate this style with ward councils, staff forums, multidisciplinary meetings, report more staff engagement and safer care; scores on staff engagement, and better outcomes on safety are once again a commonly referenced example (Elliman, 2</w:t>
      </w:r>
      <w:r>
        <w:rPr>
          <w:color w:val="000000"/>
        </w:rPr>
        <w:t>026). In present case, the 0.1ml dose volume query was a valid, professionally based question but instead of the directly raised question the clinicians communicated via a pharmacy technician and reception team to the GP practice (NHS Yorkshire, 2023). This is a democratic, negligent failure in democratic and dialogic leadership. The issue of discrepancy between desirable 100 micrograms/ml product and the delivered 10mg/5ml product could have been raised prior to the administration of medicine had the conce</w:t>
      </w:r>
      <w:r>
        <w:rPr>
          <w:color w:val="000000"/>
        </w:rPr>
        <w:t xml:space="preserve">rn of the pharmacist been perceived as an invitation to actual two-way clinical discussion and not a standard administrative query. </w:t>
      </w:r>
    </w:p>
    <w:p w14:paraId="15F2D7CE" w14:textId="77777777" w:rsidR="001205BF" w:rsidRDefault="00C24111">
      <w:pPr>
        <w:pStyle w:val="Heading2"/>
        <w:rPr>
          <w:color w:val="000000"/>
        </w:rPr>
      </w:pPr>
      <w:bookmarkStart w:id="20" w:name="_va3u4xr9xyhw" w:colFirst="0" w:colLast="0"/>
      <w:bookmarkEnd w:id="20"/>
      <w:r>
        <w:rPr>
          <w:color w:val="000000"/>
        </w:rPr>
        <w:t xml:space="preserve">4.4 Theory X and Theory Y Leadership </w:t>
      </w:r>
    </w:p>
    <w:p w14:paraId="204DC4EB" w14:textId="77777777" w:rsidR="001205BF" w:rsidRDefault="00C24111">
      <w:pPr>
        <w:rPr>
          <w:color w:val="000000"/>
        </w:rPr>
      </w:pPr>
      <w:r>
        <w:rPr>
          <w:color w:val="000000"/>
        </w:rPr>
        <w:t xml:space="preserve">The Theory X and Theory Y by McGregor (1960) provide another useful perspective on the assumptions used in this case. A Theory X-driven system presumes that employees need strict management, that regulated procedures and external hazard checks are necessary to perform safely. It has a tendency to be subject to rules like the Red Drug classification with little or no active trust and support to personal professional judgment. A Theory Y-inspired system goes beyond this and also trusts the staff to make good </w:t>
      </w:r>
      <w:r>
        <w:rPr>
          <w:color w:val="000000"/>
        </w:rPr>
        <w:t>judgement and establishes systems that enable this trust (Singh et al., 2024). This case can be seen as a Theory X assumption working in the absence of the corresponding controls being in place. The system believed that professional judgement working at Theory X (formulary rules) would be enough to prevent unsafe prescribing, and at the same time not actively empower and provide the professionals with the resources whom the Theory Y-style professional judgement would have identified the risk correctly but t</w:t>
      </w:r>
      <w:r>
        <w:rPr>
          <w:color w:val="000000"/>
        </w:rPr>
        <w:t xml:space="preserve">hen failed to take action in an authoritative and urgent manner (NHS Yorkshire, 2023). </w:t>
      </w:r>
    </w:p>
    <w:p w14:paraId="62881EFF" w14:textId="77777777" w:rsidR="001205BF" w:rsidRDefault="00C24111">
      <w:pPr>
        <w:pStyle w:val="Heading2"/>
        <w:rPr>
          <w:color w:val="000000"/>
        </w:rPr>
      </w:pPr>
      <w:bookmarkStart w:id="21" w:name="_k8dq6wqn0hh0" w:colFirst="0" w:colLast="0"/>
      <w:bookmarkEnd w:id="21"/>
      <w:r>
        <w:rPr>
          <w:color w:val="000000"/>
        </w:rPr>
        <w:t xml:space="preserve">4.5 Systems Leadership and Connected Leadership </w:t>
      </w:r>
    </w:p>
    <w:p w14:paraId="1B19FC3F" w14:textId="77777777" w:rsidR="001205BF" w:rsidRDefault="00C24111">
      <w:pPr>
        <w:rPr>
          <w:color w:val="000000"/>
        </w:rPr>
      </w:pPr>
      <w:r>
        <w:rPr>
          <w:color w:val="000000"/>
        </w:rPr>
        <w:t>Systems leadership demands leaders to operate across organisational lines in pursuit of common deliverables, as opposed to maximising performance in their individual organisation (Silburn, 2025). The Connected Leadership model also emphasises that good leaders are goal-oriented and are fully present to those nearby, with trusting that exist across, rather than inside teams. The King’s Fund has argued that success of ICSs depends on leaders at every level adopting genuinely ‘system-focused’ behaviours, rathe</w:t>
      </w:r>
      <w:r>
        <w:rPr>
          <w:color w:val="000000"/>
        </w:rPr>
        <w:t xml:space="preserve">r than defending organisational boundaries, since formal accountability arrangements alone cannot substitute for this cultural shift (The King’s Fund, 2024). This case illustrates the price of not having it: hospital pharmacist, GP and community pharmacists all performed well within their respective organisational remit. But no one was in a systems-leadership role cut across hospital-to-home pathway, so that a hazard evident at the boundary between organisations was not owned by anyone who could have taken </w:t>
      </w:r>
      <w:r>
        <w:rPr>
          <w:color w:val="000000"/>
        </w:rPr>
        <w:t xml:space="preserve">decisive action to accommodate it. </w:t>
      </w:r>
    </w:p>
    <w:p w14:paraId="4EEECE09" w14:textId="77777777" w:rsidR="001205BF" w:rsidRDefault="00C24111">
      <w:pPr>
        <w:pStyle w:val="Heading2"/>
        <w:rPr>
          <w:color w:val="000000"/>
        </w:rPr>
      </w:pPr>
      <w:bookmarkStart w:id="22" w:name="_qz57tg2cumhv" w:colFirst="0" w:colLast="0"/>
      <w:bookmarkEnd w:id="22"/>
      <w:r>
        <w:rPr>
          <w:color w:val="000000"/>
        </w:rPr>
        <w:t xml:space="preserve">4.6 Leadership Effectiveness Evaluation </w:t>
      </w:r>
    </w:p>
    <w:p w14:paraId="3A62FE3F" w14:textId="77777777" w:rsidR="001205BF" w:rsidRDefault="00C24111">
      <w:pPr>
        <w:rPr>
          <w:color w:val="000000"/>
        </w:rPr>
      </w:pPr>
      <w:r>
        <w:rPr>
          <w:color w:val="000000"/>
        </w:rPr>
        <w:t xml:space="preserve">Leadership throughout this case was reactive and command-oriented instead of proactive and purpose-oriented. Both organisations acted in accordance with instruction it had been given instead of getting out there to assess it against underlying clinical purpose. This is consistent with wider NHS trends: the 2024 national staff survey recorded a small fall in the staff engagement score, from 6.89 to 6.85 out of 10, and 2025 figures showed several engagement and voice measures at their lowest recorded levels, </w:t>
      </w:r>
      <w:r>
        <w:rPr>
          <w:color w:val="000000"/>
        </w:rPr>
        <w:t xml:space="preserve">including a fall in proportion of staff who feel able to make improvements happen in their own area of work (West and Wallbank, 2024; NHS Staff Survey Coordination Centre, 2025). A similar delegation of control was found in Green et al. (2015) review of Southern Health NHS Foundation Trust, in which little managerial follow-up of delegated duties left more than 1,000 unexpected deaths without any effective investigation over the years 2011-2015. In this instance, delegation without active management was as </w:t>
      </w:r>
      <w:r>
        <w:rPr>
          <w:color w:val="000000"/>
        </w:rPr>
        <w:t xml:space="preserve">harmful as central control. Because the impact of staff contribution to decision-making has been recognised as the only outstanding force behind NHS staff engagement, a more distributed, emotionally intelligent, and psychologically safe culture of leadership, one that treats the hesitation of a pharmacist or GP regarding dosage as a “red flag” that needs to be investigated on spot, and not just a regular, administrative query, is likely to have prevented this incident earlier on in the pathway. </w:t>
      </w:r>
    </w:p>
    <w:p w14:paraId="02C07B9A" w14:textId="77777777" w:rsidR="001205BF" w:rsidRDefault="00C24111">
      <w:pPr>
        <w:pStyle w:val="Heading1"/>
        <w:rPr>
          <w:color w:val="000000"/>
        </w:rPr>
      </w:pPr>
      <w:bookmarkStart w:id="23" w:name="_ssnqtosaqqp" w:colFirst="0" w:colLast="0"/>
      <w:bookmarkEnd w:id="23"/>
      <w:r>
        <w:rPr>
          <w:color w:val="000000"/>
        </w:rPr>
        <w:t xml:space="preserve">5. IMPROVEMENT AND LESSONS LEARNED </w:t>
      </w:r>
    </w:p>
    <w:p w14:paraId="2D5265B7" w14:textId="77777777" w:rsidR="001205BF" w:rsidRDefault="00C24111">
      <w:pPr>
        <w:pStyle w:val="Heading2"/>
        <w:rPr>
          <w:color w:val="000000"/>
        </w:rPr>
      </w:pPr>
      <w:bookmarkStart w:id="24" w:name="_dc3khu5cckib" w:colFirst="0" w:colLast="0"/>
      <w:bookmarkEnd w:id="24"/>
      <w:r>
        <w:rPr>
          <w:color w:val="000000"/>
        </w:rPr>
        <w:t xml:space="preserve">5.1 Leadership and Governance Interaction </w:t>
      </w:r>
    </w:p>
    <w:p w14:paraId="4D14DBBF" w14:textId="77777777" w:rsidR="001205BF" w:rsidRDefault="00C24111">
      <w:pPr>
        <w:rPr>
          <w:color w:val="000000"/>
        </w:rPr>
      </w:pPr>
      <w:r>
        <w:rPr>
          <w:color w:val="000000"/>
        </w:rPr>
        <w:t>There was the interaction of leadership and governing to generate rather than to prevent harm. Good safety leadership not only involves following and investigating after the incidents but also monitoring (and incorporating improvements) into the wider system, which is the role of good governance (Fukami, 2025), and key role of leaders in directing the national policy, including the Red Drug classification, to locally enforceable, monitored practice (Restivo et al., 2022). The governance structures in this i</w:t>
      </w:r>
      <w:r>
        <w:rPr>
          <w:color w:val="000000"/>
        </w:rPr>
        <w:t>nstance were on paper the ICB formulary, the CQC controlled drugs oversight framework, the WHO Global Patient Safety Action Plan, but none of the leaders directly involved in the care of the baby were resourced or planted to activate any of them at the risk level. Globally, an interim assessment of the Global Patient Safety Action Plan by the WHO itself revealed that, as of 2023, 18% of the countries had set national goals on medication-related harm reduction, which is why the identified deficiency in gover</w:t>
      </w:r>
      <w:r>
        <w:rPr>
          <w:color w:val="000000"/>
        </w:rPr>
        <w:t xml:space="preserve">ning practices locally is also part of a broader international trend of policy intentions overtaking actions (WHO, 2023). This is a broader trend established by the CQC, which discovered that a lack of sharing of critical medicines information across care settings are present in a range of coroners reports on avoidable deaths, suggesting a governance gap and not an individual leadership failure (CQC, 2025a). </w:t>
      </w:r>
    </w:p>
    <w:p w14:paraId="343F1D0F" w14:textId="77777777" w:rsidR="001205BF" w:rsidRDefault="00C24111">
      <w:pPr>
        <w:pStyle w:val="Heading2"/>
        <w:rPr>
          <w:color w:val="000000"/>
        </w:rPr>
      </w:pPr>
      <w:bookmarkStart w:id="25" w:name="_71aws549sox6" w:colFirst="0" w:colLast="0"/>
      <w:bookmarkEnd w:id="25"/>
      <w:r>
        <w:rPr>
          <w:color w:val="000000"/>
        </w:rPr>
        <w:t xml:space="preserve">5.2 Root Cause Analysis </w:t>
      </w:r>
    </w:p>
    <w:p w14:paraId="744A86C9" w14:textId="77777777" w:rsidR="001205BF" w:rsidRDefault="00C24111">
      <w:pPr>
        <w:rPr>
          <w:color w:val="000000"/>
        </w:rPr>
      </w:pPr>
      <w:r>
        <w:rPr>
          <w:color w:val="000000"/>
        </w:rPr>
        <w:t>Use of root cause analysis tools helps explain how several minor failures turned into one serious event. The fishbone (Ishikawa) diagram in Appendix B groups contributory causes under categories including People (unfamiliarity among GPs and pharmacists with the 100 micrograms/ml specials product), Process (absence of a formal medicines reconciliation step and no requirement to state dose in both micrograms and millilitres), Communication (use of the brand name ‘Oramorph’, ambiguous abbreviation ‘mcg’, and i</w:t>
      </w:r>
      <w:r>
        <w:rPr>
          <w:color w:val="000000"/>
        </w:rPr>
        <w:t xml:space="preserve">ndirect relay of the pharmacist’s query through non-clinical staff) and Equipment (no 1ml oral syringe supplied to the parents). Using the Five Whys method in Appendix C, working backward, starting with the question, why did the infant receive a 20-fold overdose, to why was the wrong strength supplied, why did neither the GP nor the pharmacist realise the mistake, and why was the Red Drug status not communicated across the boundaries of care by anyone, reveals a root cause in line with the broader analysis </w:t>
      </w:r>
      <w:r>
        <w:rPr>
          <w:color w:val="000000"/>
        </w:rPr>
        <w:t xml:space="preserve">in Section 2 (Silburn, 2025). </w:t>
      </w:r>
    </w:p>
    <w:p w14:paraId="6A21D204" w14:textId="77777777" w:rsidR="001205BF" w:rsidRDefault="00C24111">
      <w:pPr>
        <w:pStyle w:val="Heading2"/>
        <w:rPr>
          <w:color w:val="000000"/>
        </w:rPr>
      </w:pPr>
      <w:bookmarkStart w:id="26" w:name="_t5kaj8c2q0l2" w:colFirst="0" w:colLast="0"/>
      <w:bookmarkEnd w:id="26"/>
      <w:r>
        <w:rPr>
          <w:color w:val="000000"/>
        </w:rPr>
        <w:t xml:space="preserve">5.3 Missed Opportunities </w:t>
      </w:r>
    </w:p>
    <w:p w14:paraId="2E82CD2E" w14:textId="77777777" w:rsidR="001205BF" w:rsidRDefault="00C24111">
      <w:pPr>
        <w:numPr>
          <w:ilvl w:val="0"/>
          <w:numId w:val="1"/>
        </w:numPr>
        <w:spacing w:after="0"/>
        <w:rPr>
          <w:color w:val="000000"/>
        </w:rPr>
      </w:pPr>
      <w:r>
        <w:rPr>
          <w:color w:val="000000"/>
        </w:rPr>
        <w:t xml:space="preserve">Initially, the hospital pharmacist reviewing the discharge summary could have had a chance to note the Red Drug and prevent the request to remain forwarded to the GP, yet such a review was not incorporated into the discharge process (NHS Yorkshire, 2023). </w:t>
      </w:r>
    </w:p>
    <w:p w14:paraId="6B061C80" w14:textId="77777777" w:rsidR="001205BF" w:rsidRDefault="00C24111">
      <w:pPr>
        <w:numPr>
          <w:ilvl w:val="0"/>
          <w:numId w:val="1"/>
        </w:numPr>
        <w:spacing w:after="0"/>
        <w:rPr>
          <w:color w:val="000000"/>
        </w:rPr>
      </w:pPr>
      <w:r>
        <w:rPr>
          <w:color w:val="000000"/>
        </w:rPr>
        <w:t xml:space="preserve">Secondly, the GP practice and community pharmacy did not request the parents to bring in the current medicine bottle of the infant, a measure that would have probably detected difference between the 100 micrograms/ml product that the family had been getting and 10mg/5ml product that was being prescribed. </w:t>
      </w:r>
    </w:p>
    <w:p w14:paraId="64803C94" w14:textId="77777777" w:rsidR="001205BF" w:rsidRDefault="00C24111">
      <w:pPr>
        <w:numPr>
          <w:ilvl w:val="0"/>
          <w:numId w:val="1"/>
        </w:numPr>
        <w:spacing w:after="0"/>
        <w:rPr>
          <w:color w:val="000000"/>
        </w:rPr>
      </w:pPr>
      <w:r>
        <w:rPr>
          <w:color w:val="000000"/>
        </w:rPr>
        <w:t xml:space="preserve">Third, issue with dose volume of 0.1ml was not upgraded to a direct clinician-to-clinician dialog, despite this being the best practice in any complex, high-risk dosing inquiries (NHS Yorkshire, 2023). </w:t>
      </w:r>
    </w:p>
    <w:p w14:paraId="26A0F121" w14:textId="77777777" w:rsidR="001205BF" w:rsidRDefault="00C24111">
      <w:pPr>
        <w:numPr>
          <w:ilvl w:val="0"/>
          <w:numId w:val="1"/>
        </w:numPr>
        <w:rPr>
          <w:color w:val="000000"/>
        </w:rPr>
      </w:pPr>
      <w:r>
        <w:rPr>
          <w:color w:val="000000"/>
        </w:rPr>
        <w:t>Fourth, there was a lack of a 1ml oral syringe to provide assistance to the parents based on the advice on the appropriate volume of the dose (to eliminate a final chance to show them the amount required) and provide them.</w:t>
      </w:r>
    </w:p>
    <w:p w14:paraId="074F4008" w14:textId="77777777" w:rsidR="001205BF" w:rsidRDefault="00C24111">
      <w:pPr>
        <w:pStyle w:val="Heading2"/>
        <w:rPr>
          <w:color w:val="000000"/>
        </w:rPr>
      </w:pPr>
      <w:bookmarkStart w:id="27" w:name="_t5k128jzd4z1" w:colFirst="0" w:colLast="0"/>
      <w:bookmarkEnd w:id="27"/>
      <w:r>
        <w:rPr>
          <w:color w:val="000000"/>
        </w:rPr>
        <w:t xml:space="preserve">5.4 Evidence-Based Improvements </w:t>
      </w:r>
    </w:p>
    <w:p w14:paraId="06581980" w14:textId="77777777" w:rsidR="001205BF" w:rsidRDefault="00C24111">
      <w:pPr>
        <w:rPr>
          <w:color w:val="000000"/>
        </w:rPr>
      </w:pPr>
      <w:r>
        <w:rPr>
          <w:color w:val="000000"/>
        </w:rPr>
        <w:t>Mapping each problem to supporting data and a corresponding improvement demonstrates how evidence can directly inform practice change.</w:t>
      </w:r>
    </w:p>
    <w:p w14:paraId="7CD6E584" w14:textId="77777777" w:rsidR="001205BF" w:rsidRDefault="00C24111">
      <w:pPr>
        <w:rPr>
          <w:color w:val="000000"/>
        </w:rPr>
      </w:pPr>
      <w:r>
        <w:rPr>
          <w:b/>
          <w:bCs/>
          <w:color w:val="000000"/>
        </w:rPr>
        <w:t>Problem:</w:t>
      </w:r>
      <w:r>
        <w:rPr>
          <w:color w:val="000000"/>
        </w:rPr>
        <w:t xml:space="preserve"> High-risk medicines information was communicated using a brand name and an ambiguous abbreviation.</w:t>
      </w:r>
      <w:r>
        <w:rPr>
          <w:b/>
          <w:bCs/>
          <w:color w:val="000000"/>
        </w:rPr>
        <w:t xml:space="preserve"> Data:</w:t>
      </w:r>
      <w:r>
        <w:rPr>
          <w:color w:val="000000"/>
        </w:rPr>
        <w:t xml:space="preserve"> CQC analysis of coroners’ Prevention of Future Death reports from 2023 to 2024 found that failure to share and update critical medicines information across care settings is a recurring, significant risk to patient safety (CQC, 2025a). </w:t>
      </w:r>
      <w:r>
        <w:rPr>
          <w:b/>
          <w:bCs/>
          <w:color w:val="000000"/>
        </w:rPr>
        <w:t>Improvement:</w:t>
      </w:r>
      <w:r>
        <w:rPr>
          <w:color w:val="000000"/>
        </w:rPr>
        <w:t xml:space="preserve"> Require full generic drug names, clear strength, and dose to be used in all discharge summaries, prescriptions and dispensing labels, as suggested by NHS Yorkshire (2023).</w:t>
      </w:r>
    </w:p>
    <w:p w14:paraId="5B2FE4A0" w14:textId="77777777" w:rsidR="001205BF" w:rsidRDefault="00C24111">
      <w:pPr>
        <w:rPr>
          <w:color w:val="000000"/>
        </w:rPr>
      </w:pPr>
      <w:r>
        <w:rPr>
          <w:b/>
          <w:bCs/>
          <w:color w:val="000000"/>
        </w:rPr>
        <w:t>Problem:</w:t>
      </w:r>
      <w:r>
        <w:rPr>
          <w:color w:val="000000"/>
        </w:rPr>
        <w:t xml:space="preserve"> Discharge summary was written by hand and could not be checked and flagged as Red Drug quite systematically. </w:t>
      </w:r>
      <w:r>
        <w:rPr>
          <w:b/>
          <w:bCs/>
          <w:color w:val="000000"/>
        </w:rPr>
        <w:t>Data:</w:t>
      </w:r>
      <w:r>
        <w:rPr>
          <w:color w:val="000000"/>
        </w:rPr>
        <w:t xml:space="preserve"> The WHO Global Patient Safety Action Plan states that the safety of clinical processes with high-risk medicines is a strategic goal that needs standardised, preferably digital, operating procedures (WHO, 2021). </w:t>
      </w:r>
      <w:r>
        <w:rPr>
          <w:b/>
          <w:bCs/>
          <w:color w:val="000000"/>
        </w:rPr>
        <w:t xml:space="preserve">Improvement: </w:t>
      </w:r>
      <w:r>
        <w:rPr>
          <w:color w:val="000000"/>
        </w:rPr>
        <w:t>expedite the adoption of electronic discharge and prescribing systems, including with automated Red Drug flagging, in accordance with national policy on e-prescribing.</w:t>
      </w:r>
    </w:p>
    <w:p w14:paraId="5762A8B6" w14:textId="77777777" w:rsidR="001205BF" w:rsidRDefault="00C24111">
      <w:pPr>
        <w:rPr>
          <w:color w:val="000000"/>
        </w:rPr>
      </w:pPr>
      <w:r>
        <w:rPr>
          <w:b/>
          <w:bCs/>
          <w:color w:val="000000"/>
        </w:rPr>
        <w:t>Problem:</w:t>
      </w:r>
      <w:r>
        <w:rPr>
          <w:color w:val="000000"/>
        </w:rPr>
        <w:t xml:space="preserve"> Professional issues were diluted through non-clinical intermediaries. </w:t>
      </w:r>
      <w:r>
        <w:rPr>
          <w:b/>
          <w:bCs/>
          <w:color w:val="000000"/>
        </w:rPr>
        <w:t>Data:</w:t>
      </w:r>
      <w:r>
        <w:rPr>
          <w:color w:val="000000"/>
        </w:rPr>
        <w:t xml:space="preserve"> NHS staff survey data indicate that decision-making involvement is the strongest predictor of NHS staff engagement, but remains relatively weak in service overall (West and Wallbank, 2024). </w:t>
      </w:r>
      <w:r>
        <w:rPr>
          <w:b/>
          <w:bCs/>
          <w:color w:val="000000"/>
        </w:rPr>
        <w:t xml:space="preserve">Improvement: </w:t>
      </w:r>
      <w:r>
        <w:rPr>
          <w:color w:val="000000"/>
        </w:rPr>
        <w:t xml:space="preserve">Create a direct, mandatory clinician-to-clinician route of inquiries about high-caution medicines or complicated paediatric patients, integrated into a just culture framework that interprets such inquiries with safety prospects instead of delays (Kumah, 2025). </w:t>
      </w:r>
    </w:p>
    <w:p w14:paraId="7EEF3F1B" w14:textId="77777777" w:rsidR="001205BF" w:rsidRDefault="00C24111">
      <w:pPr>
        <w:pStyle w:val="Heading2"/>
        <w:rPr>
          <w:color w:val="000000"/>
        </w:rPr>
      </w:pPr>
      <w:bookmarkStart w:id="28" w:name="_j4gk7lr1bfra" w:colFirst="0" w:colLast="0"/>
      <w:bookmarkEnd w:id="28"/>
      <w:r>
        <w:rPr>
          <w:color w:val="000000"/>
        </w:rPr>
        <w:t xml:space="preserve">5.5 Lessons for Other Organisations </w:t>
      </w:r>
    </w:p>
    <w:p w14:paraId="3B54EBB7" w14:textId="77777777" w:rsidR="001205BF" w:rsidRDefault="00C24111">
      <w:pPr>
        <w:rPr>
          <w:color w:val="000000"/>
        </w:rPr>
      </w:pPr>
      <w:r>
        <w:rPr>
          <w:color w:val="000000"/>
        </w:rPr>
        <w:t>These results indicate that there is no separation between system structure and leadership style or between system structure and organisational learning. Effectiveness of a centralised safety rule is no greater than the decentralised infrastructure and leadership culture which puts it into practice during care; and the opposite also holds. For other organisations in health and social care, recursive incident data, including five cases of morphine overdose throughout the country since 2018, are to be used to</w:t>
      </w:r>
      <w:r>
        <w:rPr>
          <w:color w:val="000000"/>
        </w:rPr>
        <w:t xml:space="preserve"> initiate structural, system-level audit rather than follow-up investigations, which are recurring and limited to the particular organisation (NHS Yorkshire, 2023). Persistent and evidence-based learning embedded, including incident data analysis, staff survey results, and patient safety models like the Patient Safety Incident Response Framework, can provide an effective mechanism to translate standalone safety lessons into system-wide accountability (Sussex Community NHS Foundation Trust, 2025). </w:t>
      </w:r>
    </w:p>
    <w:p w14:paraId="43E39D87" w14:textId="77777777" w:rsidR="001205BF" w:rsidRDefault="00C24111">
      <w:pPr>
        <w:pStyle w:val="Heading1"/>
        <w:rPr>
          <w:color w:val="000000"/>
        </w:rPr>
      </w:pPr>
      <w:bookmarkStart w:id="29" w:name="_pnpjtc91shd6" w:colFirst="0" w:colLast="0"/>
      <w:bookmarkEnd w:id="29"/>
      <w:r>
        <w:rPr>
          <w:color w:val="000000"/>
        </w:rPr>
        <w:t xml:space="preserve">6. RECOMMENDATIONS </w:t>
      </w:r>
    </w:p>
    <w:p w14:paraId="0E1F19EA" w14:textId="77777777" w:rsidR="001205BF" w:rsidRDefault="00C24111">
      <w:pPr>
        <w:pStyle w:val="Heading2"/>
        <w:rPr>
          <w:color w:val="000000"/>
        </w:rPr>
      </w:pPr>
      <w:bookmarkStart w:id="30" w:name="_1lrtnsqaymah" w:colFirst="0" w:colLast="0"/>
      <w:bookmarkEnd w:id="30"/>
      <w:r>
        <w:rPr>
          <w:color w:val="000000"/>
        </w:rPr>
        <w:t xml:space="preserve">6.1 Leadership Recommendations </w:t>
      </w:r>
    </w:p>
    <w:p w14:paraId="5A31DFA0" w14:textId="77777777" w:rsidR="001205BF" w:rsidRDefault="00C24111">
      <w:pPr>
        <w:rPr>
          <w:color w:val="000000"/>
        </w:rPr>
      </w:pPr>
      <w:r>
        <w:rPr>
          <w:color w:val="000000"/>
        </w:rPr>
        <w:t>The organisations involved are supposed to embrace a blended leadership style that merges transactional rigour over high-risk medicines rules with transformational and related leadership that can cut across the organisational borders (Ystaas et al., 2023; Silburn, 2025). Hospital, GP practice and community pharmacy level leaders must be clearly identified as owners of high-risk medicine transfer of care pathways and have the power to act directly but not based solely on rules. This aligns with the Healthcar</w:t>
      </w:r>
      <w:r>
        <w:rPr>
          <w:color w:val="000000"/>
        </w:rPr>
        <w:t>e Leadership Model created by NHS Leadership Academy, which expressly challenges leaders to engage the group and develop a shared purpose beyond organisational borders (NHS Leadership Academy, 2026). Since compassionate, supportive leadership is closely interrelated with engagement of staff, fewer errors and fewer avoidable deaths, development programmes in leadership in primary and secondary care should focus on attributes of psychological safety and enthusiastic listening, such that when a pharmacist or G</w:t>
      </w:r>
      <w:r>
        <w:rPr>
          <w:color w:val="000000"/>
        </w:rPr>
        <w:t xml:space="preserve">P holds back, it acts as a warning episode instead of an administrative burden. </w:t>
      </w:r>
    </w:p>
    <w:p w14:paraId="465CF11D" w14:textId="77777777" w:rsidR="001205BF" w:rsidRDefault="00C24111">
      <w:pPr>
        <w:pStyle w:val="Heading2"/>
        <w:rPr>
          <w:color w:val="000000"/>
        </w:rPr>
      </w:pPr>
      <w:bookmarkStart w:id="31" w:name="_605godinta3t" w:colFirst="0" w:colLast="0"/>
      <w:bookmarkEnd w:id="31"/>
      <w:r>
        <w:rPr>
          <w:color w:val="000000"/>
        </w:rPr>
        <w:t xml:space="preserve">6.2 Governance Recommendations </w:t>
      </w:r>
    </w:p>
    <w:p w14:paraId="769AC644" w14:textId="77777777" w:rsidR="001205BF" w:rsidRDefault="00C24111">
      <w:pPr>
        <w:rPr>
          <w:color w:val="000000"/>
        </w:rPr>
      </w:pPr>
      <w:r>
        <w:rPr>
          <w:color w:val="000000"/>
        </w:rPr>
        <w:t>NHS Trusts and ICBs can reconsider and standardise the discharge process of all Red Drugs and other high-risk specialist medicines and a compulsory hospital pharmacist review step be introduced before a medicine of this type is handed to a GP to continue (NHS Yorkshire, 2023). The equipment and systems that should be given priority in maternity and neonatal services are electronic discharge summary systems that have automated Red Drug flagging because the WHO recommends standard and high-reliability clinica</w:t>
      </w:r>
      <w:r>
        <w:rPr>
          <w:color w:val="000000"/>
        </w:rPr>
        <w:t>l processes (WHO, 2021). This proposed line of governance on high-risk medicines on occasion of hospital discharge is depicted in Appendix B. Shared audit of cross-boundary medicines communication should be reinforced by regional and national agencies such as NHS England and CQC-registered Controlled Drugs Accountable Officers, which should build on current controlled drugs oversight framework established by the CQC (CQC, 2025a). Recent examination of health and social care in England issued by the CQC also</w:t>
      </w:r>
      <w:r>
        <w:rPr>
          <w:color w:val="000000"/>
        </w:rPr>
        <w:t xml:space="preserve"> cautions that under-investment in community- and primary-care services can result in erosion of the type of cross-boundary safety infrastructure that would disrupt, or rather prevent, situations like this one (CQC, 2025c). </w:t>
      </w:r>
    </w:p>
    <w:p w14:paraId="2AB50BA7" w14:textId="77777777" w:rsidR="001205BF" w:rsidRDefault="00C24111">
      <w:pPr>
        <w:jc w:val="center"/>
        <w:rPr>
          <w:color w:val="000000"/>
        </w:rPr>
      </w:pPr>
      <w:r>
        <w:rPr>
          <w:noProof/>
          <w:color w:val="000000"/>
        </w:rPr>
        <w:drawing>
          <wp:inline distT="114300" distB="114300" distL="114300" distR="114300" wp14:anchorId="1D0B7EF5" wp14:editId="5D124E73">
            <wp:extent cx="5943600" cy="3600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t="9135"/>
                    <a:stretch>
                      <a:fillRect/>
                    </a:stretch>
                  </pic:blipFill>
                  <pic:spPr>
                    <a:xfrm>
                      <a:off x="0" y="0"/>
                      <a:ext cx="5943600" cy="3600450"/>
                    </a:xfrm>
                    <a:prstGeom prst="rect">
                      <a:avLst/>
                    </a:prstGeom>
                    <a:ln/>
                  </pic:spPr>
                </pic:pic>
              </a:graphicData>
            </a:graphic>
          </wp:inline>
        </w:drawing>
      </w:r>
    </w:p>
    <w:p w14:paraId="7E8CBD30" w14:textId="77777777" w:rsidR="001205BF" w:rsidRDefault="00C24111">
      <w:pPr>
        <w:jc w:val="center"/>
        <w:rPr>
          <w:b/>
          <w:bCs/>
          <w:i/>
          <w:iCs/>
          <w:color w:val="000000"/>
        </w:rPr>
      </w:pPr>
      <w:r>
        <w:rPr>
          <w:b/>
          <w:bCs/>
          <w:i/>
          <w:iCs/>
          <w:color w:val="000000"/>
        </w:rPr>
        <w:t xml:space="preserve">Figure 1: Governance and accountability structure </w:t>
      </w:r>
    </w:p>
    <w:p w14:paraId="7842CB20" w14:textId="77777777" w:rsidR="001205BF" w:rsidRDefault="00C24111">
      <w:pPr>
        <w:pStyle w:val="Heading2"/>
        <w:rPr>
          <w:color w:val="000000"/>
        </w:rPr>
      </w:pPr>
      <w:bookmarkStart w:id="32" w:name="_5a8lajkl6fyi" w:colFirst="0" w:colLast="0"/>
      <w:bookmarkEnd w:id="32"/>
      <w:r>
        <w:rPr>
          <w:color w:val="000000"/>
        </w:rPr>
        <w:t xml:space="preserve">6.3 Communication and Integration </w:t>
      </w:r>
    </w:p>
    <w:p w14:paraId="35779205" w14:textId="77777777" w:rsidR="001205BF" w:rsidRDefault="00C24111">
      <w:pPr>
        <w:rPr>
          <w:color w:val="000000"/>
        </w:rPr>
      </w:pPr>
      <w:r>
        <w:rPr>
          <w:color w:val="000000"/>
        </w:rPr>
        <w:t>Any medicines query relating to any high-risk drugs, paediatric patients, or mismatch between the supplied product and a prescription should presuppose the introduction of a mandatory direct clinician-to-clinician communication procedure that replaces an indirect relay by receptionists or administrative personnel (NHS Yorkshire, 2023). Clinical communication by specialist formulations involving the use of brand names should be avoided and all doses should be given in quantity and volume, as is central to re</w:t>
      </w:r>
      <w:r>
        <w:rPr>
          <w:color w:val="000000"/>
        </w:rPr>
        <w:t xml:space="preserve">commendation within the case study itself. Greater usage of community pharmacy Discharge Medicines Service would enhance integration between the hospital discharge and primary care follow-up of patients like this infant (NHS Yorkshire, 2023). </w:t>
      </w:r>
    </w:p>
    <w:p w14:paraId="4729AC59" w14:textId="77777777" w:rsidR="001205BF" w:rsidRDefault="00C24111">
      <w:pPr>
        <w:pStyle w:val="Heading2"/>
        <w:rPr>
          <w:color w:val="000000"/>
        </w:rPr>
      </w:pPr>
      <w:bookmarkStart w:id="33" w:name="_wf759w27qmp0" w:colFirst="0" w:colLast="0"/>
      <w:bookmarkEnd w:id="33"/>
      <w:r>
        <w:rPr>
          <w:color w:val="000000"/>
        </w:rPr>
        <w:t xml:space="preserve">6.4 Technical and Allocative Efficiency </w:t>
      </w:r>
    </w:p>
    <w:p w14:paraId="24C5A6B4" w14:textId="77777777" w:rsidR="001205BF" w:rsidRDefault="00C24111">
      <w:pPr>
        <w:rPr>
          <w:color w:val="000000"/>
        </w:rPr>
      </w:pPr>
      <w:r>
        <w:rPr>
          <w:color w:val="000000"/>
        </w:rPr>
        <w:t>The investment in widespread electronic prescribing and discharge infrastructure is neither a technical nor an allocative efficiency gain. Technically, since these systems will decline the resource cost of repetitive, avoidable emergency treatment episodes like this infant needed naloxone treatment, and allocatively, since directing limited medicines-safety funds to high-risk transfer-of-care pathways will address one of the largest causes of avoidable harm, estimated to incur the global health system appro</w:t>
      </w:r>
      <w:r>
        <w:rPr>
          <w:color w:val="000000"/>
        </w:rPr>
        <w:t xml:space="preserve">ximately $42 billion every year (WHO, 2022; York Health Economics Consortium, 2016). Since unsafe medication practices constitute a significant portion of avoidable harm expenditure, investment in this particular pathway would be a better value than less targeted, general safety expenditure (The Health Foundation, 2024). </w:t>
      </w:r>
    </w:p>
    <w:p w14:paraId="4D990F19" w14:textId="77777777" w:rsidR="001205BF" w:rsidRDefault="00C24111">
      <w:pPr>
        <w:pStyle w:val="Heading2"/>
        <w:rPr>
          <w:color w:val="000000"/>
        </w:rPr>
      </w:pPr>
      <w:bookmarkStart w:id="34" w:name="_ykgnocqiy04q" w:colFirst="0" w:colLast="0"/>
      <w:bookmarkEnd w:id="34"/>
      <w:r>
        <w:rPr>
          <w:color w:val="000000"/>
        </w:rPr>
        <w:t xml:space="preserve">6.5 Continuous Learning and Co-production </w:t>
      </w:r>
    </w:p>
    <w:p w14:paraId="03E50568" w14:textId="77777777" w:rsidR="001205BF" w:rsidRDefault="00C24111">
      <w:pPr>
        <w:rPr>
          <w:color w:val="000000"/>
        </w:rPr>
      </w:pPr>
      <w:r>
        <w:rPr>
          <w:color w:val="000000"/>
        </w:rPr>
        <w:t>The principles of the just and restorative culture provided within the Patient Safety Incident Response Framework need to be integrated into Trusts and ICBs so that incidents like the given one should be considered as the possibility to learn instead of the instances of individual blame (Sussex Community NHS Foundation Trust, 2025; Kumah, 2025). Just culture practices also ensure the safety of staff who contributed to incident survives without any long-term harm and can heal and remain part of the organisat</w:t>
      </w:r>
      <w:r>
        <w:rPr>
          <w:color w:val="000000"/>
        </w:rPr>
        <w:t>ional learning instead of walking out of profession (Second Victim Support, 2019). Medicines safety should be co-produced structurally, including by nursing parents and carers by asking families to regularly bring their current supplies of medicine and used to consultations, and by employing teach-back counselling to clarify their understanding of volume and dose, aligned with the NHS England principles of co-production (NHS England, 2024). Incident learning sharing of which this case study is one should al</w:t>
      </w:r>
      <w:r>
        <w:rPr>
          <w:color w:val="000000"/>
        </w:rPr>
        <w:t xml:space="preserve">so be a routine agenda at primary, secondary and community pharmacy teams within ICB clinical governance. </w:t>
      </w:r>
    </w:p>
    <w:p w14:paraId="040D19A9" w14:textId="77777777" w:rsidR="001205BF" w:rsidRDefault="00C24111">
      <w:pPr>
        <w:pStyle w:val="Heading1"/>
        <w:rPr>
          <w:color w:val="000000"/>
        </w:rPr>
      </w:pPr>
      <w:bookmarkStart w:id="35" w:name="_360825zhojy1" w:colFirst="0" w:colLast="0"/>
      <w:bookmarkEnd w:id="35"/>
      <w:r>
        <w:rPr>
          <w:color w:val="000000"/>
        </w:rPr>
        <w:t xml:space="preserve">7. CONCLUSION </w:t>
      </w:r>
    </w:p>
    <w:p w14:paraId="059E28B0" w14:textId="77777777" w:rsidR="001205BF" w:rsidRDefault="00C24111">
      <w:pPr>
        <w:rPr>
          <w:color w:val="000000"/>
        </w:rPr>
      </w:pPr>
      <w:r>
        <w:rPr>
          <w:color w:val="000000"/>
        </w:rPr>
        <w:t>This case study has analysed a preventable 20-fold morphine overdose in a four-week-old infant as the prism through which leadership, governance and system structure interrelate to create, or avoid, patient harm in health and social care. By using systems thinking and a Rich Picture, it was revealed that the incident was not the result of a mistake made by a single clinician but rather a combination of communication breakdowns, weak feedback loops, and lack of accountability across a hospital Trust and a GP</w:t>
      </w:r>
      <w:r>
        <w:rPr>
          <w:color w:val="000000"/>
        </w:rPr>
        <w:t xml:space="preserve"> practice, a local pharmacy, and family itself. The NHS structure of hybrid centralised-decentralised analysis revealed that this case was a mixture of the negatives of both models on national safety rule without the digital infrastructure to implement it and local clinical freedom without the information sharing to implement it safely. The leadership theory was applied with a lack of transformational, democratic and connected leadership that could transcend organisational boundaries as they experienced a r</w:t>
      </w:r>
      <w:r>
        <w:rPr>
          <w:color w:val="000000"/>
        </w:rPr>
        <w:t>ather transactional and rule based leadership that collapsed when those rules were violated. These failures were identified in a root cause analysis based on fishbone diagram and Five Whys method as an overall lack of enforced, unambiguous, shared communication of high-risk medicines information. The wider significance of this case lies in its recurrence. This was the fifth incident recorded nationally since 2018, one of which proved fatal, indicating that lessons from earlier cases were not embedded into d</w:t>
      </w:r>
      <w:r>
        <w:rPr>
          <w:color w:val="000000"/>
        </w:rPr>
        <w:t xml:space="preserve">urable system-wide practice. This shows how crucial it is to have the combined efforts of leadership, governance and systems thinking, instead of individual actions, in making sustainable improvement. </w:t>
      </w:r>
      <w:r>
        <w:br w:type="page"/>
      </w:r>
    </w:p>
    <w:p w14:paraId="1F8B9592" w14:textId="77777777" w:rsidR="001205BF" w:rsidRDefault="00C24111">
      <w:pPr>
        <w:pStyle w:val="Heading1"/>
        <w:rPr>
          <w:color w:val="000000"/>
        </w:rPr>
      </w:pPr>
      <w:bookmarkStart w:id="36" w:name="_gznjj3hxecpy" w:colFirst="0" w:colLast="0"/>
      <w:bookmarkEnd w:id="36"/>
      <w:r>
        <w:rPr>
          <w:color w:val="000000"/>
        </w:rPr>
        <w:t>REFERENCES</w:t>
      </w:r>
    </w:p>
    <w:p w14:paraId="48F5CD44" w14:textId="77777777" w:rsidR="001205BF" w:rsidRDefault="00C24111">
      <w:pPr>
        <w:spacing w:after="240"/>
        <w:rPr>
          <w:color w:val="000000"/>
        </w:rPr>
      </w:pPr>
      <w:r>
        <w:rPr>
          <w:color w:val="000000"/>
        </w:rPr>
        <w:t xml:space="preserve">Britteon, P., Alfariany Fatimah, Gillibrand, S., Lau, Y.-S., Anselmi, L., Wilson, P., Sutton, M. and Turner, A.J. (2024). The impact of devolution on local health systems: Evidence from Greater Manchester, England. </w:t>
      </w:r>
      <w:r>
        <w:rPr>
          <w:i/>
          <w:iCs/>
          <w:color w:val="000000"/>
        </w:rPr>
        <w:t>Social science &amp; medicine</w:t>
      </w:r>
      <w:r>
        <w:rPr>
          <w:color w:val="000000"/>
        </w:rPr>
        <w:t>, 348, pp.116801–116801. doi:10.1016/j.socscimed.2024.116801.</w:t>
      </w:r>
    </w:p>
    <w:p w14:paraId="18D091A2" w14:textId="77777777" w:rsidR="001205BF" w:rsidRDefault="00C24111">
      <w:pPr>
        <w:spacing w:after="240"/>
        <w:rPr>
          <w:color w:val="000000"/>
        </w:rPr>
      </w:pPr>
      <w:r>
        <w:rPr>
          <w:color w:val="000000"/>
        </w:rPr>
        <w:t xml:space="preserve">Burns, J.M. (1978). </w:t>
      </w:r>
      <w:r>
        <w:rPr>
          <w:i/>
          <w:iCs/>
          <w:color w:val="000000"/>
        </w:rPr>
        <w:t>Leadership</w:t>
      </w:r>
      <w:r>
        <w:rPr>
          <w:color w:val="000000"/>
        </w:rPr>
        <w:t>. New York: Harper &amp; Row.</w:t>
      </w:r>
    </w:p>
    <w:p w14:paraId="146FA4DC" w14:textId="77777777" w:rsidR="001205BF" w:rsidRDefault="00C24111">
      <w:pPr>
        <w:spacing w:after="240"/>
        <w:rPr>
          <w:color w:val="000000"/>
        </w:rPr>
      </w:pPr>
      <w:r>
        <w:rPr>
          <w:color w:val="000000"/>
        </w:rPr>
        <w:t xml:space="preserve">Care Quality Commission (2025a). </w:t>
      </w:r>
      <w:r>
        <w:rPr>
          <w:i/>
          <w:iCs/>
          <w:color w:val="000000"/>
        </w:rPr>
        <w:t>Key issues in 2024 - Care Quality Commission</w:t>
      </w:r>
      <w:r>
        <w:rPr>
          <w:color w:val="000000"/>
        </w:rPr>
        <w:t>. [online] Cqc.org.uk. Available at: https://www.cqc.org.uk/publications/controlled-drugs/2024/issues [Accessed 18 July 2026a].</w:t>
      </w:r>
    </w:p>
    <w:p w14:paraId="1A143775" w14:textId="77777777" w:rsidR="001205BF" w:rsidRDefault="00C24111">
      <w:pPr>
        <w:spacing w:after="240"/>
        <w:rPr>
          <w:color w:val="000000"/>
        </w:rPr>
      </w:pPr>
      <w:r>
        <w:rPr>
          <w:color w:val="000000"/>
        </w:rPr>
        <w:t xml:space="preserve">Care Quality Commission (2025b). </w:t>
      </w:r>
      <w:r>
        <w:rPr>
          <w:i/>
          <w:iCs/>
          <w:color w:val="000000"/>
        </w:rPr>
        <w:t>State of Care</w:t>
      </w:r>
      <w:r>
        <w:rPr>
          <w:color w:val="000000"/>
        </w:rPr>
        <w:t>. [online] Available at: https://www.cqc.org.uk/sites/default/files/2025-10/20251024_stateofcare2425_print.pdf [Accessed 18 July 2026b].</w:t>
      </w:r>
    </w:p>
    <w:p w14:paraId="14A04B70" w14:textId="77777777" w:rsidR="001205BF" w:rsidRDefault="00C24111">
      <w:pPr>
        <w:spacing w:after="240"/>
        <w:rPr>
          <w:color w:val="000000"/>
        </w:rPr>
      </w:pPr>
      <w:r>
        <w:rPr>
          <w:color w:val="000000"/>
        </w:rPr>
        <w:t xml:space="preserve">Care Quality Commission (2025c). </w:t>
      </w:r>
      <w:r>
        <w:rPr>
          <w:i/>
          <w:iCs/>
          <w:color w:val="000000"/>
        </w:rPr>
        <w:t>The safer management of controlled drugs: Annual update 2024 - Care Quality Commission</w:t>
      </w:r>
      <w:r>
        <w:rPr>
          <w:color w:val="000000"/>
        </w:rPr>
        <w:t>. [online] Cqc.org.uk. Available at: https://www.cqc.org.uk/publications/controlled-drugs/2024 [Accessed 18 July 2026c].</w:t>
      </w:r>
    </w:p>
    <w:p w14:paraId="647AC98C" w14:textId="77777777" w:rsidR="001205BF" w:rsidRDefault="00C24111">
      <w:pPr>
        <w:spacing w:after="240"/>
        <w:rPr>
          <w:color w:val="000000"/>
        </w:rPr>
      </w:pPr>
      <w:r>
        <w:rPr>
          <w:color w:val="000000"/>
        </w:rPr>
        <w:t xml:space="preserve">Charles, A. (2022). </w:t>
      </w:r>
      <w:r>
        <w:rPr>
          <w:i/>
          <w:iCs/>
          <w:color w:val="000000"/>
        </w:rPr>
        <w:t>Integrated Care Systems Explained</w:t>
      </w:r>
      <w:r>
        <w:rPr>
          <w:color w:val="000000"/>
        </w:rPr>
        <w:t>. [online] The King’s Fund. Available at: https://www.kingsfund.org.uk/insight-and-analysis/long-reads/integrated-care-systems-explained [Accessed 18 July 2026].</w:t>
      </w:r>
    </w:p>
    <w:p w14:paraId="5592F319" w14:textId="77777777" w:rsidR="001205BF" w:rsidRDefault="00C24111">
      <w:pPr>
        <w:spacing w:after="240"/>
        <w:rPr>
          <w:color w:val="000000"/>
        </w:rPr>
      </w:pPr>
      <w:r>
        <w:rPr>
          <w:color w:val="000000"/>
        </w:rPr>
        <w:t xml:space="preserve">Conn, R., Fox, A., Carrington, A., Dornan, T. and Lloyd, M. (2023). </w:t>
      </w:r>
      <w:r>
        <w:rPr>
          <w:i/>
          <w:iCs/>
          <w:color w:val="000000"/>
        </w:rPr>
        <w:t>Prescribing errors in children: Why they happen and how to prevent them</w:t>
      </w:r>
      <w:r>
        <w:rPr>
          <w:color w:val="000000"/>
        </w:rPr>
        <w:t>. [online] The Pharmaceutical Journal. Available at: https://pharmaceutical-journal.com/article/ld/prescribing-errors-in-children-why-they-happen-and-how-to-prevent-them-2 [Accessed 18 July 2026].</w:t>
      </w:r>
    </w:p>
    <w:p w14:paraId="0184EDDD" w14:textId="77777777" w:rsidR="001205BF" w:rsidRDefault="00C24111">
      <w:pPr>
        <w:spacing w:after="240"/>
        <w:rPr>
          <w:color w:val="000000"/>
        </w:rPr>
      </w:pPr>
      <w:r>
        <w:rPr>
          <w:color w:val="000000"/>
        </w:rPr>
        <w:t xml:space="preserve">Elliman, C. (2026). </w:t>
      </w:r>
      <w:r>
        <w:rPr>
          <w:i/>
          <w:iCs/>
          <w:color w:val="000000"/>
        </w:rPr>
        <w:t>What NHS Confed 2026 made clear about care closer to home | LloydsClinical</w:t>
      </w:r>
      <w:r>
        <w:rPr>
          <w:color w:val="000000"/>
        </w:rPr>
        <w:t>. [online] LloydsPharmacy Clinical Homecare. Available at: https://lloydsclinical.com/what-nhs-confed-2026-made-clear-about-care-closer-to-home/ [Accessed 18 July 2026].</w:t>
      </w:r>
    </w:p>
    <w:p w14:paraId="63A5DA5A" w14:textId="77777777" w:rsidR="001205BF" w:rsidRDefault="00C24111">
      <w:pPr>
        <w:spacing w:after="240"/>
        <w:rPr>
          <w:color w:val="000000"/>
        </w:rPr>
      </w:pPr>
      <w:r>
        <w:rPr>
          <w:color w:val="000000"/>
        </w:rPr>
        <w:t xml:space="preserve">Francis, R. (2013). </w:t>
      </w:r>
      <w:r>
        <w:rPr>
          <w:i/>
          <w:iCs/>
          <w:color w:val="000000"/>
        </w:rPr>
        <w:t>The Mid Staffordshire NHS Foundation Trust Public Inquiry Report of the Mid Staffordshire NHS Foundation Trust Public Inquiry Executive summary</w:t>
      </w:r>
      <w:r>
        <w:rPr>
          <w:color w:val="000000"/>
        </w:rPr>
        <w:t>. [online] Available at: https://assets.publishing.service.gov.uk/media/5a7ba0faed915d13110607c8/0947.pdf [Accessed 18 July 2026].</w:t>
      </w:r>
    </w:p>
    <w:p w14:paraId="6CB688D5" w14:textId="77777777" w:rsidR="001205BF" w:rsidRDefault="00C24111">
      <w:pPr>
        <w:spacing w:after="240"/>
        <w:rPr>
          <w:color w:val="000000"/>
        </w:rPr>
      </w:pPr>
      <w:r>
        <w:rPr>
          <w:color w:val="000000"/>
        </w:rPr>
        <w:t xml:space="preserve">Fukami, T. (2025). The importance of supportive leadership in advancing patient safety. </w:t>
      </w:r>
      <w:r>
        <w:rPr>
          <w:i/>
          <w:iCs/>
          <w:color w:val="000000"/>
        </w:rPr>
        <w:t>Cureus</w:t>
      </w:r>
      <w:r>
        <w:rPr>
          <w:color w:val="000000"/>
        </w:rPr>
        <w:t>, [online] 17(10). doi:10.7759/cureus.94056.</w:t>
      </w:r>
    </w:p>
    <w:p w14:paraId="31AC4C64" w14:textId="77777777" w:rsidR="001205BF" w:rsidRDefault="00C24111">
      <w:pPr>
        <w:spacing w:after="240"/>
        <w:rPr>
          <w:color w:val="000000"/>
        </w:rPr>
      </w:pPr>
      <w:r>
        <w:rPr>
          <w:color w:val="000000"/>
        </w:rPr>
        <w:t xml:space="preserve">Green, B., Bruce, M.-A., )-Director Peter Finn, Manager, S., Wright-Manager, A. and Daniel, D. (2015). </w:t>
      </w:r>
      <w:r>
        <w:rPr>
          <w:i/>
          <w:iCs/>
          <w:color w:val="000000"/>
        </w:rPr>
        <w:t>Independent review of deaths of people with a Learning Disability or Mental Health problem in contact with Southern Health NHS Foundation</w:t>
      </w:r>
      <w:r>
        <w:rPr>
          <w:color w:val="000000"/>
        </w:rPr>
        <w:t>. [online] Available at: https://www.england.nhs.uk/south/wp-content/uploads/sites/6/2015/12/mazars-rep.pdf [Accessed 18 July 2026].</w:t>
      </w:r>
    </w:p>
    <w:p w14:paraId="39FB594B" w14:textId="77777777" w:rsidR="001205BF" w:rsidRDefault="00C24111">
      <w:pPr>
        <w:spacing w:after="240"/>
        <w:rPr>
          <w:color w:val="000000"/>
        </w:rPr>
      </w:pPr>
      <w:r>
        <w:rPr>
          <w:color w:val="000000"/>
        </w:rPr>
        <w:t xml:space="preserve">Health and Care Act (2022). </w:t>
      </w:r>
      <w:r>
        <w:rPr>
          <w:i/>
          <w:iCs/>
          <w:color w:val="000000"/>
        </w:rPr>
        <w:t>Health and Care Act 2022</w:t>
      </w:r>
      <w:r>
        <w:rPr>
          <w:color w:val="000000"/>
        </w:rPr>
        <w:t>. [online] Legislation.gov.uk. Available at: https://www.legislation.gov.uk/ukpga/2022/31/contents [Accessed 18 July 2026].</w:t>
      </w:r>
    </w:p>
    <w:p w14:paraId="7A9D583A" w14:textId="77777777" w:rsidR="001205BF" w:rsidRDefault="00C24111">
      <w:pPr>
        <w:spacing w:after="240"/>
        <w:rPr>
          <w:color w:val="000000"/>
        </w:rPr>
      </w:pPr>
      <w:r>
        <w:rPr>
          <w:color w:val="000000"/>
        </w:rPr>
        <w:t xml:space="preserve">Institute for Healthcare Improvement (2020). </w:t>
      </w:r>
      <w:r>
        <w:rPr>
          <w:i/>
          <w:iCs/>
          <w:color w:val="000000"/>
        </w:rPr>
        <w:t>IHI home page</w:t>
      </w:r>
      <w:r>
        <w:rPr>
          <w:color w:val="000000"/>
        </w:rPr>
        <w:t>. [online] Ihi.org. Available at: https://www.ihi.org/ [Accessed 18 July 2026].</w:t>
      </w:r>
    </w:p>
    <w:p w14:paraId="014E9BF1" w14:textId="77777777" w:rsidR="001205BF" w:rsidRDefault="00C24111">
      <w:pPr>
        <w:spacing w:after="240"/>
        <w:rPr>
          <w:color w:val="000000"/>
        </w:rPr>
      </w:pPr>
      <w:r>
        <w:rPr>
          <w:color w:val="000000"/>
        </w:rPr>
        <w:t xml:space="preserve">Khan, Z. (2023). The emerging challenges and strengths of the national health services: A physician perspective. </w:t>
      </w:r>
      <w:r>
        <w:rPr>
          <w:i/>
          <w:iCs/>
          <w:color w:val="000000"/>
        </w:rPr>
        <w:t>Cureus</w:t>
      </w:r>
      <w:r>
        <w:rPr>
          <w:color w:val="000000"/>
        </w:rPr>
        <w:t>, [online] 15(5). Available at: https://pmc.ncbi.nlm.nih.gov/articles/PMC10240167/ [Accessed 18 July 2026].</w:t>
      </w:r>
    </w:p>
    <w:p w14:paraId="3FC10B32" w14:textId="77777777" w:rsidR="001205BF" w:rsidRDefault="00C24111">
      <w:pPr>
        <w:spacing w:after="240"/>
        <w:rPr>
          <w:color w:val="000000"/>
        </w:rPr>
      </w:pPr>
      <w:r>
        <w:rPr>
          <w:color w:val="000000"/>
        </w:rPr>
        <w:t xml:space="preserve">Kumah, A. (2025). Adverse event reporting and patient safety: The role of a just culture. </w:t>
      </w:r>
      <w:r>
        <w:rPr>
          <w:i/>
          <w:iCs/>
          <w:color w:val="000000"/>
        </w:rPr>
        <w:t>Frontiers in Health Services</w:t>
      </w:r>
      <w:r>
        <w:rPr>
          <w:color w:val="000000"/>
        </w:rPr>
        <w:t>, 5. doi:10.3389/frhs.2025.1581516.</w:t>
      </w:r>
    </w:p>
    <w:p w14:paraId="6BD7622B" w14:textId="77777777" w:rsidR="001205BF" w:rsidRDefault="00C24111">
      <w:pPr>
        <w:rPr>
          <w:color w:val="000000"/>
        </w:rPr>
      </w:pPr>
      <w:r>
        <w:rPr>
          <w:color w:val="000000"/>
        </w:rPr>
        <w:t>McGregor, D. (1960). Theory X and Theory Y. Organization Theory, 358, 5.</w:t>
      </w:r>
    </w:p>
    <w:p w14:paraId="40DDEB3B" w14:textId="77777777" w:rsidR="001205BF" w:rsidRDefault="00C24111">
      <w:pPr>
        <w:spacing w:after="240"/>
        <w:rPr>
          <w:color w:val="000000"/>
        </w:rPr>
      </w:pPr>
      <w:r>
        <w:rPr>
          <w:color w:val="000000"/>
        </w:rPr>
        <w:t xml:space="preserve">Muluken Amare Wudu, Ewunetie Mekashaw Bayked, Yemane Eshetu Bekalu and Tarikua Afework Birhanu (2025). Prevalence of medication administration errors and their determinants among nurses in Ethiopia: A systematic review and meta-analysis. </w:t>
      </w:r>
      <w:r>
        <w:rPr>
          <w:i/>
          <w:iCs/>
          <w:color w:val="000000"/>
        </w:rPr>
        <w:t>BMC Nursing</w:t>
      </w:r>
      <w:r>
        <w:rPr>
          <w:color w:val="000000"/>
        </w:rPr>
        <w:t>, 24(1). doi:10.1186/s12912-025-03186-7.</w:t>
      </w:r>
    </w:p>
    <w:p w14:paraId="1C960795" w14:textId="77777777" w:rsidR="001205BF" w:rsidRDefault="00C24111">
      <w:pPr>
        <w:spacing w:after="240"/>
        <w:rPr>
          <w:color w:val="000000"/>
        </w:rPr>
      </w:pPr>
      <w:r>
        <w:rPr>
          <w:color w:val="000000"/>
        </w:rPr>
        <w:t xml:space="preserve">NHS England (2024). </w:t>
      </w:r>
      <w:r>
        <w:rPr>
          <w:i/>
          <w:iCs/>
          <w:color w:val="000000"/>
        </w:rPr>
        <w:t>NHS England » Co-production: An introduction</w:t>
      </w:r>
      <w:r>
        <w:rPr>
          <w:color w:val="000000"/>
        </w:rPr>
        <w:t>. [online] Www.england.nhs.uk. Available at: https://www.england.nhs.uk/long-read/co-production-an-introduction/ [Accessed 18 July 2026].</w:t>
      </w:r>
    </w:p>
    <w:p w14:paraId="42ADAE1A" w14:textId="77777777" w:rsidR="001205BF" w:rsidRDefault="00C24111">
      <w:pPr>
        <w:spacing w:after="240"/>
        <w:rPr>
          <w:color w:val="000000"/>
        </w:rPr>
      </w:pPr>
      <w:r>
        <w:rPr>
          <w:color w:val="000000"/>
        </w:rPr>
        <w:t xml:space="preserve">NHS England (2026). </w:t>
      </w:r>
      <w:r>
        <w:rPr>
          <w:i/>
          <w:iCs/>
          <w:color w:val="000000"/>
        </w:rPr>
        <w:t>NHS England » quality strategy for NHS-funded care in England</w:t>
      </w:r>
      <w:r>
        <w:rPr>
          <w:color w:val="000000"/>
        </w:rPr>
        <w:t>. [online] England.nhs.uk. Available at: https://www.england.nhs.uk/long-read/quality-strategy-for-nhs-funded-care-in-england/ [Accessed 18 July 2026].</w:t>
      </w:r>
    </w:p>
    <w:p w14:paraId="1BFD0685" w14:textId="77777777" w:rsidR="001205BF" w:rsidRDefault="00C24111">
      <w:pPr>
        <w:spacing w:after="240"/>
        <w:rPr>
          <w:color w:val="000000"/>
        </w:rPr>
      </w:pPr>
      <w:r>
        <w:rPr>
          <w:color w:val="000000"/>
        </w:rPr>
        <w:t xml:space="preserve">NHS Leadership Academy (2026). </w:t>
      </w:r>
      <w:r>
        <w:rPr>
          <w:i/>
          <w:iCs/>
          <w:color w:val="000000"/>
        </w:rPr>
        <w:t>Engaging the team – Leadership Academy</w:t>
      </w:r>
      <w:r>
        <w:rPr>
          <w:color w:val="000000"/>
        </w:rPr>
        <w:t>. [online] Leadershipacademy.nhs.uk. Available at: https://www.leadershipacademy.nhs.uk/healthcare-leadership-model/explore-the-healthcare-leadership-model/engaging-the-team/ [Accessed 18 July 2026].</w:t>
      </w:r>
    </w:p>
    <w:p w14:paraId="54EFE572" w14:textId="77777777" w:rsidR="001205BF" w:rsidRDefault="00C24111">
      <w:pPr>
        <w:spacing w:after="240"/>
        <w:rPr>
          <w:color w:val="000000"/>
        </w:rPr>
      </w:pPr>
      <w:r>
        <w:rPr>
          <w:color w:val="000000"/>
        </w:rPr>
        <w:t xml:space="preserve">NHS Staff Survey Coordination Centre (2026). </w:t>
      </w:r>
      <w:r>
        <w:rPr>
          <w:i/>
          <w:iCs/>
          <w:color w:val="000000"/>
        </w:rPr>
        <w:t>2025 NHS Staff Survey National results briefing</w:t>
      </w:r>
      <w:r>
        <w:rPr>
          <w:color w:val="000000"/>
        </w:rPr>
        <w:t>. [online] Available at: https://www.nhsstaffsurveys.com/static/98fbf017ea18aad1523254e02072cd02/national-results-briefing-2025.pdf [Accessed 18 July 2026].</w:t>
      </w:r>
    </w:p>
    <w:p w14:paraId="12422B0C" w14:textId="77777777" w:rsidR="001205BF" w:rsidRDefault="00C24111">
      <w:pPr>
        <w:spacing w:after="240"/>
        <w:rPr>
          <w:color w:val="000000"/>
        </w:rPr>
      </w:pPr>
      <w:r>
        <w:rPr>
          <w:color w:val="000000"/>
        </w:rPr>
        <w:t xml:space="preserve">NHS Yorkshire (2023). </w:t>
      </w:r>
      <w:r>
        <w:rPr>
          <w:i/>
          <w:iCs/>
          <w:color w:val="000000"/>
        </w:rPr>
        <w:t>Serious Incident Case Study: Infant Morphine Overdose Investigation Summary &amp; Learning</w:t>
      </w:r>
      <w:r>
        <w:rPr>
          <w:color w:val="000000"/>
        </w:rPr>
        <w:t>. [online] Available at: https://northyorkshireccg.nhs.uk/wp-content/uploads/2023/07/July-2023-NHS-NEY-INFANT-MORPHINE-OVERDOSE-CASE-STUDY.pdf?UNLID=193374120245125844 [Accessed 18 July 2026].</w:t>
      </w:r>
    </w:p>
    <w:p w14:paraId="0F7A1CAA" w14:textId="77777777" w:rsidR="001205BF" w:rsidRDefault="00C24111">
      <w:pPr>
        <w:spacing w:after="240"/>
        <w:rPr>
          <w:color w:val="000000"/>
        </w:rPr>
      </w:pPr>
      <w:r>
        <w:rPr>
          <w:color w:val="000000"/>
        </w:rPr>
        <w:t xml:space="preserve">Ohrling, M., Øvretveit, J. and Brommels, M. (2020). Can management decentralisation resolve challenges faced by healthcare service delivery organisations? Findings for managers and researchers from a scoping review. </w:t>
      </w:r>
      <w:r>
        <w:rPr>
          <w:i/>
          <w:iCs/>
          <w:color w:val="000000"/>
        </w:rPr>
        <w:t>The international journal of Health planning and management</w:t>
      </w:r>
      <w:r>
        <w:rPr>
          <w:color w:val="000000"/>
        </w:rPr>
        <w:t>. doi:10.1002/hpm.3058.</w:t>
      </w:r>
    </w:p>
    <w:p w14:paraId="5AAA6D2A" w14:textId="77777777" w:rsidR="001205BF" w:rsidRDefault="00C24111">
      <w:pPr>
        <w:spacing w:after="240"/>
        <w:rPr>
          <w:color w:val="000000"/>
        </w:rPr>
      </w:pPr>
      <w:r>
        <w:rPr>
          <w:color w:val="000000"/>
        </w:rPr>
        <w:t xml:space="preserve">Propper, C. and Phillips, N. (2020). </w:t>
      </w:r>
      <w:r>
        <w:rPr>
          <w:i/>
          <w:iCs/>
          <w:color w:val="000000"/>
        </w:rPr>
        <w:t>Centralisation vs decentralisation: the disastrous confusion at the heart of Britain’s approach to coronavirus.</w:t>
      </w:r>
      <w:r>
        <w:rPr>
          <w:color w:val="000000"/>
        </w:rPr>
        <w:t xml:space="preserve"> [online] Imperial College Business School. Available at: https://www.imperial.ac.uk/business-school [Accessed 18 July 2026].</w:t>
      </w:r>
    </w:p>
    <w:p w14:paraId="572AC211" w14:textId="77777777" w:rsidR="001205BF" w:rsidRDefault="00C24111">
      <w:pPr>
        <w:spacing w:after="240"/>
        <w:rPr>
          <w:color w:val="000000"/>
        </w:rPr>
      </w:pPr>
      <w:r>
        <w:rPr>
          <w:color w:val="000000"/>
        </w:rPr>
        <w:t xml:space="preserve">Restivo, V., Minutolo, G., Battaglini, A., Carli, A., Capraro, M., Gaeta, M., Odone, A., Trucchi, C., Favaretti, C., Vitale, F. and Casuccio, A. (2022). Leadership Effectiveness in Healthcare Settings: A Systematic Review and Meta-Analysis of Cross-Sectional and Before–After Studies. </w:t>
      </w:r>
      <w:r>
        <w:rPr>
          <w:i/>
          <w:iCs/>
          <w:color w:val="000000"/>
        </w:rPr>
        <w:t>International Journal of Environmental Research and Public Health</w:t>
      </w:r>
      <w:r>
        <w:rPr>
          <w:color w:val="000000"/>
        </w:rPr>
        <w:t>, [online] 19(17), pp.1–13. Available at: https://pmc.ncbi.nlm.nih.gov/articles/PMC9518077/ [Accessed 18 July 2026].</w:t>
      </w:r>
    </w:p>
    <w:p w14:paraId="1E63EFE7" w14:textId="77777777" w:rsidR="001205BF" w:rsidRDefault="00C24111">
      <w:pPr>
        <w:spacing w:after="240"/>
        <w:rPr>
          <w:color w:val="000000"/>
        </w:rPr>
      </w:pPr>
      <w:r>
        <w:rPr>
          <w:color w:val="000000"/>
        </w:rPr>
        <w:t xml:space="preserve">Restivo, V., Minutolo, G., Battaglini, A., Carli, A., Capraro, M., Gaeta, M., Odone, A., Trucchi, C., Favaretti, C., Vitale, F. and Casuccio, A. (2022). Leadership effectiveness in Healthcare settings: A systematic review and Meta-Analysis of Cross-Sectional and before–After studies. </w:t>
      </w:r>
      <w:r>
        <w:rPr>
          <w:i/>
          <w:iCs/>
          <w:color w:val="000000"/>
        </w:rPr>
        <w:t>International Journal of Environmental Research and Public Health</w:t>
      </w:r>
      <w:r>
        <w:rPr>
          <w:color w:val="000000"/>
        </w:rPr>
        <w:t>, [online] 19(17), pp.1–13. Available at: https://pmc.ncbi.nlm.nih.gov/articles/PMC9518077/ [Accessed 18 July 2026].</w:t>
      </w:r>
    </w:p>
    <w:p w14:paraId="7AF72FB4" w14:textId="77777777" w:rsidR="001205BF" w:rsidRDefault="00C24111">
      <w:pPr>
        <w:spacing w:after="240"/>
        <w:rPr>
          <w:color w:val="000000"/>
        </w:rPr>
      </w:pPr>
      <w:r>
        <w:rPr>
          <w:color w:val="000000"/>
        </w:rPr>
        <w:t xml:space="preserve">Scarffe, A.D., Coates, A., Evans, J.M. and Grudniewicz, A. (2022). Centralisation and innovation: Competing priorities for health systems? </w:t>
      </w:r>
      <w:r>
        <w:rPr>
          <w:i/>
          <w:iCs/>
          <w:color w:val="000000"/>
        </w:rPr>
        <w:t>The International Journal of Health Planning and Management</w:t>
      </w:r>
      <w:r>
        <w:rPr>
          <w:color w:val="000000"/>
        </w:rPr>
        <w:t>, [online] 37(5), pp.2534–2541. doi:10.1002/hpm.3531.</w:t>
      </w:r>
    </w:p>
    <w:p w14:paraId="77EE14D5" w14:textId="77777777" w:rsidR="001205BF" w:rsidRDefault="00C24111">
      <w:pPr>
        <w:spacing w:after="240"/>
        <w:rPr>
          <w:color w:val="000000"/>
        </w:rPr>
      </w:pPr>
      <w:r>
        <w:rPr>
          <w:color w:val="000000"/>
        </w:rPr>
        <w:t xml:space="preserve">Second Victim Support (2019). </w:t>
      </w:r>
      <w:r>
        <w:rPr>
          <w:i/>
          <w:iCs/>
          <w:color w:val="000000"/>
        </w:rPr>
        <w:t>Just Culture – Second Victim</w:t>
      </w:r>
      <w:r>
        <w:rPr>
          <w:color w:val="000000"/>
        </w:rPr>
        <w:t>. [online] Secondvictim.co.uk. Available at: https://secondvictim.co.uk/just-culture/ [Accessed 18 July 2026].</w:t>
      </w:r>
    </w:p>
    <w:p w14:paraId="03A226BE" w14:textId="77777777" w:rsidR="001205BF" w:rsidRDefault="00C24111">
      <w:pPr>
        <w:spacing w:after="240"/>
        <w:rPr>
          <w:color w:val="000000"/>
        </w:rPr>
      </w:pPr>
      <w:r>
        <w:rPr>
          <w:color w:val="000000"/>
        </w:rPr>
        <w:t xml:space="preserve">Silburn, A. (2025). Systems thinking in public health policy development. </w:t>
      </w:r>
      <w:r>
        <w:rPr>
          <w:i/>
          <w:iCs/>
          <w:color w:val="000000"/>
        </w:rPr>
        <w:t>Frontiers in Health Services</w:t>
      </w:r>
      <w:r>
        <w:rPr>
          <w:color w:val="000000"/>
        </w:rPr>
        <w:t>, 5. doi:10.3389/frhs.2025.1555284.</w:t>
      </w:r>
    </w:p>
    <w:p w14:paraId="7EB50822" w14:textId="77777777" w:rsidR="001205BF" w:rsidRDefault="00C24111">
      <w:pPr>
        <w:spacing w:after="240"/>
        <w:rPr>
          <w:color w:val="000000"/>
        </w:rPr>
      </w:pPr>
      <w:r>
        <w:rPr>
          <w:color w:val="000000"/>
        </w:rPr>
        <w:t xml:space="preserve">Singh, P., Singh, S., Kumari, V. and Tiwari, M. (2024). Navigating healthcare leadership: Theories, challenges, and practical insights for the future. </w:t>
      </w:r>
      <w:r>
        <w:rPr>
          <w:i/>
          <w:iCs/>
          <w:color w:val="000000"/>
        </w:rPr>
        <w:t>Journal of Postgraduate Medicine</w:t>
      </w:r>
      <w:r>
        <w:rPr>
          <w:color w:val="000000"/>
        </w:rPr>
        <w:t>, [online] 70(4), pp.232–241. doi:10.4103/jpgm.jpgm_533_24.</w:t>
      </w:r>
    </w:p>
    <w:p w14:paraId="0205FAA3" w14:textId="77777777" w:rsidR="001205BF" w:rsidRDefault="00C24111">
      <w:pPr>
        <w:spacing w:after="240"/>
        <w:rPr>
          <w:color w:val="000000"/>
        </w:rPr>
      </w:pPr>
      <w:r>
        <w:rPr>
          <w:color w:val="000000"/>
        </w:rPr>
        <w:t xml:space="preserve">Sussex Community NHS Foundation Trust (2025). </w:t>
      </w:r>
      <w:r>
        <w:rPr>
          <w:i/>
          <w:iCs/>
          <w:color w:val="000000"/>
        </w:rPr>
        <w:t>Patient Safety Incident Response Framework Policy 2025 - 2027 - 2. Safety Culture at SCFT</w:t>
      </w:r>
      <w:r>
        <w:rPr>
          <w:color w:val="000000"/>
        </w:rPr>
        <w:t>. [online] Sussexcommunity.nhs.uk. Available at: https://www.sussexcommunity.nhs.uk/about-us/strategies-plans-and-reports/strategies-and-plans/patient-safety-incident-response-framework-policy-2025-2027/2-safety-culture-at-scft [Accessed 18 July 2026].</w:t>
      </w:r>
    </w:p>
    <w:p w14:paraId="3A6D037A" w14:textId="77777777" w:rsidR="001205BF" w:rsidRDefault="00C24111">
      <w:pPr>
        <w:spacing w:after="240"/>
        <w:rPr>
          <w:color w:val="000000"/>
        </w:rPr>
      </w:pPr>
      <w:r>
        <w:rPr>
          <w:color w:val="000000"/>
        </w:rPr>
        <w:t xml:space="preserve">The Health Foundation (2024). </w:t>
      </w:r>
      <w:r>
        <w:rPr>
          <w:i/>
          <w:iCs/>
          <w:color w:val="000000"/>
        </w:rPr>
        <w:t>Home | The Health Foundation</w:t>
      </w:r>
      <w:r>
        <w:rPr>
          <w:color w:val="000000"/>
        </w:rPr>
        <w:t>. [online] The Health Foundation. Available at: https://www.health.org.uk/ [Accessed 18 July 2026].</w:t>
      </w:r>
    </w:p>
    <w:p w14:paraId="032B2503" w14:textId="77777777" w:rsidR="001205BF" w:rsidRDefault="00C24111">
      <w:pPr>
        <w:spacing w:after="240"/>
        <w:rPr>
          <w:color w:val="000000"/>
        </w:rPr>
      </w:pPr>
      <w:r>
        <w:rPr>
          <w:color w:val="000000"/>
        </w:rPr>
        <w:t xml:space="preserve">The Kings Fund (2024). </w:t>
      </w:r>
      <w:r>
        <w:rPr>
          <w:i/>
          <w:iCs/>
          <w:color w:val="000000"/>
        </w:rPr>
        <w:t>Realising the Potential of Integrated Care Systems | the King’s Fund</w:t>
      </w:r>
      <w:r>
        <w:rPr>
          <w:color w:val="000000"/>
        </w:rPr>
        <w:t>. [online] The King’s Fund. Available at: https://www.kingsfund.org.uk/insight-and-analysis/reports/integrated-care-systems-workforce [Accessed 18 July 2026].</w:t>
      </w:r>
    </w:p>
    <w:p w14:paraId="2937855C" w14:textId="77777777" w:rsidR="001205BF" w:rsidRDefault="00C24111">
      <w:pPr>
        <w:spacing w:after="240"/>
        <w:rPr>
          <w:color w:val="000000"/>
        </w:rPr>
      </w:pPr>
      <w:r>
        <w:rPr>
          <w:color w:val="000000"/>
        </w:rPr>
        <w:t xml:space="preserve">West, M. and Wallbank, S. (2024). </w:t>
      </w:r>
      <w:r>
        <w:rPr>
          <w:i/>
          <w:iCs/>
          <w:color w:val="000000"/>
        </w:rPr>
        <w:t>What Does The NHS Staff Survey 2024 Really Tell Us? | The King’s Fund</w:t>
      </w:r>
      <w:r>
        <w:rPr>
          <w:color w:val="000000"/>
        </w:rPr>
        <w:t>. [online] The King’s Fund. Available at: https://www.kingsfund.org.uk/insight-and-analysis/blogs/nhs-staff-survey-2024-tell-us [Accessed 18 July 2026].</w:t>
      </w:r>
    </w:p>
    <w:p w14:paraId="5203E6C6" w14:textId="77777777" w:rsidR="001205BF" w:rsidRDefault="00C24111">
      <w:pPr>
        <w:spacing w:after="240"/>
        <w:rPr>
          <w:color w:val="000000"/>
        </w:rPr>
      </w:pPr>
      <w:r>
        <w:rPr>
          <w:color w:val="000000"/>
        </w:rPr>
        <w:t xml:space="preserve">WHO (2021). </w:t>
      </w:r>
      <w:r>
        <w:rPr>
          <w:i/>
          <w:iCs/>
          <w:color w:val="000000"/>
        </w:rPr>
        <w:t>Global Patient Safety Action Plan 2021-2030</w:t>
      </w:r>
      <w:r>
        <w:rPr>
          <w:color w:val="000000"/>
        </w:rPr>
        <w:t>. [online] World Health Organization. Available at: https://www.who.int/teams/integrated-health-services/patient-safety/policy/global-patient-safety-action-plan [Accessed 18 July 2026].</w:t>
      </w:r>
    </w:p>
    <w:p w14:paraId="7AB92E4A" w14:textId="77777777" w:rsidR="001205BF" w:rsidRDefault="00C24111">
      <w:pPr>
        <w:spacing w:after="240"/>
        <w:rPr>
          <w:color w:val="000000"/>
        </w:rPr>
      </w:pPr>
      <w:r>
        <w:rPr>
          <w:color w:val="000000"/>
        </w:rPr>
        <w:t xml:space="preserve">WHO (2022). </w:t>
      </w:r>
      <w:r>
        <w:rPr>
          <w:i/>
          <w:iCs/>
          <w:color w:val="000000"/>
        </w:rPr>
        <w:t>Medication without harm</w:t>
      </w:r>
      <w:r>
        <w:rPr>
          <w:color w:val="000000"/>
        </w:rPr>
        <w:t>. [online] World Health Organisation. Available at: https://www.who.int/initiatives/medication-without-harm [Accessed 18 July 2026].</w:t>
      </w:r>
    </w:p>
    <w:p w14:paraId="2D31D075" w14:textId="77777777" w:rsidR="001205BF" w:rsidRDefault="00C24111">
      <w:pPr>
        <w:spacing w:after="240"/>
        <w:rPr>
          <w:color w:val="000000"/>
        </w:rPr>
      </w:pPr>
      <w:r>
        <w:rPr>
          <w:color w:val="000000"/>
        </w:rPr>
        <w:t xml:space="preserve">WHO (2023). </w:t>
      </w:r>
      <w:r>
        <w:rPr>
          <w:i/>
          <w:iCs/>
          <w:color w:val="000000"/>
        </w:rPr>
        <w:t>Item</w:t>
      </w:r>
      <w:r>
        <w:rPr>
          <w:color w:val="000000"/>
        </w:rPr>
        <w:t>. [online] Who.int. Available at: https://www.who.int/publications/m/item/interim-report---based-on-the-first-survey-of-patient-safety-in-who-member-states [Accessed 18 July 2026].</w:t>
      </w:r>
    </w:p>
    <w:p w14:paraId="6B16F0D8" w14:textId="77777777" w:rsidR="001205BF" w:rsidRDefault="00C24111">
      <w:pPr>
        <w:spacing w:after="240"/>
        <w:rPr>
          <w:color w:val="000000"/>
        </w:rPr>
      </w:pPr>
      <w:r>
        <w:rPr>
          <w:color w:val="000000"/>
        </w:rPr>
        <w:t xml:space="preserve">World Health Organisation (2017). </w:t>
      </w:r>
      <w:r>
        <w:rPr>
          <w:i/>
          <w:iCs/>
          <w:color w:val="000000"/>
        </w:rPr>
        <w:t>Who launches a global effort to halve medication-related errors in 5 years</w:t>
      </w:r>
      <w:r>
        <w:rPr>
          <w:color w:val="000000"/>
        </w:rPr>
        <w:t>? [online] Www.who.int. Available at: https://www.who.int/news/item/29-03-2017-who-launches-global-effort-to-halve-medication-related-errors-in-5-years [Accessed 18 July 2026].</w:t>
      </w:r>
    </w:p>
    <w:p w14:paraId="6A226E3A" w14:textId="77777777" w:rsidR="001205BF" w:rsidRDefault="00C24111">
      <w:pPr>
        <w:spacing w:after="240"/>
        <w:rPr>
          <w:color w:val="000000"/>
        </w:rPr>
      </w:pPr>
      <w:r>
        <w:rPr>
          <w:color w:val="000000"/>
        </w:rPr>
        <w:t xml:space="preserve">York Health Economics Consortium (2016). </w:t>
      </w:r>
      <w:r>
        <w:rPr>
          <w:i/>
          <w:iCs/>
          <w:color w:val="000000"/>
        </w:rPr>
        <w:t>Efficiency - York Health Economics Consortium</w:t>
      </w:r>
      <w:r>
        <w:rPr>
          <w:color w:val="000000"/>
        </w:rPr>
        <w:t>. [online] York Health Economics Consortium. Available at: https://www.yhec.co.uk/glossary-term/efficiency/ [Accessed 18 July 2026].</w:t>
      </w:r>
    </w:p>
    <w:p w14:paraId="45EB8627" w14:textId="77777777" w:rsidR="001205BF" w:rsidRDefault="00C24111">
      <w:pPr>
        <w:spacing w:after="240"/>
        <w:rPr>
          <w:color w:val="000000"/>
        </w:rPr>
      </w:pPr>
      <w:r>
        <w:rPr>
          <w:color w:val="000000"/>
        </w:rPr>
        <w:t xml:space="preserve">Ystaas, L.M.K., Nikitara, M., Ghobrial, S., Latzourakis, E., Polychronis, G. and Constantinou, C.S. (2023). The impact of transformational leadership in the nursing work environment and patients’ outcomes: A systematic review. </w:t>
      </w:r>
      <w:r>
        <w:rPr>
          <w:i/>
          <w:iCs/>
          <w:color w:val="000000"/>
        </w:rPr>
        <w:t>Nursing Reports</w:t>
      </w:r>
      <w:r>
        <w:rPr>
          <w:color w:val="000000"/>
        </w:rPr>
        <w:t>, [online] 13(3), pp.1271–1290. doi:10.3390/nursrep13030108.</w:t>
      </w:r>
      <w:r>
        <w:br w:type="page"/>
      </w:r>
    </w:p>
    <w:p w14:paraId="77867343" w14:textId="77777777" w:rsidR="001205BF" w:rsidRDefault="00C24111">
      <w:pPr>
        <w:pStyle w:val="Heading1"/>
        <w:rPr>
          <w:color w:val="000000"/>
        </w:rPr>
      </w:pPr>
      <w:bookmarkStart w:id="37" w:name="_35o2xiwl2b1t" w:colFirst="0" w:colLast="0"/>
      <w:bookmarkEnd w:id="37"/>
      <w:r>
        <w:rPr>
          <w:color w:val="000000"/>
        </w:rPr>
        <w:t xml:space="preserve">APPENDICES </w:t>
      </w:r>
    </w:p>
    <w:p w14:paraId="7C00BD29" w14:textId="77777777" w:rsidR="001205BF" w:rsidRDefault="00C24111">
      <w:pPr>
        <w:pStyle w:val="Heading2"/>
        <w:rPr>
          <w:color w:val="000000"/>
        </w:rPr>
      </w:pPr>
      <w:bookmarkStart w:id="38" w:name="_1zkdt2j29w5s" w:colFirst="0" w:colLast="0"/>
      <w:bookmarkEnd w:id="38"/>
      <w:r>
        <w:rPr>
          <w:color w:val="000000"/>
        </w:rPr>
        <w:t xml:space="preserve">Appendix A: Rich Picture </w:t>
      </w:r>
    </w:p>
    <w:p w14:paraId="4365B66B" w14:textId="77777777" w:rsidR="001205BF" w:rsidRDefault="00C24111">
      <w:pPr>
        <w:jc w:val="center"/>
        <w:rPr>
          <w:color w:val="000000"/>
        </w:rPr>
      </w:pPr>
      <w:r>
        <w:rPr>
          <w:noProof/>
          <w:color w:val="000000"/>
        </w:rPr>
        <w:drawing>
          <wp:inline distT="114300" distB="114300" distL="114300" distR="114300" wp14:anchorId="22587CA1" wp14:editId="37B1E0B7">
            <wp:extent cx="5943600" cy="371619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t="6213"/>
                    <a:stretch>
                      <a:fillRect/>
                    </a:stretch>
                  </pic:blipFill>
                  <pic:spPr>
                    <a:xfrm>
                      <a:off x="0" y="0"/>
                      <a:ext cx="5943600" cy="3716198"/>
                    </a:xfrm>
                    <a:prstGeom prst="rect">
                      <a:avLst/>
                    </a:prstGeom>
                    <a:ln/>
                  </pic:spPr>
                </pic:pic>
              </a:graphicData>
            </a:graphic>
          </wp:inline>
        </w:drawing>
      </w:r>
    </w:p>
    <w:p w14:paraId="30140FB2" w14:textId="77777777" w:rsidR="001205BF" w:rsidRDefault="00C24111">
      <w:pPr>
        <w:jc w:val="center"/>
        <w:rPr>
          <w:b/>
          <w:bCs/>
          <w:i/>
          <w:iCs/>
          <w:color w:val="000000"/>
        </w:rPr>
      </w:pPr>
      <w:r>
        <w:rPr>
          <w:b/>
          <w:bCs/>
          <w:i/>
          <w:iCs/>
          <w:color w:val="000000"/>
        </w:rPr>
        <w:t xml:space="preserve">Figure 2: Rich picture </w:t>
      </w:r>
    </w:p>
    <w:p w14:paraId="0CAAFDED" w14:textId="77777777" w:rsidR="001205BF" w:rsidRDefault="00C24111">
      <w:pPr>
        <w:pStyle w:val="Heading2"/>
        <w:rPr>
          <w:color w:val="000000"/>
        </w:rPr>
      </w:pPr>
      <w:bookmarkStart w:id="39" w:name="_kji5tsprjuku" w:colFirst="0" w:colLast="0"/>
      <w:bookmarkEnd w:id="39"/>
      <w:r>
        <w:rPr>
          <w:color w:val="000000"/>
        </w:rPr>
        <w:t>Appendix B: Fish Bone Diagram</w:t>
      </w:r>
    </w:p>
    <w:p w14:paraId="16DC33E8" w14:textId="77777777" w:rsidR="001205BF" w:rsidRDefault="00C24111">
      <w:pPr>
        <w:jc w:val="center"/>
        <w:rPr>
          <w:color w:val="000000"/>
        </w:rPr>
      </w:pPr>
      <w:r>
        <w:rPr>
          <w:noProof/>
          <w:color w:val="000000"/>
        </w:rPr>
        <w:drawing>
          <wp:inline distT="114300" distB="114300" distL="114300" distR="114300" wp14:anchorId="3E06971C" wp14:editId="1DDFE3B7">
            <wp:extent cx="5943600" cy="3733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5769"/>
                    <a:stretch>
                      <a:fillRect/>
                    </a:stretch>
                  </pic:blipFill>
                  <pic:spPr>
                    <a:xfrm>
                      <a:off x="0" y="0"/>
                      <a:ext cx="5943600" cy="3733800"/>
                    </a:xfrm>
                    <a:prstGeom prst="rect">
                      <a:avLst/>
                    </a:prstGeom>
                    <a:ln/>
                  </pic:spPr>
                </pic:pic>
              </a:graphicData>
            </a:graphic>
          </wp:inline>
        </w:drawing>
      </w:r>
    </w:p>
    <w:p w14:paraId="18C017B6" w14:textId="77777777" w:rsidR="001205BF" w:rsidRDefault="00C24111">
      <w:pPr>
        <w:jc w:val="center"/>
        <w:rPr>
          <w:b/>
          <w:bCs/>
          <w:i/>
          <w:iCs/>
          <w:color w:val="000000"/>
        </w:rPr>
      </w:pPr>
      <w:r>
        <w:rPr>
          <w:b/>
          <w:bCs/>
          <w:i/>
          <w:iCs/>
          <w:color w:val="000000"/>
        </w:rPr>
        <w:t>Figure 3: Root cause analysis (Ishikawa diagram)</w:t>
      </w:r>
    </w:p>
    <w:p w14:paraId="1C5A5F16" w14:textId="77777777" w:rsidR="001205BF" w:rsidRDefault="00C24111">
      <w:pPr>
        <w:pStyle w:val="Heading2"/>
        <w:rPr>
          <w:color w:val="000000"/>
        </w:rPr>
      </w:pPr>
      <w:bookmarkStart w:id="40" w:name="_7sygs59pt863" w:colFirst="0" w:colLast="0"/>
      <w:bookmarkEnd w:id="40"/>
      <w:r>
        <w:rPr>
          <w:color w:val="000000"/>
        </w:rPr>
        <w:t>Appendix C: Five Whys</w:t>
      </w:r>
    </w:p>
    <w:p w14:paraId="51FE8AC9" w14:textId="77777777" w:rsidR="001205BF" w:rsidRDefault="00C24111">
      <w:pPr>
        <w:jc w:val="center"/>
        <w:rPr>
          <w:color w:val="000000"/>
        </w:rPr>
      </w:pPr>
      <w:r>
        <w:rPr>
          <w:noProof/>
          <w:color w:val="000000"/>
        </w:rPr>
        <w:drawing>
          <wp:inline distT="114300" distB="114300" distL="114300" distR="114300" wp14:anchorId="312FB574" wp14:editId="0E50F20B">
            <wp:extent cx="3419475" cy="4876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t="5009"/>
                    <a:stretch>
                      <a:fillRect/>
                    </a:stretch>
                  </pic:blipFill>
                  <pic:spPr>
                    <a:xfrm>
                      <a:off x="0" y="0"/>
                      <a:ext cx="3419475" cy="4876800"/>
                    </a:xfrm>
                    <a:prstGeom prst="rect">
                      <a:avLst/>
                    </a:prstGeom>
                    <a:ln/>
                  </pic:spPr>
                </pic:pic>
              </a:graphicData>
            </a:graphic>
          </wp:inline>
        </w:drawing>
      </w:r>
    </w:p>
    <w:p w14:paraId="2D1F18E9" w14:textId="77777777" w:rsidR="001205BF" w:rsidRDefault="00C24111">
      <w:pPr>
        <w:jc w:val="center"/>
        <w:rPr>
          <w:color w:val="000000"/>
        </w:rPr>
      </w:pPr>
      <w:r>
        <w:rPr>
          <w:b/>
          <w:bCs/>
          <w:i/>
          <w:iCs/>
          <w:color w:val="000000"/>
        </w:rPr>
        <w:t xml:space="preserve">Figure 4: Five whys analysis </w:t>
      </w:r>
    </w:p>
    <w:sectPr w:rsidR="001205BF">
      <w:headerReference w:type="default" r:id="rId11"/>
      <w:footerReference w:type="default" r:id="rId12"/>
      <w:headerReference w:type="first" r:id="rId13"/>
      <w:footerReference w:type="first" r:id="rId14"/>
      <w:pgSz w:w="12240" w:h="15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5C44C" w14:textId="77777777" w:rsidR="00C24111" w:rsidRDefault="00C24111">
      <w:pPr>
        <w:spacing w:after="0" w:line="240" w:lineRule="auto"/>
      </w:pPr>
      <w:r>
        <w:separator/>
      </w:r>
    </w:p>
  </w:endnote>
  <w:endnote w:type="continuationSeparator" w:id="0">
    <w:p w14:paraId="3AD3AFB7" w14:textId="77777777" w:rsidR="00C24111" w:rsidRDefault="00C241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auto"/>
    <w:pitch w:val="default"/>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F21B5" w14:textId="77777777" w:rsidR="001205BF" w:rsidRDefault="00C24111">
    <w:pPr>
      <w:jc w:val="right"/>
    </w:pPr>
    <w:r>
      <w:fldChar w:fldCharType="begin"/>
    </w:r>
    <w:r>
      <w:instrText>PAGE</w:instrText>
    </w:r>
    <w:r>
      <w:fldChar w:fldCharType="separate"/>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012D29" w14:textId="77777777" w:rsidR="001205BF" w:rsidRDefault="001205BF">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186E6" w14:textId="77777777" w:rsidR="00C24111" w:rsidRDefault="00C24111">
      <w:pPr>
        <w:spacing w:after="0" w:line="240" w:lineRule="auto"/>
      </w:pPr>
      <w:r>
        <w:separator/>
      </w:r>
    </w:p>
  </w:footnote>
  <w:footnote w:type="continuationSeparator" w:id="0">
    <w:p w14:paraId="7B665508" w14:textId="77777777" w:rsidR="00C24111" w:rsidRDefault="00C241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04BAC" w14:textId="77777777" w:rsidR="001205BF" w:rsidRDefault="001205B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A90975" w14:textId="77777777" w:rsidR="001205BF" w:rsidRDefault="001205B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96DE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42106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5BF"/>
    <w:rsid w:val="001205BF"/>
    <w:rsid w:val="004638AC"/>
    <w:rsid w:val="00C24111"/>
    <w:rsid w:val="00FA2A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4E74E5C0"/>
  <w15:docId w15:val="{86754385-E552-0E4E-99BA-78C7A76EB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Normal"/>
    <w:next w:val="Normal"/>
    <w:uiPriority w:val="9"/>
    <w:unhideWhenUsed/>
    <w:qFormat/>
    <w:pPr>
      <w:outlineLvl w:val="1"/>
    </w:pPr>
    <w:rPr>
      <w:b/>
      <w:bCs/>
      <w:i/>
      <w:iCs/>
      <w:sz w:val="26"/>
      <w:szCs w:val="26"/>
    </w:rPr>
  </w:style>
  <w:style w:type="paragraph" w:styleId="Heading3">
    <w:name w:val="heading 3"/>
    <w:basedOn w:val="Normal"/>
    <w:next w:val="Normal"/>
    <w:uiPriority w:val="9"/>
    <w:semiHidden/>
    <w:unhideWhenUsed/>
    <w:qFormat/>
    <w:pPr>
      <w:outlineLvl w:val="2"/>
    </w:pPr>
    <w:rPr>
      <w:b/>
      <w:bCs/>
    </w:rPr>
  </w:style>
  <w:style w:type="paragraph" w:styleId="Heading4">
    <w:name w:val="heading 4"/>
    <w:basedOn w:val="Normal"/>
    <w:next w:val="Normal"/>
    <w:uiPriority w:val="9"/>
    <w:semiHidden/>
    <w:unhideWhenUsed/>
    <w:qFormat/>
    <w:pPr>
      <w:pBdr>
        <w:top w:val="nil"/>
        <w:left w:val="nil"/>
        <w:bottom w:val="nil"/>
        <w:right w:val="nil"/>
        <w:between w:val="nil"/>
      </w:pBdr>
      <w:spacing w:after="0" w:line="240" w:lineRule="auto"/>
      <w:jc w:val="left"/>
      <w:outlineLvl w:val="3"/>
    </w:pPr>
    <w:rPr>
      <w:rFonts w:ascii="Calibri" w:eastAsia="Calibri" w:hAnsi="Calibri" w:cs="Calibri"/>
      <w:i/>
      <w:iCs/>
      <w:color w:val="2E74B5"/>
      <w:sz w:val="22"/>
      <w:szCs w:val="22"/>
    </w:rPr>
  </w:style>
  <w:style w:type="paragraph" w:styleId="Heading5">
    <w:name w:val="heading 5"/>
    <w:basedOn w:val="Normal"/>
    <w:next w:val="Normal"/>
    <w:uiPriority w:val="9"/>
    <w:semiHidden/>
    <w:unhideWhenUsed/>
    <w:qFormat/>
    <w:pPr>
      <w:pBdr>
        <w:top w:val="nil"/>
        <w:left w:val="nil"/>
        <w:bottom w:val="nil"/>
        <w:right w:val="nil"/>
        <w:between w:val="nil"/>
      </w:pBdr>
      <w:spacing w:after="0" w:line="240" w:lineRule="auto"/>
      <w:jc w:val="left"/>
      <w:outlineLvl w:val="4"/>
    </w:pPr>
    <w:rPr>
      <w:rFonts w:ascii="Calibri" w:eastAsia="Calibri" w:hAnsi="Calibri" w:cs="Calibri"/>
      <w:color w:val="2E74B5"/>
      <w:sz w:val="22"/>
      <w:szCs w:val="22"/>
    </w:rPr>
  </w:style>
  <w:style w:type="paragraph" w:styleId="Heading6">
    <w:name w:val="heading 6"/>
    <w:basedOn w:val="Normal"/>
    <w:next w:val="Normal"/>
    <w:uiPriority w:val="9"/>
    <w:semiHidden/>
    <w:unhideWhenUsed/>
    <w:qFormat/>
    <w:pPr>
      <w:pBdr>
        <w:top w:val="nil"/>
        <w:left w:val="nil"/>
        <w:bottom w:val="nil"/>
        <w:right w:val="nil"/>
        <w:between w:val="nil"/>
      </w:pBdr>
      <w:spacing w:after="0" w:line="240" w:lineRule="auto"/>
      <w:jc w:val="left"/>
      <w:outlineLvl w:val="5"/>
    </w:pPr>
    <w:rPr>
      <w:rFonts w:ascii="Calibri" w:eastAsia="Calibri" w:hAnsi="Calibri" w:cs="Calibri"/>
      <w:color w:val="1F4D7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spacing w:after="0" w:line="240" w:lineRule="auto"/>
      <w:jc w:val="left"/>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7567</Words>
  <Characters>43133</Characters>
  <Application>Microsoft Office Word</Application>
  <DocSecurity>0</DocSecurity>
  <Lines>359</Lines>
  <Paragraphs>101</Paragraphs>
  <ScaleCrop>false</ScaleCrop>
  <Company/>
  <LinksUpToDate>false</LinksUpToDate>
  <CharactersWithSpaces>50599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Drashti Vithalbhai Morvadiya</cp:lastModifiedBy>
  <cp:revision>2</cp:revision>
  <dcterms:created xsi:type="dcterms:W3CDTF">2026-07-27T10:16:00Z</dcterms:created>
  <dcterms:modified xsi:type="dcterms:W3CDTF">2026-07-27T10:16:00Z</dcterms:modified>
</cp:coreProperties>
</file>