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9F7"/>
  <w:body>
    <w:p w14:paraId="3AE7239F" w14:textId="77777777" w:rsidR="00E22B22" w:rsidRPr="003C730F" w:rsidRDefault="00E22B22" w:rsidP="00E22B22">
      <w:pPr>
        <w:spacing w:line="276" w:lineRule="auto"/>
        <w:rPr>
          <w:rFonts w:ascii="Arial" w:hAnsi="Arial" w:cs="Arial"/>
          <w:color w:val="4D160F" w:themeColor="accent2" w:themeShade="80"/>
        </w:rPr>
      </w:pPr>
    </w:p>
    <w:p w14:paraId="66D2E384" w14:textId="4BA37CC5" w:rsidR="00E22B22" w:rsidRPr="000A42EC" w:rsidRDefault="006C7853" w:rsidP="000A42EC">
      <w:pPr>
        <w:pStyle w:val="Title"/>
        <w:jc w:val="center"/>
        <w:rPr>
          <w:rFonts w:ascii="Arial" w:hAnsi="Arial" w:cs="Arial"/>
          <w:color w:val="4D160F" w:themeColor="accent2" w:themeShade="80"/>
        </w:rPr>
      </w:pPr>
      <w:r w:rsidRPr="000A42EC">
        <w:rPr>
          <w:rFonts w:ascii="Arial" w:hAnsi="Arial" w:cs="Arial"/>
          <w:color w:val="4D160F" w:themeColor="accent2" w:themeShade="80"/>
        </w:rPr>
        <w:t>Conflict and Change Management: Addressing the Post Office Workers' Wage Strike</w:t>
      </w:r>
    </w:p>
    <w:p w14:paraId="1CA600EA" w14:textId="77777777" w:rsidR="00E22B22" w:rsidRPr="003C730F" w:rsidRDefault="00E22B22" w:rsidP="00E22B22">
      <w:pPr>
        <w:spacing w:line="276" w:lineRule="auto"/>
        <w:rPr>
          <w:rFonts w:ascii="Arial" w:hAnsi="Arial" w:cs="Arial"/>
          <w:color w:val="4D160F" w:themeColor="accent2" w:themeShade="80"/>
        </w:rPr>
      </w:pPr>
    </w:p>
    <w:p w14:paraId="210F81E4" w14:textId="798F667A" w:rsidR="00E22B22" w:rsidRPr="003C730F" w:rsidRDefault="00642415" w:rsidP="00E22B22">
      <w:pPr>
        <w:spacing w:line="276" w:lineRule="auto"/>
        <w:rPr>
          <w:rFonts w:ascii="Arial" w:hAnsi="Arial" w:cs="Arial"/>
          <w:color w:val="4D160F" w:themeColor="accent2" w:themeShade="80"/>
        </w:rPr>
      </w:pPr>
      <w:r w:rsidRPr="003C730F">
        <w:rPr>
          <w:noProof/>
          <w:color w:val="4D160F" w:themeColor="accent2" w:themeShade="80"/>
        </w:rPr>
        <mc:AlternateContent>
          <mc:Choice Requires="wps">
            <w:drawing>
              <wp:anchor distT="0" distB="0" distL="114300" distR="114300" simplePos="0" relativeHeight="251658241" behindDoc="0" locked="0" layoutInCell="1" allowOverlap="1" wp14:anchorId="697BBF31" wp14:editId="0D5B54BA">
                <wp:simplePos x="0" y="0"/>
                <wp:positionH relativeFrom="margin">
                  <wp:align>center</wp:align>
                </wp:positionH>
                <wp:positionV relativeFrom="paragraph">
                  <wp:posOffset>3208655</wp:posOffset>
                </wp:positionV>
                <wp:extent cx="5342890" cy="635"/>
                <wp:effectExtent l="0" t="0" r="0" b="8255"/>
                <wp:wrapSquare wrapText="bothSides"/>
                <wp:docPr id="1925934107" name="Text Box 1"/>
                <wp:cNvGraphicFramePr/>
                <a:graphic xmlns:a="http://schemas.openxmlformats.org/drawingml/2006/main">
                  <a:graphicData uri="http://schemas.microsoft.com/office/word/2010/wordprocessingShape">
                    <wps:wsp>
                      <wps:cNvSpPr txBox="1"/>
                      <wps:spPr>
                        <a:xfrm>
                          <a:off x="0" y="0"/>
                          <a:ext cx="5342890" cy="635"/>
                        </a:xfrm>
                        <a:prstGeom prst="rect">
                          <a:avLst/>
                        </a:prstGeom>
                        <a:solidFill>
                          <a:prstClr val="white"/>
                        </a:solidFill>
                        <a:ln>
                          <a:noFill/>
                        </a:ln>
                      </wps:spPr>
                      <wps:txbx>
                        <w:txbxContent>
                          <w:p w14:paraId="06DCF73A" w14:textId="094D5AD9" w:rsidR="00881300" w:rsidRPr="000A42EC" w:rsidRDefault="00881300" w:rsidP="00642415">
                            <w:pPr>
                              <w:pStyle w:val="Caption"/>
                              <w:shd w:val="clear" w:color="auto" w:fill="FFF9F7"/>
                              <w:rPr>
                                <w:rFonts w:ascii="Arial" w:hAnsi="Arial" w:cs="Arial"/>
                                <w:i w:val="0"/>
                                <w:iCs w:val="0"/>
                                <w:noProof/>
                                <w:color w:val="4D160F" w:themeColor="accent2" w:themeShade="80"/>
                                <w:sz w:val="22"/>
                                <w:szCs w:val="22"/>
                              </w:rPr>
                            </w:pPr>
                            <w:r w:rsidRPr="000A42EC">
                              <w:rPr>
                                <w:rFonts w:ascii="Arial" w:hAnsi="Arial" w:cs="Arial"/>
                                <w:i w:val="0"/>
                                <w:iCs w:val="0"/>
                                <w:color w:val="4D160F" w:themeColor="accent2" w:themeShade="80"/>
                              </w:rPr>
                              <w:t>Source: Internet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97BBF31" id="_x0000_t202" coordsize="21600,21600" o:spt="202" path="m,l,21600r21600,l21600,xe">
                <v:stroke joinstyle="miter"/>
                <v:path gradientshapeok="t" o:connecttype="rect"/>
              </v:shapetype>
              <v:shape id="Text Box 1" o:spid="_x0000_s1026" type="#_x0000_t202" style="position:absolute;margin-left:0;margin-top:252.65pt;width:420.7pt;height:.05pt;z-index:251658241;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" stroked="f">
                <v:textbox style="mso-fit-shape-to-text:t" inset="0,0,0,0">
                  <w:txbxContent>
                    <w:p w14:paraId="06DCF73A" w14:textId="094D5AD9" w:rsidR="00881300" w:rsidRPr="000A42EC" w:rsidRDefault="00881300" w:rsidP="00642415">
                      <w:pPr>
                        <w:pStyle w:val="Caption"/>
                        <w:shd w:val="clear" w:color="auto" w:fill="FFF9F7"/>
                        <w:rPr>
                          <w:rFonts w:ascii="Arial" w:hAnsi="Arial" w:cs="Arial"/>
                          <w:i w:val="0"/>
                          <w:iCs w:val="0"/>
                          <w:noProof/>
                          <w:color w:val="4D160F" w:themeColor="accent2" w:themeShade="80"/>
                          <w:sz w:val="22"/>
                          <w:szCs w:val="22"/>
                        </w:rPr>
                      </w:pPr>
                      <w:r w:rsidRPr="000A42EC">
                        <w:rPr>
                          <w:rFonts w:ascii="Arial" w:hAnsi="Arial" w:cs="Arial"/>
                          <w:i w:val="0"/>
                          <w:iCs w:val="0"/>
                          <w:color w:val="4D160F" w:themeColor="accent2" w:themeShade="80"/>
                        </w:rPr>
                        <w:t>Source: Internet</w:t>
                      </w:r>
                    </w:p>
                  </w:txbxContent>
                </v:textbox>
                <w10:wrap type="square" anchorx="margin"/>
              </v:shape>
            </w:pict>
          </mc:Fallback>
        </mc:AlternateContent>
      </w:r>
      <w:r w:rsidRPr="003C730F">
        <w:rPr>
          <w:rFonts w:ascii="Arial" w:hAnsi="Arial" w:cs="Arial"/>
          <w:noProof/>
          <w:color w:val="4D160F" w:themeColor="accent2" w:themeShade="80"/>
        </w:rPr>
        <w:drawing>
          <wp:anchor distT="0" distB="0" distL="114300" distR="114300" simplePos="0" relativeHeight="251658240" behindDoc="0" locked="0" layoutInCell="1" allowOverlap="1" wp14:anchorId="063B2DD3" wp14:editId="26811679">
            <wp:simplePos x="0" y="0"/>
            <wp:positionH relativeFrom="margin">
              <wp:posOffset>266700</wp:posOffset>
            </wp:positionH>
            <wp:positionV relativeFrom="margin">
              <wp:posOffset>2186940</wp:posOffset>
            </wp:positionV>
            <wp:extent cx="5342890" cy="2903220"/>
            <wp:effectExtent l="0" t="0" r="0" b="0"/>
            <wp:wrapSquare wrapText="bothSides"/>
            <wp:docPr id="1649019070" name="Picture 3" descr="A sign on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019070" name="Picture 3" descr="A sign on a building&#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342890" cy="290322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189318F5" w14:textId="49FDD761" w:rsidR="00E22B22" w:rsidRPr="003C730F" w:rsidRDefault="00E22B22" w:rsidP="00E22B22">
      <w:pPr>
        <w:spacing w:line="276" w:lineRule="auto"/>
        <w:rPr>
          <w:rFonts w:ascii="Arial" w:hAnsi="Arial" w:cs="Arial"/>
          <w:color w:val="4D160F" w:themeColor="accent2" w:themeShade="80"/>
        </w:rPr>
      </w:pPr>
    </w:p>
    <w:p w14:paraId="713D039C" w14:textId="77777777" w:rsidR="00642415" w:rsidRPr="003C730F" w:rsidRDefault="00642415" w:rsidP="00E22B22">
      <w:pPr>
        <w:spacing w:line="276" w:lineRule="auto"/>
        <w:rPr>
          <w:rFonts w:ascii="Arial" w:hAnsi="Arial" w:cs="Arial"/>
          <w:color w:val="4D160F" w:themeColor="accent2" w:themeShade="80"/>
        </w:rPr>
      </w:pPr>
    </w:p>
    <w:p w14:paraId="0AB30CF1" w14:textId="77777777" w:rsidR="00642415" w:rsidRPr="003C730F" w:rsidRDefault="00642415" w:rsidP="00E22B22">
      <w:pPr>
        <w:spacing w:line="276" w:lineRule="auto"/>
        <w:rPr>
          <w:rFonts w:ascii="Arial" w:hAnsi="Arial" w:cs="Arial"/>
          <w:color w:val="4D160F" w:themeColor="accent2" w:themeShade="80"/>
        </w:rPr>
      </w:pPr>
    </w:p>
    <w:p w14:paraId="45939377" w14:textId="77777777" w:rsidR="00642415" w:rsidRPr="003C730F" w:rsidRDefault="00642415" w:rsidP="00E22B22">
      <w:pPr>
        <w:spacing w:line="276" w:lineRule="auto"/>
        <w:rPr>
          <w:rFonts w:ascii="Arial" w:hAnsi="Arial" w:cs="Arial"/>
          <w:color w:val="4D160F" w:themeColor="accent2" w:themeShade="80"/>
        </w:rPr>
      </w:pPr>
    </w:p>
    <w:p w14:paraId="1E1019D7" w14:textId="12BA1A07" w:rsidR="00E22B22" w:rsidRPr="003C730F" w:rsidRDefault="00E22B22" w:rsidP="00E22B22">
      <w:pPr>
        <w:spacing w:line="276" w:lineRule="auto"/>
        <w:rPr>
          <w:rFonts w:ascii="Arial" w:hAnsi="Arial" w:cs="Arial"/>
          <w:color w:val="4D160F" w:themeColor="accent2" w:themeShade="80"/>
        </w:rPr>
      </w:pPr>
    </w:p>
    <w:tbl>
      <w:tblPr>
        <w:tblStyle w:val="TableGrid"/>
        <w:tblW w:w="9468" w:type="dxa"/>
        <w:tblBorders>
          <w:top w:val="single" w:sz="4" w:space="0" w:color="7E0000"/>
          <w:left w:val="single" w:sz="4" w:space="0" w:color="7E0000"/>
          <w:bottom w:val="single" w:sz="4" w:space="0" w:color="7E0000"/>
          <w:right w:val="single" w:sz="4" w:space="0" w:color="7E0000"/>
          <w:insideH w:val="single" w:sz="4" w:space="0" w:color="7E0000"/>
          <w:insideV w:val="single" w:sz="4" w:space="0" w:color="7E0000"/>
        </w:tblBorders>
        <w:shd w:val="clear" w:color="auto" w:fill="FFECE7"/>
        <w:tblLook w:val="04A0" w:firstRow="1" w:lastRow="0" w:firstColumn="1" w:lastColumn="0" w:noHBand="0" w:noVBand="1"/>
      </w:tblPr>
      <w:tblGrid>
        <w:gridCol w:w="4734"/>
        <w:gridCol w:w="4734"/>
      </w:tblGrid>
      <w:tr w:rsidR="000A42EC" w:rsidRPr="000A42EC" w14:paraId="6B2BAAFF" w14:textId="77777777" w:rsidTr="00A15EF6">
        <w:trPr>
          <w:trHeight w:val="328"/>
        </w:trPr>
        <w:tc>
          <w:tcPr>
            <w:tcW w:w="4734" w:type="dxa"/>
            <w:shd w:val="clear" w:color="auto" w:fill="FFECE7"/>
          </w:tcPr>
          <w:p w14:paraId="0225F1F9" w14:textId="3C68D3DE" w:rsidR="00881300" w:rsidRPr="000A42EC" w:rsidRDefault="00881300" w:rsidP="00E22B22">
            <w:pPr>
              <w:spacing w:line="276" w:lineRule="auto"/>
              <w:rPr>
                <w:rFonts w:ascii="Arial" w:hAnsi="Arial" w:cs="Arial"/>
                <w:color w:val="4D160F" w:themeColor="accent2" w:themeShade="80"/>
              </w:rPr>
            </w:pPr>
            <w:r w:rsidRPr="000A42EC">
              <w:rPr>
                <w:rFonts w:ascii="Arial" w:hAnsi="Arial" w:cs="Arial"/>
                <w:color w:val="4D160F" w:themeColor="accent2" w:themeShade="80"/>
              </w:rPr>
              <w:t>Student name</w:t>
            </w:r>
          </w:p>
        </w:tc>
        <w:tc>
          <w:tcPr>
            <w:tcW w:w="4734" w:type="dxa"/>
            <w:shd w:val="clear" w:color="auto" w:fill="FFECE7"/>
          </w:tcPr>
          <w:p w14:paraId="04C09548" w14:textId="7B9A6A14" w:rsidR="00881300" w:rsidRPr="000A42EC" w:rsidRDefault="00642415" w:rsidP="00E22B22">
            <w:pPr>
              <w:spacing w:line="276" w:lineRule="auto"/>
              <w:rPr>
                <w:rFonts w:ascii="Arial" w:hAnsi="Arial" w:cs="Arial"/>
                <w:color w:val="4D160F" w:themeColor="accent2" w:themeShade="80"/>
              </w:rPr>
            </w:pPr>
            <w:r w:rsidRPr="000A42EC">
              <w:rPr>
                <w:rFonts w:ascii="Arial" w:hAnsi="Arial" w:cs="Arial"/>
                <w:color w:val="4D160F" w:themeColor="accent2" w:themeShade="80"/>
              </w:rPr>
              <w:t>Yordanka Kancheva</w:t>
            </w:r>
          </w:p>
        </w:tc>
      </w:tr>
      <w:tr w:rsidR="000A42EC" w:rsidRPr="000A42EC" w14:paraId="2A587136" w14:textId="77777777" w:rsidTr="00A15EF6">
        <w:trPr>
          <w:trHeight w:val="328"/>
        </w:trPr>
        <w:tc>
          <w:tcPr>
            <w:tcW w:w="4734" w:type="dxa"/>
            <w:shd w:val="clear" w:color="auto" w:fill="FFECE7"/>
          </w:tcPr>
          <w:p w14:paraId="054BE02F" w14:textId="681C52BC" w:rsidR="00642415" w:rsidRPr="000A42EC" w:rsidRDefault="00642415" w:rsidP="00E22B22">
            <w:pPr>
              <w:spacing w:line="276" w:lineRule="auto"/>
              <w:rPr>
                <w:rFonts w:ascii="Arial" w:hAnsi="Arial" w:cs="Arial"/>
                <w:color w:val="4D160F" w:themeColor="accent2" w:themeShade="80"/>
              </w:rPr>
            </w:pPr>
            <w:r w:rsidRPr="000A42EC">
              <w:rPr>
                <w:rFonts w:ascii="Arial" w:hAnsi="Arial" w:cs="Arial"/>
                <w:color w:val="4D160F" w:themeColor="accent2" w:themeShade="80"/>
              </w:rPr>
              <w:t>Student number</w:t>
            </w:r>
          </w:p>
        </w:tc>
        <w:tc>
          <w:tcPr>
            <w:tcW w:w="4734" w:type="dxa"/>
            <w:shd w:val="clear" w:color="auto" w:fill="FFECE7"/>
          </w:tcPr>
          <w:p w14:paraId="4AE41077" w14:textId="3BABD240" w:rsidR="00881300" w:rsidRPr="000A42EC" w:rsidRDefault="00642415" w:rsidP="00E22B22">
            <w:pPr>
              <w:spacing w:line="276" w:lineRule="auto"/>
              <w:rPr>
                <w:rFonts w:ascii="Arial" w:hAnsi="Arial" w:cs="Arial"/>
                <w:color w:val="4D160F" w:themeColor="accent2" w:themeShade="80"/>
              </w:rPr>
            </w:pPr>
            <w:r w:rsidRPr="000A42EC">
              <w:rPr>
                <w:rFonts w:ascii="Arial" w:hAnsi="Arial" w:cs="Arial"/>
                <w:color w:val="4D160F" w:themeColor="accent2" w:themeShade="80"/>
              </w:rPr>
              <w:t>2017633</w:t>
            </w:r>
          </w:p>
        </w:tc>
      </w:tr>
      <w:tr w:rsidR="000A42EC" w:rsidRPr="000A42EC" w14:paraId="7EDDD170" w14:textId="77777777" w:rsidTr="00A15EF6">
        <w:trPr>
          <w:trHeight w:val="328"/>
        </w:trPr>
        <w:tc>
          <w:tcPr>
            <w:tcW w:w="4734" w:type="dxa"/>
            <w:shd w:val="clear" w:color="auto" w:fill="FFECE7"/>
          </w:tcPr>
          <w:p w14:paraId="1DFBDF23" w14:textId="643F9094" w:rsidR="00642415" w:rsidRPr="000A42EC" w:rsidRDefault="00642415" w:rsidP="00E22B22">
            <w:pPr>
              <w:spacing w:line="276" w:lineRule="auto"/>
              <w:rPr>
                <w:rFonts w:ascii="Arial" w:hAnsi="Arial" w:cs="Arial"/>
                <w:color w:val="4D160F" w:themeColor="accent2" w:themeShade="80"/>
              </w:rPr>
            </w:pPr>
            <w:r w:rsidRPr="000A42EC">
              <w:rPr>
                <w:rFonts w:ascii="Arial" w:hAnsi="Arial" w:cs="Arial"/>
                <w:color w:val="4D160F" w:themeColor="accent2" w:themeShade="80"/>
              </w:rPr>
              <w:t>Module code</w:t>
            </w:r>
          </w:p>
        </w:tc>
        <w:tc>
          <w:tcPr>
            <w:tcW w:w="4734" w:type="dxa"/>
            <w:shd w:val="clear" w:color="auto" w:fill="FFECE7"/>
          </w:tcPr>
          <w:p w14:paraId="4DD9316A" w14:textId="77777777" w:rsidR="00881300" w:rsidRPr="000A42EC" w:rsidRDefault="00642415" w:rsidP="00E22B22">
            <w:pPr>
              <w:spacing w:line="276" w:lineRule="auto"/>
              <w:rPr>
                <w:rFonts w:ascii="Arial" w:hAnsi="Arial" w:cs="Arial"/>
                <w:color w:val="4D160F" w:themeColor="accent2" w:themeShade="80"/>
              </w:rPr>
            </w:pPr>
            <w:r w:rsidRPr="000A42EC">
              <w:rPr>
                <w:rFonts w:ascii="Arial" w:hAnsi="Arial" w:cs="Arial"/>
                <w:color w:val="4D160F" w:themeColor="accent2" w:themeShade="80"/>
              </w:rPr>
              <w:t>Leading and implementing workplace change</w:t>
            </w:r>
          </w:p>
          <w:p w14:paraId="62AC163B" w14:textId="5D0A19C3" w:rsidR="00642415" w:rsidRPr="000A42EC" w:rsidRDefault="00642415" w:rsidP="00E22B22">
            <w:pPr>
              <w:spacing w:line="276" w:lineRule="auto"/>
              <w:rPr>
                <w:rFonts w:ascii="Arial" w:hAnsi="Arial" w:cs="Arial"/>
                <w:color w:val="4D160F" w:themeColor="accent2" w:themeShade="80"/>
              </w:rPr>
            </w:pPr>
            <w:r w:rsidRPr="000A42EC">
              <w:rPr>
                <w:rFonts w:ascii="Arial" w:hAnsi="Arial" w:cs="Arial"/>
                <w:color w:val="4D160F" w:themeColor="accent2" w:themeShade="80"/>
              </w:rPr>
              <w:t>BMSW6103</w:t>
            </w:r>
          </w:p>
        </w:tc>
      </w:tr>
      <w:tr w:rsidR="000A42EC" w:rsidRPr="000A42EC" w14:paraId="2016F42C" w14:textId="77777777" w:rsidTr="00A15EF6">
        <w:trPr>
          <w:trHeight w:val="328"/>
        </w:trPr>
        <w:tc>
          <w:tcPr>
            <w:tcW w:w="4734" w:type="dxa"/>
            <w:shd w:val="clear" w:color="auto" w:fill="FFECE7"/>
          </w:tcPr>
          <w:p w14:paraId="1EB8A722" w14:textId="1EA691C0" w:rsidR="00881300" w:rsidRPr="000A42EC" w:rsidRDefault="00642415" w:rsidP="00E22B22">
            <w:pPr>
              <w:spacing w:line="276" w:lineRule="auto"/>
              <w:rPr>
                <w:rFonts w:ascii="Arial" w:hAnsi="Arial" w:cs="Arial"/>
                <w:color w:val="4D160F" w:themeColor="accent2" w:themeShade="80"/>
              </w:rPr>
            </w:pPr>
            <w:r w:rsidRPr="000A42EC">
              <w:rPr>
                <w:rFonts w:ascii="Arial" w:hAnsi="Arial" w:cs="Arial"/>
                <w:color w:val="4D160F" w:themeColor="accent2" w:themeShade="80"/>
              </w:rPr>
              <w:t>Lecture name</w:t>
            </w:r>
          </w:p>
        </w:tc>
        <w:tc>
          <w:tcPr>
            <w:tcW w:w="4734" w:type="dxa"/>
            <w:shd w:val="clear" w:color="auto" w:fill="FFECE7"/>
          </w:tcPr>
          <w:p w14:paraId="2CF07721" w14:textId="5CD12451" w:rsidR="00881300" w:rsidRPr="000A42EC" w:rsidRDefault="00642415" w:rsidP="00E22B22">
            <w:pPr>
              <w:spacing w:line="276" w:lineRule="auto"/>
              <w:rPr>
                <w:rFonts w:ascii="Arial" w:hAnsi="Arial" w:cs="Arial"/>
                <w:color w:val="4D160F" w:themeColor="accent2" w:themeShade="80"/>
              </w:rPr>
            </w:pPr>
            <w:r w:rsidRPr="000A42EC">
              <w:rPr>
                <w:rFonts w:ascii="Arial" w:hAnsi="Arial" w:cs="Arial"/>
                <w:color w:val="4D160F" w:themeColor="accent2" w:themeShade="80"/>
              </w:rPr>
              <w:t>Prof Dennis Pepple</w:t>
            </w:r>
          </w:p>
        </w:tc>
      </w:tr>
    </w:tbl>
    <w:p w14:paraId="725E4080" w14:textId="738DDF29" w:rsidR="00E22B22" w:rsidRPr="003C730F" w:rsidRDefault="00E22B22" w:rsidP="00E22B22">
      <w:pPr>
        <w:spacing w:line="276" w:lineRule="auto"/>
        <w:rPr>
          <w:rFonts w:ascii="Arial" w:hAnsi="Arial" w:cs="Arial"/>
          <w:color w:val="4D160F" w:themeColor="accent2" w:themeShade="80"/>
        </w:rPr>
      </w:pPr>
    </w:p>
    <w:sdt>
      <w:sdtPr>
        <w:rPr>
          <w:rFonts w:asciiTheme="minorHAnsi" w:eastAsiaTheme="minorEastAsia" w:hAnsiTheme="minorHAnsi" w:cstheme="minorBidi"/>
          <w:color w:val="4D160F" w:themeColor="accent2" w:themeShade="80"/>
          <w:kern w:val="2"/>
          <w:sz w:val="22"/>
          <w:szCs w:val="22"/>
          <w:lang w:val="en-GB"/>
          <w14:ligatures w14:val="standardContextual"/>
        </w:rPr>
        <w:id w:val="-196018847"/>
        <w:docPartObj>
          <w:docPartGallery w:val="Table of Contents"/>
          <w:docPartUnique/>
        </w:docPartObj>
      </w:sdtPr>
      <w:sdtEndPr>
        <w:rPr>
          <w:b/>
          <w:color w:val="4D160F" w:themeColor="accent2" w:themeShade="80"/>
        </w:rPr>
      </w:sdtEndPr>
      <w:sdtContent>
        <w:p w14:paraId="7708D4F7" w14:textId="4DA4DB19" w:rsidR="00642415" w:rsidRPr="000A42EC" w:rsidRDefault="00642415" w:rsidP="00A15EF6">
          <w:pPr>
            <w:pStyle w:val="TOCHeading"/>
            <w:shd w:val="clear" w:color="auto" w:fill="FFECE7"/>
            <w:rPr>
              <w:color w:val="4D160F" w:themeColor="accent2" w:themeShade="80"/>
            </w:rPr>
          </w:pPr>
          <w:r w:rsidRPr="000A42EC">
            <w:rPr>
              <w:rFonts w:ascii="Arial" w:hAnsi="Arial" w:cs="Arial"/>
              <w:color w:val="4D160F" w:themeColor="accent2" w:themeShade="80"/>
              <w:sz w:val="36"/>
              <w:szCs w:val="36"/>
            </w:rPr>
            <w:t>Table of content</w:t>
          </w:r>
          <w:r w:rsidR="00A15EF6" w:rsidRPr="000A42EC">
            <w:rPr>
              <w:rFonts w:ascii="Arial" w:hAnsi="Arial" w:cs="Arial"/>
              <w:color w:val="4D160F" w:themeColor="accent2" w:themeShade="80"/>
              <w:sz w:val="36"/>
              <w:szCs w:val="36"/>
            </w:rPr>
            <w:t>s</w:t>
          </w:r>
        </w:p>
        <w:p w14:paraId="79B80574" w14:textId="77777777" w:rsidR="00A15EF6" w:rsidRDefault="00A15EF6" w:rsidP="00A15EF6">
          <w:pPr>
            <w:rPr>
              <w:color w:val="4D160F" w:themeColor="accent2" w:themeShade="80"/>
              <w:lang w:val="en-US"/>
            </w:rPr>
          </w:pPr>
        </w:p>
        <w:p w14:paraId="778D203D" w14:textId="77777777" w:rsidR="00112148" w:rsidRPr="003C730F" w:rsidRDefault="00112148" w:rsidP="00A15EF6">
          <w:pPr>
            <w:rPr>
              <w:color w:val="4D160F" w:themeColor="accent2" w:themeShade="80"/>
              <w:lang w:val="en-US"/>
            </w:rPr>
          </w:pPr>
        </w:p>
        <w:p w14:paraId="0B6A0E12" w14:textId="31464CE9" w:rsidR="00112148" w:rsidRPr="00112148" w:rsidRDefault="00642415">
          <w:pPr>
            <w:pStyle w:val="TOC1"/>
            <w:rPr>
              <w:rFonts w:ascii="Arial" w:eastAsiaTheme="minorEastAsia" w:hAnsi="Arial" w:cs="Arial"/>
              <w:noProof/>
              <w:color w:val="4D160F" w:themeColor="accent2" w:themeShade="80"/>
              <w:sz w:val="24"/>
              <w:szCs w:val="24"/>
              <w:lang w:val="bg-BG" w:eastAsia="bg-BG"/>
            </w:rPr>
          </w:pPr>
          <w:r w:rsidRPr="003C730F">
            <w:rPr>
              <w:color w:val="4D160F" w:themeColor="accent2" w:themeShade="80"/>
            </w:rPr>
            <w:fldChar w:fldCharType="begin"/>
          </w:r>
          <w:r w:rsidRPr="003C730F">
            <w:rPr>
              <w:color w:val="4D160F" w:themeColor="accent2" w:themeShade="80"/>
            </w:rPr>
            <w:instrText xml:space="preserve"> TOC \o "1-3" \h \z \u </w:instrText>
          </w:r>
          <w:r w:rsidRPr="003C730F">
            <w:rPr>
              <w:color w:val="4D160F" w:themeColor="accent2" w:themeShade="80"/>
            </w:rPr>
            <w:fldChar w:fldCharType="separate"/>
          </w:r>
          <w:hyperlink w:anchor="_Toc172359870" w:history="1">
            <w:r w:rsidR="00112148" w:rsidRPr="00112148">
              <w:rPr>
                <w:rStyle w:val="Hyperlink"/>
                <w:rFonts w:ascii="Arial" w:hAnsi="Arial" w:cs="Arial"/>
                <w:noProof/>
                <w:color w:val="4D160F" w:themeColor="accent2" w:themeShade="80"/>
              </w:rPr>
              <w:t>Introduction</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_Toc172359870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3</w:t>
            </w:r>
            <w:r w:rsidR="00112148" w:rsidRPr="00112148">
              <w:rPr>
                <w:rFonts w:ascii="Arial" w:hAnsi="Arial" w:cs="Arial"/>
                <w:noProof/>
                <w:webHidden/>
                <w:color w:val="4D160F" w:themeColor="accent2" w:themeShade="80"/>
              </w:rPr>
              <w:fldChar w:fldCharType="end"/>
            </w:r>
          </w:hyperlink>
        </w:p>
        <w:p w14:paraId="7EAA8587" w14:textId="51B93AF1" w:rsidR="00112148" w:rsidRPr="00112148" w:rsidRDefault="000353E1">
          <w:pPr>
            <w:pStyle w:val="TOC1"/>
            <w:rPr>
              <w:rFonts w:ascii="Arial" w:eastAsiaTheme="minorEastAsia" w:hAnsi="Arial" w:cs="Arial"/>
              <w:noProof/>
              <w:color w:val="4D160F" w:themeColor="accent2" w:themeShade="80"/>
              <w:sz w:val="24"/>
              <w:szCs w:val="24"/>
              <w:lang w:val="bg-BG" w:eastAsia="bg-BG"/>
            </w:rPr>
          </w:pPr>
          <w:hyperlink w:anchor="_Toc172359871" w:history="1">
            <w:r w:rsidR="00112148" w:rsidRPr="00112148">
              <w:rPr>
                <w:rStyle w:val="Hyperlink"/>
                <w:rFonts w:ascii="Arial" w:hAnsi="Arial" w:cs="Arial"/>
                <w:noProof/>
                <w:color w:val="4D160F" w:themeColor="accent2" w:themeShade="80"/>
              </w:rPr>
              <w:t>Stakeholder Analysis</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_Toc172359871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4</w:t>
            </w:r>
            <w:r w:rsidR="00112148" w:rsidRPr="00112148">
              <w:rPr>
                <w:rFonts w:ascii="Arial" w:hAnsi="Arial" w:cs="Arial"/>
                <w:noProof/>
                <w:webHidden/>
                <w:color w:val="4D160F" w:themeColor="accent2" w:themeShade="80"/>
              </w:rPr>
              <w:fldChar w:fldCharType="end"/>
            </w:r>
          </w:hyperlink>
        </w:p>
        <w:p w14:paraId="6ED186B3" w14:textId="07618E60" w:rsidR="00112148" w:rsidRPr="00112148" w:rsidRDefault="000353E1">
          <w:pPr>
            <w:pStyle w:val="TOC2"/>
            <w:tabs>
              <w:tab w:val="right" w:leader="dot" w:pos="9350"/>
            </w:tabs>
            <w:rPr>
              <w:rFonts w:ascii="Arial" w:eastAsiaTheme="minorEastAsia" w:hAnsi="Arial" w:cs="Arial"/>
              <w:noProof/>
              <w:color w:val="4D160F" w:themeColor="accent2" w:themeShade="80"/>
              <w:sz w:val="24"/>
              <w:szCs w:val="24"/>
              <w:lang w:val="bg-BG" w:eastAsia="bg-BG"/>
            </w:rPr>
          </w:pPr>
          <w:hyperlink w:anchor="_Toc172359872" w:history="1">
            <w:r w:rsidR="00112148" w:rsidRPr="00112148">
              <w:rPr>
                <w:rStyle w:val="Hyperlink"/>
                <w:rFonts w:ascii="Arial" w:hAnsi="Arial" w:cs="Arial"/>
                <w:noProof/>
                <w:color w:val="4D160F" w:themeColor="accent2" w:themeShade="80"/>
              </w:rPr>
              <w:t>Neo-Classical Model</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_Toc172359872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4</w:t>
            </w:r>
            <w:r w:rsidR="00112148" w:rsidRPr="00112148">
              <w:rPr>
                <w:rFonts w:ascii="Arial" w:hAnsi="Arial" w:cs="Arial"/>
                <w:noProof/>
                <w:webHidden/>
                <w:color w:val="4D160F" w:themeColor="accent2" w:themeShade="80"/>
              </w:rPr>
              <w:fldChar w:fldCharType="end"/>
            </w:r>
          </w:hyperlink>
        </w:p>
        <w:p w14:paraId="77296833" w14:textId="0064026B" w:rsidR="00112148" w:rsidRPr="00112148" w:rsidRDefault="000353E1">
          <w:pPr>
            <w:pStyle w:val="TOC2"/>
            <w:tabs>
              <w:tab w:val="right" w:leader="dot" w:pos="9350"/>
            </w:tabs>
            <w:rPr>
              <w:rFonts w:ascii="Arial" w:eastAsiaTheme="minorEastAsia" w:hAnsi="Arial" w:cs="Arial"/>
              <w:noProof/>
              <w:color w:val="4D160F" w:themeColor="accent2" w:themeShade="80"/>
              <w:sz w:val="24"/>
              <w:szCs w:val="24"/>
              <w:lang w:val="bg-BG" w:eastAsia="bg-BG"/>
            </w:rPr>
          </w:pPr>
          <w:hyperlink w:anchor="_Toc172359873" w:history="1">
            <w:r w:rsidR="00112148" w:rsidRPr="00112148">
              <w:rPr>
                <w:rStyle w:val="Hyperlink"/>
                <w:rFonts w:ascii="Arial" w:hAnsi="Arial" w:cs="Arial"/>
                <w:noProof/>
                <w:color w:val="4D160F" w:themeColor="accent2" w:themeShade="80"/>
              </w:rPr>
              <w:t>Socio-Economic Theory / Stakeholder Theory</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_Toc172359873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4</w:t>
            </w:r>
            <w:r w:rsidR="00112148" w:rsidRPr="00112148">
              <w:rPr>
                <w:rFonts w:ascii="Arial" w:hAnsi="Arial" w:cs="Arial"/>
                <w:noProof/>
                <w:webHidden/>
                <w:color w:val="4D160F" w:themeColor="accent2" w:themeShade="80"/>
              </w:rPr>
              <w:fldChar w:fldCharType="end"/>
            </w:r>
          </w:hyperlink>
        </w:p>
        <w:p w14:paraId="0A8F7161" w14:textId="63BA9370" w:rsidR="00112148" w:rsidRPr="00112148" w:rsidRDefault="000353E1">
          <w:pPr>
            <w:pStyle w:val="TOC2"/>
            <w:tabs>
              <w:tab w:val="right" w:leader="dot" w:pos="9350"/>
            </w:tabs>
            <w:rPr>
              <w:rFonts w:ascii="Arial" w:eastAsiaTheme="minorEastAsia" w:hAnsi="Arial" w:cs="Arial"/>
              <w:noProof/>
              <w:color w:val="4D160F" w:themeColor="accent2" w:themeShade="80"/>
              <w:sz w:val="24"/>
              <w:szCs w:val="24"/>
              <w:lang w:val="bg-BG" w:eastAsia="bg-BG"/>
            </w:rPr>
          </w:pPr>
          <w:hyperlink w:anchor="_Toc172359874" w:history="1">
            <w:r w:rsidR="00112148" w:rsidRPr="00112148">
              <w:rPr>
                <w:rStyle w:val="Hyperlink"/>
                <w:rFonts w:ascii="Arial" w:hAnsi="Arial" w:cs="Arial"/>
                <w:noProof/>
                <w:color w:val="4D160F" w:themeColor="accent2" w:themeShade="80"/>
              </w:rPr>
              <w:t>Stakeholder Salience Model</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_Toc172359874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4</w:t>
            </w:r>
            <w:r w:rsidR="00112148" w:rsidRPr="00112148">
              <w:rPr>
                <w:rFonts w:ascii="Arial" w:hAnsi="Arial" w:cs="Arial"/>
                <w:noProof/>
                <w:webHidden/>
                <w:color w:val="4D160F" w:themeColor="accent2" w:themeShade="80"/>
              </w:rPr>
              <w:fldChar w:fldCharType="end"/>
            </w:r>
          </w:hyperlink>
        </w:p>
        <w:p w14:paraId="3BFD4BAA" w14:textId="523F97FF" w:rsidR="00112148" w:rsidRPr="00112148" w:rsidRDefault="000353E1">
          <w:pPr>
            <w:pStyle w:val="TOC2"/>
            <w:tabs>
              <w:tab w:val="right" w:leader="dot" w:pos="9350"/>
            </w:tabs>
            <w:rPr>
              <w:rFonts w:ascii="Arial" w:eastAsiaTheme="minorEastAsia" w:hAnsi="Arial" w:cs="Arial"/>
              <w:noProof/>
              <w:color w:val="4D160F" w:themeColor="accent2" w:themeShade="80"/>
              <w:sz w:val="24"/>
              <w:szCs w:val="24"/>
              <w:lang w:val="bg-BG" w:eastAsia="bg-BG"/>
            </w:rPr>
          </w:pPr>
          <w:hyperlink w:anchor="_Toc172359875" w:history="1">
            <w:r w:rsidR="00112148" w:rsidRPr="00112148">
              <w:rPr>
                <w:rStyle w:val="Hyperlink"/>
                <w:rFonts w:ascii="Arial" w:hAnsi="Arial" w:cs="Arial"/>
                <w:noProof/>
                <w:color w:val="4D160F" w:themeColor="accent2" w:themeShade="80"/>
              </w:rPr>
              <w:t>The Power-Interest Matrix</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_Toc172359875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5</w:t>
            </w:r>
            <w:r w:rsidR="00112148" w:rsidRPr="00112148">
              <w:rPr>
                <w:rFonts w:ascii="Arial" w:hAnsi="Arial" w:cs="Arial"/>
                <w:noProof/>
                <w:webHidden/>
                <w:color w:val="4D160F" w:themeColor="accent2" w:themeShade="80"/>
              </w:rPr>
              <w:fldChar w:fldCharType="end"/>
            </w:r>
          </w:hyperlink>
        </w:p>
        <w:p w14:paraId="7F4C7FC9" w14:textId="181FBE51" w:rsidR="00112148" w:rsidRPr="00112148" w:rsidRDefault="000353E1">
          <w:pPr>
            <w:pStyle w:val="TOC2"/>
            <w:tabs>
              <w:tab w:val="right" w:leader="dot" w:pos="9350"/>
            </w:tabs>
            <w:rPr>
              <w:rFonts w:ascii="Arial" w:eastAsiaTheme="minorEastAsia" w:hAnsi="Arial" w:cs="Arial"/>
              <w:noProof/>
              <w:color w:val="4D160F" w:themeColor="accent2" w:themeShade="80"/>
              <w:sz w:val="24"/>
              <w:szCs w:val="24"/>
              <w:lang w:val="bg-BG" w:eastAsia="bg-BG"/>
            </w:rPr>
          </w:pPr>
          <w:hyperlink w:anchor="_Toc172359876" w:history="1">
            <w:r w:rsidR="00112148" w:rsidRPr="00112148">
              <w:rPr>
                <w:rStyle w:val="Hyperlink"/>
                <w:rFonts w:ascii="Arial" w:hAnsi="Arial" w:cs="Arial"/>
                <w:noProof/>
                <w:color w:val="4D160F" w:themeColor="accent2" w:themeShade="80"/>
              </w:rPr>
              <w:t>Stakeholder Identification and Placement in the Power-Interest Matrix</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_Toc172359876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6</w:t>
            </w:r>
            <w:r w:rsidR="00112148" w:rsidRPr="00112148">
              <w:rPr>
                <w:rFonts w:ascii="Arial" w:hAnsi="Arial" w:cs="Arial"/>
                <w:noProof/>
                <w:webHidden/>
                <w:color w:val="4D160F" w:themeColor="accent2" w:themeShade="80"/>
              </w:rPr>
              <w:fldChar w:fldCharType="end"/>
            </w:r>
          </w:hyperlink>
        </w:p>
        <w:p w14:paraId="34CF49B7" w14:textId="71EE8A5C" w:rsidR="00112148" w:rsidRPr="00112148" w:rsidRDefault="000353E1">
          <w:pPr>
            <w:pStyle w:val="TOC2"/>
            <w:tabs>
              <w:tab w:val="right" w:leader="dot" w:pos="9350"/>
            </w:tabs>
            <w:rPr>
              <w:rFonts w:ascii="Arial" w:eastAsiaTheme="minorEastAsia" w:hAnsi="Arial" w:cs="Arial"/>
              <w:noProof/>
              <w:color w:val="4D160F" w:themeColor="accent2" w:themeShade="80"/>
              <w:sz w:val="24"/>
              <w:szCs w:val="24"/>
              <w:lang w:val="bg-BG" w:eastAsia="bg-BG"/>
            </w:rPr>
          </w:pPr>
          <w:hyperlink w:anchor="_Toc172359877" w:history="1">
            <w:r w:rsidR="00112148" w:rsidRPr="00112148">
              <w:rPr>
                <w:rStyle w:val="Hyperlink"/>
                <w:rFonts w:ascii="Arial" w:hAnsi="Arial" w:cs="Arial"/>
                <w:noProof/>
                <w:color w:val="4D160F" w:themeColor="accent2" w:themeShade="80"/>
              </w:rPr>
              <w:t>Critical Justification for Stakeholder Placement</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_Toc172359877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8</w:t>
            </w:r>
            <w:r w:rsidR="00112148" w:rsidRPr="00112148">
              <w:rPr>
                <w:rFonts w:ascii="Arial" w:hAnsi="Arial" w:cs="Arial"/>
                <w:noProof/>
                <w:webHidden/>
                <w:color w:val="4D160F" w:themeColor="accent2" w:themeShade="80"/>
              </w:rPr>
              <w:fldChar w:fldCharType="end"/>
            </w:r>
          </w:hyperlink>
        </w:p>
        <w:p w14:paraId="0F4BC986" w14:textId="48F6E5DC" w:rsidR="00112148" w:rsidRPr="00112148" w:rsidRDefault="000353E1">
          <w:pPr>
            <w:pStyle w:val="TOC2"/>
            <w:tabs>
              <w:tab w:val="right" w:leader="dot" w:pos="9350"/>
            </w:tabs>
            <w:rPr>
              <w:rFonts w:ascii="Arial" w:eastAsiaTheme="minorEastAsia" w:hAnsi="Arial" w:cs="Arial"/>
              <w:noProof/>
              <w:color w:val="4D160F" w:themeColor="accent2" w:themeShade="80"/>
              <w:sz w:val="24"/>
              <w:szCs w:val="24"/>
              <w:lang w:val="bg-BG" w:eastAsia="bg-BG"/>
            </w:rPr>
          </w:pPr>
          <w:hyperlink w:anchor="_Toc172359878" w:history="1">
            <w:r w:rsidR="00112148" w:rsidRPr="00112148">
              <w:rPr>
                <w:rStyle w:val="Hyperlink"/>
                <w:rFonts w:ascii="Arial" w:hAnsi="Arial" w:cs="Arial"/>
                <w:noProof/>
                <w:color w:val="4D160F" w:themeColor="accent2" w:themeShade="80"/>
              </w:rPr>
              <w:t>Application of the Power-Interest Matrix</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_Toc172359878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9</w:t>
            </w:r>
            <w:r w:rsidR="00112148" w:rsidRPr="00112148">
              <w:rPr>
                <w:rFonts w:ascii="Arial" w:hAnsi="Arial" w:cs="Arial"/>
                <w:noProof/>
                <w:webHidden/>
                <w:color w:val="4D160F" w:themeColor="accent2" w:themeShade="80"/>
              </w:rPr>
              <w:fldChar w:fldCharType="end"/>
            </w:r>
          </w:hyperlink>
        </w:p>
        <w:p w14:paraId="697EDD90" w14:textId="7818B83C" w:rsidR="00112148" w:rsidRPr="00112148" w:rsidRDefault="000353E1">
          <w:pPr>
            <w:pStyle w:val="TOC2"/>
            <w:tabs>
              <w:tab w:val="right" w:leader="dot" w:pos="9350"/>
            </w:tabs>
            <w:rPr>
              <w:rFonts w:ascii="Arial" w:eastAsiaTheme="minorEastAsia" w:hAnsi="Arial" w:cs="Arial"/>
              <w:noProof/>
              <w:color w:val="4D160F" w:themeColor="accent2" w:themeShade="80"/>
              <w:sz w:val="24"/>
              <w:szCs w:val="24"/>
              <w:lang w:val="bg-BG" w:eastAsia="bg-BG"/>
            </w:rPr>
          </w:pPr>
          <w:hyperlink w:anchor="_Toc172359879" w:history="1">
            <w:r w:rsidR="00112148" w:rsidRPr="00112148">
              <w:rPr>
                <w:rStyle w:val="Hyperlink"/>
                <w:rFonts w:ascii="Arial" w:hAnsi="Arial" w:cs="Arial"/>
                <w:noProof/>
                <w:color w:val="4D160F" w:themeColor="accent2" w:themeShade="80"/>
              </w:rPr>
              <w:t>Contextual Changes and Stakeholder Repositioning</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_Toc172359879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11</w:t>
            </w:r>
            <w:r w:rsidR="00112148" w:rsidRPr="00112148">
              <w:rPr>
                <w:rFonts w:ascii="Arial" w:hAnsi="Arial" w:cs="Arial"/>
                <w:noProof/>
                <w:webHidden/>
                <w:color w:val="4D160F" w:themeColor="accent2" w:themeShade="80"/>
              </w:rPr>
              <w:fldChar w:fldCharType="end"/>
            </w:r>
          </w:hyperlink>
        </w:p>
        <w:p w14:paraId="4306CCE2" w14:textId="489F1412" w:rsidR="00112148" w:rsidRPr="00112148" w:rsidRDefault="000353E1">
          <w:pPr>
            <w:pStyle w:val="TOC1"/>
            <w:rPr>
              <w:rFonts w:ascii="Arial" w:eastAsiaTheme="minorEastAsia" w:hAnsi="Arial" w:cs="Arial"/>
              <w:noProof/>
              <w:color w:val="4D160F" w:themeColor="accent2" w:themeShade="80"/>
              <w:sz w:val="24"/>
              <w:szCs w:val="24"/>
              <w:lang w:val="bg-BG" w:eastAsia="bg-BG"/>
            </w:rPr>
          </w:pPr>
          <w:hyperlink w:anchor="_Toc172359880" w:history="1">
            <w:r w:rsidR="00112148" w:rsidRPr="00112148">
              <w:rPr>
                <w:rStyle w:val="Hyperlink"/>
                <w:rFonts w:ascii="Arial" w:hAnsi="Arial" w:cs="Arial"/>
                <w:noProof/>
                <w:color w:val="4D160F" w:themeColor="accent2" w:themeShade="80"/>
              </w:rPr>
              <w:t>Conflict Resolution Styles in the Context of the Post Office Workers' Strike and Strategic Change Management</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_Toc172359880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12</w:t>
            </w:r>
            <w:r w:rsidR="00112148" w:rsidRPr="00112148">
              <w:rPr>
                <w:rFonts w:ascii="Arial" w:hAnsi="Arial" w:cs="Arial"/>
                <w:noProof/>
                <w:webHidden/>
                <w:color w:val="4D160F" w:themeColor="accent2" w:themeShade="80"/>
              </w:rPr>
              <w:fldChar w:fldCharType="end"/>
            </w:r>
          </w:hyperlink>
        </w:p>
        <w:p w14:paraId="76EEBF55" w14:textId="53A3BF02" w:rsidR="00112148" w:rsidRPr="00112148" w:rsidRDefault="000353E1">
          <w:pPr>
            <w:pStyle w:val="TOC2"/>
            <w:tabs>
              <w:tab w:val="right" w:leader="dot" w:pos="9350"/>
            </w:tabs>
            <w:rPr>
              <w:rFonts w:ascii="Arial" w:eastAsiaTheme="minorEastAsia" w:hAnsi="Arial" w:cs="Arial"/>
              <w:noProof/>
              <w:color w:val="4D160F" w:themeColor="accent2" w:themeShade="80"/>
              <w:sz w:val="24"/>
              <w:szCs w:val="24"/>
              <w:lang w:val="bg-BG" w:eastAsia="bg-BG"/>
            </w:rPr>
          </w:pPr>
          <w:hyperlink w:anchor="_Toc172359881" w:history="1">
            <w:r w:rsidR="00112148" w:rsidRPr="00112148">
              <w:rPr>
                <w:rStyle w:val="Hyperlink"/>
                <w:rFonts w:ascii="Arial" w:hAnsi="Arial" w:cs="Arial"/>
                <w:noProof/>
                <w:color w:val="4D160F" w:themeColor="accent2" w:themeShade="80"/>
              </w:rPr>
              <w:t>Understanding Conflict and Its Impact on Organisations</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_Toc172359881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12</w:t>
            </w:r>
            <w:r w:rsidR="00112148" w:rsidRPr="00112148">
              <w:rPr>
                <w:rFonts w:ascii="Arial" w:hAnsi="Arial" w:cs="Arial"/>
                <w:noProof/>
                <w:webHidden/>
                <w:color w:val="4D160F" w:themeColor="accent2" w:themeShade="80"/>
              </w:rPr>
              <w:fldChar w:fldCharType="end"/>
            </w:r>
          </w:hyperlink>
        </w:p>
        <w:p w14:paraId="402F19CA" w14:textId="52109486" w:rsidR="00112148" w:rsidRPr="00112148" w:rsidRDefault="000353E1">
          <w:pPr>
            <w:pStyle w:val="TOC2"/>
            <w:tabs>
              <w:tab w:val="right" w:leader="dot" w:pos="9350"/>
            </w:tabs>
            <w:rPr>
              <w:rFonts w:ascii="Arial" w:eastAsiaTheme="minorEastAsia" w:hAnsi="Arial" w:cs="Arial"/>
              <w:noProof/>
              <w:color w:val="4D160F" w:themeColor="accent2" w:themeShade="80"/>
              <w:sz w:val="24"/>
              <w:szCs w:val="24"/>
              <w:lang w:val="bg-BG" w:eastAsia="bg-BG"/>
            </w:rPr>
          </w:pPr>
          <w:hyperlink w:anchor="_Toc172359882" w:history="1">
            <w:r w:rsidR="00112148" w:rsidRPr="00112148">
              <w:rPr>
                <w:rStyle w:val="Hyperlink"/>
                <w:rFonts w:ascii="Arial" w:hAnsi="Arial" w:cs="Arial"/>
                <w:noProof/>
                <w:color w:val="4D160F" w:themeColor="accent2" w:themeShade="80"/>
              </w:rPr>
              <w:t>Conflict Resolution Styles</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_Toc172359882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13</w:t>
            </w:r>
            <w:r w:rsidR="00112148" w:rsidRPr="00112148">
              <w:rPr>
                <w:rFonts w:ascii="Arial" w:hAnsi="Arial" w:cs="Arial"/>
                <w:noProof/>
                <w:webHidden/>
                <w:color w:val="4D160F" w:themeColor="accent2" w:themeShade="80"/>
              </w:rPr>
              <w:fldChar w:fldCharType="end"/>
            </w:r>
          </w:hyperlink>
        </w:p>
        <w:p w14:paraId="69FD223D" w14:textId="72ADDA3F" w:rsidR="00112148" w:rsidRPr="00112148" w:rsidRDefault="000353E1">
          <w:pPr>
            <w:pStyle w:val="TOC2"/>
            <w:tabs>
              <w:tab w:val="right" w:leader="dot" w:pos="9350"/>
            </w:tabs>
            <w:rPr>
              <w:rFonts w:ascii="Arial" w:eastAsiaTheme="minorEastAsia" w:hAnsi="Arial" w:cs="Arial"/>
              <w:noProof/>
              <w:color w:val="4D160F" w:themeColor="accent2" w:themeShade="80"/>
              <w:sz w:val="24"/>
              <w:szCs w:val="24"/>
              <w:lang w:val="bg-BG" w:eastAsia="bg-BG"/>
            </w:rPr>
          </w:pPr>
          <w:hyperlink w:anchor="_Toc172359883" w:history="1">
            <w:r w:rsidR="00112148" w:rsidRPr="00112148">
              <w:rPr>
                <w:rStyle w:val="Hyperlink"/>
                <w:rFonts w:ascii="Arial" w:hAnsi="Arial" w:cs="Arial"/>
                <w:noProof/>
                <w:color w:val="4D160F" w:themeColor="accent2" w:themeShade="80"/>
              </w:rPr>
              <w:t>Appropriate Conflict Resolution Style for the Post Office Strike</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_Toc172359883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13</w:t>
            </w:r>
            <w:r w:rsidR="00112148" w:rsidRPr="00112148">
              <w:rPr>
                <w:rFonts w:ascii="Arial" w:hAnsi="Arial" w:cs="Arial"/>
                <w:noProof/>
                <w:webHidden/>
                <w:color w:val="4D160F" w:themeColor="accent2" w:themeShade="80"/>
              </w:rPr>
              <w:fldChar w:fldCharType="end"/>
            </w:r>
          </w:hyperlink>
        </w:p>
        <w:p w14:paraId="2F175F6B" w14:textId="46932356" w:rsidR="00112148" w:rsidRPr="00112148" w:rsidRDefault="000353E1">
          <w:pPr>
            <w:pStyle w:val="TOC2"/>
            <w:tabs>
              <w:tab w:val="right" w:leader="dot" w:pos="9350"/>
            </w:tabs>
            <w:rPr>
              <w:rFonts w:ascii="Arial" w:eastAsiaTheme="minorEastAsia" w:hAnsi="Arial" w:cs="Arial"/>
              <w:noProof/>
              <w:color w:val="4D160F" w:themeColor="accent2" w:themeShade="80"/>
              <w:sz w:val="24"/>
              <w:szCs w:val="24"/>
              <w:lang w:val="bg-BG" w:eastAsia="bg-BG"/>
            </w:rPr>
          </w:pPr>
          <w:hyperlink w:anchor="_Toc172359884" w:history="1">
            <w:r w:rsidR="00112148" w:rsidRPr="00112148">
              <w:rPr>
                <w:rStyle w:val="Hyperlink"/>
                <w:rFonts w:ascii="Arial" w:hAnsi="Arial" w:cs="Arial"/>
                <w:noProof/>
                <w:color w:val="4D160F" w:themeColor="accent2" w:themeShade="80"/>
              </w:rPr>
              <w:t>Developing a Model for Change</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_Toc172359884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15</w:t>
            </w:r>
            <w:r w:rsidR="00112148" w:rsidRPr="00112148">
              <w:rPr>
                <w:rFonts w:ascii="Arial" w:hAnsi="Arial" w:cs="Arial"/>
                <w:noProof/>
                <w:webHidden/>
                <w:color w:val="4D160F" w:themeColor="accent2" w:themeShade="80"/>
              </w:rPr>
              <w:fldChar w:fldCharType="end"/>
            </w:r>
          </w:hyperlink>
        </w:p>
        <w:p w14:paraId="2EB45CDF" w14:textId="0185BDFE" w:rsidR="00112148" w:rsidRPr="00112148" w:rsidRDefault="000353E1">
          <w:pPr>
            <w:pStyle w:val="TOC2"/>
            <w:tabs>
              <w:tab w:val="right" w:leader="dot" w:pos="9350"/>
            </w:tabs>
            <w:rPr>
              <w:rFonts w:ascii="Arial" w:eastAsiaTheme="minorEastAsia" w:hAnsi="Arial" w:cs="Arial"/>
              <w:noProof/>
              <w:color w:val="4D160F" w:themeColor="accent2" w:themeShade="80"/>
              <w:sz w:val="24"/>
              <w:szCs w:val="24"/>
              <w:lang w:val="bg-BG" w:eastAsia="bg-BG"/>
            </w:rPr>
          </w:pPr>
          <w:hyperlink w:anchor="_Toc172359885" w:history="1">
            <w:r w:rsidR="00112148" w:rsidRPr="00112148">
              <w:rPr>
                <w:rStyle w:val="Hyperlink"/>
                <w:rFonts w:ascii="Arial" w:hAnsi="Arial" w:cs="Arial"/>
                <w:noProof/>
                <w:color w:val="4D160F" w:themeColor="accent2" w:themeShade="80"/>
              </w:rPr>
              <w:t>Emergent Change and Resistance to Change</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_Toc172359885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17</w:t>
            </w:r>
            <w:r w:rsidR="00112148" w:rsidRPr="00112148">
              <w:rPr>
                <w:rFonts w:ascii="Arial" w:hAnsi="Arial" w:cs="Arial"/>
                <w:noProof/>
                <w:webHidden/>
                <w:color w:val="4D160F" w:themeColor="accent2" w:themeShade="80"/>
              </w:rPr>
              <w:fldChar w:fldCharType="end"/>
            </w:r>
          </w:hyperlink>
        </w:p>
        <w:p w14:paraId="585B980C" w14:textId="1260C219" w:rsidR="00112148" w:rsidRPr="00112148" w:rsidRDefault="000353E1">
          <w:pPr>
            <w:pStyle w:val="TOC1"/>
            <w:rPr>
              <w:rFonts w:ascii="Arial" w:eastAsiaTheme="minorEastAsia" w:hAnsi="Arial" w:cs="Arial"/>
              <w:noProof/>
              <w:color w:val="4D160F" w:themeColor="accent2" w:themeShade="80"/>
              <w:sz w:val="24"/>
              <w:szCs w:val="24"/>
              <w:lang w:val="bg-BG" w:eastAsia="bg-BG"/>
            </w:rPr>
          </w:pPr>
          <w:hyperlink w:anchor="_Toc172359886" w:history="1">
            <w:r w:rsidR="00112148" w:rsidRPr="00112148">
              <w:rPr>
                <w:rStyle w:val="Hyperlink"/>
                <w:rFonts w:ascii="Arial" w:hAnsi="Arial" w:cs="Arial"/>
                <w:noProof/>
                <w:color w:val="4D160F" w:themeColor="accent2" w:themeShade="80"/>
              </w:rPr>
              <w:t>Achieving a 'Win-Win' Solution Among Stakeholders</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_Toc172359886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19</w:t>
            </w:r>
            <w:r w:rsidR="00112148" w:rsidRPr="00112148">
              <w:rPr>
                <w:rFonts w:ascii="Arial" w:hAnsi="Arial" w:cs="Arial"/>
                <w:noProof/>
                <w:webHidden/>
                <w:color w:val="4D160F" w:themeColor="accent2" w:themeShade="80"/>
              </w:rPr>
              <w:fldChar w:fldCharType="end"/>
            </w:r>
          </w:hyperlink>
        </w:p>
        <w:p w14:paraId="4CE4F7AC" w14:textId="558FF816" w:rsidR="00112148" w:rsidRPr="00112148" w:rsidRDefault="000353E1">
          <w:pPr>
            <w:pStyle w:val="TOC2"/>
            <w:tabs>
              <w:tab w:val="right" w:leader="dot" w:pos="9350"/>
            </w:tabs>
            <w:rPr>
              <w:rFonts w:ascii="Arial" w:eastAsiaTheme="minorEastAsia" w:hAnsi="Arial" w:cs="Arial"/>
              <w:noProof/>
              <w:color w:val="4D160F" w:themeColor="accent2" w:themeShade="80"/>
              <w:sz w:val="24"/>
              <w:szCs w:val="24"/>
              <w:lang w:val="bg-BG" w:eastAsia="bg-BG"/>
            </w:rPr>
          </w:pPr>
          <w:hyperlink w:anchor="_Toc172359887" w:history="1">
            <w:r w:rsidR="00112148" w:rsidRPr="00112148">
              <w:rPr>
                <w:rStyle w:val="Hyperlink"/>
                <w:rFonts w:ascii="Arial" w:hAnsi="Arial" w:cs="Arial"/>
                <w:noProof/>
                <w:color w:val="4D160F" w:themeColor="accent2" w:themeShade="80"/>
              </w:rPr>
              <w:t>Strategies for Achieving Win-Win Solutions</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_Toc172359887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19</w:t>
            </w:r>
            <w:r w:rsidR="00112148" w:rsidRPr="00112148">
              <w:rPr>
                <w:rFonts w:ascii="Arial" w:hAnsi="Arial" w:cs="Arial"/>
                <w:noProof/>
                <w:webHidden/>
                <w:color w:val="4D160F" w:themeColor="accent2" w:themeShade="80"/>
              </w:rPr>
              <w:fldChar w:fldCharType="end"/>
            </w:r>
          </w:hyperlink>
        </w:p>
        <w:p w14:paraId="06FE703B" w14:textId="1EE0FAA7" w:rsidR="00112148" w:rsidRPr="00112148" w:rsidRDefault="000353E1">
          <w:pPr>
            <w:pStyle w:val="TOC2"/>
            <w:tabs>
              <w:tab w:val="right" w:leader="dot" w:pos="9350"/>
            </w:tabs>
            <w:rPr>
              <w:rFonts w:ascii="Arial" w:eastAsiaTheme="minorEastAsia" w:hAnsi="Arial" w:cs="Arial"/>
              <w:noProof/>
              <w:color w:val="4D160F" w:themeColor="accent2" w:themeShade="80"/>
              <w:sz w:val="24"/>
              <w:szCs w:val="24"/>
              <w:lang w:val="bg-BG" w:eastAsia="bg-BG"/>
            </w:rPr>
          </w:pPr>
          <w:hyperlink w:anchor="_Toc172359888" w:history="1">
            <w:r w:rsidR="00112148" w:rsidRPr="00112148">
              <w:rPr>
                <w:rStyle w:val="Hyperlink"/>
                <w:rFonts w:ascii="Arial" w:hAnsi="Arial" w:cs="Arial"/>
                <w:noProof/>
                <w:color w:val="4D160F" w:themeColor="accent2" w:themeShade="80"/>
              </w:rPr>
              <w:t>The Reality of Win-Win Solutions</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_Toc172359888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20</w:t>
            </w:r>
            <w:r w:rsidR="00112148" w:rsidRPr="00112148">
              <w:rPr>
                <w:rFonts w:ascii="Arial" w:hAnsi="Arial" w:cs="Arial"/>
                <w:noProof/>
                <w:webHidden/>
                <w:color w:val="4D160F" w:themeColor="accent2" w:themeShade="80"/>
              </w:rPr>
              <w:fldChar w:fldCharType="end"/>
            </w:r>
          </w:hyperlink>
        </w:p>
        <w:p w14:paraId="6A244CBD" w14:textId="1687248C" w:rsidR="00112148" w:rsidRPr="00112148" w:rsidRDefault="000353E1">
          <w:pPr>
            <w:pStyle w:val="TOC1"/>
            <w:rPr>
              <w:rFonts w:ascii="Arial" w:eastAsiaTheme="minorEastAsia" w:hAnsi="Arial" w:cs="Arial"/>
              <w:noProof/>
              <w:color w:val="4D160F" w:themeColor="accent2" w:themeShade="80"/>
              <w:sz w:val="24"/>
              <w:szCs w:val="24"/>
              <w:lang w:val="bg-BG" w:eastAsia="bg-BG"/>
            </w:rPr>
          </w:pPr>
          <w:hyperlink w:anchor="_Toc172359889" w:history="1">
            <w:r w:rsidR="00112148" w:rsidRPr="00112148">
              <w:rPr>
                <w:rStyle w:val="Hyperlink"/>
                <w:rFonts w:ascii="Arial" w:hAnsi="Arial" w:cs="Arial"/>
                <w:noProof/>
                <w:color w:val="4D160F" w:themeColor="accent2" w:themeShade="80"/>
              </w:rPr>
              <w:t>Reflection on Conflict Resolution and Stakeholder Theory: Preparation for the Workplace</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_Toc172359889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21</w:t>
            </w:r>
            <w:r w:rsidR="00112148" w:rsidRPr="00112148">
              <w:rPr>
                <w:rFonts w:ascii="Arial" w:hAnsi="Arial" w:cs="Arial"/>
                <w:noProof/>
                <w:webHidden/>
                <w:color w:val="4D160F" w:themeColor="accent2" w:themeShade="80"/>
              </w:rPr>
              <w:fldChar w:fldCharType="end"/>
            </w:r>
          </w:hyperlink>
        </w:p>
        <w:p w14:paraId="0DA0EF8A" w14:textId="604F2765" w:rsidR="00112148" w:rsidRPr="00112148" w:rsidRDefault="000353E1">
          <w:pPr>
            <w:pStyle w:val="TOC1"/>
            <w:rPr>
              <w:rFonts w:ascii="Arial" w:eastAsiaTheme="minorEastAsia" w:hAnsi="Arial" w:cs="Arial"/>
              <w:noProof/>
              <w:color w:val="4D160F" w:themeColor="accent2" w:themeShade="80"/>
              <w:sz w:val="24"/>
              <w:szCs w:val="24"/>
              <w:lang w:val="bg-BG" w:eastAsia="bg-BG"/>
            </w:rPr>
          </w:pPr>
          <w:hyperlink w:anchor="_Toc172359890" w:history="1">
            <w:r w:rsidR="00112148" w:rsidRPr="00112148">
              <w:rPr>
                <w:rStyle w:val="Hyperlink"/>
                <w:rFonts w:ascii="Arial" w:hAnsi="Arial" w:cs="Arial"/>
                <w:noProof/>
                <w:color w:val="4D160F" w:themeColor="accent2" w:themeShade="80"/>
              </w:rPr>
              <w:t>Conclusion and recommendations</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_Toc172359890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23</w:t>
            </w:r>
            <w:r w:rsidR="00112148" w:rsidRPr="00112148">
              <w:rPr>
                <w:rFonts w:ascii="Arial" w:hAnsi="Arial" w:cs="Arial"/>
                <w:noProof/>
                <w:webHidden/>
                <w:color w:val="4D160F" w:themeColor="accent2" w:themeShade="80"/>
              </w:rPr>
              <w:fldChar w:fldCharType="end"/>
            </w:r>
          </w:hyperlink>
        </w:p>
        <w:p w14:paraId="721244CA" w14:textId="26E74C9D" w:rsidR="00112148" w:rsidRDefault="000353E1">
          <w:pPr>
            <w:pStyle w:val="TOC1"/>
            <w:rPr>
              <w:rFonts w:eastAsiaTheme="minorEastAsia"/>
              <w:noProof/>
              <w:sz w:val="24"/>
              <w:szCs w:val="24"/>
              <w:lang w:val="bg-BG" w:eastAsia="bg-BG"/>
            </w:rPr>
          </w:pPr>
          <w:hyperlink w:anchor="_Toc172359891" w:history="1">
            <w:r w:rsidR="00112148" w:rsidRPr="00112148">
              <w:rPr>
                <w:rStyle w:val="Hyperlink"/>
                <w:rFonts w:ascii="Arial" w:hAnsi="Arial" w:cs="Arial"/>
                <w:noProof/>
                <w:color w:val="4D160F" w:themeColor="accent2" w:themeShade="80"/>
              </w:rPr>
              <w:t>List of references</w:t>
            </w:r>
            <w:r w:rsidR="00112148" w:rsidRPr="00112148">
              <w:rPr>
                <w:rFonts w:ascii="Arial" w:hAnsi="Arial" w:cs="Arial"/>
                <w:noProof/>
                <w:webHidden/>
                <w:color w:val="4D160F" w:themeColor="accent2" w:themeShade="80"/>
              </w:rPr>
              <w:tab/>
            </w:r>
            <w:r w:rsidR="00112148" w:rsidRPr="00112148">
              <w:rPr>
                <w:rFonts w:ascii="Arial" w:hAnsi="Arial" w:cs="Arial"/>
                <w:noProof/>
                <w:webHidden/>
                <w:color w:val="4D160F" w:themeColor="accent2" w:themeShade="80"/>
              </w:rPr>
              <w:fldChar w:fldCharType="begin"/>
            </w:r>
            <w:r w:rsidR="00112148" w:rsidRPr="00112148">
              <w:rPr>
                <w:rFonts w:ascii="Arial" w:hAnsi="Arial" w:cs="Arial"/>
                <w:noProof/>
                <w:webHidden/>
                <w:color w:val="4D160F" w:themeColor="accent2" w:themeShade="80"/>
              </w:rPr>
              <w:instrText xml:space="preserve"> PAGEREF _Toc172359891 \h </w:instrText>
            </w:r>
            <w:r w:rsidR="00112148" w:rsidRPr="00112148">
              <w:rPr>
                <w:rFonts w:ascii="Arial" w:hAnsi="Arial" w:cs="Arial"/>
                <w:noProof/>
                <w:webHidden/>
                <w:color w:val="4D160F" w:themeColor="accent2" w:themeShade="80"/>
              </w:rPr>
            </w:r>
            <w:r w:rsidR="00112148" w:rsidRPr="00112148">
              <w:rPr>
                <w:rFonts w:ascii="Arial" w:hAnsi="Arial" w:cs="Arial"/>
                <w:noProof/>
                <w:webHidden/>
                <w:color w:val="4D160F" w:themeColor="accent2" w:themeShade="80"/>
              </w:rPr>
              <w:fldChar w:fldCharType="separate"/>
            </w:r>
            <w:r w:rsidR="00112148" w:rsidRPr="00112148">
              <w:rPr>
                <w:rFonts w:ascii="Arial" w:hAnsi="Arial" w:cs="Arial"/>
                <w:noProof/>
                <w:webHidden/>
                <w:color w:val="4D160F" w:themeColor="accent2" w:themeShade="80"/>
              </w:rPr>
              <w:t>25</w:t>
            </w:r>
            <w:r w:rsidR="00112148" w:rsidRPr="00112148">
              <w:rPr>
                <w:rFonts w:ascii="Arial" w:hAnsi="Arial" w:cs="Arial"/>
                <w:noProof/>
                <w:webHidden/>
                <w:color w:val="4D160F" w:themeColor="accent2" w:themeShade="80"/>
              </w:rPr>
              <w:fldChar w:fldCharType="end"/>
            </w:r>
          </w:hyperlink>
        </w:p>
        <w:p w14:paraId="28DEF713" w14:textId="41E5FA69" w:rsidR="00642415" w:rsidRPr="003C730F" w:rsidRDefault="00642415">
          <w:pPr>
            <w:rPr>
              <w:color w:val="4D160F" w:themeColor="accent2" w:themeShade="80"/>
            </w:rPr>
          </w:pPr>
          <w:r w:rsidRPr="003C730F">
            <w:rPr>
              <w:b/>
              <w:bCs/>
              <w:noProof/>
              <w:color w:val="4D160F" w:themeColor="accent2" w:themeShade="80"/>
            </w:rPr>
            <w:fldChar w:fldCharType="end"/>
          </w:r>
        </w:p>
      </w:sdtContent>
    </w:sdt>
    <w:p w14:paraId="5A606A01" w14:textId="0D451B7A" w:rsidR="00E22B22" w:rsidRPr="003C730F" w:rsidRDefault="00E22B22" w:rsidP="00E22B22">
      <w:pPr>
        <w:spacing w:line="276" w:lineRule="auto"/>
        <w:rPr>
          <w:rFonts w:ascii="Arial" w:hAnsi="Arial" w:cs="Arial"/>
          <w:color w:val="4D160F" w:themeColor="accent2" w:themeShade="80"/>
        </w:rPr>
      </w:pPr>
    </w:p>
    <w:p w14:paraId="176C6EEF" w14:textId="6753CFE3" w:rsidR="00E22B22" w:rsidRPr="003C730F" w:rsidRDefault="00E22B22" w:rsidP="00E22B22">
      <w:pPr>
        <w:spacing w:line="276" w:lineRule="auto"/>
        <w:rPr>
          <w:rFonts w:ascii="Arial" w:hAnsi="Arial" w:cs="Arial"/>
          <w:color w:val="4D160F" w:themeColor="accent2" w:themeShade="80"/>
        </w:rPr>
      </w:pPr>
    </w:p>
    <w:p w14:paraId="44A7CD8F" w14:textId="77777777" w:rsidR="00642415" w:rsidRDefault="00642415" w:rsidP="00E22B22">
      <w:pPr>
        <w:spacing w:line="276" w:lineRule="auto"/>
        <w:rPr>
          <w:rFonts w:ascii="Arial" w:hAnsi="Arial" w:cs="Arial"/>
          <w:color w:val="4D160F" w:themeColor="accent2" w:themeShade="80"/>
        </w:rPr>
      </w:pPr>
    </w:p>
    <w:p w14:paraId="273A1492" w14:textId="77777777" w:rsidR="00112148" w:rsidRPr="003C730F" w:rsidRDefault="00112148" w:rsidP="00E22B22">
      <w:pPr>
        <w:spacing w:line="276" w:lineRule="auto"/>
        <w:rPr>
          <w:rFonts w:ascii="Arial" w:hAnsi="Arial" w:cs="Arial"/>
          <w:color w:val="4D160F" w:themeColor="accent2" w:themeShade="80"/>
        </w:rPr>
      </w:pPr>
    </w:p>
    <w:p w14:paraId="7566F3F6" w14:textId="786CD419" w:rsidR="00E22B22" w:rsidRPr="000A42EC" w:rsidRDefault="00E22B22" w:rsidP="00A15EF6">
      <w:pPr>
        <w:pStyle w:val="Heading1"/>
        <w:shd w:val="clear" w:color="auto" w:fill="FFECE7"/>
        <w:rPr>
          <w:rFonts w:ascii="Arial" w:hAnsi="Arial" w:cs="Arial"/>
          <w:color w:val="4D160F" w:themeColor="accent2" w:themeShade="80"/>
          <w:sz w:val="36"/>
          <w:szCs w:val="36"/>
        </w:rPr>
      </w:pPr>
      <w:bookmarkStart w:id="0" w:name="_Toc172359870"/>
      <w:r w:rsidRPr="000A42EC">
        <w:rPr>
          <w:rFonts w:ascii="Arial" w:hAnsi="Arial" w:cs="Arial"/>
          <w:color w:val="4D160F" w:themeColor="accent2" w:themeShade="80"/>
          <w:sz w:val="36"/>
          <w:szCs w:val="36"/>
        </w:rPr>
        <w:t>Introduction</w:t>
      </w:r>
      <w:bookmarkEnd w:id="0"/>
    </w:p>
    <w:p w14:paraId="5F04C9E3" w14:textId="219D2FDA" w:rsidR="00E22B22" w:rsidRPr="003C730F" w:rsidRDefault="00E22B22" w:rsidP="00E22B22">
      <w:pPr>
        <w:spacing w:line="276" w:lineRule="auto"/>
        <w:rPr>
          <w:rFonts w:ascii="Arial" w:hAnsi="Arial" w:cs="Arial"/>
          <w:color w:val="4D160F" w:themeColor="accent2" w:themeShade="80"/>
        </w:rPr>
      </w:pPr>
    </w:p>
    <w:p w14:paraId="1887DFCE" w14:textId="7940E932" w:rsidR="00E22B22" w:rsidRPr="000A42EC" w:rsidRDefault="60ADE1C3" w:rsidP="00A15EF6">
      <w:pPr>
        <w:spacing w:line="360" w:lineRule="auto"/>
        <w:rPr>
          <w:rFonts w:ascii="Arial" w:hAnsi="Arial" w:cs="Arial"/>
          <w:color w:val="4D160F" w:themeColor="accent2" w:themeShade="80"/>
        </w:rPr>
      </w:pPr>
      <w:r w:rsidRPr="223CCE4B">
        <w:rPr>
          <w:rFonts w:ascii="Arial" w:eastAsia="Arial" w:hAnsi="Arial" w:cs="Arial"/>
        </w:rPr>
        <w:t xml:space="preserve">Understanding and assessing stakeholders </w:t>
      </w:r>
      <w:r w:rsidR="00E22B22" w:rsidRPr="223CCE4B">
        <w:rPr>
          <w:rFonts w:ascii="Arial" w:eastAsia="Arial" w:hAnsi="Arial" w:cs="Arial"/>
        </w:rPr>
        <w:t xml:space="preserve">is </w:t>
      </w:r>
      <w:r w:rsidRPr="223CCE4B">
        <w:rPr>
          <w:rFonts w:ascii="Arial" w:eastAsia="Arial" w:hAnsi="Arial" w:cs="Arial"/>
        </w:rPr>
        <w:t>an essential part</w:t>
      </w:r>
      <w:r w:rsidR="00E22B22" w:rsidRPr="223CCE4B">
        <w:rPr>
          <w:rFonts w:ascii="Arial" w:eastAsia="Arial" w:hAnsi="Arial" w:cs="Arial"/>
        </w:rPr>
        <w:t xml:space="preserve"> of </w:t>
      </w:r>
      <w:r w:rsidRPr="223CCE4B">
        <w:rPr>
          <w:rFonts w:ascii="Arial" w:eastAsia="Arial" w:hAnsi="Arial" w:cs="Arial"/>
        </w:rPr>
        <w:t xml:space="preserve">managing </w:t>
      </w:r>
      <w:r w:rsidR="00E22B22" w:rsidRPr="223CCE4B">
        <w:rPr>
          <w:rFonts w:ascii="Arial" w:eastAsia="Arial" w:hAnsi="Arial" w:cs="Arial"/>
        </w:rPr>
        <w:t>organizational change</w:t>
      </w:r>
      <w:r w:rsidR="77B21FD6" w:rsidRPr="3119EBE2">
        <w:rPr>
          <w:rFonts w:ascii="Arial" w:eastAsia="Arial" w:hAnsi="Arial" w:cs="Arial"/>
        </w:rPr>
        <w:t>.</w:t>
      </w:r>
      <w:r w:rsidR="00E22B22" w:rsidRPr="4116DA6D">
        <w:rPr>
          <w:rFonts w:ascii="Arial" w:eastAsia="Arial" w:hAnsi="Arial" w:cs="Arial"/>
        </w:rPr>
        <w:t xml:space="preserve"> </w:t>
      </w:r>
      <w:r w:rsidR="2B97ED10" w:rsidRPr="4116DA6D">
        <w:rPr>
          <w:rFonts w:ascii="Arial" w:eastAsia="Arial" w:hAnsi="Arial" w:cs="Arial"/>
        </w:rPr>
        <w:t>This entails recognizing</w:t>
      </w:r>
      <w:r w:rsidR="00E22B22" w:rsidRPr="4116DA6D">
        <w:rPr>
          <w:rFonts w:ascii="Arial" w:eastAsia="Arial" w:hAnsi="Arial" w:cs="Arial"/>
        </w:rPr>
        <w:t xml:space="preserve"> individuals or groups </w:t>
      </w:r>
      <w:r w:rsidR="2B97ED10" w:rsidRPr="4116DA6D">
        <w:rPr>
          <w:rFonts w:ascii="Arial" w:eastAsia="Arial" w:hAnsi="Arial" w:cs="Arial"/>
        </w:rPr>
        <w:t>who might</w:t>
      </w:r>
      <w:r w:rsidR="00E22B22" w:rsidRPr="4116DA6D">
        <w:rPr>
          <w:rFonts w:ascii="Arial" w:eastAsia="Arial" w:hAnsi="Arial" w:cs="Arial"/>
        </w:rPr>
        <w:t xml:space="preserve"> be </w:t>
      </w:r>
      <w:r w:rsidR="2B97ED10" w:rsidRPr="4116DA6D">
        <w:rPr>
          <w:rFonts w:ascii="Arial" w:eastAsia="Arial" w:hAnsi="Arial" w:cs="Arial"/>
        </w:rPr>
        <w:t>impacted</w:t>
      </w:r>
      <w:r w:rsidR="00E22B22" w:rsidRPr="4116DA6D">
        <w:rPr>
          <w:rFonts w:ascii="Arial" w:eastAsia="Arial" w:hAnsi="Arial" w:cs="Arial"/>
        </w:rPr>
        <w:t xml:space="preserve"> by a </w:t>
      </w:r>
      <w:r w:rsidR="2B97ED10" w:rsidRPr="4116DA6D">
        <w:rPr>
          <w:rFonts w:ascii="Arial" w:eastAsia="Arial" w:hAnsi="Arial" w:cs="Arial"/>
        </w:rPr>
        <w:t>planned</w:t>
      </w:r>
      <w:r w:rsidR="00E22B22" w:rsidRPr="4116DA6D">
        <w:rPr>
          <w:rFonts w:ascii="Arial" w:eastAsia="Arial" w:hAnsi="Arial" w:cs="Arial"/>
        </w:rPr>
        <w:t xml:space="preserve"> change and </w:t>
      </w:r>
      <w:r w:rsidR="2B97ED10" w:rsidRPr="4116DA6D">
        <w:rPr>
          <w:rFonts w:ascii="Arial" w:eastAsia="Arial" w:hAnsi="Arial" w:cs="Arial"/>
        </w:rPr>
        <w:t>gaining insight into</w:t>
      </w:r>
      <w:r w:rsidR="00E22B22" w:rsidRPr="4116DA6D">
        <w:rPr>
          <w:rFonts w:ascii="Arial" w:eastAsia="Arial" w:hAnsi="Arial" w:cs="Arial"/>
        </w:rPr>
        <w:t xml:space="preserve"> their needs, interests, and </w:t>
      </w:r>
      <w:r w:rsidR="2B97ED10" w:rsidRPr="4116DA6D">
        <w:rPr>
          <w:rFonts w:ascii="Arial" w:eastAsia="Arial" w:hAnsi="Arial" w:cs="Arial"/>
        </w:rPr>
        <w:t xml:space="preserve">the </w:t>
      </w:r>
      <w:r w:rsidR="00E22B22" w:rsidRPr="4116DA6D">
        <w:rPr>
          <w:rFonts w:ascii="Arial" w:eastAsia="Arial" w:hAnsi="Arial" w:cs="Arial"/>
        </w:rPr>
        <w:t xml:space="preserve">potential </w:t>
      </w:r>
      <w:r w:rsidR="2B97ED10" w:rsidRPr="4116DA6D">
        <w:rPr>
          <w:rFonts w:ascii="Arial" w:eastAsia="Arial" w:hAnsi="Arial" w:cs="Arial"/>
        </w:rPr>
        <w:t>influence they may have</w:t>
      </w:r>
      <w:r w:rsidR="00E22B22" w:rsidRPr="4116DA6D">
        <w:rPr>
          <w:rFonts w:ascii="Arial" w:eastAsia="Arial" w:hAnsi="Arial" w:cs="Arial"/>
        </w:rPr>
        <w:t xml:space="preserve"> on the change process.</w:t>
      </w:r>
      <w:r w:rsidR="00E22B22" w:rsidRPr="000A42EC">
        <w:rPr>
          <w:rFonts w:ascii="Arial" w:hAnsi="Arial" w:cs="Arial"/>
          <w:color w:val="4D160F" w:themeColor="accent2" w:themeShade="80"/>
        </w:rPr>
        <w:t xml:space="preserve"> Effective stakeholder analysis helps organizations engage the right people in the right way, ensuring smoother implementation of changes and reducing resistance. According to Freeman (1984), stakeholders can influence the success or failure of organizational initiatives, and their management is essential for achieving strategic goals.</w:t>
      </w:r>
    </w:p>
    <w:p w14:paraId="678D7157" w14:textId="1EADA5BE" w:rsidR="00E22B22" w:rsidRPr="000A42EC" w:rsidRDefault="00E22B22" w:rsidP="00A15EF6">
      <w:pPr>
        <w:spacing w:line="360" w:lineRule="auto"/>
        <w:rPr>
          <w:rFonts w:ascii="Arial" w:hAnsi="Arial" w:cs="Arial"/>
          <w:color w:val="4D160F" w:themeColor="accent2" w:themeShade="80"/>
        </w:rPr>
      </w:pPr>
      <w:r w:rsidRPr="000A42EC">
        <w:rPr>
          <w:rFonts w:ascii="Arial" w:hAnsi="Arial" w:cs="Arial"/>
          <w:color w:val="4D160F" w:themeColor="accent2" w:themeShade="80"/>
        </w:rPr>
        <w:t>In the context of the Post Office workers' strike on May 3rd, 2022, overpay issues, stakeholder analysis becomes particularly significant. The strike was a response to the wage freeze in 2021 and a subsequent offer of a 2% increase plus a £250 one-off payment for 2022, which was deemed inadequate by the Communication Workers Union (CWU), especially considering a 9% Retail Price Index (RPI) inflation rate (BBC, 2022). This report will critically address the following aspects:</w:t>
      </w:r>
    </w:p>
    <w:p w14:paraId="38420CFE" w14:textId="77777777" w:rsidR="00E22B22" w:rsidRPr="000A42EC" w:rsidRDefault="00E22B22" w:rsidP="00ED2A13">
      <w:pPr>
        <w:pStyle w:val="ListParagraph"/>
        <w:numPr>
          <w:ilvl w:val="0"/>
          <w:numId w:val="4"/>
        </w:numPr>
        <w:spacing w:line="360" w:lineRule="auto"/>
        <w:rPr>
          <w:rFonts w:ascii="Arial" w:hAnsi="Arial" w:cs="Arial"/>
          <w:color w:val="4D160F" w:themeColor="accent2" w:themeShade="80"/>
        </w:rPr>
      </w:pPr>
      <w:r w:rsidRPr="000A42EC">
        <w:rPr>
          <w:rFonts w:ascii="Arial" w:hAnsi="Arial" w:cs="Arial"/>
          <w:color w:val="4D160F" w:themeColor="accent2" w:themeShade="80"/>
        </w:rPr>
        <w:t>Identification and analysis of stakeholders using a relevant model.</w:t>
      </w:r>
    </w:p>
    <w:p w14:paraId="58F945D0" w14:textId="77777777" w:rsidR="00E22B22" w:rsidRPr="000A42EC" w:rsidRDefault="00E22B22" w:rsidP="00ED2A13">
      <w:pPr>
        <w:pStyle w:val="ListParagraph"/>
        <w:numPr>
          <w:ilvl w:val="0"/>
          <w:numId w:val="4"/>
        </w:numPr>
        <w:spacing w:line="360" w:lineRule="auto"/>
        <w:rPr>
          <w:rFonts w:ascii="Arial" w:hAnsi="Arial" w:cs="Arial"/>
          <w:color w:val="4D160F" w:themeColor="accent2" w:themeShade="80"/>
        </w:rPr>
      </w:pPr>
      <w:r w:rsidRPr="000A42EC">
        <w:rPr>
          <w:rFonts w:ascii="Arial" w:hAnsi="Arial" w:cs="Arial"/>
          <w:color w:val="4D160F" w:themeColor="accent2" w:themeShade="80"/>
        </w:rPr>
        <w:t>Discussion of conflict resolution styles and recommendation of the appropriate style for this case.</w:t>
      </w:r>
    </w:p>
    <w:p w14:paraId="6DF818B9" w14:textId="77777777" w:rsidR="00E22B22" w:rsidRPr="000A42EC" w:rsidRDefault="00E22B22" w:rsidP="00ED2A13">
      <w:pPr>
        <w:pStyle w:val="ListParagraph"/>
        <w:numPr>
          <w:ilvl w:val="0"/>
          <w:numId w:val="4"/>
        </w:numPr>
        <w:spacing w:line="360" w:lineRule="auto"/>
        <w:rPr>
          <w:rFonts w:ascii="Arial" w:hAnsi="Arial" w:cs="Arial"/>
          <w:color w:val="4D160F" w:themeColor="accent2" w:themeShade="80"/>
        </w:rPr>
      </w:pPr>
      <w:r w:rsidRPr="000A42EC">
        <w:rPr>
          <w:rFonts w:ascii="Arial" w:hAnsi="Arial" w:cs="Arial"/>
          <w:color w:val="4D160F" w:themeColor="accent2" w:themeShade="80"/>
        </w:rPr>
        <w:t>Strategies to achieve a 'win-win' solution among the stakeholders.</w:t>
      </w:r>
    </w:p>
    <w:p w14:paraId="4F874142" w14:textId="77777777" w:rsidR="00E22B22" w:rsidRPr="000A42EC" w:rsidRDefault="00E22B22" w:rsidP="00ED2A13">
      <w:pPr>
        <w:pStyle w:val="ListParagraph"/>
        <w:numPr>
          <w:ilvl w:val="0"/>
          <w:numId w:val="4"/>
        </w:numPr>
        <w:spacing w:line="360" w:lineRule="auto"/>
        <w:rPr>
          <w:rFonts w:ascii="Arial" w:hAnsi="Arial" w:cs="Arial"/>
          <w:color w:val="4D160F" w:themeColor="accent2" w:themeShade="80"/>
        </w:rPr>
      </w:pPr>
      <w:r w:rsidRPr="000A42EC">
        <w:rPr>
          <w:rFonts w:ascii="Arial" w:hAnsi="Arial" w:cs="Arial"/>
          <w:color w:val="4D160F" w:themeColor="accent2" w:themeShade="80"/>
        </w:rPr>
        <w:t>Reflection on how understanding conflict resolution and stakeholder theory has prepared one for the workplace.</w:t>
      </w:r>
    </w:p>
    <w:p w14:paraId="1F18E52D" w14:textId="77777777" w:rsidR="00E22B22" w:rsidRPr="003C730F" w:rsidRDefault="00E22B22" w:rsidP="00A15EF6">
      <w:pPr>
        <w:spacing w:line="360" w:lineRule="auto"/>
        <w:rPr>
          <w:rFonts w:ascii="Arial" w:hAnsi="Arial" w:cs="Arial"/>
          <w:color w:val="4D160F" w:themeColor="accent2" w:themeShade="80"/>
        </w:rPr>
      </w:pPr>
    </w:p>
    <w:p w14:paraId="09AFD998" w14:textId="77777777" w:rsidR="005A1DAD" w:rsidRPr="003C730F" w:rsidRDefault="005A1DAD" w:rsidP="00A15EF6">
      <w:pPr>
        <w:spacing w:line="360" w:lineRule="auto"/>
        <w:rPr>
          <w:rFonts w:ascii="Arial" w:hAnsi="Arial" w:cs="Arial"/>
          <w:color w:val="4D160F" w:themeColor="accent2" w:themeShade="80"/>
        </w:rPr>
      </w:pPr>
    </w:p>
    <w:p w14:paraId="72E1A087" w14:textId="77777777" w:rsidR="005A1DAD" w:rsidRPr="003C730F" w:rsidRDefault="005A1DAD" w:rsidP="00A15EF6">
      <w:pPr>
        <w:spacing w:line="360" w:lineRule="auto"/>
        <w:rPr>
          <w:rFonts w:ascii="Arial" w:hAnsi="Arial" w:cs="Arial"/>
          <w:color w:val="4D160F" w:themeColor="accent2" w:themeShade="80"/>
        </w:rPr>
      </w:pPr>
    </w:p>
    <w:p w14:paraId="07F29716" w14:textId="77777777" w:rsidR="005A1DAD" w:rsidRPr="003C730F" w:rsidRDefault="005A1DAD" w:rsidP="00A15EF6">
      <w:pPr>
        <w:spacing w:line="360" w:lineRule="auto"/>
        <w:rPr>
          <w:rFonts w:ascii="Arial" w:hAnsi="Arial" w:cs="Arial"/>
          <w:color w:val="4D160F" w:themeColor="accent2" w:themeShade="80"/>
        </w:rPr>
      </w:pPr>
    </w:p>
    <w:p w14:paraId="52038503" w14:textId="77777777" w:rsidR="005A1DAD" w:rsidRPr="003C730F" w:rsidRDefault="005A1DAD" w:rsidP="00A15EF6">
      <w:pPr>
        <w:spacing w:line="360" w:lineRule="auto"/>
        <w:rPr>
          <w:rFonts w:ascii="Arial" w:hAnsi="Arial" w:cs="Arial"/>
          <w:color w:val="4D160F" w:themeColor="accent2" w:themeShade="80"/>
        </w:rPr>
      </w:pPr>
    </w:p>
    <w:p w14:paraId="7C9C136E" w14:textId="77777777" w:rsidR="00E22B22" w:rsidRPr="003C730F" w:rsidRDefault="00E22B22" w:rsidP="00A15EF6">
      <w:pPr>
        <w:spacing w:line="360" w:lineRule="auto"/>
        <w:rPr>
          <w:rFonts w:ascii="Arial" w:hAnsi="Arial" w:cs="Arial"/>
          <w:color w:val="4D160F" w:themeColor="accent2" w:themeShade="80"/>
        </w:rPr>
      </w:pPr>
    </w:p>
    <w:p w14:paraId="4E1CBC91" w14:textId="77777777" w:rsidR="00E22B22" w:rsidRPr="003C730F" w:rsidRDefault="00E22B22" w:rsidP="00E22B22">
      <w:pPr>
        <w:spacing w:line="276" w:lineRule="auto"/>
        <w:rPr>
          <w:rFonts w:ascii="Arial" w:hAnsi="Arial" w:cs="Arial"/>
          <w:color w:val="4D160F" w:themeColor="accent2" w:themeShade="80"/>
        </w:rPr>
      </w:pPr>
    </w:p>
    <w:p w14:paraId="30BB2C10" w14:textId="2EEBE3DD" w:rsidR="00C14C8E" w:rsidRPr="000A42EC" w:rsidRDefault="00C14C8E" w:rsidP="00C14C8E">
      <w:pPr>
        <w:pStyle w:val="Heading1"/>
        <w:shd w:val="clear" w:color="auto" w:fill="FFECE7"/>
        <w:rPr>
          <w:rFonts w:ascii="Arial" w:hAnsi="Arial" w:cs="Arial"/>
          <w:color w:val="4D160F" w:themeColor="accent2" w:themeShade="80"/>
          <w:sz w:val="36"/>
          <w:szCs w:val="36"/>
        </w:rPr>
      </w:pPr>
      <w:bookmarkStart w:id="1" w:name="_Toc172359871"/>
      <w:r w:rsidRPr="000A42EC">
        <w:rPr>
          <w:rFonts w:ascii="Arial" w:hAnsi="Arial" w:cs="Arial"/>
          <w:color w:val="4D160F" w:themeColor="accent2" w:themeShade="80"/>
          <w:sz w:val="36"/>
          <w:szCs w:val="36"/>
        </w:rPr>
        <w:t>Stakeholder Analysis</w:t>
      </w:r>
      <w:bookmarkEnd w:id="1"/>
    </w:p>
    <w:p w14:paraId="70230922" w14:textId="77777777" w:rsidR="00C14C8E" w:rsidRPr="003C730F" w:rsidRDefault="00C14C8E" w:rsidP="00C14C8E">
      <w:pPr>
        <w:spacing w:line="276" w:lineRule="auto"/>
        <w:rPr>
          <w:rFonts w:ascii="Arial" w:hAnsi="Arial" w:cs="Arial"/>
          <w:color w:val="4D160F" w:themeColor="accent2" w:themeShade="80"/>
        </w:rPr>
      </w:pPr>
    </w:p>
    <w:p w14:paraId="1CD0E55D" w14:textId="3EB82155" w:rsidR="00F53818" w:rsidRPr="000A42EC" w:rsidRDefault="00F53818" w:rsidP="00E65633">
      <w:pPr>
        <w:spacing w:line="360" w:lineRule="auto"/>
        <w:rPr>
          <w:rFonts w:ascii="Arial" w:hAnsi="Arial" w:cs="Arial"/>
          <w:color w:val="4D160F" w:themeColor="accent2" w:themeShade="80"/>
        </w:rPr>
      </w:pPr>
      <w:r w:rsidRPr="000A42EC">
        <w:rPr>
          <w:rFonts w:ascii="Arial" w:hAnsi="Arial" w:cs="Arial"/>
          <w:color w:val="4D160F" w:themeColor="accent2" w:themeShade="80"/>
        </w:rPr>
        <w:t xml:space="preserve">Stakeholder analysis is a fundamental tool and essential in change management, allowing organizations to identify and prioritize individuals or groups who will be impacted by or can influence the outcome of a change initiative. Various models can be used to </w:t>
      </w:r>
      <w:r w:rsidR="00D5513F" w:rsidRPr="000A42EC">
        <w:rPr>
          <w:rFonts w:ascii="Arial" w:hAnsi="Arial" w:cs="Arial"/>
          <w:color w:val="4D160F" w:themeColor="accent2" w:themeShade="80"/>
        </w:rPr>
        <w:t>analyse</w:t>
      </w:r>
      <w:r w:rsidRPr="000A42EC">
        <w:rPr>
          <w:rFonts w:ascii="Arial" w:hAnsi="Arial" w:cs="Arial"/>
          <w:color w:val="4D160F" w:themeColor="accent2" w:themeShade="80"/>
        </w:rPr>
        <w:t xml:space="preserve"> stakeholders, each with its own strengths and weaknesses.</w:t>
      </w:r>
    </w:p>
    <w:p w14:paraId="0F3379AC" w14:textId="77777777" w:rsidR="00D5513F" w:rsidRPr="000A42EC" w:rsidRDefault="00D5513F" w:rsidP="00E65633">
      <w:pPr>
        <w:spacing w:line="360" w:lineRule="auto"/>
        <w:rPr>
          <w:rFonts w:ascii="Arial" w:hAnsi="Arial" w:cs="Arial"/>
          <w:color w:val="4D160F" w:themeColor="accent2" w:themeShade="80"/>
        </w:rPr>
      </w:pPr>
    </w:p>
    <w:p w14:paraId="5315B4C6" w14:textId="46F747ED" w:rsidR="00F53818" w:rsidRPr="000A42EC" w:rsidRDefault="00F53818" w:rsidP="00F53818">
      <w:pPr>
        <w:pStyle w:val="Heading2"/>
        <w:rPr>
          <w:rFonts w:ascii="Arial" w:hAnsi="Arial" w:cs="Arial"/>
          <w:color w:val="4D160F" w:themeColor="accent2" w:themeShade="80"/>
          <w:sz w:val="22"/>
          <w:szCs w:val="22"/>
          <w:u w:val="single"/>
        </w:rPr>
      </w:pPr>
      <w:bookmarkStart w:id="2" w:name="_Toc172359872"/>
      <w:r w:rsidRPr="000A42EC">
        <w:rPr>
          <w:rFonts w:ascii="Arial" w:hAnsi="Arial" w:cs="Arial"/>
          <w:color w:val="4D160F" w:themeColor="accent2" w:themeShade="80"/>
          <w:sz w:val="22"/>
          <w:szCs w:val="22"/>
          <w:u w:val="single"/>
        </w:rPr>
        <w:t>Neo-Classical Model</w:t>
      </w:r>
      <w:bookmarkEnd w:id="2"/>
    </w:p>
    <w:p w14:paraId="02C4F589" w14:textId="77777777" w:rsidR="00F53818" w:rsidRPr="000A42EC" w:rsidRDefault="00F53818" w:rsidP="00F53818">
      <w:pPr>
        <w:spacing w:line="360" w:lineRule="auto"/>
        <w:rPr>
          <w:rFonts w:ascii="Arial" w:hAnsi="Arial" w:cs="Arial"/>
          <w:color w:val="4D160F" w:themeColor="accent2" w:themeShade="80"/>
        </w:rPr>
      </w:pPr>
      <w:r w:rsidRPr="000A42EC">
        <w:rPr>
          <w:rFonts w:ascii="Arial" w:hAnsi="Arial" w:cs="Arial"/>
          <w:color w:val="4D160F" w:themeColor="accent2" w:themeShade="80"/>
        </w:rPr>
        <w:t>The neo-classical model focuses primarily on shareholders, emphasizing profit maximization. This model operates on the assumption that the primary responsibility of the organization is to its owners or shareholders, often at the expense of other stakeholders (Jones, 1995). This narrow focus can be detrimental in situations where the interests of other groups, such as employees, customers, or the community, are critical to the organization’s success.</w:t>
      </w:r>
    </w:p>
    <w:p w14:paraId="590C47EF" w14:textId="77777777" w:rsidR="00F53818" w:rsidRPr="000A42EC" w:rsidRDefault="00F53818" w:rsidP="00F53818">
      <w:pPr>
        <w:spacing w:line="360" w:lineRule="auto"/>
        <w:rPr>
          <w:rFonts w:ascii="Arial" w:hAnsi="Arial" w:cs="Arial"/>
          <w:color w:val="4D160F" w:themeColor="accent2" w:themeShade="80"/>
        </w:rPr>
      </w:pPr>
    </w:p>
    <w:p w14:paraId="29D3FB49" w14:textId="178F20FF" w:rsidR="00F53818" w:rsidRPr="000A42EC" w:rsidRDefault="00F53818" w:rsidP="00F53818">
      <w:pPr>
        <w:pStyle w:val="Heading2"/>
        <w:rPr>
          <w:rFonts w:ascii="Arial" w:hAnsi="Arial" w:cs="Arial"/>
          <w:color w:val="4D160F" w:themeColor="accent2" w:themeShade="80"/>
          <w:sz w:val="22"/>
          <w:szCs w:val="22"/>
          <w:u w:val="single"/>
        </w:rPr>
      </w:pPr>
      <w:bookmarkStart w:id="3" w:name="_Toc172359873"/>
      <w:r w:rsidRPr="000A42EC">
        <w:rPr>
          <w:rFonts w:ascii="Arial" w:hAnsi="Arial" w:cs="Arial"/>
          <w:color w:val="4D160F" w:themeColor="accent2" w:themeShade="80"/>
          <w:sz w:val="22"/>
          <w:szCs w:val="22"/>
          <w:u w:val="single"/>
        </w:rPr>
        <w:t>Socio-Economic Theory / Stakeholder Theory</w:t>
      </w:r>
      <w:bookmarkEnd w:id="3"/>
    </w:p>
    <w:p w14:paraId="17631122" w14:textId="68F19E91" w:rsidR="00F53818" w:rsidRPr="000A42EC" w:rsidRDefault="00F53818" w:rsidP="00F53818">
      <w:pPr>
        <w:spacing w:line="360" w:lineRule="auto"/>
        <w:rPr>
          <w:rFonts w:ascii="Arial" w:hAnsi="Arial" w:cs="Arial"/>
          <w:color w:val="4D160F" w:themeColor="accent2" w:themeShade="80"/>
        </w:rPr>
      </w:pPr>
      <w:r w:rsidRPr="000A42EC">
        <w:rPr>
          <w:rFonts w:ascii="Arial" w:hAnsi="Arial" w:cs="Arial"/>
          <w:color w:val="4D160F" w:themeColor="accent2" w:themeShade="80"/>
        </w:rPr>
        <w:t>Edward Freeman's stakeholder theory offers a broader perspective by expanding the focus to include any group or individual who can affect or is affected by the achievement of an organization’s objectives (Freeman, 1984). This theory asserts that organizations should create value for all stakeholders, not just shareholders, to achieve sustainable success. Stakeholder theory emphasizes the interconnected nature of relationships within an organization and its external environment, advocating for a balanced approach to managing stakeholder interests.</w:t>
      </w:r>
    </w:p>
    <w:p w14:paraId="3A3F3384" w14:textId="77777777" w:rsidR="00BB3B77" w:rsidRPr="000A42EC" w:rsidRDefault="00BB3B77" w:rsidP="00F53818">
      <w:pPr>
        <w:spacing w:line="360" w:lineRule="auto"/>
        <w:rPr>
          <w:rFonts w:ascii="Arial" w:hAnsi="Arial" w:cs="Arial"/>
          <w:color w:val="4D160F" w:themeColor="accent2" w:themeShade="80"/>
        </w:rPr>
      </w:pPr>
    </w:p>
    <w:p w14:paraId="433A78C6" w14:textId="185D08E7" w:rsidR="00F53818" w:rsidRPr="000A42EC" w:rsidRDefault="00F53818" w:rsidP="00F53818">
      <w:pPr>
        <w:pStyle w:val="Heading2"/>
        <w:rPr>
          <w:rFonts w:ascii="Arial" w:hAnsi="Arial" w:cs="Arial"/>
          <w:color w:val="4D160F" w:themeColor="accent2" w:themeShade="80"/>
          <w:sz w:val="22"/>
          <w:szCs w:val="22"/>
          <w:u w:val="single"/>
        </w:rPr>
      </w:pPr>
      <w:bookmarkStart w:id="4" w:name="_Toc172359874"/>
      <w:r w:rsidRPr="000A42EC">
        <w:rPr>
          <w:rFonts w:ascii="Arial" w:hAnsi="Arial" w:cs="Arial"/>
          <w:color w:val="4D160F" w:themeColor="accent2" w:themeShade="80"/>
          <w:sz w:val="22"/>
          <w:szCs w:val="22"/>
          <w:u w:val="single"/>
        </w:rPr>
        <w:t>Stakeholder Salience Model</w:t>
      </w:r>
      <w:bookmarkEnd w:id="4"/>
    </w:p>
    <w:p w14:paraId="5F03429A" w14:textId="36B533A0" w:rsidR="00F53818" w:rsidRPr="000A42EC" w:rsidRDefault="00F53818" w:rsidP="00E65633">
      <w:pPr>
        <w:spacing w:line="360" w:lineRule="auto"/>
        <w:rPr>
          <w:rFonts w:ascii="Arial" w:hAnsi="Arial" w:cs="Arial"/>
          <w:color w:val="4D160F" w:themeColor="accent2" w:themeShade="80"/>
        </w:rPr>
      </w:pPr>
      <w:r w:rsidRPr="000A42EC">
        <w:rPr>
          <w:rFonts w:ascii="Arial" w:hAnsi="Arial" w:cs="Arial"/>
          <w:color w:val="4D160F" w:themeColor="accent2" w:themeShade="80"/>
        </w:rPr>
        <w:t xml:space="preserve">The stakeholder salience model, proposed by Mitchell, Agle, and Wood (1997), categorizes stakeholders based on their power, legitimacy, and urgency. </w:t>
      </w:r>
      <w:r w:rsidR="161F2DE4" w:rsidRPr="055DED9E">
        <w:rPr>
          <w:rFonts w:ascii="Arial" w:hAnsi="Arial" w:cs="Arial"/>
          <w:color w:val="4D160F" w:themeColor="accent2" w:themeShade="80"/>
        </w:rPr>
        <w:t>Power denotes a stakeholder's capacity</w:t>
      </w:r>
      <w:r w:rsidRPr="000A42EC">
        <w:rPr>
          <w:rFonts w:ascii="Arial" w:hAnsi="Arial" w:cs="Arial"/>
          <w:color w:val="4D160F" w:themeColor="accent2" w:themeShade="80"/>
        </w:rPr>
        <w:t xml:space="preserve"> to </w:t>
      </w:r>
      <w:r w:rsidR="161F2DE4" w:rsidRPr="055DED9E">
        <w:rPr>
          <w:rFonts w:ascii="Arial" w:hAnsi="Arial" w:cs="Arial"/>
          <w:color w:val="4D160F" w:themeColor="accent2" w:themeShade="80"/>
        </w:rPr>
        <w:t>affect</w:t>
      </w:r>
      <w:r w:rsidRPr="000A42EC">
        <w:rPr>
          <w:rFonts w:ascii="Arial" w:hAnsi="Arial" w:cs="Arial"/>
          <w:color w:val="4D160F" w:themeColor="accent2" w:themeShade="80"/>
        </w:rPr>
        <w:t xml:space="preserve"> the organization, legitimacy </w:t>
      </w:r>
      <w:r w:rsidR="161F2DE4" w:rsidRPr="055DED9E">
        <w:rPr>
          <w:rFonts w:ascii="Arial" w:hAnsi="Arial" w:cs="Arial"/>
          <w:color w:val="4D160F" w:themeColor="accent2" w:themeShade="80"/>
        </w:rPr>
        <w:t>pertains to the accepted</w:t>
      </w:r>
      <w:r w:rsidRPr="000A42EC">
        <w:rPr>
          <w:rFonts w:ascii="Arial" w:hAnsi="Arial" w:cs="Arial"/>
          <w:color w:val="4D160F" w:themeColor="accent2" w:themeShade="80"/>
        </w:rPr>
        <w:t xml:space="preserve"> appropriateness of their </w:t>
      </w:r>
      <w:r w:rsidR="161F2DE4" w:rsidRPr="055DED9E">
        <w:rPr>
          <w:rFonts w:ascii="Arial" w:hAnsi="Arial" w:cs="Arial"/>
          <w:color w:val="4D160F" w:themeColor="accent2" w:themeShade="80"/>
        </w:rPr>
        <w:t>participation</w:t>
      </w:r>
      <w:r w:rsidRPr="000A42EC">
        <w:rPr>
          <w:rFonts w:ascii="Arial" w:hAnsi="Arial" w:cs="Arial"/>
          <w:color w:val="4D160F" w:themeColor="accent2" w:themeShade="80"/>
        </w:rPr>
        <w:t xml:space="preserve">, and urgency </w:t>
      </w:r>
      <w:r w:rsidR="161F2DE4" w:rsidRPr="055DED9E">
        <w:rPr>
          <w:rFonts w:ascii="Arial" w:hAnsi="Arial" w:cs="Arial"/>
          <w:color w:val="4D160F" w:themeColor="accent2" w:themeShade="80"/>
        </w:rPr>
        <w:t>signifies the requirement</w:t>
      </w:r>
      <w:r w:rsidRPr="000A42EC">
        <w:rPr>
          <w:rFonts w:ascii="Arial" w:hAnsi="Arial" w:cs="Arial"/>
          <w:color w:val="4D160F" w:themeColor="accent2" w:themeShade="80"/>
        </w:rPr>
        <w:t xml:space="preserve"> for </w:t>
      </w:r>
      <w:r w:rsidR="161F2DE4" w:rsidRPr="055DED9E">
        <w:rPr>
          <w:rFonts w:ascii="Arial" w:hAnsi="Arial" w:cs="Arial"/>
          <w:color w:val="4D160F" w:themeColor="accent2" w:themeShade="80"/>
        </w:rPr>
        <w:t>prompt action regarding</w:t>
      </w:r>
      <w:r w:rsidRPr="000A42EC">
        <w:rPr>
          <w:rFonts w:ascii="Arial" w:hAnsi="Arial" w:cs="Arial"/>
          <w:color w:val="4D160F" w:themeColor="accent2" w:themeShade="80"/>
        </w:rPr>
        <w:t xml:space="preserve"> their </w:t>
      </w:r>
      <w:r w:rsidR="161F2DE4" w:rsidRPr="055DED9E">
        <w:rPr>
          <w:rFonts w:ascii="Arial" w:hAnsi="Arial" w:cs="Arial"/>
          <w:color w:val="4D160F" w:themeColor="accent2" w:themeShade="80"/>
        </w:rPr>
        <w:t>concerns.</w:t>
      </w:r>
      <w:r w:rsidRPr="000A42EC">
        <w:rPr>
          <w:rFonts w:ascii="Arial" w:hAnsi="Arial" w:cs="Arial"/>
          <w:color w:val="4D160F" w:themeColor="accent2" w:themeShade="80"/>
        </w:rPr>
        <w:t xml:space="preserve"> This model helps prioritize stakeholders by assessing their salience, which can change over time and context. It is particularly useful for identifying which stakeholders require the most attention at any given time.</w:t>
      </w:r>
    </w:p>
    <w:p w14:paraId="26F127A8" w14:textId="564C75E1" w:rsidR="00836F29" w:rsidRPr="000A42EC" w:rsidRDefault="00E65633" w:rsidP="004307A3">
      <w:pPr>
        <w:pStyle w:val="Heading2"/>
        <w:rPr>
          <w:rFonts w:ascii="Arial" w:hAnsi="Arial" w:cs="Arial"/>
          <w:color w:val="4D160F" w:themeColor="accent2" w:themeShade="80"/>
          <w:sz w:val="24"/>
          <w:szCs w:val="24"/>
          <w:u w:val="single"/>
        </w:rPr>
      </w:pPr>
      <w:bookmarkStart w:id="5" w:name="_Toc172359875"/>
      <w:r w:rsidRPr="000A42EC">
        <w:rPr>
          <w:rFonts w:ascii="Arial" w:hAnsi="Arial" w:cs="Arial"/>
          <w:color w:val="4D160F" w:themeColor="accent2" w:themeShade="80"/>
          <w:sz w:val="24"/>
          <w:szCs w:val="24"/>
          <w:u w:val="single"/>
        </w:rPr>
        <w:t>The Power-Interest Matrix</w:t>
      </w:r>
      <w:bookmarkEnd w:id="5"/>
    </w:p>
    <w:p w14:paraId="5623BE2B" w14:textId="77777777" w:rsidR="000A42EC" w:rsidRDefault="000A42EC" w:rsidP="004307A3">
      <w:pPr>
        <w:spacing w:line="360" w:lineRule="auto"/>
        <w:rPr>
          <w:rFonts w:ascii="Arial" w:hAnsi="Arial" w:cs="Arial"/>
          <w:color w:val="4D160F" w:themeColor="accent2" w:themeShade="80"/>
        </w:rPr>
      </w:pPr>
    </w:p>
    <w:p w14:paraId="53473AA1" w14:textId="1C49CBFF" w:rsidR="004307A3" w:rsidRPr="000A42EC" w:rsidRDefault="004307A3" w:rsidP="004307A3">
      <w:pPr>
        <w:spacing w:line="360" w:lineRule="auto"/>
        <w:rPr>
          <w:rFonts w:ascii="Arial" w:hAnsi="Arial" w:cs="Arial"/>
          <w:color w:val="4D160F" w:themeColor="accent2" w:themeShade="80"/>
        </w:rPr>
      </w:pPr>
      <w:r w:rsidRPr="000A42EC">
        <w:rPr>
          <w:rFonts w:ascii="Arial" w:hAnsi="Arial" w:cs="Arial"/>
          <w:color w:val="4D160F" w:themeColor="accent2" w:themeShade="80"/>
        </w:rPr>
        <w:t>The Power-Interest Matrix model is one of the most effective models. This analysis helps prioritize stakeholder engagement strategies, ensuring that key players are appropriately managed to facilitate successful change implementation. For the Post Office workers' strike, the power-interest matrix is particularly useful. The model maps stakeholders based on their level of power (ability to influence outcomes) and interest (degree of concern about the outcomes). The matrix categorizes stakeholders into four quadrants:</w:t>
      </w:r>
    </w:p>
    <w:p w14:paraId="45713A3F" w14:textId="76D6EE11" w:rsidR="004307A3" w:rsidRDefault="004307A3" w:rsidP="535CE701">
      <w:pPr>
        <w:spacing w:line="360" w:lineRule="auto"/>
        <w:rPr>
          <w:rFonts w:ascii="Arial" w:hAnsi="Arial" w:cs="Arial"/>
          <w:color w:val="4D160F" w:themeColor="accent2" w:themeShade="80"/>
        </w:rPr>
      </w:pPr>
      <w:r w:rsidRPr="535CE701">
        <w:rPr>
          <w:rFonts w:ascii="Arial" w:hAnsi="Arial" w:cs="Arial"/>
          <w:b/>
          <w:bCs/>
          <w:color w:val="4D160F" w:themeColor="accent2" w:themeShade="80"/>
        </w:rPr>
        <w:t>High Power, High Interest</w:t>
      </w:r>
      <w:r w:rsidRPr="535CE701">
        <w:rPr>
          <w:rFonts w:ascii="Arial" w:hAnsi="Arial" w:cs="Arial"/>
          <w:color w:val="4D160F" w:themeColor="accent2" w:themeShade="80"/>
        </w:rPr>
        <w:t xml:space="preserve">: </w:t>
      </w:r>
      <w:r w:rsidR="6ECC591C" w:rsidRPr="535CE701">
        <w:rPr>
          <w:rFonts w:ascii="Arial" w:hAnsi="Arial" w:cs="Arial"/>
          <w:color w:val="4D160F" w:themeColor="accent2" w:themeShade="80"/>
        </w:rPr>
        <w:t>These stakeholders are crucial participants who need to be actively involved and carefully managed.</w:t>
      </w:r>
    </w:p>
    <w:p w14:paraId="34AA7572" w14:textId="55BAFD24" w:rsidR="004307A3" w:rsidRPr="000A42EC" w:rsidRDefault="004307A3" w:rsidP="004307A3">
      <w:pPr>
        <w:spacing w:line="360" w:lineRule="auto"/>
        <w:rPr>
          <w:rFonts w:ascii="Arial" w:hAnsi="Arial" w:cs="Arial"/>
          <w:color w:val="4D160F" w:themeColor="accent2" w:themeShade="80"/>
        </w:rPr>
      </w:pPr>
      <w:r w:rsidRPr="000A42EC">
        <w:rPr>
          <w:rFonts w:ascii="Arial" w:hAnsi="Arial" w:cs="Arial"/>
          <w:b/>
          <w:bCs/>
          <w:color w:val="4D160F" w:themeColor="accent2" w:themeShade="80"/>
        </w:rPr>
        <w:t>High Power, Low Interest</w:t>
      </w:r>
      <w:r w:rsidRPr="000A42EC">
        <w:rPr>
          <w:rFonts w:ascii="Arial" w:hAnsi="Arial" w:cs="Arial"/>
          <w:color w:val="4D160F" w:themeColor="accent2" w:themeShade="80"/>
        </w:rPr>
        <w:t xml:space="preserve">: These stakeholders need to be kept satisfied but not overly involved in the day-to-day activities. </w:t>
      </w:r>
    </w:p>
    <w:p w14:paraId="24D9A4E6" w14:textId="77777777" w:rsidR="004307A3" w:rsidRPr="000A42EC" w:rsidRDefault="004307A3" w:rsidP="004307A3">
      <w:pPr>
        <w:spacing w:line="360" w:lineRule="auto"/>
        <w:rPr>
          <w:rFonts w:ascii="Arial" w:hAnsi="Arial" w:cs="Arial"/>
          <w:color w:val="4D160F" w:themeColor="accent2" w:themeShade="80"/>
        </w:rPr>
      </w:pPr>
      <w:r w:rsidRPr="000A42EC">
        <w:rPr>
          <w:rFonts w:ascii="Arial" w:hAnsi="Arial" w:cs="Arial"/>
          <w:b/>
          <w:bCs/>
          <w:color w:val="4D160F" w:themeColor="accent2" w:themeShade="80"/>
        </w:rPr>
        <w:t>Low Power, High Interest</w:t>
      </w:r>
      <w:r w:rsidRPr="000A42EC">
        <w:rPr>
          <w:rFonts w:ascii="Arial" w:hAnsi="Arial" w:cs="Arial"/>
          <w:color w:val="4D160F" w:themeColor="accent2" w:themeShade="80"/>
        </w:rPr>
        <w:t>: These stakeholders should be kept informed and consulted regularly.</w:t>
      </w:r>
    </w:p>
    <w:p w14:paraId="622BD05B" w14:textId="334FA385" w:rsidR="004307A3" w:rsidRPr="000A42EC" w:rsidRDefault="004307A3" w:rsidP="004307A3">
      <w:pPr>
        <w:spacing w:line="360" w:lineRule="auto"/>
        <w:rPr>
          <w:rFonts w:ascii="Arial" w:hAnsi="Arial" w:cs="Arial"/>
          <w:color w:val="4D160F" w:themeColor="accent2" w:themeShade="80"/>
        </w:rPr>
      </w:pPr>
      <w:r w:rsidRPr="000A42EC">
        <w:rPr>
          <w:rFonts w:ascii="Arial" w:hAnsi="Arial" w:cs="Arial"/>
          <w:b/>
          <w:bCs/>
          <w:color w:val="4D160F" w:themeColor="accent2" w:themeShade="80"/>
        </w:rPr>
        <w:t>Low Power, Low Interest</w:t>
      </w:r>
      <w:r w:rsidRPr="000A42EC">
        <w:rPr>
          <w:rFonts w:ascii="Arial" w:hAnsi="Arial" w:cs="Arial"/>
          <w:color w:val="4D160F" w:themeColor="accent2" w:themeShade="80"/>
        </w:rPr>
        <w:t>: These stakeholders require minimal effort, with periodic monitoring.</w:t>
      </w:r>
    </w:p>
    <w:p w14:paraId="100DA1EE" w14:textId="34434ADE" w:rsidR="00DB4ADF" w:rsidRPr="000A42EC" w:rsidRDefault="004307A3" w:rsidP="004307A3">
      <w:pPr>
        <w:spacing w:line="360" w:lineRule="auto"/>
        <w:rPr>
          <w:rFonts w:ascii="Arial" w:hAnsi="Arial" w:cs="Arial"/>
          <w:color w:val="4D160F" w:themeColor="accent2" w:themeShade="80"/>
        </w:rPr>
      </w:pPr>
      <w:r w:rsidRPr="000A42EC">
        <w:rPr>
          <w:rFonts w:ascii="Arial" w:hAnsi="Arial" w:cs="Arial"/>
          <w:color w:val="4D160F" w:themeColor="accent2" w:themeShade="80"/>
        </w:rPr>
        <w:t>The power-interest matrix provides a clear and actionable framework for managing stakeholder relationships. However, it has limitations, such as oversimplification and the need for continuous updates as stakeholders' positions and interests evolve</w:t>
      </w:r>
      <w:r w:rsidR="00DB4ADF" w:rsidRPr="000A42EC">
        <w:rPr>
          <w:rFonts w:ascii="Arial" w:hAnsi="Arial" w:cs="Arial"/>
          <w:color w:val="4D160F" w:themeColor="accent2" w:themeShade="80"/>
        </w:rPr>
        <w:t xml:space="preserve"> (see Table 1)</w:t>
      </w:r>
      <w:r w:rsidRPr="000A42EC">
        <w:rPr>
          <w:rFonts w:ascii="Arial" w:hAnsi="Arial" w:cs="Arial"/>
          <w:color w:val="4D160F" w:themeColor="accent2" w:themeShade="80"/>
        </w:rPr>
        <w:t>. Despite these drawbacks, its simplicity and clarity make it a valuable tool for initial stakeholder mapping and strategy development (Eden and Ackermann, 1998).</w:t>
      </w:r>
    </w:p>
    <w:tbl>
      <w:tblPr>
        <w:tblStyle w:val="TableGrid"/>
        <w:tblW w:w="0" w:type="auto"/>
        <w:tblBorders>
          <w:top w:val="single" w:sz="4" w:space="0" w:color="69230B" w:themeColor="accent1" w:themeShade="80"/>
          <w:left w:val="single" w:sz="4" w:space="0" w:color="69230B" w:themeColor="accent1" w:themeShade="80"/>
          <w:bottom w:val="single" w:sz="4" w:space="0" w:color="69230B" w:themeColor="accent1" w:themeShade="80"/>
          <w:right w:val="single" w:sz="4" w:space="0" w:color="69230B" w:themeColor="accent1" w:themeShade="80"/>
          <w:insideH w:val="single" w:sz="4" w:space="0" w:color="69230B" w:themeColor="accent1" w:themeShade="80"/>
          <w:insideV w:val="single" w:sz="4" w:space="0" w:color="69230B" w:themeColor="accent1" w:themeShade="80"/>
        </w:tblBorders>
        <w:shd w:val="clear" w:color="auto" w:fill="FCEDE8"/>
        <w:tblLook w:val="04A0" w:firstRow="1" w:lastRow="0" w:firstColumn="1" w:lastColumn="0" w:noHBand="0" w:noVBand="1"/>
      </w:tblPr>
      <w:tblGrid>
        <w:gridCol w:w="4675"/>
        <w:gridCol w:w="4675"/>
      </w:tblGrid>
      <w:tr w:rsidR="000A42EC" w:rsidRPr="000A42EC" w14:paraId="4D9FFD48" w14:textId="77777777" w:rsidTr="00B847F3">
        <w:tc>
          <w:tcPr>
            <w:tcW w:w="4675" w:type="dxa"/>
            <w:shd w:val="clear" w:color="auto" w:fill="FCEDE8"/>
          </w:tcPr>
          <w:p w14:paraId="301F3774" w14:textId="7B0EF88B" w:rsidR="00D5513F" w:rsidRPr="000A42EC" w:rsidRDefault="00D5513F" w:rsidP="00D5513F">
            <w:pPr>
              <w:spacing w:line="360" w:lineRule="auto"/>
              <w:jc w:val="center"/>
              <w:rPr>
                <w:rFonts w:ascii="Arial" w:hAnsi="Arial" w:cs="Arial"/>
                <w:b/>
                <w:bCs/>
                <w:color w:val="4D160F" w:themeColor="accent2" w:themeShade="80"/>
              </w:rPr>
            </w:pPr>
            <w:r w:rsidRPr="000A42EC">
              <w:rPr>
                <w:rFonts w:ascii="Arial" w:hAnsi="Arial" w:cs="Arial"/>
                <w:b/>
                <w:bCs/>
                <w:color w:val="4D160F" w:themeColor="accent2" w:themeShade="80"/>
              </w:rPr>
              <w:t>Advantages of the Power-Interest Matrix</w:t>
            </w:r>
          </w:p>
        </w:tc>
        <w:tc>
          <w:tcPr>
            <w:tcW w:w="4675" w:type="dxa"/>
            <w:shd w:val="clear" w:color="auto" w:fill="FCEDE8"/>
          </w:tcPr>
          <w:p w14:paraId="389F2D77" w14:textId="476B504E" w:rsidR="00D5513F" w:rsidRPr="000A42EC" w:rsidRDefault="00DB4ADF" w:rsidP="00DB4ADF">
            <w:pPr>
              <w:spacing w:line="360" w:lineRule="auto"/>
              <w:jc w:val="center"/>
              <w:rPr>
                <w:rFonts w:ascii="Arial" w:hAnsi="Arial" w:cs="Arial"/>
                <w:color w:val="4D160F" w:themeColor="accent2" w:themeShade="80"/>
              </w:rPr>
            </w:pPr>
            <w:r w:rsidRPr="000A42EC">
              <w:rPr>
                <w:rFonts w:ascii="Arial" w:hAnsi="Arial" w:cs="Arial"/>
                <w:b/>
                <w:bCs/>
                <w:color w:val="4D160F" w:themeColor="accent2" w:themeShade="80"/>
              </w:rPr>
              <w:t>Limitations of the Power-Interest Matrix</w:t>
            </w:r>
          </w:p>
        </w:tc>
      </w:tr>
      <w:tr w:rsidR="000A42EC" w:rsidRPr="000A42EC" w14:paraId="048456C2" w14:textId="77777777" w:rsidTr="00B847F3">
        <w:tc>
          <w:tcPr>
            <w:tcW w:w="4675" w:type="dxa"/>
            <w:shd w:val="clear" w:color="auto" w:fill="FCEDE8"/>
          </w:tcPr>
          <w:p w14:paraId="6CA5EC8B" w14:textId="0F48F2C2" w:rsidR="00D5513F" w:rsidRPr="000A42EC" w:rsidRDefault="00D5513F" w:rsidP="00D5513F">
            <w:pPr>
              <w:pStyle w:val="ListParagraph"/>
              <w:numPr>
                <w:ilvl w:val="0"/>
                <w:numId w:val="6"/>
              </w:numPr>
              <w:spacing w:line="360" w:lineRule="auto"/>
              <w:rPr>
                <w:rFonts w:ascii="Arial" w:hAnsi="Arial" w:cs="Arial"/>
                <w:color w:val="4D160F" w:themeColor="accent2" w:themeShade="80"/>
              </w:rPr>
            </w:pPr>
            <w:r w:rsidRPr="000A42EC">
              <w:rPr>
                <w:rFonts w:ascii="Arial" w:hAnsi="Arial" w:cs="Arial"/>
                <w:color w:val="4D160F" w:themeColor="accent2" w:themeShade="80"/>
              </w:rPr>
              <w:t>Clear Visual Representation: It provides a straightforward visual tool for identifying and prioritizing stakeholders (Freeman, 1984).</w:t>
            </w:r>
          </w:p>
          <w:p w14:paraId="0DC47ED6" w14:textId="236BB3EA" w:rsidR="00D5513F" w:rsidRPr="000A42EC" w:rsidRDefault="00D5513F" w:rsidP="00D5513F">
            <w:pPr>
              <w:pStyle w:val="ListParagraph"/>
              <w:numPr>
                <w:ilvl w:val="0"/>
                <w:numId w:val="6"/>
              </w:numPr>
              <w:spacing w:line="360" w:lineRule="auto"/>
              <w:rPr>
                <w:rFonts w:ascii="Arial" w:hAnsi="Arial" w:cs="Arial"/>
                <w:color w:val="4D160F" w:themeColor="accent2" w:themeShade="80"/>
              </w:rPr>
            </w:pPr>
            <w:r w:rsidRPr="000A42EC">
              <w:rPr>
                <w:rFonts w:ascii="Arial" w:hAnsi="Arial" w:cs="Arial"/>
                <w:color w:val="4D160F" w:themeColor="accent2" w:themeShade="80"/>
              </w:rPr>
              <w:t>Strategic Engagement: It helps in devising tailored strategies for different stakeholder groups based on their power and interest levels (Anderson, 2010).</w:t>
            </w:r>
          </w:p>
        </w:tc>
        <w:tc>
          <w:tcPr>
            <w:tcW w:w="4675" w:type="dxa"/>
            <w:shd w:val="clear" w:color="auto" w:fill="FCEDE8"/>
          </w:tcPr>
          <w:p w14:paraId="78E716B6" w14:textId="136A6B82" w:rsidR="00DB4ADF" w:rsidRPr="000A42EC" w:rsidRDefault="00DB4ADF" w:rsidP="00DB4ADF">
            <w:pPr>
              <w:pStyle w:val="ListParagraph"/>
              <w:numPr>
                <w:ilvl w:val="0"/>
                <w:numId w:val="6"/>
              </w:numPr>
              <w:spacing w:line="360" w:lineRule="auto"/>
              <w:rPr>
                <w:rFonts w:ascii="Arial" w:hAnsi="Arial" w:cs="Arial"/>
                <w:color w:val="4D160F" w:themeColor="accent2" w:themeShade="80"/>
              </w:rPr>
            </w:pPr>
            <w:r w:rsidRPr="000A42EC">
              <w:rPr>
                <w:rFonts w:ascii="Arial" w:hAnsi="Arial" w:cs="Arial"/>
                <w:color w:val="4D160F" w:themeColor="accent2" w:themeShade="80"/>
              </w:rPr>
              <w:t>Oversimplification: The model can sometimes oversimplify complex stakeholder dynamics (Cameron, 2020).</w:t>
            </w:r>
          </w:p>
          <w:p w14:paraId="46429CC0" w14:textId="682AABD8" w:rsidR="00D5513F" w:rsidRPr="000A42EC" w:rsidRDefault="00DB4ADF" w:rsidP="00DB4ADF">
            <w:pPr>
              <w:pStyle w:val="ListParagraph"/>
              <w:numPr>
                <w:ilvl w:val="0"/>
                <w:numId w:val="6"/>
              </w:numPr>
              <w:spacing w:line="360" w:lineRule="auto"/>
              <w:rPr>
                <w:rFonts w:ascii="Arial" w:hAnsi="Arial" w:cs="Arial"/>
                <w:color w:val="4D160F" w:themeColor="accent2" w:themeShade="80"/>
              </w:rPr>
            </w:pPr>
            <w:r w:rsidRPr="000A42EC">
              <w:rPr>
                <w:rFonts w:ascii="Arial" w:hAnsi="Arial" w:cs="Arial"/>
                <w:color w:val="4D160F" w:themeColor="accent2" w:themeShade="80"/>
              </w:rPr>
              <w:t>Dynamic Nature: Stakeholder interests and power can change over time, requiring continuous updates to the matrix (Burnes, 2017).</w:t>
            </w:r>
          </w:p>
        </w:tc>
      </w:tr>
    </w:tbl>
    <w:p w14:paraId="38C362E1" w14:textId="401A9B1A" w:rsidR="004307A3" w:rsidRPr="000A42EC" w:rsidRDefault="00DB4ADF" w:rsidP="00B847F3">
      <w:pPr>
        <w:spacing w:line="360" w:lineRule="auto"/>
        <w:jc w:val="center"/>
        <w:rPr>
          <w:rFonts w:ascii="Arial" w:hAnsi="Arial" w:cs="Arial"/>
          <w:color w:val="4D160F" w:themeColor="accent2" w:themeShade="80"/>
        </w:rPr>
      </w:pPr>
      <w:r w:rsidRPr="000A42EC">
        <w:rPr>
          <w:rFonts w:ascii="Arial" w:hAnsi="Arial" w:cs="Arial"/>
          <w:color w:val="4D160F" w:themeColor="accent2" w:themeShade="80"/>
        </w:rPr>
        <w:t>Table 1</w:t>
      </w:r>
    </w:p>
    <w:p w14:paraId="1D9FB977" w14:textId="77777777" w:rsidR="00E65633" w:rsidRPr="000A42EC" w:rsidRDefault="00E65633" w:rsidP="00B847F3">
      <w:pPr>
        <w:pStyle w:val="Heading2"/>
        <w:rPr>
          <w:rFonts w:ascii="Arial" w:hAnsi="Arial" w:cs="Arial"/>
          <w:color w:val="4D160F" w:themeColor="accent2" w:themeShade="80"/>
          <w:sz w:val="24"/>
          <w:szCs w:val="24"/>
          <w:u w:val="single"/>
        </w:rPr>
      </w:pPr>
      <w:bookmarkStart w:id="6" w:name="_Toc172359876"/>
      <w:r w:rsidRPr="000A42EC">
        <w:rPr>
          <w:rFonts w:ascii="Arial" w:hAnsi="Arial" w:cs="Arial"/>
          <w:color w:val="4D160F" w:themeColor="accent2" w:themeShade="80"/>
          <w:sz w:val="24"/>
          <w:szCs w:val="24"/>
          <w:u w:val="single"/>
        </w:rPr>
        <w:t>Stakeholder Identification and Placement in the Power-Interest Matrix</w:t>
      </w:r>
      <w:bookmarkEnd w:id="6"/>
    </w:p>
    <w:p w14:paraId="6A4B64F5" w14:textId="7BD90FCE" w:rsidR="000E0BF3" w:rsidRPr="003C730F" w:rsidRDefault="000E0BF3" w:rsidP="00E65633">
      <w:pPr>
        <w:spacing w:line="360" w:lineRule="auto"/>
        <w:rPr>
          <w:rFonts w:ascii="Arial" w:hAnsi="Arial" w:cs="Arial"/>
          <w:color w:val="4D160F" w:themeColor="accent2" w:themeShade="80"/>
        </w:rPr>
      </w:pPr>
    </w:p>
    <w:p w14:paraId="5B8B3441" w14:textId="2865C069" w:rsidR="00836F29" w:rsidRPr="003C730F" w:rsidRDefault="00CB3441" w:rsidP="00E65633">
      <w:pPr>
        <w:spacing w:line="360" w:lineRule="auto"/>
        <w:rPr>
          <w:rFonts w:ascii="Arial" w:hAnsi="Arial" w:cs="Arial"/>
          <w:color w:val="4D160F" w:themeColor="accent2" w:themeShade="80"/>
        </w:rPr>
      </w:pPr>
      <w:r w:rsidRPr="003C730F">
        <w:rPr>
          <w:rFonts w:ascii="Arial" w:hAnsi="Arial" w:cs="Arial"/>
          <w:b/>
          <w:bCs/>
          <w:noProof/>
          <w:color w:val="4D160F" w:themeColor="accent2" w:themeShade="80"/>
        </w:rPr>
        <mc:AlternateContent>
          <mc:Choice Requires="wps">
            <w:drawing>
              <wp:anchor distT="0" distB="0" distL="114300" distR="114300" simplePos="0" relativeHeight="251658247" behindDoc="0" locked="0" layoutInCell="1" allowOverlap="1" wp14:anchorId="33061538" wp14:editId="661BCBCF">
                <wp:simplePos x="0" y="0"/>
                <wp:positionH relativeFrom="column">
                  <wp:posOffset>2578735</wp:posOffset>
                </wp:positionH>
                <wp:positionV relativeFrom="paragraph">
                  <wp:posOffset>2444115</wp:posOffset>
                </wp:positionV>
                <wp:extent cx="2192020" cy="1889760"/>
                <wp:effectExtent l="76200" t="57150" r="55880" b="110490"/>
                <wp:wrapNone/>
                <wp:docPr id="1694434446" name="Rectangle 14"/>
                <wp:cNvGraphicFramePr/>
                <a:graphic xmlns:a="http://schemas.openxmlformats.org/drawingml/2006/main">
                  <a:graphicData uri="http://schemas.microsoft.com/office/word/2010/wordprocessingShape">
                    <wps:wsp>
                      <wps:cNvSpPr/>
                      <wps:spPr>
                        <a:xfrm>
                          <a:off x="0" y="0"/>
                          <a:ext cx="2192020" cy="1889760"/>
                        </a:xfrm>
                        <a:prstGeom prst="rect">
                          <a:avLst/>
                        </a:prstGeom>
                        <a:solidFill>
                          <a:srgbClr val="FFE0D9"/>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15000"/>
                          </a:schemeClr>
                        </a:lnRef>
                        <a:fillRef idx="1">
                          <a:schemeClr val="accent1"/>
                        </a:fillRef>
                        <a:effectRef idx="0">
                          <a:schemeClr val="accent1"/>
                        </a:effectRef>
                        <a:fontRef idx="minor">
                          <a:schemeClr val="lt1"/>
                        </a:fontRef>
                      </wps:style>
                      <wps:txbx>
                        <w:txbxContent>
                          <w:p w14:paraId="2A23D67E" w14:textId="77777777" w:rsidR="00CB3441" w:rsidRDefault="00CB3441" w:rsidP="00BE35EF">
                            <w:pPr>
                              <w:jc w:val="center"/>
                              <w:rPr>
                                <w:rFonts w:ascii="Arial" w:hAnsi="Arial" w:cs="Arial"/>
                                <w:color w:val="540000"/>
                              </w:rPr>
                            </w:pPr>
                          </w:p>
                          <w:p w14:paraId="4E980831" w14:textId="3BE856C5" w:rsidR="00BE35EF" w:rsidRPr="00CB3441" w:rsidRDefault="00BE35EF" w:rsidP="00BE35EF">
                            <w:pPr>
                              <w:jc w:val="center"/>
                              <w:rPr>
                                <w:rFonts w:ascii="Arial" w:hAnsi="Arial" w:cs="Arial"/>
                                <w:color w:val="540000"/>
                                <w:u w:val="single"/>
                              </w:rPr>
                            </w:pPr>
                            <w:r w:rsidRPr="00CB3441">
                              <w:rPr>
                                <w:rFonts w:ascii="Arial" w:hAnsi="Arial" w:cs="Arial"/>
                                <w:color w:val="540000"/>
                                <w:u w:val="single"/>
                              </w:rPr>
                              <w:t>Low power, high interest</w:t>
                            </w:r>
                          </w:p>
                          <w:p w14:paraId="6E8244A2" w14:textId="674FE086" w:rsidR="00CB3441" w:rsidRDefault="00CB3441" w:rsidP="00CB3441">
                            <w:pPr>
                              <w:rPr>
                                <w:rFonts w:ascii="Arial" w:hAnsi="Arial" w:cs="Arial"/>
                                <w:color w:val="540000"/>
                              </w:rPr>
                            </w:pPr>
                            <w:r>
                              <w:rPr>
                                <w:rFonts w:ascii="Arial" w:hAnsi="Arial" w:cs="Arial"/>
                                <w:color w:val="540000"/>
                              </w:rPr>
                              <w:t>Keep informed (Workers, Public)</w:t>
                            </w:r>
                          </w:p>
                          <w:p w14:paraId="497BD48A" w14:textId="77777777" w:rsidR="00CB3441" w:rsidRDefault="00CB3441" w:rsidP="00BE35EF">
                            <w:pPr>
                              <w:jc w:val="center"/>
                              <w:rPr>
                                <w:rFonts w:ascii="Arial" w:hAnsi="Arial" w:cs="Arial"/>
                                <w:color w:val="540000"/>
                              </w:rPr>
                            </w:pPr>
                          </w:p>
                          <w:p w14:paraId="115AC73B" w14:textId="77777777" w:rsidR="00CB3441" w:rsidRPr="00BE35EF" w:rsidRDefault="00CB3441" w:rsidP="00BE35EF">
                            <w:pPr>
                              <w:jc w:val="center"/>
                              <w:rPr>
                                <w:rFonts w:ascii="Arial" w:hAnsi="Arial" w:cs="Arial"/>
                                <w:color w:val="54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061538" id="Rectangle 14" o:spid="_x0000_s1027" style="position:absolute;margin-left:203.05pt;margin-top:192.45pt;width:172.6pt;height:148.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" fillcolor="#ffe0d9" stroked="f" strokeweight="1pt">
                <v:shadow on="t" color="black" opacity="20971f" offset="0,2.2pt"/>
                <v:textbox>
                  <w:txbxContent>
                    <w:p w14:paraId="2A23D67E" w14:textId="77777777" w:rsidR="00CB3441" w:rsidRDefault="00CB3441" w:rsidP="00BE35EF">
                      <w:pPr>
                        <w:jc w:val="center"/>
                        <w:rPr>
                          <w:rFonts w:ascii="Arial" w:hAnsi="Arial" w:cs="Arial"/>
                          <w:color w:val="540000"/>
                        </w:rPr>
                      </w:pPr>
                    </w:p>
                    <w:p w14:paraId="4E980831" w14:textId="3BE856C5" w:rsidR="00BE35EF" w:rsidRPr="00CB3441" w:rsidRDefault="00BE35EF" w:rsidP="00BE35EF">
                      <w:pPr>
                        <w:jc w:val="center"/>
                        <w:rPr>
                          <w:rFonts w:ascii="Arial" w:hAnsi="Arial" w:cs="Arial"/>
                          <w:color w:val="540000"/>
                          <w:u w:val="single"/>
                        </w:rPr>
                      </w:pPr>
                      <w:r w:rsidRPr="00CB3441">
                        <w:rPr>
                          <w:rFonts w:ascii="Arial" w:hAnsi="Arial" w:cs="Arial"/>
                          <w:color w:val="540000"/>
                          <w:u w:val="single"/>
                        </w:rPr>
                        <w:t>Low power, high interest</w:t>
                      </w:r>
                    </w:p>
                    <w:p w14:paraId="6E8244A2" w14:textId="674FE086" w:rsidR="00CB3441" w:rsidRDefault="00CB3441" w:rsidP="00CB3441">
                      <w:pPr>
                        <w:rPr>
                          <w:rFonts w:ascii="Arial" w:hAnsi="Arial" w:cs="Arial"/>
                          <w:color w:val="540000"/>
                        </w:rPr>
                      </w:pPr>
                      <w:r>
                        <w:rPr>
                          <w:rFonts w:ascii="Arial" w:hAnsi="Arial" w:cs="Arial"/>
                          <w:color w:val="540000"/>
                        </w:rPr>
                        <w:t>Keep informed (Workers, Public)</w:t>
                      </w:r>
                    </w:p>
                    <w:p w14:paraId="497BD48A" w14:textId="77777777" w:rsidR="00CB3441" w:rsidRDefault="00CB3441" w:rsidP="00BE35EF">
                      <w:pPr>
                        <w:jc w:val="center"/>
                        <w:rPr>
                          <w:rFonts w:ascii="Arial" w:hAnsi="Arial" w:cs="Arial"/>
                          <w:color w:val="540000"/>
                        </w:rPr>
                      </w:pPr>
                    </w:p>
                    <w:p w14:paraId="115AC73B" w14:textId="77777777" w:rsidR="00CB3441" w:rsidRPr="00BE35EF" w:rsidRDefault="00CB3441" w:rsidP="00BE35EF">
                      <w:pPr>
                        <w:jc w:val="center"/>
                        <w:rPr>
                          <w:rFonts w:ascii="Arial" w:hAnsi="Arial" w:cs="Arial"/>
                          <w:color w:val="540000"/>
                        </w:rPr>
                      </w:pPr>
                    </w:p>
                  </w:txbxContent>
                </v:textbox>
              </v:rect>
            </w:pict>
          </mc:Fallback>
        </mc:AlternateContent>
      </w:r>
      <w:r w:rsidRPr="003C730F">
        <w:rPr>
          <w:rFonts w:ascii="Arial" w:hAnsi="Arial" w:cs="Arial"/>
          <w:b/>
          <w:bCs/>
          <w:noProof/>
          <w:color w:val="4D160F" w:themeColor="accent2" w:themeShade="80"/>
        </w:rPr>
        <mc:AlternateContent>
          <mc:Choice Requires="wps">
            <w:drawing>
              <wp:anchor distT="0" distB="0" distL="114300" distR="114300" simplePos="0" relativeHeight="251658246" behindDoc="0" locked="0" layoutInCell="1" allowOverlap="1" wp14:anchorId="4BD57E88" wp14:editId="7CAED078">
                <wp:simplePos x="0" y="0"/>
                <wp:positionH relativeFrom="column">
                  <wp:posOffset>430530</wp:posOffset>
                </wp:positionH>
                <wp:positionV relativeFrom="paragraph">
                  <wp:posOffset>2444750</wp:posOffset>
                </wp:positionV>
                <wp:extent cx="2106295" cy="1883410"/>
                <wp:effectExtent l="95250" t="57150" r="84455" b="116840"/>
                <wp:wrapNone/>
                <wp:docPr id="429618735" name="Rectangle 12"/>
                <wp:cNvGraphicFramePr/>
                <a:graphic xmlns:a="http://schemas.openxmlformats.org/drawingml/2006/main">
                  <a:graphicData uri="http://schemas.microsoft.com/office/word/2010/wordprocessingShape">
                    <wps:wsp>
                      <wps:cNvSpPr/>
                      <wps:spPr>
                        <a:xfrm>
                          <a:off x="0" y="0"/>
                          <a:ext cx="2106295" cy="1883410"/>
                        </a:xfrm>
                        <a:prstGeom prst="rect">
                          <a:avLst/>
                        </a:prstGeom>
                        <a:solidFill>
                          <a:schemeClr val="accent2">
                            <a:lumMod val="60000"/>
                            <a:lumOff val="40000"/>
                          </a:schemeClr>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15000"/>
                          </a:schemeClr>
                        </a:lnRef>
                        <a:fillRef idx="1">
                          <a:schemeClr val="accent1"/>
                        </a:fillRef>
                        <a:effectRef idx="0">
                          <a:schemeClr val="accent1"/>
                        </a:effectRef>
                        <a:fontRef idx="minor">
                          <a:schemeClr val="lt1"/>
                        </a:fontRef>
                      </wps:style>
                      <wps:txbx>
                        <w:txbxContent>
                          <w:p w14:paraId="1D193858" w14:textId="2CE23EFD" w:rsidR="00BD40CA" w:rsidRPr="00CB3441" w:rsidRDefault="00BD40CA" w:rsidP="00BD40CA">
                            <w:pPr>
                              <w:rPr>
                                <w:rFonts w:ascii="Arial" w:hAnsi="Arial" w:cs="Arial"/>
                                <w:color w:val="540000"/>
                                <w:u w:val="single"/>
                              </w:rPr>
                            </w:pPr>
                            <w:r w:rsidRPr="00CB3441">
                              <w:rPr>
                                <w:rFonts w:ascii="Arial" w:hAnsi="Arial" w:cs="Arial"/>
                                <w:color w:val="540000"/>
                                <w:u w:val="single"/>
                              </w:rPr>
                              <w:t>Low Power, Low Interest</w:t>
                            </w:r>
                          </w:p>
                          <w:p w14:paraId="61451FBA" w14:textId="6542C5A2" w:rsidR="00CB3441" w:rsidRPr="00BE35EF" w:rsidRDefault="00CB3441" w:rsidP="00BD40CA">
                            <w:pPr>
                              <w:rPr>
                                <w:rFonts w:ascii="Arial" w:hAnsi="Arial" w:cs="Arial"/>
                                <w:color w:val="540000"/>
                              </w:rPr>
                            </w:pPr>
                            <w:r>
                              <w:rPr>
                                <w:rFonts w:ascii="Arial" w:hAnsi="Arial" w:cs="Arial"/>
                                <w:color w:val="540000"/>
                              </w:rPr>
                              <w:t>Monitor (Suppliers, Contractors)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D57E88" id="Rectangle 12" o:spid="_x0000_s1028" style="position:absolute;margin-left:33.9pt;margin-top:192.5pt;width:165.85pt;height:148.3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" fillcolor="#de6a5c [1941]" stroked="f" strokeweight="1pt">
                <v:shadow on="t" color="black" opacity="20971f" offset="0,2.2pt"/>
                <v:textbox>
                  <w:txbxContent>
                    <w:p w14:paraId="1D193858" w14:textId="2CE23EFD" w:rsidR="00BD40CA" w:rsidRPr="00CB3441" w:rsidRDefault="00BD40CA" w:rsidP="00BD40CA">
                      <w:pPr>
                        <w:rPr>
                          <w:rFonts w:ascii="Arial" w:hAnsi="Arial" w:cs="Arial"/>
                          <w:color w:val="540000"/>
                          <w:u w:val="single"/>
                        </w:rPr>
                      </w:pPr>
                      <w:r w:rsidRPr="00CB3441">
                        <w:rPr>
                          <w:rFonts w:ascii="Arial" w:hAnsi="Arial" w:cs="Arial"/>
                          <w:color w:val="540000"/>
                          <w:u w:val="single"/>
                        </w:rPr>
                        <w:t>Low Power, Low Interest</w:t>
                      </w:r>
                    </w:p>
                    <w:p w14:paraId="61451FBA" w14:textId="6542C5A2" w:rsidR="00CB3441" w:rsidRPr="00BE35EF" w:rsidRDefault="00CB3441" w:rsidP="00BD40CA">
                      <w:pPr>
                        <w:rPr>
                          <w:rFonts w:ascii="Arial" w:hAnsi="Arial" w:cs="Arial"/>
                          <w:color w:val="540000"/>
                        </w:rPr>
                      </w:pPr>
                      <w:r>
                        <w:rPr>
                          <w:rFonts w:ascii="Arial" w:hAnsi="Arial" w:cs="Arial"/>
                          <w:color w:val="540000"/>
                        </w:rPr>
                        <w:t>Monitor (Suppliers, Contractors)</w:t>
                      </w:r>
                    </w:p>
                  </w:txbxContent>
                </v:textbox>
              </v:rect>
            </w:pict>
          </mc:Fallback>
        </mc:AlternateContent>
      </w:r>
      <w:r w:rsidR="00BE35EF" w:rsidRPr="003C730F">
        <w:rPr>
          <w:rFonts w:ascii="Arial" w:hAnsi="Arial" w:cs="Arial"/>
          <w:b/>
          <w:bCs/>
          <w:noProof/>
          <w:color w:val="4D160F" w:themeColor="accent2" w:themeShade="80"/>
        </w:rPr>
        <mc:AlternateContent>
          <mc:Choice Requires="wps">
            <w:drawing>
              <wp:anchor distT="0" distB="0" distL="114300" distR="114300" simplePos="0" relativeHeight="251658245" behindDoc="0" locked="0" layoutInCell="1" allowOverlap="1" wp14:anchorId="4DF3C2AE" wp14:editId="6B159670">
                <wp:simplePos x="0" y="0"/>
                <wp:positionH relativeFrom="column">
                  <wp:posOffset>2572385</wp:posOffset>
                </wp:positionH>
                <wp:positionV relativeFrom="paragraph">
                  <wp:posOffset>318977</wp:posOffset>
                </wp:positionV>
                <wp:extent cx="2193969" cy="2061845"/>
                <wp:effectExtent l="76200" t="57150" r="53975" b="109855"/>
                <wp:wrapNone/>
                <wp:docPr id="537560046" name="Rectangle 11"/>
                <wp:cNvGraphicFramePr/>
                <a:graphic xmlns:a="http://schemas.openxmlformats.org/drawingml/2006/main">
                  <a:graphicData uri="http://schemas.microsoft.com/office/word/2010/wordprocessingShape">
                    <wps:wsp>
                      <wps:cNvSpPr/>
                      <wps:spPr>
                        <a:xfrm>
                          <a:off x="0" y="0"/>
                          <a:ext cx="2193969" cy="2061845"/>
                        </a:xfrm>
                        <a:prstGeom prst="rect">
                          <a:avLst/>
                        </a:prstGeom>
                        <a:solidFill>
                          <a:srgbClr val="CC0000"/>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15000"/>
                          </a:schemeClr>
                        </a:lnRef>
                        <a:fillRef idx="1">
                          <a:schemeClr val="accent1"/>
                        </a:fillRef>
                        <a:effectRef idx="0">
                          <a:schemeClr val="accent1"/>
                        </a:effectRef>
                        <a:fontRef idx="minor">
                          <a:schemeClr val="lt1"/>
                        </a:fontRef>
                      </wps:style>
                      <wps:txbx>
                        <w:txbxContent>
                          <w:p w14:paraId="39026833" w14:textId="0EDC29BD" w:rsidR="00BD40CA" w:rsidRDefault="00BD40CA" w:rsidP="00BD40CA">
                            <w:pPr>
                              <w:rPr>
                                <w:rFonts w:ascii="Arial" w:hAnsi="Arial" w:cs="Arial"/>
                                <w:color w:val="FFE0D9"/>
                                <w:u w:val="single"/>
                              </w:rPr>
                            </w:pPr>
                            <w:r w:rsidRPr="00B46998">
                              <w:rPr>
                                <w:rFonts w:ascii="Arial" w:hAnsi="Arial" w:cs="Arial"/>
                                <w:color w:val="FFE0D9"/>
                                <w:u w:val="single"/>
                              </w:rPr>
                              <w:t>High Power, High Interest</w:t>
                            </w:r>
                          </w:p>
                          <w:p w14:paraId="0D670B2D" w14:textId="00C9E00E" w:rsidR="00B46998" w:rsidRPr="00B46998" w:rsidRDefault="00B46998" w:rsidP="00BD40CA">
                            <w:pPr>
                              <w:rPr>
                                <w:rFonts w:ascii="Arial" w:hAnsi="Arial" w:cs="Arial"/>
                                <w:color w:val="FFE0D9"/>
                              </w:rPr>
                            </w:pPr>
                            <w:r w:rsidRPr="00B46998">
                              <w:rPr>
                                <w:rFonts w:ascii="Arial" w:hAnsi="Arial" w:cs="Arial"/>
                                <w:color w:val="FFE0D9"/>
                              </w:rPr>
                              <w:t>Key players (Post office Management, CWU, Government)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F3C2AE" id="Rectangle 11" o:spid="_x0000_s1029" style="position:absolute;margin-left:202.55pt;margin-top:25.1pt;width:172.75pt;height:162.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" fillcolor="#c00" stroked="f" strokeweight="1pt">
                <v:shadow on="t" color="black" opacity="20971f" offset="0,2.2pt"/>
                <v:textbox>
                  <w:txbxContent>
                    <w:p w14:paraId="39026833" w14:textId="0EDC29BD" w:rsidR="00BD40CA" w:rsidRDefault="00BD40CA" w:rsidP="00BD40CA">
                      <w:pPr>
                        <w:rPr>
                          <w:rFonts w:ascii="Arial" w:hAnsi="Arial" w:cs="Arial"/>
                          <w:color w:val="FFE0D9"/>
                          <w:u w:val="single"/>
                        </w:rPr>
                      </w:pPr>
                      <w:r w:rsidRPr="00B46998">
                        <w:rPr>
                          <w:rFonts w:ascii="Arial" w:hAnsi="Arial" w:cs="Arial"/>
                          <w:color w:val="FFE0D9"/>
                          <w:u w:val="single"/>
                        </w:rPr>
                        <w:t>High Power, High Interest</w:t>
                      </w:r>
                    </w:p>
                    <w:p w14:paraId="0D670B2D" w14:textId="00C9E00E" w:rsidR="00B46998" w:rsidRPr="00B46998" w:rsidRDefault="00B46998" w:rsidP="00BD40CA">
                      <w:pPr>
                        <w:rPr>
                          <w:rFonts w:ascii="Arial" w:hAnsi="Arial" w:cs="Arial"/>
                          <w:color w:val="FFE0D9"/>
                        </w:rPr>
                      </w:pPr>
                      <w:r w:rsidRPr="00B46998">
                        <w:rPr>
                          <w:rFonts w:ascii="Arial" w:hAnsi="Arial" w:cs="Arial"/>
                          <w:color w:val="FFE0D9"/>
                        </w:rPr>
                        <w:t>Key players (Post office Management, CWU, Government)</w:t>
                      </w:r>
                    </w:p>
                  </w:txbxContent>
                </v:textbox>
              </v:rect>
            </w:pict>
          </mc:Fallback>
        </mc:AlternateContent>
      </w:r>
      <w:r w:rsidR="00BD40CA" w:rsidRPr="003C730F">
        <w:rPr>
          <w:rFonts w:ascii="Arial" w:hAnsi="Arial" w:cs="Arial"/>
          <w:b/>
          <w:bCs/>
          <w:noProof/>
          <w:color w:val="4D160F" w:themeColor="accent2" w:themeShade="80"/>
        </w:rPr>
        <mc:AlternateContent>
          <mc:Choice Requires="wps">
            <w:drawing>
              <wp:anchor distT="0" distB="0" distL="114300" distR="114300" simplePos="0" relativeHeight="251658244" behindDoc="0" locked="0" layoutInCell="1" allowOverlap="1" wp14:anchorId="3339BC74" wp14:editId="568ACF7C">
                <wp:simplePos x="0" y="0"/>
                <wp:positionH relativeFrom="column">
                  <wp:posOffset>430530</wp:posOffset>
                </wp:positionH>
                <wp:positionV relativeFrom="paragraph">
                  <wp:posOffset>316865</wp:posOffset>
                </wp:positionV>
                <wp:extent cx="2106295" cy="2061845"/>
                <wp:effectExtent l="95250" t="57150" r="84455" b="109855"/>
                <wp:wrapTopAndBottom/>
                <wp:docPr id="1099599023" name="Rectangle 10"/>
                <wp:cNvGraphicFramePr/>
                <a:graphic xmlns:a="http://schemas.openxmlformats.org/drawingml/2006/main">
                  <a:graphicData uri="http://schemas.microsoft.com/office/word/2010/wordprocessingShape">
                    <wps:wsp>
                      <wps:cNvSpPr/>
                      <wps:spPr>
                        <a:xfrm>
                          <a:off x="0" y="0"/>
                          <a:ext cx="2106295" cy="2061845"/>
                        </a:xfrm>
                        <a:prstGeom prst="rect">
                          <a:avLst/>
                        </a:prstGeom>
                        <a:solidFill>
                          <a:srgbClr val="7E0000"/>
                        </a:solidFill>
                        <a:ln w="3175">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15000"/>
                          </a:schemeClr>
                        </a:lnRef>
                        <a:fillRef idx="1">
                          <a:schemeClr val="accent1"/>
                        </a:fillRef>
                        <a:effectRef idx="0">
                          <a:schemeClr val="accent1"/>
                        </a:effectRef>
                        <a:fontRef idx="minor">
                          <a:schemeClr val="lt1"/>
                        </a:fontRef>
                      </wps:style>
                      <wps:txbx>
                        <w:txbxContent>
                          <w:p w14:paraId="6A71E492" w14:textId="77777777" w:rsidR="00B46998" w:rsidRDefault="00B46998" w:rsidP="00BD40CA">
                            <w:pPr>
                              <w:rPr>
                                <w:rFonts w:ascii="Arial" w:hAnsi="Arial" w:cs="Arial"/>
                                <w:color w:val="FFECE7"/>
                                <w:u w:val="single"/>
                              </w:rPr>
                            </w:pPr>
                          </w:p>
                          <w:p w14:paraId="65A92292" w14:textId="77777777" w:rsidR="00B46998" w:rsidRDefault="00B46998" w:rsidP="00BD40CA">
                            <w:pPr>
                              <w:rPr>
                                <w:rFonts w:ascii="Arial" w:hAnsi="Arial" w:cs="Arial"/>
                                <w:color w:val="FFECE7"/>
                                <w:u w:val="single"/>
                              </w:rPr>
                            </w:pPr>
                          </w:p>
                          <w:p w14:paraId="2C7EAB37" w14:textId="62549549" w:rsidR="00B46998" w:rsidRPr="00B46998" w:rsidRDefault="00BD40CA" w:rsidP="00BD40CA">
                            <w:pPr>
                              <w:rPr>
                                <w:rFonts w:ascii="Arial" w:hAnsi="Arial" w:cs="Arial"/>
                                <w:color w:val="FFECE7"/>
                                <w:u w:val="single"/>
                              </w:rPr>
                            </w:pPr>
                            <w:r w:rsidRPr="00B46998">
                              <w:rPr>
                                <w:rFonts w:ascii="Arial" w:hAnsi="Arial" w:cs="Arial"/>
                                <w:color w:val="FFECE7"/>
                                <w:u w:val="single"/>
                              </w:rPr>
                              <w:t>High power, low interest</w:t>
                            </w:r>
                          </w:p>
                          <w:p w14:paraId="3048E013" w14:textId="4170DF32" w:rsidR="00876848" w:rsidRPr="00876848" w:rsidRDefault="00876848" w:rsidP="00876848">
                            <w:pPr>
                              <w:spacing w:line="360" w:lineRule="auto"/>
                              <w:rPr>
                                <w:rFonts w:ascii="Arial" w:hAnsi="Arial" w:cs="Arial"/>
                                <w:b/>
                                <w:bCs/>
                                <w:color w:val="FFECE7"/>
                              </w:rPr>
                            </w:pPr>
                            <w:r w:rsidRPr="00876848">
                              <w:rPr>
                                <w:rFonts w:ascii="Arial" w:hAnsi="Arial" w:cs="Arial"/>
                                <w:color w:val="FFECE7"/>
                              </w:rPr>
                              <w:t>Keep Satisfied</w:t>
                            </w:r>
                            <w:r w:rsidR="00BD40CA" w:rsidRPr="00BE35EF">
                              <w:rPr>
                                <w:rFonts w:ascii="Arial" w:hAnsi="Arial" w:cs="Arial"/>
                                <w:b/>
                                <w:bCs/>
                                <w:color w:val="FFECE7"/>
                              </w:rPr>
                              <w:t xml:space="preserve"> </w:t>
                            </w:r>
                            <w:r w:rsidRPr="00876848">
                              <w:rPr>
                                <w:rFonts w:ascii="Arial" w:hAnsi="Arial" w:cs="Arial"/>
                                <w:color w:val="FFECE7"/>
                              </w:rPr>
                              <w:t>(</w:t>
                            </w:r>
                            <w:r w:rsidR="00B46998" w:rsidRPr="00876848">
                              <w:rPr>
                                <w:rFonts w:ascii="Arial" w:hAnsi="Arial" w:cs="Arial"/>
                                <w:color w:val="FFECE7"/>
                              </w:rPr>
                              <w:t>Investors, Shareholders</w:t>
                            </w:r>
                            <w:r w:rsidRPr="00876848">
                              <w:rPr>
                                <w:rFonts w:ascii="Arial" w:hAnsi="Arial" w:cs="Arial"/>
                                <w:color w:val="FFECE7"/>
                              </w:rPr>
                              <w:t xml:space="preserve">, Large </w:t>
                            </w:r>
                            <w:r w:rsidR="00B46998" w:rsidRPr="00876848">
                              <w:rPr>
                                <w:rFonts w:ascii="Arial" w:hAnsi="Arial" w:cs="Arial"/>
                                <w:color w:val="FFECE7"/>
                              </w:rPr>
                              <w:t>Business</w:t>
                            </w:r>
                            <w:r w:rsidRPr="00876848">
                              <w:rPr>
                                <w:rFonts w:ascii="Arial" w:hAnsi="Arial" w:cs="Arial"/>
                                <w:color w:val="FFECE7"/>
                              </w:rPr>
                              <w:t>,</w:t>
                            </w:r>
                            <w:r w:rsidR="00B46998">
                              <w:rPr>
                                <w:rFonts w:ascii="Arial" w:hAnsi="Arial" w:cs="Arial"/>
                                <w:color w:val="FFECE7"/>
                              </w:rPr>
                              <w:t xml:space="preserve"> </w:t>
                            </w:r>
                            <w:r w:rsidRPr="00876848">
                              <w:rPr>
                                <w:rFonts w:ascii="Arial" w:hAnsi="Arial" w:cs="Arial"/>
                                <w:color w:val="FFECE7"/>
                              </w:rPr>
                              <w:t>Clients)</w:t>
                            </w:r>
                            <w:r w:rsidRPr="00876848">
                              <w:rPr>
                                <w:rFonts w:ascii="Arial" w:hAnsi="Arial" w:cs="Arial"/>
                                <w:b/>
                                <w:bCs/>
                                <w:color w:val="FFECE7"/>
                              </w:rPr>
                              <w:t xml:space="preserve"> </w:t>
                            </w:r>
                            <w:r w:rsidR="00BD40CA" w:rsidRPr="00836F29">
                              <w:rPr>
                                <w:rFonts w:ascii="Arial" w:hAnsi="Arial" w:cs="Arial"/>
                                <w:b/>
                                <w:bCs/>
                                <w:color w:val="7E0000"/>
                              </w:rPr>
                              <w:t>Lo</w:t>
                            </w:r>
                          </w:p>
                          <w:p w14:paraId="6009346F" w14:textId="17DE775B" w:rsidR="00BD40CA" w:rsidRPr="00BD40CA" w:rsidRDefault="00876848" w:rsidP="00BD40CA">
                            <w:pPr>
                              <w:rPr>
                                <w:color w:val="FFE0D9"/>
                              </w:rPr>
                            </w:pPr>
                            <w:r w:rsidRPr="00876848">
                              <w:rPr>
                                <w:rFonts w:ascii="Arial" w:hAnsi="Arial" w:cs="Arial"/>
                                <w:b/>
                                <w:bCs/>
                                <w:color w:val="7E0000"/>
                              </w:rPr>
                              <w:t xml:space="preserve">Keep Satisfied </w:t>
                            </w:r>
                            <w:r w:rsidR="00BD40CA" w:rsidRPr="00836F29">
                              <w:rPr>
                                <w:rFonts w:ascii="Arial" w:hAnsi="Arial" w:cs="Arial"/>
                                <w:b/>
                                <w:bCs/>
                                <w:color w:val="7E0000"/>
                              </w:rPr>
                              <w:t>w Interest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39BC74" id="Rectangle 10" o:spid="_x0000_s1030" style="position:absolute;margin-left:33.9pt;margin-top:24.95pt;width:165.85pt;height:162.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" fillcolor="#7e0000" stroked="f" strokeweight=".25pt">
                <v:shadow on="t" color="black" opacity="20971f" offset="0,2.2pt"/>
                <v:textbox>
                  <w:txbxContent>
                    <w:p w14:paraId="6A71E492" w14:textId="77777777" w:rsidR="00B46998" w:rsidRDefault="00B46998" w:rsidP="00BD40CA">
                      <w:pPr>
                        <w:rPr>
                          <w:rFonts w:ascii="Arial" w:hAnsi="Arial" w:cs="Arial"/>
                          <w:color w:val="FFECE7"/>
                          <w:u w:val="single"/>
                        </w:rPr>
                      </w:pPr>
                    </w:p>
                    <w:p w14:paraId="65A92292" w14:textId="77777777" w:rsidR="00B46998" w:rsidRDefault="00B46998" w:rsidP="00BD40CA">
                      <w:pPr>
                        <w:rPr>
                          <w:rFonts w:ascii="Arial" w:hAnsi="Arial" w:cs="Arial"/>
                          <w:color w:val="FFECE7"/>
                          <w:u w:val="single"/>
                        </w:rPr>
                      </w:pPr>
                    </w:p>
                    <w:p w14:paraId="2C7EAB37" w14:textId="62549549" w:rsidR="00B46998" w:rsidRPr="00B46998" w:rsidRDefault="00BD40CA" w:rsidP="00BD40CA">
                      <w:pPr>
                        <w:rPr>
                          <w:rFonts w:ascii="Arial" w:hAnsi="Arial" w:cs="Arial"/>
                          <w:color w:val="FFECE7"/>
                          <w:u w:val="single"/>
                        </w:rPr>
                      </w:pPr>
                      <w:r w:rsidRPr="00B46998">
                        <w:rPr>
                          <w:rFonts w:ascii="Arial" w:hAnsi="Arial" w:cs="Arial"/>
                          <w:color w:val="FFECE7"/>
                          <w:u w:val="single"/>
                        </w:rPr>
                        <w:t>High power, low interest</w:t>
                      </w:r>
                    </w:p>
                    <w:p w14:paraId="3048E013" w14:textId="4170DF32" w:rsidR="00876848" w:rsidRPr="00876848" w:rsidRDefault="00876848" w:rsidP="00876848">
                      <w:pPr>
                        <w:spacing w:line="360" w:lineRule="auto"/>
                        <w:rPr>
                          <w:rFonts w:ascii="Arial" w:hAnsi="Arial" w:cs="Arial"/>
                          <w:b/>
                          <w:bCs/>
                          <w:color w:val="FFECE7"/>
                        </w:rPr>
                      </w:pPr>
                      <w:r w:rsidRPr="00876848">
                        <w:rPr>
                          <w:rFonts w:ascii="Arial" w:hAnsi="Arial" w:cs="Arial"/>
                          <w:color w:val="FFECE7"/>
                        </w:rPr>
                        <w:t>Keep Satisfied</w:t>
                      </w:r>
                      <w:r w:rsidR="00BD40CA" w:rsidRPr="00BE35EF">
                        <w:rPr>
                          <w:rFonts w:ascii="Arial" w:hAnsi="Arial" w:cs="Arial"/>
                          <w:b/>
                          <w:bCs/>
                          <w:color w:val="FFECE7"/>
                        </w:rPr>
                        <w:t xml:space="preserve"> </w:t>
                      </w:r>
                      <w:r w:rsidRPr="00876848">
                        <w:rPr>
                          <w:rFonts w:ascii="Arial" w:hAnsi="Arial" w:cs="Arial"/>
                          <w:color w:val="FFECE7"/>
                        </w:rPr>
                        <w:t>(</w:t>
                      </w:r>
                      <w:r w:rsidR="00B46998" w:rsidRPr="00876848">
                        <w:rPr>
                          <w:rFonts w:ascii="Arial" w:hAnsi="Arial" w:cs="Arial"/>
                          <w:color w:val="FFECE7"/>
                        </w:rPr>
                        <w:t>Investors, Shareholders</w:t>
                      </w:r>
                      <w:r w:rsidRPr="00876848">
                        <w:rPr>
                          <w:rFonts w:ascii="Arial" w:hAnsi="Arial" w:cs="Arial"/>
                          <w:color w:val="FFECE7"/>
                        </w:rPr>
                        <w:t xml:space="preserve">, Large </w:t>
                      </w:r>
                      <w:r w:rsidR="00B46998" w:rsidRPr="00876848">
                        <w:rPr>
                          <w:rFonts w:ascii="Arial" w:hAnsi="Arial" w:cs="Arial"/>
                          <w:color w:val="FFECE7"/>
                        </w:rPr>
                        <w:t>Business</w:t>
                      </w:r>
                      <w:r w:rsidRPr="00876848">
                        <w:rPr>
                          <w:rFonts w:ascii="Arial" w:hAnsi="Arial" w:cs="Arial"/>
                          <w:color w:val="FFECE7"/>
                        </w:rPr>
                        <w:t>,</w:t>
                      </w:r>
                      <w:r w:rsidR="00B46998">
                        <w:rPr>
                          <w:rFonts w:ascii="Arial" w:hAnsi="Arial" w:cs="Arial"/>
                          <w:color w:val="FFECE7"/>
                        </w:rPr>
                        <w:t xml:space="preserve"> </w:t>
                      </w:r>
                      <w:r w:rsidRPr="00876848">
                        <w:rPr>
                          <w:rFonts w:ascii="Arial" w:hAnsi="Arial" w:cs="Arial"/>
                          <w:color w:val="FFECE7"/>
                        </w:rPr>
                        <w:t>Clients)</w:t>
                      </w:r>
                      <w:r w:rsidRPr="00876848">
                        <w:rPr>
                          <w:rFonts w:ascii="Arial" w:hAnsi="Arial" w:cs="Arial"/>
                          <w:b/>
                          <w:bCs/>
                          <w:color w:val="FFECE7"/>
                        </w:rPr>
                        <w:t xml:space="preserve"> </w:t>
                      </w:r>
                      <w:r w:rsidR="00BD40CA" w:rsidRPr="00836F29">
                        <w:rPr>
                          <w:rFonts w:ascii="Arial" w:hAnsi="Arial" w:cs="Arial"/>
                          <w:b/>
                          <w:bCs/>
                          <w:color w:val="7E0000"/>
                        </w:rPr>
                        <w:t>Lo</w:t>
                      </w:r>
                    </w:p>
                    <w:p w14:paraId="6009346F" w14:textId="17DE775B" w:rsidR="00BD40CA" w:rsidRPr="00BD40CA" w:rsidRDefault="00876848" w:rsidP="00BD40CA">
                      <w:pPr>
                        <w:rPr>
                          <w:color w:val="FFE0D9"/>
                        </w:rPr>
                      </w:pPr>
                      <w:r w:rsidRPr="00876848">
                        <w:rPr>
                          <w:rFonts w:ascii="Arial" w:hAnsi="Arial" w:cs="Arial"/>
                          <w:b/>
                          <w:bCs/>
                          <w:color w:val="7E0000"/>
                        </w:rPr>
                        <w:t xml:space="preserve">Keep Satisfied </w:t>
                      </w:r>
                      <w:r w:rsidR="00BD40CA" w:rsidRPr="00836F29">
                        <w:rPr>
                          <w:rFonts w:ascii="Arial" w:hAnsi="Arial" w:cs="Arial"/>
                          <w:b/>
                          <w:bCs/>
                          <w:color w:val="7E0000"/>
                        </w:rPr>
                        <w:t>w Interest</w:t>
                      </w:r>
                    </w:p>
                  </w:txbxContent>
                </v:textbox>
                <w10:wrap type="topAndBottom"/>
              </v:rect>
            </w:pict>
          </mc:Fallback>
        </mc:AlternateContent>
      </w:r>
      <w:r w:rsidR="000E0BF3" w:rsidRPr="003C730F">
        <w:rPr>
          <w:rFonts w:ascii="Arial" w:hAnsi="Arial" w:cs="Arial"/>
          <w:noProof/>
          <w:color w:val="4D160F" w:themeColor="accent2" w:themeShade="80"/>
        </w:rPr>
        <mc:AlternateContent>
          <mc:Choice Requires="wps">
            <w:drawing>
              <wp:anchor distT="0" distB="0" distL="114300" distR="114300" simplePos="0" relativeHeight="251658242" behindDoc="0" locked="0" layoutInCell="1" allowOverlap="1" wp14:anchorId="637C0CDE" wp14:editId="16A189F2">
                <wp:simplePos x="0" y="0"/>
                <wp:positionH relativeFrom="margin">
                  <wp:align>left</wp:align>
                </wp:positionH>
                <wp:positionV relativeFrom="paragraph">
                  <wp:posOffset>181535</wp:posOffset>
                </wp:positionV>
                <wp:extent cx="312644" cy="4149538"/>
                <wp:effectExtent l="19050" t="19050" r="11430" b="22860"/>
                <wp:wrapNone/>
                <wp:docPr id="1733616843" name="Arrow: Up 7"/>
                <wp:cNvGraphicFramePr/>
                <a:graphic xmlns:a="http://schemas.openxmlformats.org/drawingml/2006/main">
                  <a:graphicData uri="http://schemas.microsoft.com/office/word/2010/wordprocessingShape">
                    <wps:wsp>
                      <wps:cNvSpPr/>
                      <wps:spPr>
                        <a:xfrm flipH="1">
                          <a:off x="0" y="0"/>
                          <a:ext cx="312644" cy="4149538"/>
                        </a:xfrm>
                        <a:prstGeom prst="upArrow">
                          <a:avLst/>
                        </a:prstGeom>
                        <a:solidFill>
                          <a:srgbClr val="FFECE7"/>
                        </a:solidFill>
                      </wps:spPr>
                      <wps:style>
                        <a:lnRef idx="2">
                          <a:schemeClr val="accent1">
                            <a:shade val="15000"/>
                          </a:schemeClr>
                        </a:lnRef>
                        <a:fillRef idx="1">
                          <a:schemeClr val="accent1"/>
                        </a:fillRef>
                        <a:effectRef idx="0">
                          <a:schemeClr val="accent1"/>
                        </a:effectRef>
                        <a:fontRef idx="minor">
                          <a:schemeClr val="lt1"/>
                        </a:fontRef>
                      </wps:style>
                      <wps:txbx>
                        <w:txbxContent>
                          <w:p w14:paraId="696D068F" w14:textId="77777777" w:rsidR="000E0BF3" w:rsidRDefault="000E0BF3" w:rsidP="000E0B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7C0CD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7" o:spid="_x0000_s1031" type="#_x0000_t68" style="position:absolute;margin-left:0;margin-top:14.3pt;width:24.6pt;height:326.75pt;flip:x;z-index:25165824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" adj="814" fillcolor="#ffece7" strokecolor="#1f0a03 [484]" strokeweight="1pt">
                <v:textbox>
                  <w:txbxContent>
                    <w:p w14:paraId="696D068F" w14:textId="77777777" w:rsidR="000E0BF3" w:rsidRDefault="000E0BF3" w:rsidP="000E0BF3">
                      <w:pPr>
                        <w:jc w:val="center"/>
                      </w:pPr>
                    </w:p>
                  </w:txbxContent>
                </v:textbox>
                <w10:wrap anchorx="margin"/>
              </v:shape>
            </w:pict>
          </mc:Fallback>
        </mc:AlternateContent>
      </w:r>
    </w:p>
    <w:p w14:paraId="0F236E05" w14:textId="57B84623" w:rsidR="006D0F19" w:rsidRPr="003C730F" w:rsidRDefault="00876848" w:rsidP="00E65633">
      <w:pPr>
        <w:spacing w:line="360" w:lineRule="auto"/>
        <w:rPr>
          <w:rFonts w:ascii="Arial" w:hAnsi="Arial" w:cs="Arial"/>
          <w:color w:val="4D160F" w:themeColor="accent2" w:themeShade="80"/>
        </w:rPr>
      </w:pPr>
      <w:r w:rsidRPr="003C730F">
        <w:rPr>
          <w:rFonts w:ascii="Arial" w:hAnsi="Arial" w:cs="Arial"/>
          <w:b/>
          <w:bCs/>
          <w:noProof/>
          <w:color w:val="4D160F" w:themeColor="accent2" w:themeShade="80"/>
        </w:rPr>
        <mc:AlternateContent>
          <mc:Choice Requires="wps">
            <w:drawing>
              <wp:anchor distT="45720" distB="45720" distL="114300" distR="114300" simplePos="0" relativeHeight="251658249" behindDoc="0" locked="0" layoutInCell="1" allowOverlap="1" wp14:anchorId="4C6C9D0F" wp14:editId="6D9BA9C0">
                <wp:simplePos x="0" y="0"/>
                <wp:positionH relativeFrom="column">
                  <wp:posOffset>-272415</wp:posOffset>
                </wp:positionH>
                <wp:positionV relativeFrom="paragraph">
                  <wp:posOffset>170180</wp:posOffset>
                </wp:positionV>
                <wp:extent cx="475615" cy="226060"/>
                <wp:effectExtent l="0" t="0" r="0" b="0"/>
                <wp:wrapSquare wrapText="bothSides"/>
                <wp:docPr id="8302000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475615" cy="226060"/>
                        </a:xfrm>
                        <a:prstGeom prst="rect">
                          <a:avLst/>
                        </a:prstGeom>
                        <a:noFill/>
                        <a:ln w="9525">
                          <a:noFill/>
                          <a:miter lim="800000"/>
                          <a:headEnd/>
                          <a:tailEnd/>
                        </a:ln>
                      </wps:spPr>
                      <wps:txbx>
                        <w:txbxContent>
                          <w:p w14:paraId="05F36843" w14:textId="6B644B23" w:rsidR="00876848" w:rsidRPr="00876848" w:rsidRDefault="00876848">
                            <w:pPr>
                              <w:rPr>
                                <w:color w:val="732117" w:themeColor="accent2" w:themeShade="BF"/>
                              </w:rPr>
                            </w:pPr>
                            <w:r w:rsidRPr="00876848">
                              <w:rPr>
                                <w:color w:val="732117" w:themeColor="accent2" w:themeShade="BF"/>
                              </w:rP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6C9D0F" id="Text Box 2" o:spid="_x0000_s1032" type="#_x0000_t202" style="position:absolute;margin-left:-21.45pt;margin-top:13.4pt;width:37.45pt;height:17.8pt;rotation:-90;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" filled="f" stroked="f">
                <v:textbox>
                  <w:txbxContent>
                    <w:p w14:paraId="05F36843" w14:textId="6B644B23" w:rsidR="00876848" w:rsidRPr="00876848" w:rsidRDefault="00876848">
                      <w:pPr>
                        <w:rPr>
                          <w:color w:val="732117" w:themeColor="accent2" w:themeShade="BF"/>
                        </w:rPr>
                      </w:pPr>
                      <w:r w:rsidRPr="00876848">
                        <w:rPr>
                          <w:color w:val="732117" w:themeColor="accent2" w:themeShade="BF"/>
                        </w:rPr>
                        <w:t>High</w:t>
                      </w:r>
                    </w:p>
                  </w:txbxContent>
                </v:textbox>
                <w10:wrap type="square"/>
              </v:shape>
            </w:pict>
          </mc:Fallback>
        </mc:AlternateContent>
      </w:r>
    </w:p>
    <w:p w14:paraId="61C0D362" w14:textId="064F771A" w:rsidR="000E0BF3" w:rsidRPr="003C730F" w:rsidRDefault="000E0BF3" w:rsidP="00E65633">
      <w:pPr>
        <w:spacing w:line="360" w:lineRule="auto"/>
        <w:rPr>
          <w:rFonts w:ascii="Arial" w:hAnsi="Arial" w:cs="Arial"/>
          <w:b/>
          <w:bCs/>
          <w:color w:val="4D160F" w:themeColor="accent2" w:themeShade="80"/>
        </w:rPr>
      </w:pPr>
    </w:p>
    <w:p w14:paraId="15367E7E" w14:textId="15D38449" w:rsidR="000E0BF3" w:rsidRPr="003C730F" w:rsidRDefault="000E0BF3" w:rsidP="00E65633">
      <w:pPr>
        <w:spacing w:line="360" w:lineRule="auto"/>
        <w:rPr>
          <w:rFonts w:ascii="Arial" w:hAnsi="Arial" w:cs="Arial"/>
          <w:b/>
          <w:bCs/>
          <w:color w:val="4D160F" w:themeColor="accent2" w:themeShade="80"/>
        </w:rPr>
      </w:pPr>
    </w:p>
    <w:p w14:paraId="0993A267" w14:textId="20E2B43D" w:rsidR="000E0BF3" w:rsidRPr="003C730F" w:rsidRDefault="000E0BF3" w:rsidP="00E65633">
      <w:pPr>
        <w:spacing w:line="360" w:lineRule="auto"/>
        <w:rPr>
          <w:rFonts w:ascii="Arial" w:hAnsi="Arial" w:cs="Arial"/>
          <w:b/>
          <w:bCs/>
          <w:color w:val="4D160F" w:themeColor="accent2" w:themeShade="80"/>
        </w:rPr>
      </w:pPr>
    </w:p>
    <w:p w14:paraId="012EA36E" w14:textId="62F5A0AA" w:rsidR="000E0BF3" w:rsidRPr="003C730F" w:rsidRDefault="00FD4262" w:rsidP="00E65633">
      <w:pPr>
        <w:spacing w:line="360" w:lineRule="auto"/>
        <w:rPr>
          <w:rFonts w:ascii="Arial" w:hAnsi="Arial" w:cs="Arial"/>
          <w:b/>
          <w:bCs/>
          <w:color w:val="4D160F" w:themeColor="accent2" w:themeShade="80"/>
        </w:rPr>
      </w:pPr>
      <w:r w:rsidRPr="003C730F">
        <w:rPr>
          <w:rFonts w:ascii="Arial" w:hAnsi="Arial" w:cs="Arial"/>
          <w:b/>
          <w:bCs/>
          <w:noProof/>
          <w:color w:val="4D160F" w:themeColor="accent2" w:themeShade="80"/>
        </w:rPr>
        <mc:AlternateContent>
          <mc:Choice Requires="wps">
            <w:drawing>
              <wp:anchor distT="45720" distB="45720" distL="114300" distR="114300" simplePos="0" relativeHeight="251658248" behindDoc="0" locked="0" layoutInCell="1" allowOverlap="1" wp14:anchorId="394D5A6C" wp14:editId="7F9CE7EB">
                <wp:simplePos x="0" y="0"/>
                <wp:positionH relativeFrom="leftMargin">
                  <wp:posOffset>708660</wp:posOffset>
                </wp:positionH>
                <wp:positionV relativeFrom="paragraph">
                  <wp:posOffset>368300</wp:posOffset>
                </wp:positionV>
                <wp:extent cx="358140" cy="5143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514350"/>
                        </a:xfrm>
                        <a:prstGeom prst="rect">
                          <a:avLst/>
                        </a:prstGeom>
                        <a:noFill/>
                        <a:ln w="9525">
                          <a:noFill/>
                          <a:miter lim="800000"/>
                          <a:headEnd/>
                          <a:tailEnd/>
                        </a:ln>
                      </wps:spPr>
                      <wps:txbx>
                        <w:txbxContent>
                          <w:p w14:paraId="2E9CB5D7" w14:textId="5AE745AF" w:rsidR="00FD4262" w:rsidRPr="00FD4262" w:rsidRDefault="00FD4262">
                            <w:pPr>
                              <w:rPr>
                                <w:rFonts w:ascii="Arial" w:hAnsi="Arial" w:cs="Arial"/>
                                <w:color w:val="732117" w:themeColor="accent2" w:themeShade="BF"/>
                              </w:rPr>
                            </w:pPr>
                            <w:r w:rsidRPr="00FD4262">
                              <w:rPr>
                                <w:rFonts w:ascii="Arial" w:hAnsi="Arial" w:cs="Arial"/>
                                <w:color w:val="732117" w:themeColor="accent2" w:themeShade="BF"/>
                              </w:rPr>
                              <w:t>Power</w:t>
                            </w:r>
                          </w:p>
                        </w:txbxContent>
                      </wps:txbx>
                      <wps:bodyPr rot="0" vert="vert270"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94D5A6C" id="_x0000_s1033" type="#_x0000_t202" style="position:absolute;margin-left:55.8pt;margin-top:29pt;width:28.2pt;height:40.5pt;z-index:251658248;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" filled="f" stroked="f">
                <v:textbox style="layout-flow:vertical;mso-layout-flow-alt:bottom-to-top">
                  <w:txbxContent>
                    <w:p w14:paraId="2E9CB5D7" w14:textId="5AE745AF" w:rsidR="00FD4262" w:rsidRPr="00FD4262" w:rsidRDefault="00FD4262">
                      <w:pPr>
                        <w:rPr>
                          <w:rFonts w:ascii="Arial" w:hAnsi="Arial" w:cs="Arial"/>
                          <w:color w:val="732117" w:themeColor="accent2" w:themeShade="BF"/>
                        </w:rPr>
                      </w:pPr>
                      <w:r w:rsidRPr="00FD4262">
                        <w:rPr>
                          <w:rFonts w:ascii="Arial" w:hAnsi="Arial" w:cs="Arial"/>
                          <w:color w:val="732117" w:themeColor="accent2" w:themeShade="BF"/>
                        </w:rPr>
                        <w:t>Power</w:t>
                      </w:r>
                    </w:p>
                  </w:txbxContent>
                </v:textbox>
                <w10:wrap type="square" anchorx="margin"/>
              </v:shape>
            </w:pict>
          </mc:Fallback>
        </mc:AlternateContent>
      </w:r>
    </w:p>
    <w:p w14:paraId="4C26DB90" w14:textId="6B7B692C" w:rsidR="000E0BF3" w:rsidRPr="003C730F" w:rsidRDefault="00876848" w:rsidP="00E65633">
      <w:pPr>
        <w:spacing w:line="360" w:lineRule="auto"/>
        <w:rPr>
          <w:rFonts w:ascii="Arial" w:hAnsi="Arial" w:cs="Arial"/>
          <w:b/>
          <w:bCs/>
          <w:color w:val="4D160F" w:themeColor="accent2" w:themeShade="80"/>
        </w:rPr>
      </w:pPr>
      <w:r w:rsidRPr="003C730F">
        <w:rPr>
          <w:rFonts w:ascii="Arial" w:hAnsi="Arial" w:cs="Arial"/>
          <w:b/>
          <w:bCs/>
          <w:noProof/>
          <w:color w:val="4D160F" w:themeColor="accent2" w:themeShade="80"/>
        </w:rPr>
        <mc:AlternateContent>
          <mc:Choice Requires="wps">
            <w:drawing>
              <wp:anchor distT="0" distB="0" distL="114300" distR="114300" simplePos="0" relativeHeight="251658243" behindDoc="1" locked="0" layoutInCell="1" allowOverlap="1" wp14:anchorId="36393EBA" wp14:editId="3429A836">
                <wp:simplePos x="0" y="0"/>
                <wp:positionH relativeFrom="column">
                  <wp:posOffset>107315</wp:posOffset>
                </wp:positionH>
                <wp:positionV relativeFrom="paragraph">
                  <wp:posOffset>264795</wp:posOffset>
                </wp:positionV>
                <wp:extent cx="5474970" cy="302260"/>
                <wp:effectExtent l="0" t="19050" r="30480" b="40640"/>
                <wp:wrapNone/>
                <wp:docPr id="2040158159" name="Arrow: Right 8"/>
                <wp:cNvGraphicFramePr/>
                <a:graphic xmlns:a="http://schemas.openxmlformats.org/drawingml/2006/main">
                  <a:graphicData uri="http://schemas.microsoft.com/office/word/2010/wordprocessingShape">
                    <wps:wsp>
                      <wps:cNvSpPr/>
                      <wps:spPr>
                        <a:xfrm>
                          <a:off x="0" y="0"/>
                          <a:ext cx="5474970" cy="302260"/>
                        </a:xfrm>
                        <a:prstGeom prst="rightArrow">
                          <a:avLst/>
                        </a:prstGeom>
                        <a:solidFill>
                          <a:srgbClr val="FFECE7"/>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6FF17F2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8.45pt;margin-top:20.85pt;width:431.1pt;height:23.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" adj="21004" fillcolor="#ffece7" strokecolor="#1f0a03 [484]" strokeweight="1pt"/>
            </w:pict>
          </mc:Fallback>
        </mc:AlternateContent>
      </w:r>
    </w:p>
    <w:p w14:paraId="7208539D" w14:textId="1F48D229" w:rsidR="000E0BF3" w:rsidRPr="003C730F" w:rsidRDefault="000E0BF3" w:rsidP="00E65633">
      <w:pPr>
        <w:spacing w:line="360" w:lineRule="auto"/>
        <w:rPr>
          <w:rFonts w:ascii="Arial" w:hAnsi="Arial" w:cs="Arial"/>
          <w:b/>
          <w:bCs/>
          <w:color w:val="4D160F" w:themeColor="accent2" w:themeShade="80"/>
        </w:rPr>
      </w:pPr>
    </w:p>
    <w:p w14:paraId="7C18C438" w14:textId="742DEE81" w:rsidR="000E0BF3" w:rsidRPr="003C730F" w:rsidRDefault="00FD4262" w:rsidP="00FD4262">
      <w:pPr>
        <w:spacing w:line="360" w:lineRule="auto"/>
        <w:rPr>
          <w:rFonts w:ascii="Arial" w:hAnsi="Arial" w:cs="Arial"/>
          <w:color w:val="4D160F" w:themeColor="accent2" w:themeShade="80"/>
        </w:rPr>
      </w:pPr>
      <w:r w:rsidRPr="003C730F">
        <w:rPr>
          <w:rFonts w:ascii="Arial" w:hAnsi="Arial" w:cs="Arial"/>
          <w:color w:val="4D160F" w:themeColor="accent2" w:themeShade="80"/>
        </w:rPr>
        <w:t xml:space="preserve">Low                              </w:t>
      </w:r>
      <w:r w:rsidR="00876848" w:rsidRPr="003C730F">
        <w:rPr>
          <w:rFonts w:ascii="Arial" w:hAnsi="Arial" w:cs="Arial"/>
          <w:color w:val="4D160F" w:themeColor="accent2" w:themeShade="80"/>
        </w:rPr>
        <w:t xml:space="preserve">                  </w:t>
      </w:r>
      <w:r w:rsidRPr="003C730F">
        <w:rPr>
          <w:rFonts w:ascii="Arial" w:hAnsi="Arial" w:cs="Arial"/>
          <w:color w:val="4D160F" w:themeColor="accent2" w:themeShade="80"/>
        </w:rPr>
        <w:t xml:space="preserve">    </w:t>
      </w:r>
      <w:r w:rsidR="00C8049F" w:rsidRPr="003C730F">
        <w:rPr>
          <w:rFonts w:ascii="Arial" w:hAnsi="Arial" w:cs="Arial"/>
          <w:color w:val="4D160F" w:themeColor="accent2" w:themeShade="80"/>
        </w:rPr>
        <w:t>Interest</w:t>
      </w:r>
      <w:r w:rsidRPr="003C730F">
        <w:rPr>
          <w:rFonts w:ascii="Arial" w:hAnsi="Arial" w:cs="Arial"/>
          <w:color w:val="4D160F" w:themeColor="accent2" w:themeShade="80"/>
        </w:rPr>
        <w:t xml:space="preserve">                                             High</w:t>
      </w:r>
    </w:p>
    <w:p w14:paraId="08ED38CA" w14:textId="77777777" w:rsidR="007B0CBF" w:rsidRPr="000A42EC" w:rsidRDefault="0069231B" w:rsidP="007B0CBF">
      <w:pPr>
        <w:spacing w:line="360" w:lineRule="auto"/>
        <w:jc w:val="center"/>
        <w:rPr>
          <w:rFonts w:ascii="Arial" w:hAnsi="Arial" w:cs="Arial"/>
          <w:color w:val="4D160F" w:themeColor="accent2" w:themeShade="80"/>
        </w:rPr>
      </w:pPr>
      <w:r w:rsidRPr="000A42EC">
        <w:rPr>
          <w:rFonts w:ascii="Arial" w:hAnsi="Arial" w:cs="Arial"/>
          <w:color w:val="4D160F" w:themeColor="accent2" w:themeShade="80"/>
        </w:rPr>
        <w:t xml:space="preserve">Figure 1 – </w:t>
      </w:r>
      <w:r w:rsidR="007B0CBF" w:rsidRPr="000A42EC">
        <w:rPr>
          <w:rFonts w:ascii="Arial" w:hAnsi="Arial" w:cs="Arial"/>
          <w:color w:val="4D160F" w:themeColor="accent2" w:themeShade="80"/>
        </w:rPr>
        <w:t>Mapping Stakeholders Using the Power-Interest Matrix</w:t>
      </w:r>
    </w:p>
    <w:p w14:paraId="12CF2FF8" w14:textId="77777777" w:rsidR="00CB3441" w:rsidRPr="003C730F" w:rsidRDefault="00CB3441" w:rsidP="00E65633">
      <w:pPr>
        <w:spacing w:line="360" w:lineRule="auto"/>
        <w:rPr>
          <w:rFonts w:ascii="Arial" w:hAnsi="Arial" w:cs="Arial"/>
          <w:b/>
          <w:bCs/>
          <w:color w:val="4D160F" w:themeColor="accent2" w:themeShade="80"/>
        </w:rPr>
      </w:pPr>
    </w:p>
    <w:p w14:paraId="4457088E" w14:textId="301EBEAA" w:rsidR="006D78F8" w:rsidRPr="000A42EC" w:rsidRDefault="006D78F8" w:rsidP="00E65633">
      <w:pPr>
        <w:spacing w:line="360" w:lineRule="auto"/>
        <w:rPr>
          <w:rFonts w:ascii="Arial" w:hAnsi="Arial" w:cs="Arial"/>
          <w:color w:val="4D160F" w:themeColor="accent2" w:themeShade="80"/>
        </w:rPr>
      </w:pPr>
      <w:r w:rsidRPr="000A42EC">
        <w:rPr>
          <w:rFonts w:ascii="Arial" w:hAnsi="Arial" w:cs="Arial"/>
          <w:color w:val="4D160F" w:themeColor="accent2" w:themeShade="80"/>
        </w:rPr>
        <w:t>Explanation of the Power-Interest Matrix (Figure 1)</w:t>
      </w:r>
    </w:p>
    <w:p w14:paraId="07612592" w14:textId="25A80FEB" w:rsidR="007B0CBF" w:rsidRPr="000A42EC" w:rsidRDefault="007B0CBF" w:rsidP="007B0CBF">
      <w:pPr>
        <w:spacing w:line="360" w:lineRule="auto"/>
        <w:rPr>
          <w:rFonts w:ascii="Arial" w:hAnsi="Arial" w:cs="Arial"/>
          <w:color w:val="4D160F" w:themeColor="accent2" w:themeShade="80"/>
        </w:rPr>
      </w:pPr>
      <w:r w:rsidRPr="000A42EC">
        <w:rPr>
          <w:rFonts w:ascii="Arial" w:hAnsi="Arial" w:cs="Arial"/>
          <w:b/>
          <w:bCs/>
          <w:color w:val="4D160F" w:themeColor="accent2" w:themeShade="80"/>
        </w:rPr>
        <w:t>High Power, High Interest</w:t>
      </w:r>
      <w:r w:rsidRPr="000A42EC">
        <w:rPr>
          <w:rFonts w:ascii="Arial" w:hAnsi="Arial" w:cs="Arial"/>
          <w:color w:val="4D160F" w:themeColor="accent2" w:themeShade="80"/>
        </w:rPr>
        <w:t>:</w:t>
      </w:r>
    </w:p>
    <w:p w14:paraId="34EB0F42" w14:textId="77777777" w:rsidR="007B0CBF" w:rsidRPr="000A42EC" w:rsidRDefault="007B0CBF" w:rsidP="007B0CBF">
      <w:pPr>
        <w:spacing w:line="360" w:lineRule="auto"/>
        <w:rPr>
          <w:rFonts w:ascii="Arial" w:hAnsi="Arial" w:cs="Arial"/>
          <w:color w:val="4D160F" w:themeColor="accent2" w:themeShade="80"/>
        </w:rPr>
      </w:pPr>
      <w:r w:rsidRPr="000A42EC">
        <w:rPr>
          <w:rFonts w:ascii="Arial" w:hAnsi="Arial" w:cs="Arial"/>
          <w:color w:val="4D160F" w:themeColor="accent2" w:themeShade="80"/>
        </w:rPr>
        <w:t>Post Office Management (Internal, Primary): Post Office management holds the authority to make decisions regarding wages and negotiations. They have a high stake in the outcome as it directly impacts organizational stability and financial performance. Their engagement is crucial for resolving the crisis effectively and ensuring that any agreed-upon terms are feasible and sustainable for the organization (Cameron and Green, 2019).</w:t>
      </w:r>
    </w:p>
    <w:p w14:paraId="19D6D449" w14:textId="619AAC44" w:rsidR="0054725C" w:rsidRPr="000A42EC" w:rsidRDefault="0054725C" w:rsidP="007B0CBF">
      <w:pPr>
        <w:spacing w:line="360" w:lineRule="auto"/>
        <w:rPr>
          <w:rFonts w:ascii="Arial" w:hAnsi="Arial" w:cs="Arial"/>
          <w:color w:val="4D160F" w:themeColor="accent2" w:themeShade="80"/>
        </w:rPr>
      </w:pPr>
      <w:r w:rsidRPr="000A42EC">
        <w:rPr>
          <w:rFonts w:ascii="Arial" w:hAnsi="Arial" w:cs="Arial"/>
          <w:color w:val="4D160F" w:themeColor="accent2" w:themeShade="80"/>
        </w:rPr>
        <w:t>They have significant authority over decision-making related to operational strategies. Their engagement is crucial as they hold the power to approve or reject proposed changes and negotiate terms with the workers (Clegg, Kornberger, and Pitsis, 2011).</w:t>
      </w:r>
    </w:p>
    <w:p w14:paraId="689D9821" w14:textId="69A9F38E" w:rsidR="00CB0C4B" w:rsidRPr="000A42EC" w:rsidRDefault="00CB0C4B" w:rsidP="007B0CBF">
      <w:pPr>
        <w:spacing w:line="360" w:lineRule="auto"/>
        <w:rPr>
          <w:rFonts w:ascii="Arial" w:hAnsi="Arial" w:cs="Arial"/>
          <w:color w:val="4D160F" w:themeColor="accent2" w:themeShade="80"/>
        </w:rPr>
      </w:pPr>
      <w:r w:rsidRPr="000A42EC">
        <w:rPr>
          <w:rFonts w:ascii="Arial" w:hAnsi="Arial" w:cs="Arial"/>
          <w:color w:val="4D160F" w:themeColor="accent2" w:themeShade="80"/>
        </w:rPr>
        <w:t xml:space="preserve">Communication Workers Union (CWU) (External, Primary): Representing the striking workers, the CWU has both high interest and power in influencing the outcome of wage negotiations. the CWU has </w:t>
      </w:r>
      <w:r w:rsidR="52D52738" w:rsidRPr="3283C6C9">
        <w:rPr>
          <w:rFonts w:ascii="Arial" w:hAnsi="Arial" w:cs="Arial"/>
          <w:color w:val="4D160F" w:themeColor="accent2" w:themeShade="80"/>
        </w:rPr>
        <w:t>considerable</w:t>
      </w:r>
      <w:r w:rsidRPr="000A42EC">
        <w:rPr>
          <w:rFonts w:ascii="Arial" w:hAnsi="Arial" w:cs="Arial"/>
          <w:color w:val="4D160F" w:themeColor="accent2" w:themeShade="80"/>
        </w:rPr>
        <w:t xml:space="preserve"> influence over their members and can mobilize collective action. Their deep interest stems from their role in securing fair compensation and working conditions for the employees. Effective engagement with the CWU is essential to reach a mutually acceptable resolution (Burnes, 2017).</w:t>
      </w:r>
    </w:p>
    <w:p w14:paraId="00894E24" w14:textId="7EFB0BBD" w:rsidR="00CB0C4B" w:rsidRPr="000A42EC" w:rsidRDefault="00CB0C4B" w:rsidP="007B0CBF">
      <w:pPr>
        <w:spacing w:line="360" w:lineRule="auto"/>
        <w:rPr>
          <w:rFonts w:ascii="Arial" w:hAnsi="Arial" w:cs="Arial"/>
          <w:color w:val="4D160F" w:themeColor="accent2" w:themeShade="80"/>
        </w:rPr>
      </w:pPr>
      <w:r w:rsidRPr="000A42EC">
        <w:rPr>
          <w:rFonts w:ascii="Arial" w:hAnsi="Arial" w:cs="Arial"/>
          <w:color w:val="4D160F" w:themeColor="accent2" w:themeShade="80"/>
        </w:rPr>
        <w:t>Government and Regulatory Bodies (External, Secondary): These entities have substantial power due to their regulatory oversight and ability to influence public sector policies. Their interest is rooted in maintaining public order and ensuring fair labour practices. Engaging government bodies helps in aligning the resolution with legal standards and gaining broader support (Freeman, 1984).</w:t>
      </w:r>
    </w:p>
    <w:p w14:paraId="13994970" w14:textId="466A8BFD" w:rsidR="007B0CBF" w:rsidRPr="000A42EC" w:rsidRDefault="007B0CBF" w:rsidP="007B0CBF">
      <w:pPr>
        <w:spacing w:line="360" w:lineRule="auto"/>
        <w:rPr>
          <w:rFonts w:ascii="Arial" w:hAnsi="Arial" w:cs="Arial"/>
          <w:b/>
          <w:bCs/>
          <w:color w:val="4D160F" w:themeColor="accent2" w:themeShade="80"/>
        </w:rPr>
      </w:pPr>
      <w:r w:rsidRPr="000A42EC">
        <w:rPr>
          <w:rFonts w:ascii="Arial" w:hAnsi="Arial" w:cs="Arial"/>
          <w:b/>
          <w:bCs/>
          <w:color w:val="4D160F" w:themeColor="accent2" w:themeShade="80"/>
        </w:rPr>
        <w:t>High Power, Low Interest:</w:t>
      </w:r>
    </w:p>
    <w:p w14:paraId="2E1055F0" w14:textId="77777777" w:rsidR="00E9600C" w:rsidRPr="000A42EC" w:rsidRDefault="00E9600C" w:rsidP="007B0CBF">
      <w:pPr>
        <w:spacing w:line="360" w:lineRule="auto"/>
        <w:rPr>
          <w:rFonts w:ascii="Arial" w:hAnsi="Arial" w:cs="Arial"/>
          <w:color w:val="4D160F" w:themeColor="accent2" w:themeShade="80"/>
        </w:rPr>
      </w:pPr>
      <w:r w:rsidRPr="000A42EC">
        <w:rPr>
          <w:rFonts w:ascii="Arial" w:hAnsi="Arial" w:cs="Arial"/>
          <w:color w:val="4D160F" w:themeColor="accent2" w:themeShade="80"/>
        </w:rPr>
        <w:t>Investors and Shareholders (External, Secondary): They possess financial power and can impact the organization’s funding and valuation. However, their primary concern is with the overall financial health and profitability of the Post Office rather than the specifics of wage negotiations. Keeping them satisfied ensures continued financial support (Mitchell, Agle and Wood, 1997).</w:t>
      </w:r>
    </w:p>
    <w:p w14:paraId="18C99071" w14:textId="65E59396" w:rsidR="00E9600C" w:rsidRPr="000A42EC" w:rsidRDefault="00E9600C" w:rsidP="007B0CBF">
      <w:pPr>
        <w:spacing w:line="360" w:lineRule="auto"/>
        <w:rPr>
          <w:rFonts w:ascii="Arial" w:hAnsi="Arial" w:cs="Arial"/>
          <w:color w:val="4D160F" w:themeColor="accent2" w:themeShade="80"/>
        </w:rPr>
      </w:pPr>
      <w:r w:rsidRPr="000A42EC">
        <w:rPr>
          <w:rFonts w:ascii="Arial" w:hAnsi="Arial" w:cs="Arial"/>
          <w:color w:val="4D160F" w:themeColor="accent2" w:themeShade="80"/>
        </w:rPr>
        <w:t>Large Business Clients (External, Secondary): These clients are significant revenue sources for the Post Office, and they rely on Post Office services for their operations. Their primary interest lies in the continuity of services, rather than internal wage disputes. They hold substantial power due to their business volume. Keeping them informed and satisfied mitigates the risk of losing key business accounts (Johnson and Scholes, 2002).</w:t>
      </w:r>
    </w:p>
    <w:p w14:paraId="48942E07" w14:textId="23FF6B71" w:rsidR="007B0CBF" w:rsidRPr="000A42EC" w:rsidRDefault="007B0CBF" w:rsidP="007B0CBF">
      <w:pPr>
        <w:spacing w:line="360" w:lineRule="auto"/>
        <w:rPr>
          <w:rFonts w:ascii="Arial" w:hAnsi="Arial" w:cs="Arial"/>
          <w:color w:val="4D160F" w:themeColor="accent2" w:themeShade="80"/>
        </w:rPr>
      </w:pPr>
      <w:r w:rsidRPr="000A42EC">
        <w:rPr>
          <w:rFonts w:ascii="Arial" w:hAnsi="Arial" w:cs="Arial"/>
          <w:b/>
          <w:bCs/>
          <w:color w:val="4D160F" w:themeColor="accent2" w:themeShade="80"/>
        </w:rPr>
        <w:t>Low Power, High Interest</w:t>
      </w:r>
      <w:r w:rsidRPr="000A42EC">
        <w:rPr>
          <w:rFonts w:ascii="Arial" w:hAnsi="Arial" w:cs="Arial"/>
          <w:color w:val="4D160F" w:themeColor="accent2" w:themeShade="80"/>
        </w:rPr>
        <w:t>:</w:t>
      </w:r>
    </w:p>
    <w:p w14:paraId="24808D2C" w14:textId="77777777" w:rsidR="002413C8" w:rsidRPr="000A42EC" w:rsidRDefault="002413C8" w:rsidP="007B0CBF">
      <w:pPr>
        <w:spacing w:line="360" w:lineRule="auto"/>
        <w:rPr>
          <w:rFonts w:ascii="Arial" w:hAnsi="Arial" w:cs="Arial"/>
          <w:color w:val="4D160F" w:themeColor="accent2" w:themeShade="80"/>
        </w:rPr>
      </w:pPr>
      <w:r w:rsidRPr="000A42EC">
        <w:rPr>
          <w:rFonts w:ascii="Arial" w:hAnsi="Arial" w:cs="Arial"/>
          <w:color w:val="4D160F" w:themeColor="accent2" w:themeShade="80"/>
        </w:rPr>
        <w:t>Post Office Workers (Internal, Primary): Individually, workers have limited power, but collectively, through the CWU, their influence increases and their interests are central to the outcome of wage negotiations. They are directly affected by wage changes and working conditions, making their engagement critical for morale and acceptance of the resolution. Ensuring clear communication and consultation with workers helps in managing expectations and reducing resistance (Clegg, Kornberger and Pitsis, 2011).</w:t>
      </w:r>
    </w:p>
    <w:p w14:paraId="01FB02B4" w14:textId="39719B87" w:rsidR="002413C8" w:rsidRPr="000A42EC" w:rsidRDefault="002413C8" w:rsidP="007B0CBF">
      <w:pPr>
        <w:spacing w:line="360" w:lineRule="auto"/>
        <w:rPr>
          <w:rFonts w:ascii="Arial" w:hAnsi="Arial" w:cs="Arial"/>
          <w:color w:val="4D160F" w:themeColor="accent2" w:themeShade="80"/>
        </w:rPr>
      </w:pPr>
      <w:r w:rsidRPr="000A42EC">
        <w:rPr>
          <w:rFonts w:ascii="Arial" w:hAnsi="Arial" w:cs="Arial"/>
          <w:color w:val="4D160F" w:themeColor="accent2" w:themeShade="80"/>
        </w:rPr>
        <w:t>Public and Customers (External, Secondary): The public and regular customers are directly affected by service disruption. Their interest is high due to the inconvenience caused by the strike, but their power is limited to indirect influence through public opinion and media. Keeping them informed helps in managing public perception and maintaining trust in the organization (Mullins, 2013).</w:t>
      </w:r>
    </w:p>
    <w:p w14:paraId="7340530F" w14:textId="288E9BC8" w:rsidR="007B0CBF" w:rsidRPr="000A42EC" w:rsidRDefault="007B0CBF" w:rsidP="007B0CBF">
      <w:pPr>
        <w:spacing w:line="360" w:lineRule="auto"/>
        <w:rPr>
          <w:rFonts w:ascii="Arial" w:hAnsi="Arial" w:cs="Arial"/>
          <w:color w:val="4D160F" w:themeColor="accent2" w:themeShade="80"/>
        </w:rPr>
      </w:pPr>
      <w:r w:rsidRPr="000A42EC">
        <w:rPr>
          <w:rFonts w:ascii="Arial" w:hAnsi="Arial" w:cs="Arial"/>
          <w:b/>
          <w:bCs/>
          <w:color w:val="4D160F" w:themeColor="accent2" w:themeShade="80"/>
        </w:rPr>
        <w:t>Low Power, Low Interest</w:t>
      </w:r>
      <w:r w:rsidRPr="000A42EC">
        <w:rPr>
          <w:rFonts w:ascii="Arial" w:hAnsi="Arial" w:cs="Arial"/>
          <w:color w:val="4D160F" w:themeColor="accent2" w:themeShade="80"/>
        </w:rPr>
        <w:t>:</w:t>
      </w:r>
    </w:p>
    <w:p w14:paraId="56020B64" w14:textId="26EFE01F" w:rsidR="00CB3441" w:rsidRPr="000A42EC" w:rsidRDefault="002413C8" w:rsidP="00CB3441">
      <w:pPr>
        <w:spacing w:line="360" w:lineRule="auto"/>
        <w:rPr>
          <w:rFonts w:ascii="Arial" w:hAnsi="Arial" w:cs="Arial"/>
          <w:color w:val="4D160F" w:themeColor="accent2" w:themeShade="80"/>
        </w:rPr>
      </w:pPr>
      <w:r w:rsidRPr="000A42EC">
        <w:rPr>
          <w:rFonts w:ascii="Arial" w:hAnsi="Arial" w:cs="Arial"/>
          <w:color w:val="4D160F" w:themeColor="accent2" w:themeShade="80"/>
        </w:rPr>
        <w:t>Suppliers and Contractors (External, Secondary): These stakeholders are indirectly affected by the strike. While they do not have significant power or interest in the wage dispute, monitoring their reactions ensures that any indirect impacts on the supply chain are managed effectively (Mitchell, Agle and Wood, 1997).</w:t>
      </w:r>
    </w:p>
    <w:p w14:paraId="1ECB5736" w14:textId="77777777" w:rsidR="00C41F2B" w:rsidRPr="003C730F" w:rsidRDefault="00C41F2B" w:rsidP="00E65633">
      <w:pPr>
        <w:spacing w:line="360" w:lineRule="auto"/>
        <w:rPr>
          <w:rFonts w:ascii="Arial" w:hAnsi="Arial" w:cs="Arial"/>
          <w:color w:val="4D160F" w:themeColor="accent2" w:themeShade="80"/>
        </w:rPr>
      </w:pPr>
    </w:p>
    <w:p w14:paraId="299B4C07" w14:textId="77777777" w:rsidR="00E65633" w:rsidRPr="000A42EC" w:rsidRDefault="00E65633" w:rsidP="000D348C">
      <w:pPr>
        <w:pStyle w:val="Heading2"/>
        <w:rPr>
          <w:rFonts w:ascii="Arial" w:hAnsi="Arial" w:cs="Arial"/>
          <w:color w:val="4D160F" w:themeColor="accent2" w:themeShade="80"/>
          <w:sz w:val="24"/>
          <w:szCs w:val="24"/>
          <w:u w:val="single"/>
        </w:rPr>
      </w:pPr>
      <w:bookmarkStart w:id="7" w:name="_Toc172359877"/>
      <w:r w:rsidRPr="000A42EC">
        <w:rPr>
          <w:rFonts w:ascii="Arial" w:hAnsi="Arial" w:cs="Arial"/>
          <w:color w:val="4D160F" w:themeColor="accent2" w:themeShade="80"/>
          <w:sz w:val="24"/>
          <w:szCs w:val="24"/>
          <w:u w:val="single"/>
        </w:rPr>
        <w:t>Critical Justification for Stakeholder Placement</w:t>
      </w:r>
      <w:bookmarkEnd w:id="7"/>
    </w:p>
    <w:p w14:paraId="584ACF8C" w14:textId="77777777" w:rsidR="00836F29" w:rsidRPr="003C730F" w:rsidRDefault="00836F29" w:rsidP="00E65633">
      <w:pPr>
        <w:spacing w:line="360" w:lineRule="auto"/>
        <w:rPr>
          <w:rFonts w:ascii="Arial" w:hAnsi="Arial" w:cs="Arial"/>
          <w:color w:val="4D160F" w:themeColor="accent2" w:themeShade="80"/>
        </w:rPr>
      </w:pPr>
    </w:p>
    <w:p w14:paraId="75B785E2" w14:textId="321CA68A" w:rsidR="00E65633" w:rsidRPr="000A42EC" w:rsidRDefault="00E65633" w:rsidP="00E65633">
      <w:pPr>
        <w:spacing w:line="360" w:lineRule="auto"/>
        <w:rPr>
          <w:rFonts w:ascii="Arial" w:hAnsi="Arial" w:cs="Arial"/>
          <w:b/>
          <w:bCs/>
          <w:color w:val="4D160F" w:themeColor="accent2" w:themeShade="80"/>
        </w:rPr>
      </w:pPr>
      <w:r w:rsidRPr="000A42EC">
        <w:rPr>
          <w:rFonts w:ascii="Arial" w:hAnsi="Arial" w:cs="Arial"/>
          <w:b/>
          <w:bCs/>
          <w:color w:val="4D160F" w:themeColor="accent2" w:themeShade="80"/>
        </w:rPr>
        <w:t>Post Office Management:</w:t>
      </w:r>
      <w:r w:rsidR="00C41F2B" w:rsidRPr="000A42EC">
        <w:rPr>
          <w:rFonts w:ascii="Arial" w:hAnsi="Arial" w:cs="Arial"/>
          <w:b/>
          <w:bCs/>
          <w:color w:val="4D160F" w:themeColor="accent2" w:themeShade="80"/>
        </w:rPr>
        <w:t xml:space="preserve"> </w:t>
      </w:r>
      <w:r w:rsidRPr="6A6906D1">
        <w:rPr>
          <w:rFonts w:ascii="Arial" w:hAnsi="Arial" w:cs="Arial"/>
          <w:color w:val="4D160F" w:themeColor="accent2" w:themeShade="80"/>
        </w:rPr>
        <w:t xml:space="preserve">Their </w:t>
      </w:r>
      <w:r w:rsidR="508FA422" w:rsidRPr="6A6906D1">
        <w:rPr>
          <w:rFonts w:ascii="Arial" w:hAnsi="Arial" w:cs="Arial"/>
          <w:color w:val="4D160F" w:themeColor="accent2" w:themeShade="80"/>
        </w:rPr>
        <w:t>choices have a direct effect on</w:t>
      </w:r>
      <w:r w:rsidRPr="6A6906D1">
        <w:rPr>
          <w:rFonts w:ascii="Arial" w:hAnsi="Arial" w:cs="Arial"/>
          <w:color w:val="4D160F" w:themeColor="accent2" w:themeShade="80"/>
        </w:rPr>
        <w:t xml:space="preserve"> the financial and operational </w:t>
      </w:r>
      <w:r w:rsidR="508FA422" w:rsidRPr="6A6906D1">
        <w:rPr>
          <w:rFonts w:ascii="Arial" w:hAnsi="Arial" w:cs="Arial"/>
          <w:color w:val="4D160F" w:themeColor="accent2" w:themeShade="80"/>
        </w:rPr>
        <w:t>elements</w:t>
      </w:r>
      <w:r w:rsidRPr="6A6906D1">
        <w:rPr>
          <w:rFonts w:ascii="Arial" w:hAnsi="Arial" w:cs="Arial"/>
          <w:color w:val="4D160F" w:themeColor="accent2" w:themeShade="80"/>
        </w:rPr>
        <w:t xml:space="preserve"> of the Post Office.</w:t>
      </w:r>
      <w:r w:rsidRPr="000A42EC">
        <w:rPr>
          <w:rFonts w:ascii="Arial" w:hAnsi="Arial" w:cs="Arial"/>
          <w:color w:val="4D160F" w:themeColor="accent2" w:themeShade="80"/>
        </w:rPr>
        <w:t xml:space="preserve"> Engaging them ensures that </w:t>
      </w:r>
      <w:r w:rsidR="00041214" w:rsidRPr="000A42EC">
        <w:rPr>
          <w:rFonts w:ascii="Arial" w:hAnsi="Arial" w:cs="Arial"/>
          <w:color w:val="4D160F" w:themeColor="accent2" w:themeShade="80"/>
        </w:rPr>
        <w:t xml:space="preserve">the interests of the organization </w:t>
      </w:r>
      <w:r w:rsidRPr="000A42EC">
        <w:rPr>
          <w:rFonts w:ascii="Arial" w:hAnsi="Arial" w:cs="Arial"/>
          <w:color w:val="4D160F" w:themeColor="accent2" w:themeShade="80"/>
        </w:rPr>
        <w:t xml:space="preserve">are balanced with those of the workers. Management's high power and interest stem from their role in decision-making and their responsibility to maintain operational stability and financial health </w:t>
      </w:r>
      <w:r w:rsidR="00041214" w:rsidRPr="000A42EC">
        <w:rPr>
          <w:rFonts w:ascii="Arial" w:hAnsi="Arial" w:cs="Arial"/>
          <w:color w:val="4D160F" w:themeColor="accent2" w:themeShade="80"/>
        </w:rPr>
        <w:t>(Cameron and Green, 2019)</w:t>
      </w:r>
      <w:r w:rsidRPr="000A42EC">
        <w:rPr>
          <w:rFonts w:ascii="Arial" w:hAnsi="Arial" w:cs="Arial"/>
          <w:color w:val="4D160F" w:themeColor="accent2" w:themeShade="80"/>
        </w:rPr>
        <w:t>.</w:t>
      </w:r>
    </w:p>
    <w:p w14:paraId="0E893AC3" w14:textId="48BC4FB1" w:rsidR="00E65633" w:rsidRPr="000A42EC" w:rsidRDefault="00E65633" w:rsidP="00E65633">
      <w:pPr>
        <w:spacing w:line="360" w:lineRule="auto"/>
        <w:rPr>
          <w:rFonts w:ascii="Arial" w:hAnsi="Arial" w:cs="Arial"/>
          <w:b/>
          <w:bCs/>
          <w:color w:val="4D160F" w:themeColor="accent2" w:themeShade="80"/>
        </w:rPr>
      </w:pPr>
      <w:r w:rsidRPr="000A42EC">
        <w:rPr>
          <w:rFonts w:ascii="Arial" w:hAnsi="Arial" w:cs="Arial"/>
          <w:b/>
          <w:bCs/>
          <w:color w:val="4D160F" w:themeColor="accent2" w:themeShade="80"/>
        </w:rPr>
        <w:t>CWU:</w:t>
      </w:r>
      <w:r w:rsidR="00C41F2B" w:rsidRPr="000A42EC">
        <w:rPr>
          <w:rFonts w:ascii="Arial" w:hAnsi="Arial" w:cs="Arial"/>
          <w:b/>
          <w:bCs/>
          <w:color w:val="4D160F" w:themeColor="accent2" w:themeShade="80"/>
        </w:rPr>
        <w:t xml:space="preserve"> </w:t>
      </w:r>
      <w:r w:rsidRPr="000A42EC">
        <w:rPr>
          <w:rFonts w:ascii="Arial" w:hAnsi="Arial" w:cs="Arial"/>
          <w:color w:val="4D160F" w:themeColor="accent2" w:themeShade="80"/>
        </w:rPr>
        <w:t>The CWU represents the collective voice of the workers, playing a pivotal role in negotiating terms and conditions. Their involvement is essential for any resolution to be accepted by the workforce</w:t>
      </w:r>
      <w:r w:rsidR="00041214" w:rsidRPr="000A42EC">
        <w:rPr>
          <w:rFonts w:ascii="Arial" w:hAnsi="Arial" w:cs="Arial"/>
          <w:color w:val="4D160F" w:themeColor="accent2" w:themeShade="80"/>
        </w:rPr>
        <w:t xml:space="preserve"> (Burnes, 2017)</w:t>
      </w:r>
      <w:r w:rsidRPr="000A42EC">
        <w:rPr>
          <w:rFonts w:ascii="Arial" w:hAnsi="Arial" w:cs="Arial"/>
          <w:color w:val="4D160F" w:themeColor="accent2" w:themeShade="80"/>
        </w:rPr>
        <w:t>. The CWU’s high power is due to its collective bargaining power, while its high interest is driven by the direct impact of wage outcomes on its members (Kotter, 2012).</w:t>
      </w:r>
    </w:p>
    <w:p w14:paraId="3348DFF0" w14:textId="47868629" w:rsidR="00E65633" w:rsidRPr="000A42EC" w:rsidRDefault="00E65633" w:rsidP="00E65633">
      <w:pPr>
        <w:spacing w:line="360" w:lineRule="auto"/>
        <w:rPr>
          <w:rFonts w:ascii="Arial" w:hAnsi="Arial" w:cs="Arial"/>
          <w:b/>
          <w:bCs/>
          <w:color w:val="4D160F" w:themeColor="accent2" w:themeShade="80"/>
        </w:rPr>
      </w:pPr>
      <w:r w:rsidRPr="000A42EC">
        <w:rPr>
          <w:rFonts w:ascii="Arial" w:hAnsi="Arial" w:cs="Arial"/>
          <w:b/>
          <w:bCs/>
          <w:color w:val="4D160F" w:themeColor="accent2" w:themeShade="80"/>
        </w:rPr>
        <w:t>Government and Regulatory Bodies:</w:t>
      </w:r>
      <w:r w:rsidR="00C41F2B" w:rsidRPr="000A42EC">
        <w:rPr>
          <w:rFonts w:ascii="Arial" w:hAnsi="Arial" w:cs="Arial"/>
          <w:b/>
          <w:bCs/>
          <w:color w:val="4D160F" w:themeColor="accent2" w:themeShade="80"/>
        </w:rPr>
        <w:t xml:space="preserve"> </w:t>
      </w:r>
      <w:r w:rsidRPr="000A42EC">
        <w:rPr>
          <w:rFonts w:ascii="Arial" w:hAnsi="Arial" w:cs="Arial"/>
          <w:color w:val="4D160F" w:themeColor="accent2" w:themeShade="80"/>
        </w:rPr>
        <w:t>These entities can enforce policies and regulations that significantly impact the outcome of negotiations. Engaging them ensures compliance with legal standards and gains support for proposed changes. Their high power comes from their regulatory authority, and their interest is rooted in maintaining public sector stability (Lewin, 1951).</w:t>
      </w:r>
    </w:p>
    <w:p w14:paraId="4BC216A9" w14:textId="39A8FAFF" w:rsidR="00E65633" w:rsidRPr="000A42EC" w:rsidRDefault="00E65633" w:rsidP="00E65633">
      <w:pPr>
        <w:spacing w:line="360" w:lineRule="auto"/>
        <w:rPr>
          <w:rFonts w:ascii="Arial" w:hAnsi="Arial" w:cs="Arial"/>
          <w:b/>
          <w:bCs/>
          <w:color w:val="4D160F" w:themeColor="accent2" w:themeShade="80"/>
        </w:rPr>
      </w:pPr>
      <w:r w:rsidRPr="000A42EC">
        <w:rPr>
          <w:rFonts w:ascii="Arial" w:hAnsi="Arial" w:cs="Arial"/>
          <w:b/>
          <w:bCs/>
          <w:color w:val="4D160F" w:themeColor="accent2" w:themeShade="80"/>
        </w:rPr>
        <w:t>Investors and Shareholders:</w:t>
      </w:r>
      <w:r w:rsidR="00C41F2B" w:rsidRPr="000A42EC">
        <w:rPr>
          <w:rFonts w:ascii="Arial" w:hAnsi="Arial" w:cs="Arial"/>
          <w:b/>
          <w:bCs/>
          <w:color w:val="4D160F" w:themeColor="accent2" w:themeShade="80"/>
        </w:rPr>
        <w:t xml:space="preserve"> </w:t>
      </w:r>
      <w:r w:rsidR="00041214" w:rsidRPr="000A42EC">
        <w:rPr>
          <w:rFonts w:ascii="Arial" w:hAnsi="Arial" w:cs="Arial"/>
          <w:color w:val="4D160F" w:themeColor="accent2" w:themeShade="80"/>
        </w:rPr>
        <w:t>While they may not be involved in daily operations, their financial power and interest in the long-term stability of the Post Office make it important to keep them satisfied</w:t>
      </w:r>
      <w:r w:rsidRPr="000A42EC">
        <w:rPr>
          <w:rFonts w:ascii="Arial" w:hAnsi="Arial" w:cs="Arial"/>
          <w:color w:val="4D160F" w:themeColor="accent2" w:themeShade="80"/>
        </w:rPr>
        <w:t>. This helps avoid adverse reactions, such as the withdrawal of investments, which could destabilize the organization further</w:t>
      </w:r>
      <w:r w:rsidR="00041214" w:rsidRPr="000A42EC">
        <w:rPr>
          <w:rFonts w:ascii="Arial" w:hAnsi="Arial" w:cs="Arial"/>
          <w:color w:val="4D160F" w:themeColor="accent2" w:themeShade="80"/>
        </w:rPr>
        <w:t xml:space="preserve"> (Mitchell, Agle and Wood, 1997)</w:t>
      </w:r>
      <w:r w:rsidRPr="000A42EC">
        <w:rPr>
          <w:rFonts w:ascii="Arial" w:hAnsi="Arial" w:cs="Arial"/>
          <w:color w:val="4D160F" w:themeColor="accent2" w:themeShade="80"/>
        </w:rPr>
        <w:t>. Their high power is financial, but their low interest is due to a focus on broader financial health rather than specific wage issues (Nutt and Backoff, 1992).</w:t>
      </w:r>
    </w:p>
    <w:p w14:paraId="1208B891" w14:textId="477C1565" w:rsidR="00E65633" w:rsidRPr="000A42EC" w:rsidRDefault="00E65633" w:rsidP="00E65633">
      <w:pPr>
        <w:spacing w:line="360" w:lineRule="auto"/>
        <w:rPr>
          <w:rFonts w:ascii="Arial" w:hAnsi="Arial" w:cs="Arial"/>
          <w:b/>
          <w:bCs/>
          <w:color w:val="4D160F" w:themeColor="accent2" w:themeShade="80"/>
        </w:rPr>
      </w:pPr>
      <w:r w:rsidRPr="000A42EC">
        <w:rPr>
          <w:rFonts w:ascii="Arial" w:hAnsi="Arial" w:cs="Arial"/>
          <w:b/>
          <w:bCs/>
          <w:color w:val="4D160F" w:themeColor="accent2" w:themeShade="80"/>
        </w:rPr>
        <w:t>Large Business Clients:</w:t>
      </w:r>
      <w:r w:rsidR="00C41F2B" w:rsidRPr="000A42EC">
        <w:rPr>
          <w:rFonts w:ascii="Arial" w:hAnsi="Arial" w:cs="Arial"/>
          <w:b/>
          <w:bCs/>
          <w:color w:val="4D160F" w:themeColor="accent2" w:themeShade="80"/>
        </w:rPr>
        <w:t xml:space="preserve"> </w:t>
      </w:r>
      <w:r w:rsidRPr="000A42EC">
        <w:rPr>
          <w:rFonts w:ascii="Arial" w:hAnsi="Arial" w:cs="Arial"/>
          <w:color w:val="4D160F" w:themeColor="accent2" w:themeShade="80"/>
        </w:rPr>
        <w:t>Maintaining their satisfaction is crucial for the Post Office’s revenue. Effective communication ensures they are reassured about service continuity despite internal disputes. Their high power is economic, given their importance to revenue, while their low interest is due to a primary focus on service reliability (McKenna, 2012).</w:t>
      </w:r>
    </w:p>
    <w:p w14:paraId="21D5725F" w14:textId="78F515A4" w:rsidR="00E65633" w:rsidRPr="000A42EC" w:rsidRDefault="00E65633" w:rsidP="00E65633">
      <w:pPr>
        <w:spacing w:line="360" w:lineRule="auto"/>
        <w:rPr>
          <w:rFonts w:ascii="Arial" w:hAnsi="Arial" w:cs="Arial"/>
          <w:b/>
          <w:bCs/>
          <w:color w:val="4D160F" w:themeColor="accent2" w:themeShade="80"/>
        </w:rPr>
      </w:pPr>
      <w:r w:rsidRPr="000A42EC">
        <w:rPr>
          <w:rFonts w:ascii="Arial" w:hAnsi="Arial" w:cs="Arial"/>
          <w:b/>
          <w:bCs/>
          <w:color w:val="4D160F" w:themeColor="accent2" w:themeShade="80"/>
        </w:rPr>
        <w:t>Post Office Workers:</w:t>
      </w:r>
      <w:r w:rsidR="00C41F2B" w:rsidRPr="000A42EC">
        <w:rPr>
          <w:rFonts w:ascii="Arial" w:hAnsi="Arial" w:cs="Arial"/>
          <w:b/>
          <w:bCs/>
          <w:color w:val="4D160F" w:themeColor="accent2" w:themeShade="80"/>
        </w:rPr>
        <w:t xml:space="preserve"> </w:t>
      </w:r>
      <w:r w:rsidRPr="000A42EC">
        <w:rPr>
          <w:rFonts w:ascii="Arial" w:hAnsi="Arial" w:cs="Arial"/>
          <w:color w:val="4D160F" w:themeColor="accent2" w:themeShade="80"/>
        </w:rPr>
        <w:t>Their direct involvement and interest in the outcome necessitate continuous communication and consultation to maintain morale and reduce resistance. Individually, their power is limited, but collectively through the CWU, their influence is significant (Stainton Rogers, 2011).</w:t>
      </w:r>
    </w:p>
    <w:p w14:paraId="2284DF30" w14:textId="7D427174" w:rsidR="00E65633" w:rsidRPr="000A42EC" w:rsidRDefault="00E65633" w:rsidP="00E65633">
      <w:pPr>
        <w:spacing w:line="360" w:lineRule="auto"/>
        <w:rPr>
          <w:rFonts w:ascii="Arial" w:hAnsi="Arial" w:cs="Arial"/>
          <w:b/>
          <w:bCs/>
          <w:color w:val="4D160F" w:themeColor="accent2" w:themeShade="80"/>
        </w:rPr>
      </w:pPr>
      <w:r w:rsidRPr="000A42EC">
        <w:rPr>
          <w:rFonts w:ascii="Arial" w:hAnsi="Arial" w:cs="Arial"/>
          <w:b/>
          <w:bCs/>
          <w:color w:val="4D160F" w:themeColor="accent2" w:themeShade="80"/>
        </w:rPr>
        <w:t>Public and Customers:</w:t>
      </w:r>
      <w:r w:rsidR="00C41F2B" w:rsidRPr="000A42EC">
        <w:rPr>
          <w:rFonts w:ascii="Arial" w:hAnsi="Arial" w:cs="Arial"/>
          <w:b/>
          <w:bCs/>
          <w:color w:val="4D160F" w:themeColor="accent2" w:themeShade="80"/>
        </w:rPr>
        <w:t xml:space="preserve"> </w:t>
      </w:r>
      <w:r w:rsidRPr="000A42EC">
        <w:rPr>
          <w:rFonts w:ascii="Arial" w:hAnsi="Arial" w:cs="Arial"/>
          <w:color w:val="4D160F" w:themeColor="accent2" w:themeShade="80"/>
        </w:rPr>
        <w:t>Keeping them informed helps manage public perception and maintain trust in Post Office services during the crisis. Their interest is high due to the direct impact of service disruptions, but their power to influence negotiations is limited (Alistair Robertson and Ben Leaman, 2007).</w:t>
      </w:r>
    </w:p>
    <w:p w14:paraId="7D9BBB1C" w14:textId="2EE821E4" w:rsidR="00E65633" w:rsidRPr="000A42EC" w:rsidRDefault="00E65633" w:rsidP="00E65633">
      <w:pPr>
        <w:spacing w:line="360" w:lineRule="auto"/>
        <w:rPr>
          <w:rFonts w:ascii="Arial" w:hAnsi="Arial" w:cs="Arial"/>
          <w:b/>
          <w:bCs/>
          <w:color w:val="4D160F" w:themeColor="accent2" w:themeShade="80"/>
        </w:rPr>
      </w:pPr>
      <w:r w:rsidRPr="000A42EC">
        <w:rPr>
          <w:rFonts w:ascii="Arial" w:hAnsi="Arial" w:cs="Arial"/>
          <w:b/>
          <w:bCs/>
          <w:color w:val="4D160F" w:themeColor="accent2" w:themeShade="80"/>
        </w:rPr>
        <w:t>Suppliers and Contractors:</w:t>
      </w:r>
      <w:r w:rsidR="00C41F2B" w:rsidRPr="000A42EC">
        <w:rPr>
          <w:rFonts w:ascii="Arial" w:hAnsi="Arial" w:cs="Arial"/>
          <w:b/>
          <w:bCs/>
          <w:color w:val="4D160F" w:themeColor="accent2" w:themeShade="80"/>
        </w:rPr>
        <w:t xml:space="preserve"> </w:t>
      </w:r>
      <w:r w:rsidRPr="000A42EC">
        <w:rPr>
          <w:rFonts w:ascii="Arial" w:hAnsi="Arial" w:cs="Arial"/>
          <w:color w:val="4D160F" w:themeColor="accent2" w:themeShade="80"/>
        </w:rPr>
        <w:t>Although their interest and influence are limited, monitoring their reactions helps mitigate any indirect impact on the supply chain. Their low power and interest reflect their indirect connection to the core issues of the wage dispute (Husted and Allen, 2010).</w:t>
      </w:r>
    </w:p>
    <w:p w14:paraId="46137597" w14:textId="77777777" w:rsidR="00C41F2B" w:rsidRPr="003C730F" w:rsidRDefault="00C41F2B" w:rsidP="00E65633">
      <w:pPr>
        <w:spacing w:line="360" w:lineRule="auto"/>
        <w:rPr>
          <w:rFonts w:ascii="Arial" w:hAnsi="Arial" w:cs="Arial"/>
          <w:color w:val="4D160F" w:themeColor="accent2" w:themeShade="80"/>
        </w:rPr>
      </w:pPr>
    </w:p>
    <w:p w14:paraId="155FD683" w14:textId="03FEAB82" w:rsidR="00836F29" w:rsidRPr="000A42EC" w:rsidRDefault="00E65633" w:rsidP="000D348C">
      <w:pPr>
        <w:pStyle w:val="Heading2"/>
        <w:rPr>
          <w:rFonts w:ascii="Arial" w:hAnsi="Arial" w:cs="Arial"/>
          <w:color w:val="4D160F" w:themeColor="accent2" w:themeShade="80"/>
          <w:sz w:val="24"/>
          <w:szCs w:val="24"/>
          <w:u w:val="single"/>
        </w:rPr>
      </w:pPr>
      <w:bookmarkStart w:id="8" w:name="_Toc172359878"/>
      <w:r w:rsidRPr="000A42EC">
        <w:rPr>
          <w:rFonts w:ascii="Arial" w:hAnsi="Arial" w:cs="Arial"/>
          <w:color w:val="4D160F" w:themeColor="accent2" w:themeShade="80"/>
          <w:sz w:val="24"/>
          <w:szCs w:val="24"/>
          <w:u w:val="single"/>
        </w:rPr>
        <w:t>Application of the Power-Interest Matrix</w:t>
      </w:r>
      <w:bookmarkEnd w:id="8"/>
    </w:p>
    <w:p w14:paraId="7A0AB69C" w14:textId="77777777" w:rsidR="000D348C" w:rsidRPr="003C730F" w:rsidRDefault="000D348C" w:rsidP="00E65633">
      <w:pPr>
        <w:spacing w:line="360" w:lineRule="auto"/>
        <w:rPr>
          <w:rFonts w:ascii="Arial" w:hAnsi="Arial" w:cs="Arial"/>
          <w:color w:val="4D160F" w:themeColor="accent2" w:themeShade="80"/>
        </w:rPr>
      </w:pPr>
    </w:p>
    <w:p w14:paraId="4F48B10E" w14:textId="5C06557E" w:rsidR="00E65633" w:rsidRPr="000A42EC" w:rsidRDefault="00E65633" w:rsidP="00E65633">
      <w:pPr>
        <w:spacing w:line="360" w:lineRule="auto"/>
        <w:rPr>
          <w:rFonts w:ascii="Arial" w:hAnsi="Arial" w:cs="Arial"/>
          <w:color w:val="4D160F" w:themeColor="accent2" w:themeShade="80"/>
        </w:rPr>
      </w:pPr>
      <w:r w:rsidRPr="000A42EC">
        <w:rPr>
          <w:rFonts w:ascii="Arial" w:hAnsi="Arial" w:cs="Arial"/>
          <w:color w:val="4D160F" w:themeColor="accent2" w:themeShade="80"/>
        </w:rPr>
        <w:t>Using the Power-Interest Matrix, the stakeholders in the Post Office workers' wage strike can be effectively mapped and managed. This approach allows for a strategic engagement plan tailored to each stakeholder group's unique needs and influence levels.</w:t>
      </w:r>
    </w:p>
    <w:p w14:paraId="32BD4A91" w14:textId="77777777" w:rsidR="00E65633" w:rsidRPr="000A42EC" w:rsidRDefault="00E65633" w:rsidP="00E65633">
      <w:pPr>
        <w:spacing w:line="360" w:lineRule="auto"/>
        <w:rPr>
          <w:rFonts w:ascii="Arial" w:hAnsi="Arial" w:cs="Arial"/>
          <w:b/>
          <w:bCs/>
          <w:color w:val="4D160F" w:themeColor="accent2" w:themeShade="80"/>
        </w:rPr>
      </w:pPr>
      <w:r w:rsidRPr="000A42EC">
        <w:rPr>
          <w:rFonts w:ascii="Arial" w:hAnsi="Arial" w:cs="Arial"/>
          <w:b/>
          <w:bCs/>
          <w:color w:val="4D160F" w:themeColor="accent2" w:themeShade="80"/>
        </w:rPr>
        <w:t>High Power, High Interest: Key Players</w:t>
      </w:r>
    </w:p>
    <w:p w14:paraId="4E7C2005" w14:textId="232FAC62" w:rsidR="00E65633" w:rsidRPr="000A42EC" w:rsidRDefault="00E65633" w:rsidP="00E65633">
      <w:pPr>
        <w:spacing w:line="360" w:lineRule="auto"/>
        <w:rPr>
          <w:rFonts w:ascii="Arial" w:hAnsi="Arial" w:cs="Arial"/>
          <w:color w:val="4D160F" w:themeColor="accent2" w:themeShade="80"/>
        </w:rPr>
      </w:pPr>
      <w:r w:rsidRPr="000A42EC">
        <w:rPr>
          <w:rFonts w:ascii="Arial" w:hAnsi="Arial" w:cs="Arial"/>
          <w:color w:val="4D160F" w:themeColor="accent2" w:themeShade="80"/>
        </w:rPr>
        <w:t>Post Office Management:</w:t>
      </w:r>
      <w:r w:rsidR="00C41F2B" w:rsidRPr="000A42EC">
        <w:rPr>
          <w:rFonts w:ascii="Arial" w:hAnsi="Arial" w:cs="Arial"/>
          <w:color w:val="4D160F" w:themeColor="accent2" w:themeShade="80"/>
        </w:rPr>
        <w:t xml:space="preserve"> </w:t>
      </w:r>
      <w:r w:rsidRPr="000A42EC">
        <w:rPr>
          <w:rFonts w:ascii="Arial" w:hAnsi="Arial" w:cs="Arial"/>
          <w:color w:val="4D160F" w:themeColor="accent2" w:themeShade="80"/>
        </w:rPr>
        <w:t>Engagement Strategy: Regular meetings, transparent communication about negotiation processes, and involvement in strategic decision-making. Ensuring management is fully aware of the implications of their decisions on both operational efficiency and employee morale is crucial. Their role in approving wage adjustments and negotiating with the CWU places them at the heart of the resolution process (Burnes, 2017).</w:t>
      </w:r>
    </w:p>
    <w:p w14:paraId="3BE26C53" w14:textId="6012CD9E" w:rsidR="00E65633" w:rsidRPr="000A42EC" w:rsidRDefault="00E65633" w:rsidP="00E65633">
      <w:pPr>
        <w:spacing w:line="360" w:lineRule="auto"/>
        <w:rPr>
          <w:rFonts w:ascii="Arial" w:hAnsi="Arial" w:cs="Arial"/>
          <w:color w:val="4D160F" w:themeColor="accent2" w:themeShade="80"/>
        </w:rPr>
      </w:pPr>
      <w:r w:rsidRPr="000A42EC">
        <w:rPr>
          <w:rFonts w:ascii="Arial" w:hAnsi="Arial" w:cs="Arial"/>
          <w:color w:val="4D160F" w:themeColor="accent2" w:themeShade="80"/>
        </w:rPr>
        <w:t>Communication Workers Union (CWU):</w:t>
      </w:r>
      <w:r w:rsidR="00C41F2B" w:rsidRPr="000A42EC">
        <w:rPr>
          <w:rFonts w:ascii="Arial" w:hAnsi="Arial" w:cs="Arial"/>
          <w:color w:val="4D160F" w:themeColor="accent2" w:themeShade="80"/>
        </w:rPr>
        <w:t xml:space="preserve"> </w:t>
      </w:r>
      <w:r w:rsidRPr="000A42EC">
        <w:rPr>
          <w:rFonts w:ascii="Arial" w:hAnsi="Arial" w:cs="Arial"/>
          <w:color w:val="4D160F" w:themeColor="accent2" w:themeShade="80"/>
        </w:rPr>
        <w:t>Engagement Strategy: Direct negotiation, continuous dialogue, and active involvement in decision-making processes. As representatives of the workforce, the CWU's buy-in is essential for any proposed changes to be accepted and implemented smoothly. Their high interest ensures they will be proactive in discussions, while their high power necessitates a collaborative approach (Kotter, 2012).</w:t>
      </w:r>
    </w:p>
    <w:p w14:paraId="2C55AEFC" w14:textId="02ECC6E4" w:rsidR="00E65633" w:rsidRPr="000A42EC" w:rsidRDefault="00E65633" w:rsidP="00E65633">
      <w:pPr>
        <w:spacing w:line="360" w:lineRule="auto"/>
        <w:rPr>
          <w:rFonts w:ascii="Arial" w:hAnsi="Arial" w:cs="Arial"/>
          <w:color w:val="4D160F" w:themeColor="accent2" w:themeShade="80"/>
        </w:rPr>
      </w:pPr>
      <w:r w:rsidRPr="000A42EC">
        <w:rPr>
          <w:rFonts w:ascii="Arial" w:hAnsi="Arial" w:cs="Arial"/>
          <w:color w:val="4D160F" w:themeColor="accent2" w:themeShade="80"/>
        </w:rPr>
        <w:t>Government and Regulatory Bodies:</w:t>
      </w:r>
      <w:r w:rsidR="00C41F2B" w:rsidRPr="000A42EC">
        <w:rPr>
          <w:rFonts w:ascii="Arial" w:hAnsi="Arial" w:cs="Arial"/>
          <w:color w:val="4D160F" w:themeColor="accent2" w:themeShade="80"/>
        </w:rPr>
        <w:t xml:space="preserve"> </w:t>
      </w:r>
      <w:r w:rsidRPr="000A42EC">
        <w:rPr>
          <w:rFonts w:ascii="Arial" w:hAnsi="Arial" w:cs="Arial"/>
          <w:color w:val="4D160F" w:themeColor="accent2" w:themeShade="80"/>
        </w:rPr>
        <w:t>Engagement Strategy: Compliance reports, strategic discussions about regulatory impacts, and seeking governmental support for proposed changes. Given their regulatory authority, involving these bodies can provide legitimacy to the negotiation process and ensure that proposed solutions adhere to legal and regulatory frameworks (Freeman, 1984).</w:t>
      </w:r>
    </w:p>
    <w:p w14:paraId="6E26B8DC" w14:textId="77777777" w:rsidR="00E65633" w:rsidRPr="000A42EC" w:rsidRDefault="00E65633" w:rsidP="00E65633">
      <w:pPr>
        <w:spacing w:line="360" w:lineRule="auto"/>
        <w:rPr>
          <w:rFonts w:ascii="Arial" w:hAnsi="Arial" w:cs="Arial"/>
          <w:b/>
          <w:bCs/>
          <w:color w:val="4D160F" w:themeColor="accent2" w:themeShade="80"/>
        </w:rPr>
      </w:pPr>
      <w:r w:rsidRPr="000A42EC">
        <w:rPr>
          <w:rFonts w:ascii="Arial" w:hAnsi="Arial" w:cs="Arial"/>
          <w:b/>
          <w:bCs/>
          <w:color w:val="4D160F" w:themeColor="accent2" w:themeShade="80"/>
        </w:rPr>
        <w:t>High Power, Low Interest: Keep Satisfied</w:t>
      </w:r>
    </w:p>
    <w:p w14:paraId="2126CCC2" w14:textId="67A5FB9C" w:rsidR="00E65633" w:rsidRPr="000A42EC" w:rsidRDefault="00E65633" w:rsidP="00E65633">
      <w:pPr>
        <w:spacing w:line="360" w:lineRule="auto"/>
        <w:rPr>
          <w:rFonts w:ascii="Arial" w:hAnsi="Arial" w:cs="Arial"/>
          <w:color w:val="4D160F" w:themeColor="accent2" w:themeShade="80"/>
        </w:rPr>
      </w:pPr>
      <w:r w:rsidRPr="000A42EC">
        <w:rPr>
          <w:rFonts w:ascii="Arial" w:hAnsi="Arial" w:cs="Arial"/>
          <w:color w:val="4D160F" w:themeColor="accent2" w:themeShade="80"/>
        </w:rPr>
        <w:t>Investors and Shareholders:</w:t>
      </w:r>
      <w:r w:rsidR="00C41F2B" w:rsidRPr="000A42EC">
        <w:rPr>
          <w:rFonts w:ascii="Arial" w:hAnsi="Arial" w:cs="Arial"/>
          <w:color w:val="4D160F" w:themeColor="accent2" w:themeShade="80"/>
        </w:rPr>
        <w:t xml:space="preserve"> </w:t>
      </w:r>
      <w:r w:rsidRPr="000A42EC">
        <w:rPr>
          <w:rFonts w:ascii="Arial" w:hAnsi="Arial" w:cs="Arial"/>
          <w:color w:val="4D160F" w:themeColor="accent2" w:themeShade="80"/>
        </w:rPr>
        <w:t>Engagement Strategy: Financial performance updates, reassurance of long-term stability, and strategic briefings about the impact of wage negotiations on overall financial health. Their main concern is the financial stability and profitability of the Post Office, so communication should focus on how resolving the wage dispute will contribute to these goals (Bryson, 1995).</w:t>
      </w:r>
    </w:p>
    <w:p w14:paraId="7D1B663B" w14:textId="7D0E046B" w:rsidR="00E65633" w:rsidRPr="000A42EC" w:rsidRDefault="00E65633" w:rsidP="00E65633">
      <w:pPr>
        <w:spacing w:line="360" w:lineRule="auto"/>
        <w:rPr>
          <w:rFonts w:ascii="Arial" w:hAnsi="Arial" w:cs="Arial"/>
          <w:color w:val="4D160F" w:themeColor="accent2" w:themeShade="80"/>
        </w:rPr>
      </w:pPr>
      <w:r w:rsidRPr="000A42EC">
        <w:rPr>
          <w:rFonts w:ascii="Arial" w:hAnsi="Arial" w:cs="Arial"/>
          <w:color w:val="4D160F" w:themeColor="accent2" w:themeShade="80"/>
        </w:rPr>
        <w:t>Large Business Clients:</w:t>
      </w:r>
      <w:r w:rsidR="00C41F2B" w:rsidRPr="000A42EC">
        <w:rPr>
          <w:rFonts w:ascii="Arial" w:hAnsi="Arial" w:cs="Arial"/>
          <w:color w:val="4D160F" w:themeColor="accent2" w:themeShade="80"/>
        </w:rPr>
        <w:t xml:space="preserve"> </w:t>
      </w:r>
      <w:r w:rsidRPr="000A42EC">
        <w:rPr>
          <w:rFonts w:ascii="Arial" w:hAnsi="Arial" w:cs="Arial"/>
          <w:color w:val="4D160F" w:themeColor="accent2" w:themeShade="80"/>
        </w:rPr>
        <w:t>Engagement Strategy: Service continuity assurances, regular updates on strike resolution progress, and engagement in contingency planning. Their satisfaction is tied to uninterrupted service, making it important to keep them informed about efforts to resolve the strike and ensure continued service delivery (Johnson and Scholes, 2002).</w:t>
      </w:r>
    </w:p>
    <w:p w14:paraId="1F2DF2C0" w14:textId="77777777" w:rsidR="00E65633" w:rsidRPr="000A42EC" w:rsidRDefault="00E65633" w:rsidP="00E65633">
      <w:pPr>
        <w:spacing w:line="360" w:lineRule="auto"/>
        <w:rPr>
          <w:rFonts w:ascii="Arial" w:hAnsi="Arial" w:cs="Arial"/>
          <w:b/>
          <w:bCs/>
          <w:color w:val="4D160F" w:themeColor="accent2" w:themeShade="80"/>
        </w:rPr>
      </w:pPr>
      <w:r w:rsidRPr="000A42EC">
        <w:rPr>
          <w:rFonts w:ascii="Arial" w:hAnsi="Arial" w:cs="Arial"/>
          <w:b/>
          <w:bCs/>
          <w:color w:val="4D160F" w:themeColor="accent2" w:themeShade="80"/>
        </w:rPr>
        <w:t>Low Power, High Interest: Keep Informed</w:t>
      </w:r>
    </w:p>
    <w:p w14:paraId="548AB70C" w14:textId="1EBC3A42" w:rsidR="00E65633" w:rsidRPr="000A42EC" w:rsidRDefault="00E65633" w:rsidP="00E65633">
      <w:pPr>
        <w:spacing w:line="360" w:lineRule="auto"/>
        <w:rPr>
          <w:rFonts w:ascii="Arial" w:hAnsi="Arial" w:cs="Arial"/>
          <w:color w:val="4D160F" w:themeColor="accent2" w:themeShade="80"/>
        </w:rPr>
      </w:pPr>
      <w:r w:rsidRPr="000A42EC">
        <w:rPr>
          <w:rFonts w:ascii="Arial" w:hAnsi="Arial" w:cs="Arial"/>
          <w:color w:val="4D160F" w:themeColor="accent2" w:themeShade="80"/>
        </w:rPr>
        <w:t>Post Office Workers:</w:t>
      </w:r>
      <w:r w:rsidR="00C41F2B" w:rsidRPr="000A42EC">
        <w:rPr>
          <w:rFonts w:ascii="Arial" w:hAnsi="Arial" w:cs="Arial"/>
          <w:color w:val="4D160F" w:themeColor="accent2" w:themeShade="80"/>
        </w:rPr>
        <w:t xml:space="preserve"> </w:t>
      </w:r>
      <w:r w:rsidRPr="000A42EC">
        <w:rPr>
          <w:rFonts w:ascii="Arial" w:hAnsi="Arial" w:cs="Arial"/>
          <w:color w:val="4D160F" w:themeColor="accent2" w:themeShade="80"/>
        </w:rPr>
        <w:t xml:space="preserve">Engagement Strategy: Regular updates from CWU, internal communications, feedback mechanisms, and forums for expressing concerns. Maintaining </w:t>
      </w:r>
      <w:r w:rsidR="082B1E99" w:rsidRPr="4785895A">
        <w:rPr>
          <w:rFonts w:ascii="Arial" w:hAnsi="Arial" w:cs="Arial"/>
          <w:color w:val="4D160F" w:themeColor="accent2" w:themeShade="80"/>
        </w:rPr>
        <w:t>prominent</w:t>
      </w:r>
      <w:r w:rsidRPr="000A42EC">
        <w:rPr>
          <w:rFonts w:ascii="Arial" w:hAnsi="Arial" w:cs="Arial"/>
          <w:color w:val="4D160F" w:themeColor="accent2" w:themeShade="80"/>
        </w:rPr>
        <w:t xml:space="preserve"> levels of communication ensures workers feel valued and informed, reducing potential resistance and fostering a sense of involvement in the resolution process (Cameron and Green, 2012).</w:t>
      </w:r>
    </w:p>
    <w:p w14:paraId="678DC601" w14:textId="4A9E5382" w:rsidR="00E65633" w:rsidRPr="000A42EC" w:rsidRDefault="00E65633" w:rsidP="00E65633">
      <w:pPr>
        <w:spacing w:line="360" w:lineRule="auto"/>
        <w:rPr>
          <w:rFonts w:ascii="Arial" w:hAnsi="Arial" w:cs="Arial"/>
          <w:color w:val="4D160F" w:themeColor="accent2" w:themeShade="80"/>
        </w:rPr>
      </w:pPr>
      <w:r w:rsidRPr="000A42EC">
        <w:rPr>
          <w:rFonts w:ascii="Arial" w:hAnsi="Arial" w:cs="Arial"/>
          <w:color w:val="4D160F" w:themeColor="accent2" w:themeShade="80"/>
        </w:rPr>
        <w:t>Public and Customers:</w:t>
      </w:r>
      <w:r w:rsidR="00C41F2B" w:rsidRPr="000A42EC">
        <w:rPr>
          <w:rFonts w:ascii="Arial" w:hAnsi="Arial" w:cs="Arial"/>
          <w:color w:val="4D160F" w:themeColor="accent2" w:themeShade="80"/>
        </w:rPr>
        <w:t xml:space="preserve"> </w:t>
      </w:r>
      <w:r w:rsidRPr="000A42EC">
        <w:rPr>
          <w:rFonts w:ascii="Arial" w:hAnsi="Arial" w:cs="Arial"/>
          <w:color w:val="4D160F" w:themeColor="accent2" w:themeShade="80"/>
        </w:rPr>
        <w:t>Engagement Strategy: Public statements, service disruption updates, and customer service support. Managing public perception is crucial, so efforts should be made to communicate clearly and frequently about the steps being taken to resolve the strike and restore normal services (Mullins, 2013).</w:t>
      </w:r>
    </w:p>
    <w:p w14:paraId="13FAE826" w14:textId="27D4976E" w:rsidR="00E65633" w:rsidRPr="000A42EC" w:rsidRDefault="00E65633" w:rsidP="00E65633">
      <w:pPr>
        <w:spacing w:line="360" w:lineRule="auto"/>
        <w:rPr>
          <w:rFonts w:ascii="Arial" w:hAnsi="Arial" w:cs="Arial"/>
          <w:b/>
          <w:bCs/>
          <w:color w:val="4D160F" w:themeColor="accent2" w:themeShade="80"/>
        </w:rPr>
      </w:pPr>
      <w:r w:rsidRPr="000A42EC">
        <w:rPr>
          <w:rFonts w:ascii="Arial" w:hAnsi="Arial" w:cs="Arial"/>
          <w:b/>
          <w:bCs/>
          <w:color w:val="4D160F" w:themeColor="accent2" w:themeShade="80"/>
        </w:rPr>
        <w:t>Low Power, Low Interest: Monitor</w:t>
      </w:r>
      <w:r w:rsidR="00C41F2B" w:rsidRPr="000A42EC">
        <w:rPr>
          <w:rFonts w:ascii="Arial" w:hAnsi="Arial" w:cs="Arial"/>
          <w:b/>
          <w:bCs/>
          <w:color w:val="4D160F" w:themeColor="accent2" w:themeShade="80"/>
        </w:rPr>
        <w:t xml:space="preserve"> </w:t>
      </w:r>
      <w:r w:rsidRPr="000A42EC">
        <w:rPr>
          <w:rFonts w:ascii="Arial" w:hAnsi="Arial" w:cs="Arial"/>
          <w:color w:val="4D160F" w:themeColor="accent2" w:themeShade="80"/>
        </w:rPr>
        <w:t>Suppliers and Contractors:</w:t>
      </w:r>
    </w:p>
    <w:p w14:paraId="24CA3D2A" w14:textId="1BA8A3D8" w:rsidR="00C14C8E" w:rsidRPr="000A42EC" w:rsidRDefault="00E65633" w:rsidP="00952C73">
      <w:pPr>
        <w:spacing w:line="360" w:lineRule="auto"/>
        <w:rPr>
          <w:rFonts w:ascii="Arial" w:hAnsi="Arial" w:cs="Arial"/>
          <w:color w:val="4D160F" w:themeColor="accent2" w:themeShade="80"/>
        </w:rPr>
      </w:pPr>
      <w:r w:rsidRPr="000A42EC">
        <w:rPr>
          <w:rFonts w:ascii="Arial" w:hAnsi="Arial" w:cs="Arial"/>
          <w:color w:val="4D160F" w:themeColor="accent2" w:themeShade="80"/>
        </w:rPr>
        <w:t>Engagement Strategy: Periodic updates, monitoring of supply chain impacts, and contingency planning to address any indirect effects of the strike. While their direct involvement is minimal, ensuring they are informed can help prevent any unforeseen disruptions in the supply chain that might compound the effects of the strike (Francis, Holbeche, and Reddington, 2012).</w:t>
      </w:r>
    </w:p>
    <w:p w14:paraId="2093E2FA" w14:textId="77777777" w:rsidR="00C14C8E" w:rsidRPr="003C730F" w:rsidRDefault="00C14C8E" w:rsidP="00E51D29">
      <w:pPr>
        <w:spacing w:line="276" w:lineRule="auto"/>
        <w:rPr>
          <w:rFonts w:ascii="Arial" w:hAnsi="Arial" w:cs="Arial"/>
          <w:color w:val="4D160F" w:themeColor="accent2" w:themeShade="80"/>
        </w:rPr>
      </w:pPr>
    </w:p>
    <w:p w14:paraId="6BE4AD60" w14:textId="77777777" w:rsidR="005A1DAD" w:rsidRPr="000A42EC" w:rsidRDefault="005A1DAD" w:rsidP="00952C73">
      <w:pPr>
        <w:pStyle w:val="Heading2"/>
        <w:rPr>
          <w:rFonts w:ascii="Arial" w:hAnsi="Arial" w:cs="Arial"/>
          <w:color w:val="4D160F" w:themeColor="accent2" w:themeShade="80"/>
          <w:sz w:val="24"/>
          <w:szCs w:val="24"/>
          <w:u w:val="single"/>
        </w:rPr>
      </w:pPr>
      <w:bookmarkStart w:id="9" w:name="_Toc172359879"/>
      <w:r w:rsidRPr="000A42EC">
        <w:rPr>
          <w:rFonts w:ascii="Arial" w:hAnsi="Arial" w:cs="Arial"/>
          <w:color w:val="4D160F" w:themeColor="accent2" w:themeShade="80"/>
          <w:sz w:val="24"/>
          <w:szCs w:val="24"/>
          <w:u w:val="single"/>
        </w:rPr>
        <w:t>Contextual Changes and Stakeholder Repositioning</w:t>
      </w:r>
      <w:bookmarkEnd w:id="9"/>
    </w:p>
    <w:p w14:paraId="3298AFC7" w14:textId="77777777" w:rsidR="00952C73" w:rsidRPr="003C730F" w:rsidRDefault="00952C73" w:rsidP="00952C73">
      <w:pPr>
        <w:spacing w:line="360" w:lineRule="auto"/>
        <w:rPr>
          <w:rFonts w:ascii="Arial" w:hAnsi="Arial" w:cs="Arial"/>
          <w:color w:val="4D160F" w:themeColor="accent2" w:themeShade="80"/>
        </w:rPr>
      </w:pPr>
    </w:p>
    <w:p w14:paraId="4FCE7A68" w14:textId="3EDC2C7E" w:rsidR="00C14C8E" w:rsidRPr="000A42EC" w:rsidRDefault="005A1DAD" w:rsidP="003A1E07">
      <w:pPr>
        <w:spacing w:line="360" w:lineRule="auto"/>
        <w:rPr>
          <w:rFonts w:ascii="Arial" w:hAnsi="Arial" w:cs="Arial"/>
          <w:color w:val="4D160F" w:themeColor="accent2" w:themeShade="80"/>
        </w:rPr>
      </w:pPr>
      <w:r w:rsidRPr="000A42EC">
        <w:rPr>
          <w:rFonts w:ascii="Arial" w:hAnsi="Arial" w:cs="Arial"/>
          <w:color w:val="4D160F" w:themeColor="accent2" w:themeShade="80"/>
        </w:rPr>
        <w:t>It is important to note that stakeholder positions can change based on context. For instance, if the strike escalates or garners significant media attention, the public and customers might gain more power due to increased public scrutiny. Similarly, if financial implications grow, investors and shareholders might become more interested and move to the high power, high interest quadrant (Eden and Ackermann, 1998).</w:t>
      </w:r>
    </w:p>
    <w:p w14:paraId="4FC8F867" w14:textId="77777777" w:rsidR="00C14C8E" w:rsidRPr="003C730F" w:rsidRDefault="00C14C8E" w:rsidP="00E51D29">
      <w:pPr>
        <w:spacing w:line="276" w:lineRule="auto"/>
        <w:rPr>
          <w:rFonts w:ascii="Arial" w:hAnsi="Arial" w:cs="Arial"/>
          <w:color w:val="4D160F" w:themeColor="accent2" w:themeShade="80"/>
        </w:rPr>
      </w:pPr>
    </w:p>
    <w:p w14:paraId="33860D9B" w14:textId="77777777" w:rsidR="00C14C8E" w:rsidRPr="003C730F" w:rsidRDefault="00C14C8E" w:rsidP="00E51D29">
      <w:pPr>
        <w:spacing w:line="276" w:lineRule="auto"/>
        <w:rPr>
          <w:rFonts w:ascii="Arial" w:hAnsi="Arial" w:cs="Arial"/>
          <w:color w:val="4D160F" w:themeColor="accent2" w:themeShade="80"/>
        </w:rPr>
      </w:pPr>
    </w:p>
    <w:p w14:paraId="6FD9C9AA" w14:textId="77777777" w:rsidR="00C14C8E" w:rsidRPr="003C730F" w:rsidRDefault="00C14C8E" w:rsidP="00E51D29">
      <w:pPr>
        <w:spacing w:line="276" w:lineRule="auto"/>
        <w:rPr>
          <w:rFonts w:ascii="Arial" w:hAnsi="Arial" w:cs="Arial"/>
          <w:color w:val="4D160F" w:themeColor="accent2" w:themeShade="80"/>
        </w:rPr>
      </w:pPr>
    </w:p>
    <w:p w14:paraId="4034F8BC" w14:textId="77777777" w:rsidR="00C14C8E" w:rsidRPr="003C730F" w:rsidRDefault="00C14C8E" w:rsidP="00E51D29">
      <w:pPr>
        <w:spacing w:line="276" w:lineRule="auto"/>
        <w:rPr>
          <w:rFonts w:ascii="Arial" w:hAnsi="Arial" w:cs="Arial"/>
          <w:color w:val="4D160F" w:themeColor="accent2" w:themeShade="80"/>
        </w:rPr>
      </w:pPr>
    </w:p>
    <w:p w14:paraId="1D918A9F" w14:textId="77777777" w:rsidR="00C14C8E" w:rsidRPr="003C730F" w:rsidRDefault="00C14C8E" w:rsidP="00E51D29">
      <w:pPr>
        <w:spacing w:line="276" w:lineRule="auto"/>
        <w:rPr>
          <w:rFonts w:ascii="Arial" w:hAnsi="Arial" w:cs="Arial"/>
          <w:color w:val="4D160F" w:themeColor="accent2" w:themeShade="80"/>
        </w:rPr>
      </w:pPr>
    </w:p>
    <w:p w14:paraId="04C5ACBD" w14:textId="77777777" w:rsidR="00C14C8E" w:rsidRPr="003C730F" w:rsidRDefault="00C14C8E" w:rsidP="00E51D29">
      <w:pPr>
        <w:spacing w:line="276" w:lineRule="auto"/>
        <w:rPr>
          <w:rFonts w:ascii="Arial" w:hAnsi="Arial" w:cs="Arial"/>
          <w:color w:val="4D160F" w:themeColor="accent2" w:themeShade="80"/>
        </w:rPr>
      </w:pPr>
    </w:p>
    <w:p w14:paraId="14AB37C4" w14:textId="77777777" w:rsidR="00C14C8E" w:rsidRPr="003C730F" w:rsidRDefault="00C14C8E" w:rsidP="00E51D29">
      <w:pPr>
        <w:spacing w:line="276" w:lineRule="auto"/>
        <w:rPr>
          <w:rFonts w:ascii="Arial" w:hAnsi="Arial" w:cs="Arial"/>
          <w:color w:val="4D160F" w:themeColor="accent2" w:themeShade="80"/>
        </w:rPr>
      </w:pPr>
    </w:p>
    <w:p w14:paraId="66213B7B" w14:textId="77777777" w:rsidR="00C14C8E" w:rsidRPr="003C730F" w:rsidRDefault="00C14C8E" w:rsidP="00E51D29">
      <w:pPr>
        <w:spacing w:line="276" w:lineRule="auto"/>
        <w:rPr>
          <w:rFonts w:ascii="Arial" w:hAnsi="Arial" w:cs="Arial"/>
          <w:color w:val="4D160F" w:themeColor="accent2" w:themeShade="80"/>
        </w:rPr>
      </w:pPr>
    </w:p>
    <w:p w14:paraId="5A35C5EF" w14:textId="77777777" w:rsidR="00C14C8E" w:rsidRDefault="00C14C8E" w:rsidP="00E51D29">
      <w:pPr>
        <w:spacing w:line="276" w:lineRule="auto"/>
        <w:rPr>
          <w:rFonts w:ascii="Arial" w:hAnsi="Arial" w:cs="Arial"/>
          <w:color w:val="4D160F" w:themeColor="accent2" w:themeShade="80"/>
        </w:rPr>
      </w:pPr>
    </w:p>
    <w:p w14:paraId="2BFF7DD9" w14:textId="77777777" w:rsidR="000A42EC" w:rsidRPr="003C730F" w:rsidRDefault="000A42EC" w:rsidP="00E51D29">
      <w:pPr>
        <w:spacing w:line="276" w:lineRule="auto"/>
        <w:rPr>
          <w:rFonts w:ascii="Arial" w:hAnsi="Arial" w:cs="Arial"/>
          <w:color w:val="4D160F" w:themeColor="accent2" w:themeShade="80"/>
        </w:rPr>
      </w:pPr>
    </w:p>
    <w:p w14:paraId="37F4EC34" w14:textId="77777777" w:rsidR="00C14C8E" w:rsidRPr="003C730F" w:rsidRDefault="00C14C8E" w:rsidP="00E51D29">
      <w:pPr>
        <w:spacing w:line="276" w:lineRule="auto"/>
        <w:rPr>
          <w:rFonts w:ascii="Arial" w:hAnsi="Arial" w:cs="Arial"/>
          <w:color w:val="4D160F" w:themeColor="accent2" w:themeShade="80"/>
        </w:rPr>
      </w:pPr>
    </w:p>
    <w:p w14:paraId="23329AEF" w14:textId="77777777" w:rsidR="00BD75EC" w:rsidRPr="003C730F" w:rsidRDefault="00BD75EC" w:rsidP="003A1E07">
      <w:pPr>
        <w:spacing w:line="276" w:lineRule="auto"/>
        <w:rPr>
          <w:rFonts w:ascii="Arial" w:hAnsi="Arial" w:cs="Arial"/>
          <w:color w:val="4D160F" w:themeColor="accent2" w:themeShade="80"/>
        </w:rPr>
      </w:pPr>
    </w:p>
    <w:p w14:paraId="73D4E6E0" w14:textId="76DFF4D9" w:rsidR="00BD75EC" w:rsidRPr="000A42EC" w:rsidRDefault="00BD75EC" w:rsidP="00BD75EC">
      <w:pPr>
        <w:pStyle w:val="Heading1"/>
        <w:shd w:val="clear" w:color="auto" w:fill="FCEDE8"/>
        <w:rPr>
          <w:rFonts w:ascii="Arial" w:hAnsi="Arial" w:cs="Arial"/>
          <w:color w:val="4D160F" w:themeColor="accent2" w:themeShade="80"/>
          <w:sz w:val="36"/>
          <w:szCs w:val="36"/>
        </w:rPr>
      </w:pPr>
      <w:bookmarkStart w:id="10" w:name="_Toc172359880"/>
      <w:r w:rsidRPr="000A42EC">
        <w:rPr>
          <w:rFonts w:ascii="Arial" w:hAnsi="Arial" w:cs="Arial"/>
          <w:color w:val="4D160F" w:themeColor="accent2" w:themeShade="80"/>
          <w:sz w:val="36"/>
          <w:szCs w:val="36"/>
        </w:rPr>
        <w:t>Conflict Resolution Styles in the Context of the Post Office Workers' Strike and Strategic Change Management</w:t>
      </w:r>
      <w:bookmarkEnd w:id="10"/>
    </w:p>
    <w:p w14:paraId="4ACE4A2C" w14:textId="77777777" w:rsidR="00BD75EC" w:rsidRDefault="00BD75EC" w:rsidP="00BD75EC">
      <w:pPr>
        <w:spacing w:line="276" w:lineRule="auto"/>
        <w:rPr>
          <w:rFonts w:ascii="Arial" w:hAnsi="Arial" w:cs="Arial"/>
          <w:color w:val="4D160F" w:themeColor="accent2" w:themeShade="80"/>
        </w:rPr>
      </w:pPr>
    </w:p>
    <w:p w14:paraId="104FAF5C" w14:textId="77777777" w:rsidR="00000332" w:rsidRPr="003C730F" w:rsidRDefault="00000332" w:rsidP="00BD75EC">
      <w:pPr>
        <w:spacing w:line="276" w:lineRule="auto"/>
        <w:rPr>
          <w:rFonts w:ascii="Arial" w:hAnsi="Arial" w:cs="Arial"/>
          <w:color w:val="4D160F" w:themeColor="accent2" w:themeShade="80"/>
        </w:rPr>
      </w:pPr>
    </w:p>
    <w:p w14:paraId="670048BB" w14:textId="77777777" w:rsidR="00BD75EC" w:rsidRPr="000A42EC" w:rsidRDefault="00BD75EC" w:rsidP="00BD75EC">
      <w:pPr>
        <w:pStyle w:val="Heading2"/>
        <w:rPr>
          <w:rFonts w:ascii="Arial" w:hAnsi="Arial" w:cs="Arial"/>
          <w:color w:val="4D160F" w:themeColor="accent2" w:themeShade="80"/>
          <w:sz w:val="24"/>
          <w:szCs w:val="24"/>
          <w:u w:val="single"/>
        </w:rPr>
      </w:pPr>
      <w:bookmarkStart w:id="11" w:name="_Toc172359881"/>
      <w:r w:rsidRPr="000A42EC">
        <w:rPr>
          <w:rFonts w:ascii="Arial" w:hAnsi="Arial" w:cs="Arial"/>
          <w:color w:val="4D160F" w:themeColor="accent2" w:themeShade="80"/>
          <w:sz w:val="24"/>
          <w:szCs w:val="24"/>
          <w:u w:val="single"/>
        </w:rPr>
        <w:t>Understanding Conflict and Its Impact on Organisations</w:t>
      </w:r>
      <w:bookmarkEnd w:id="11"/>
    </w:p>
    <w:p w14:paraId="1B0BBF1E" w14:textId="77777777" w:rsidR="00A23BE5" w:rsidRPr="003C730F" w:rsidRDefault="00A23BE5" w:rsidP="00BD75EC">
      <w:pPr>
        <w:spacing w:line="276" w:lineRule="auto"/>
        <w:rPr>
          <w:rFonts w:ascii="Arial" w:hAnsi="Arial" w:cs="Arial"/>
          <w:color w:val="4D160F" w:themeColor="accent2" w:themeShade="80"/>
        </w:rPr>
      </w:pPr>
    </w:p>
    <w:p w14:paraId="2DB4F999" w14:textId="370AFE5D" w:rsidR="00BD75EC" w:rsidRDefault="00BD75EC" w:rsidP="68A7EBFE">
      <w:pPr>
        <w:spacing w:line="360" w:lineRule="auto"/>
        <w:rPr>
          <w:rFonts w:ascii="Arial" w:hAnsi="Arial" w:cs="Arial"/>
          <w:color w:val="4D160F" w:themeColor="accent2" w:themeShade="80"/>
        </w:rPr>
      </w:pPr>
      <w:r w:rsidRPr="68A7EBFE">
        <w:rPr>
          <w:rFonts w:ascii="Arial" w:hAnsi="Arial" w:cs="Arial"/>
          <w:color w:val="4D160F" w:themeColor="accent2" w:themeShade="80"/>
        </w:rPr>
        <w:t xml:space="preserve">Conflict is a natural occurrence in any organisation where individuals with diverse perspectives and interests interact. </w:t>
      </w:r>
      <w:r w:rsidR="6DBFF0F5" w:rsidRPr="68A7EBFE">
        <w:rPr>
          <w:rFonts w:ascii="Arial" w:hAnsi="Arial" w:cs="Arial"/>
          <w:color w:val="4D160F" w:themeColor="accent2" w:themeShade="80"/>
        </w:rPr>
        <w:t>Conflict can be described as a situation that arises when one party believes that another party has harmed, or is on the verge of harming, something important to them (Robbins and Judge, 2013). In organizations, conflict can have both positive and negative effects.</w:t>
      </w:r>
    </w:p>
    <w:p w14:paraId="09D7A300" w14:textId="1B88A887" w:rsidR="00BD75EC" w:rsidRPr="000A42EC" w:rsidRDefault="00BD75EC" w:rsidP="000A42EC">
      <w:pPr>
        <w:spacing w:line="360" w:lineRule="auto"/>
        <w:rPr>
          <w:rFonts w:ascii="Arial" w:hAnsi="Arial" w:cs="Arial"/>
          <w:b/>
          <w:bCs/>
          <w:color w:val="4D160F" w:themeColor="accent2" w:themeShade="80"/>
        </w:rPr>
      </w:pPr>
      <w:r w:rsidRPr="000A42EC">
        <w:rPr>
          <w:rFonts w:ascii="Arial" w:hAnsi="Arial" w:cs="Arial"/>
          <w:b/>
          <w:bCs/>
          <w:color w:val="4D160F" w:themeColor="accent2" w:themeShade="80"/>
        </w:rPr>
        <w:t xml:space="preserve">Positive Aspects of Conflict: </w:t>
      </w:r>
      <w:r w:rsidRPr="000A42EC">
        <w:rPr>
          <w:rFonts w:ascii="Arial" w:hAnsi="Arial" w:cs="Arial"/>
          <w:color w:val="4D160F" w:themeColor="accent2" w:themeShade="80"/>
        </w:rPr>
        <w:t>When managed effectively, conflict can lead to positive outcomes such as:</w:t>
      </w:r>
    </w:p>
    <w:p w14:paraId="3094DAD1" w14:textId="77777777" w:rsidR="00BD75EC" w:rsidRPr="000A42EC" w:rsidRDefault="00BD75EC" w:rsidP="000A42EC">
      <w:pPr>
        <w:pStyle w:val="ListParagraph"/>
        <w:numPr>
          <w:ilvl w:val="0"/>
          <w:numId w:val="7"/>
        </w:numPr>
        <w:spacing w:line="360" w:lineRule="auto"/>
        <w:rPr>
          <w:rFonts w:ascii="Arial" w:hAnsi="Arial" w:cs="Arial"/>
          <w:color w:val="4D160F" w:themeColor="accent2" w:themeShade="80"/>
        </w:rPr>
      </w:pPr>
      <w:r w:rsidRPr="000A42EC">
        <w:rPr>
          <w:rFonts w:ascii="Arial" w:hAnsi="Arial" w:cs="Arial"/>
          <w:color w:val="4D160F" w:themeColor="accent2" w:themeShade="80"/>
        </w:rPr>
        <w:t>Innovation and Creativity: Conflict can stimulate critical thinking and innovation, as parties are pushed to find novel solutions (Jehn, 1995).</w:t>
      </w:r>
    </w:p>
    <w:p w14:paraId="599B5705" w14:textId="77777777" w:rsidR="00BD75EC" w:rsidRPr="000A42EC" w:rsidRDefault="00BD75EC" w:rsidP="000A42EC">
      <w:pPr>
        <w:pStyle w:val="ListParagraph"/>
        <w:numPr>
          <w:ilvl w:val="0"/>
          <w:numId w:val="7"/>
        </w:numPr>
        <w:spacing w:line="360" w:lineRule="auto"/>
        <w:rPr>
          <w:rFonts w:ascii="Arial" w:hAnsi="Arial" w:cs="Arial"/>
          <w:color w:val="4D160F" w:themeColor="accent2" w:themeShade="80"/>
        </w:rPr>
      </w:pPr>
      <w:r w:rsidRPr="000A42EC">
        <w:rPr>
          <w:rFonts w:ascii="Arial" w:hAnsi="Arial" w:cs="Arial"/>
          <w:color w:val="4D160F" w:themeColor="accent2" w:themeShade="80"/>
        </w:rPr>
        <w:t>Improved Decision-Making: Diverse perspectives can lead to more comprehensive and robust decision-making processes (De Dreu and Van Vianen, 2001).</w:t>
      </w:r>
    </w:p>
    <w:p w14:paraId="37664584" w14:textId="77777777" w:rsidR="00BD75EC" w:rsidRPr="000A42EC" w:rsidRDefault="00BD75EC" w:rsidP="000A42EC">
      <w:pPr>
        <w:pStyle w:val="ListParagraph"/>
        <w:numPr>
          <w:ilvl w:val="0"/>
          <w:numId w:val="7"/>
        </w:numPr>
        <w:spacing w:line="360" w:lineRule="auto"/>
        <w:rPr>
          <w:rFonts w:ascii="Arial" w:hAnsi="Arial" w:cs="Arial"/>
          <w:color w:val="4D160F" w:themeColor="accent2" w:themeShade="80"/>
        </w:rPr>
      </w:pPr>
      <w:r w:rsidRPr="000A42EC">
        <w:rPr>
          <w:rFonts w:ascii="Arial" w:hAnsi="Arial" w:cs="Arial"/>
          <w:color w:val="4D160F" w:themeColor="accent2" w:themeShade="80"/>
        </w:rPr>
        <w:t>Strengthened Relationships: Successfully resolving conflicts can strengthen relationships by increasing mutual understanding and trust (Tjosvold, 1998).</w:t>
      </w:r>
    </w:p>
    <w:p w14:paraId="40ED3CA2" w14:textId="2B15697E" w:rsidR="00BD75EC" w:rsidRPr="000A42EC" w:rsidRDefault="00BD75EC" w:rsidP="000A42EC">
      <w:pPr>
        <w:pStyle w:val="ListParagraph"/>
        <w:numPr>
          <w:ilvl w:val="0"/>
          <w:numId w:val="7"/>
        </w:numPr>
        <w:spacing w:line="360" w:lineRule="auto"/>
        <w:rPr>
          <w:rFonts w:ascii="Arial" w:hAnsi="Arial" w:cs="Arial"/>
          <w:color w:val="4D160F" w:themeColor="accent2" w:themeShade="80"/>
        </w:rPr>
      </w:pPr>
      <w:r w:rsidRPr="000A42EC">
        <w:rPr>
          <w:rFonts w:ascii="Arial" w:hAnsi="Arial" w:cs="Arial"/>
          <w:color w:val="4D160F" w:themeColor="accent2" w:themeShade="80"/>
        </w:rPr>
        <w:t>Promote personal growth (De Dreu and Van Vianen, 2001).</w:t>
      </w:r>
    </w:p>
    <w:p w14:paraId="70DA0080" w14:textId="003B625D" w:rsidR="00BD75EC" w:rsidRPr="000A42EC" w:rsidRDefault="00BD75EC" w:rsidP="000A42EC">
      <w:pPr>
        <w:spacing w:line="360" w:lineRule="auto"/>
        <w:rPr>
          <w:rFonts w:ascii="Arial" w:hAnsi="Arial" w:cs="Arial"/>
          <w:b/>
          <w:bCs/>
          <w:color w:val="4D160F" w:themeColor="accent2" w:themeShade="80"/>
        </w:rPr>
      </w:pPr>
      <w:r w:rsidRPr="000A42EC">
        <w:rPr>
          <w:rFonts w:ascii="Arial" w:hAnsi="Arial" w:cs="Arial"/>
          <w:b/>
          <w:bCs/>
          <w:color w:val="4D160F" w:themeColor="accent2" w:themeShade="80"/>
        </w:rPr>
        <w:t>Negative Aspects of Conflict</w:t>
      </w:r>
      <w:r w:rsidR="00A23BE5" w:rsidRPr="000A42EC">
        <w:rPr>
          <w:rFonts w:ascii="Arial" w:hAnsi="Arial" w:cs="Arial"/>
          <w:b/>
          <w:bCs/>
          <w:color w:val="4D160F" w:themeColor="accent2" w:themeShade="80"/>
        </w:rPr>
        <w:t xml:space="preserve">: </w:t>
      </w:r>
      <w:r w:rsidRPr="000A42EC">
        <w:rPr>
          <w:rFonts w:ascii="Arial" w:hAnsi="Arial" w:cs="Arial"/>
          <w:color w:val="4D160F" w:themeColor="accent2" w:themeShade="80"/>
        </w:rPr>
        <w:t>However, unmanaged</w:t>
      </w:r>
      <w:r w:rsidR="5E692D82" w:rsidRPr="1E91DE23">
        <w:rPr>
          <w:rFonts w:ascii="Arial" w:hAnsi="Arial" w:cs="Arial"/>
          <w:color w:val="4D160F" w:themeColor="accent2" w:themeShade="80"/>
        </w:rPr>
        <w:t>,</w:t>
      </w:r>
      <w:r w:rsidRPr="000A42EC">
        <w:rPr>
          <w:rFonts w:ascii="Arial" w:hAnsi="Arial" w:cs="Arial"/>
          <w:color w:val="4D160F" w:themeColor="accent2" w:themeShade="80"/>
        </w:rPr>
        <w:t xml:space="preserve"> or poorly managed conflict can have several adverse effects, including:</w:t>
      </w:r>
    </w:p>
    <w:p w14:paraId="76522DE0" w14:textId="45590C18" w:rsidR="00BD75EC" w:rsidRPr="000A42EC" w:rsidRDefault="00BD75EC" w:rsidP="000A42EC">
      <w:pPr>
        <w:pStyle w:val="ListParagraph"/>
        <w:numPr>
          <w:ilvl w:val="0"/>
          <w:numId w:val="8"/>
        </w:numPr>
        <w:spacing w:line="360" w:lineRule="auto"/>
        <w:rPr>
          <w:rFonts w:ascii="Arial" w:hAnsi="Arial" w:cs="Arial"/>
          <w:color w:val="4D160F" w:themeColor="accent2" w:themeShade="80"/>
        </w:rPr>
      </w:pPr>
      <w:r w:rsidRPr="000A42EC">
        <w:rPr>
          <w:rFonts w:ascii="Arial" w:hAnsi="Arial" w:cs="Arial"/>
          <w:color w:val="4D160F" w:themeColor="accent2" w:themeShade="80"/>
        </w:rPr>
        <w:t>Reduced Productivity: Ongoing conflict can distract employees and reduce their focus on work tasks (Pondy, 1967)</w:t>
      </w:r>
      <w:r w:rsidR="00A23BE5" w:rsidRPr="000A42EC">
        <w:rPr>
          <w:rFonts w:ascii="Arial" w:hAnsi="Arial" w:cs="Arial"/>
          <w:color w:val="4D160F" w:themeColor="accent2" w:themeShade="80"/>
        </w:rPr>
        <w:t xml:space="preserve"> and hinder organizational performance (Jehn, 1995).</w:t>
      </w:r>
    </w:p>
    <w:p w14:paraId="49B6E27C" w14:textId="29B2D72A" w:rsidR="00BD75EC" w:rsidRPr="000A42EC" w:rsidRDefault="00BD75EC" w:rsidP="000A42EC">
      <w:pPr>
        <w:pStyle w:val="ListParagraph"/>
        <w:numPr>
          <w:ilvl w:val="0"/>
          <w:numId w:val="8"/>
        </w:numPr>
        <w:spacing w:line="360" w:lineRule="auto"/>
        <w:rPr>
          <w:rFonts w:ascii="Arial" w:hAnsi="Arial" w:cs="Arial"/>
          <w:color w:val="4D160F" w:themeColor="accent2" w:themeShade="80"/>
        </w:rPr>
      </w:pPr>
      <w:r w:rsidRPr="000A42EC">
        <w:rPr>
          <w:rFonts w:ascii="Arial" w:hAnsi="Arial" w:cs="Arial"/>
          <w:color w:val="4D160F" w:themeColor="accent2" w:themeShade="80"/>
        </w:rPr>
        <w:t xml:space="preserve">Lowered Morale: Persistent conflict can lead to frustration, stress, </w:t>
      </w:r>
      <w:r w:rsidR="00A23BE5" w:rsidRPr="000A42EC">
        <w:rPr>
          <w:rFonts w:ascii="Arial" w:hAnsi="Arial" w:cs="Arial"/>
          <w:color w:val="4D160F" w:themeColor="accent2" w:themeShade="80"/>
        </w:rPr>
        <w:t>reduced cooperation</w:t>
      </w:r>
      <w:r w:rsidR="253F9A53" w:rsidRPr="1E91DE23">
        <w:rPr>
          <w:rFonts w:ascii="Arial" w:hAnsi="Arial" w:cs="Arial"/>
          <w:color w:val="4D160F" w:themeColor="accent2" w:themeShade="80"/>
        </w:rPr>
        <w:t>,</w:t>
      </w:r>
      <w:r w:rsidR="00A23BE5" w:rsidRPr="000A42EC">
        <w:rPr>
          <w:rFonts w:ascii="Arial" w:hAnsi="Arial" w:cs="Arial"/>
          <w:color w:val="4D160F" w:themeColor="accent2" w:themeShade="80"/>
        </w:rPr>
        <w:t xml:space="preserve"> </w:t>
      </w:r>
      <w:r w:rsidRPr="000A42EC">
        <w:rPr>
          <w:rFonts w:ascii="Arial" w:hAnsi="Arial" w:cs="Arial"/>
          <w:color w:val="4D160F" w:themeColor="accent2" w:themeShade="80"/>
        </w:rPr>
        <w:t>and decreased job satisfaction among employees (Wall and Callister, 1995).</w:t>
      </w:r>
    </w:p>
    <w:p w14:paraId="1D2805CD" w14:textId="4440133D" w:rsidR="000A42EC" w:rsidRDefault="00BD75EC" w:rsidP="000A42EC">
      <w:pPr>
        <w:pStyle w:val="ListParagraph"/>
        <w:numPr>
          <w:ilvl w:val="0"/>
          <w:numId w:val="8"/>
        </w:numPr>
        <w:spacing w:line="360" w:lineRule="auto"/>
        <w:rPr>
          <w:rFonts w:ascii="Arial" w:hAnsi="Arial" w:cs="Arial"/>
          <w:color w:val="4D160F" w:themeColor="accent2" w:themeShade="80"/>
        </w:rPr>
      </w:pPr>
      <w:r w:rsidRPr="000A42EC">
        <w:rPr>
          <w:rFonts w:ascii="Arial" w:hAnsi="Arial" w:cs="Arial"/>
          <w:color w:val="4D160F" w:themeColor="accent2" w:themeShade="80"/>
        </w:rPr>
        <w:t>Organisational Disruption: Conflict can disrupt workflows, leading to inefficiencies and operational disruptions (Rahim, 2002).</w:t>
      </w:r>
    </w:p>
    <w:p w14:paraId="41041A37" w14:textId="77777777" w:rsidR="00000332" w:rsidRDefault="00000332" w:rsidP="00000332">
      <w:pPr>
        <w:spacing w:line="360" w:lineRule="auto"/>
        <w:rPr>
          <w:rFonts w:ascii="Arial" w:hAnsi="Arial" w:cs="Arial"/>
          <w:color w:val="4D160F" w:themeColor="accent2" w:themeShade="80"/>
        </w:rPr>
      </w:pPr>
    </w:p>
    <w:p w14:paraId="58C33106" w14:textId="77777777" w:rsidR="00000332" w:rsidRPr="00000332" w:rsidRDefault="00000332" w:rsidP="00000332">
      <w:pPr>
        <w:spacing w:line="360" w:lineRule="auto"/>
        <w:rPr>
          <w:rFonts w:ascii="Arial" w:hAnsi="Arial" w:cs="Arial"/>
          <w:color w:val="4D160F" w:themeColor="accent2" w:themeShade="80"/>
        </w:rPr>
      </w:pPr>
    </w:p>
    <w:p w14:paraId="4A7FEA09" w14:textId="1B794641" w:rsidR="00A23BE5" w:rsidRPr="000A42EC" w:rsidRDefault="003A1E07" w:rsidP="00A23BE5">
      <w:pPr>
        <w:pStyle w:val="Heading2"/>
        <w:rPr>
          <w:rFonts w:ascii="Arial" w:hAnsi="Arial" w:cs="Arial"/>
          <w:color w:val="4D160F" w:themeColor="accent2" w:themeShade="80"/>
          <w:sz w:val="24"/>
          <w:szCs w:val="24"/>
          <w:u w:val="single"/>
        </w:rPr>
      </w:pPr>
      <w:bookmarkStart w:id="12" w:name="_Toc172359882"/>
      <w:r w:rsidRPr="000A42EC">
        <w:rPr>
          <w:rFonts w:ascii="Arial" w:hAnsi="Arial" w:cs="Arial"/>
          <w:color w:val="4D160F" w:themeColor="accent2" w:themeShade="80"/>
          <w:sz w:val="24"/>
          <w:szCs w:val="24"/>
          <w:u w:val="single"/>
        </w:rPr>
        <w:t>Conflict Resolution Styles</w:t>
      </w:r>
      <w:bookmarkEnd w:id="12"/>
    </w:p>
    <w:p w14:paraId="668C7AD9" w14:textId="77777777" w:rsidR="00A23BE5" w:rsidRPr="003C730F" w:rsidRDefault="00A23BE5" w:rsidP="003A1E07">
      <w:pPr>
        <w:spacing w:line="276" w:lineRule="auto"/>
        <w:rPr>
          <w:rFonts w:ascii="Arial" w:hAnsi="Arial" w:cs="Arial"/>
          <w:color w:val="4D160F" w:themeColor="accent2" w:themeShade="80"/>
        </w:rPr>
      </w:pPr>
    </w:p>
    <w:p w14:paraId="1A7A305E" w14:textId="77777777" w:rsidR="00A23BE5" w:rsidRPr="00000332" w:rsidRDefault="00A23BE5"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 xml:space="preserve">Several conflict resolution styles can be applied depending on the nature of the conflict and the desired outcomes, each with its strengths and weaknesses. These styles can be broadly categorised based on the degree of assertiveness and cooperativeness exhibited by the parties involved (Thomas and Kilmann, 1974). </w:t>
      </w:r>
    </w:p>
    <w:p w14:paraId="70CA7396" w14:textId="11F497AF" w:rsidR="003A6A2A" w:rsidRPr="00000332" w:rsidRDefault="003A6A2A" w:rsidP="00000332">
      <w:pPr>
        <w:spacing w:line="360" w:lineRule="auto"/>
        <w:rPr>
          <w:rFonts w:ascii="Arial" w:hAnsi="Arial" w:cs="Arial"/>
          <w:color w:val="4D160F" w:themeColor="accent2" w:themeShade="80"/>
        </w:rPr>
      </w:pPr>
      <w:r w:rsidRPr="00000332">
        <w:rPr>
          <w:rFonts w:ascii="Arial" w:hAnsi="Arial" w:cs="Arial"/>
          <w:b/>
          <w:bCs/>
          <w:color w:val="4D160F" w:themeColor="accent2" w:themeShade="80"/>
        </w:rPr>
        <w:t>Accommodating</w:t>
      </w:r>
      <w:r w:rsidRPr="00000332">
        <w:rPr>
          <w:rFonts w:ascii="Arial" w:hAnsi="Arial" w:cs="Arial"/>
          <w:color w:val="4D160F" w:themeColor="accent2" w:themeShade="80"/>
        </w:rPr>
        <w:t xml:space="preserve">: This </w:t>
      </w:r>
      <w:r w:rsidR="7C34A6D5" w:rsidRPr="66B3FCC5">
        <w:rPr>
          <w:rFonts w:ascii="Arial" w:hAnsi="Arial" w:cs="Arial"/>
          <w:color w:val="4D160F" w:themeColor="accent2" w:themeShade="80"/>
        </w:rPr>
        <w:t>approach entails</w:t>
      </w:r>
      <w:r w:rsidRPr="00000332">
        <w:rPr>
          <w:rFonts w:ascii="Arial" w:hAnsi="Arial" w:cs="Arial"/>
          <w:color w:val="4D160F" w:themeColor="accent2" w:themeShade="80"/>
        </w:rPr>
        <w:t xml:space="preserve"> one </w:t>
      </w:r>
      <w:r w:rsidR="7C34A6D5" w:rsidRPr="66B3FCC5">
        <w:rPr>
          <w:rFonts w:ascii="Arial" w:hAnsi="Arial" w:cs="Arial"/>
          <w:color w:val="4D160F" w:themeColor="accent2" w:themeShade="80"/>
        </w:rPr>
        <w:t>side giving in</w:t>
      </w:r>
      <w:r w:rsidRPr="00000332">
        <w:rPr>
          <w:rFonts w:ascii="Arial" w:hAnsi="Arial" w:cs="Arial"/>
          <w:color w:val="4D160F" w:themeColor="accent2" w:themeShade="80"/>
        </w:rPr>
        <w:t xml:space="preserve"> to the other's </w:t>
      </w:r>
      <w:r w:rsidR="7C34A6D5" w:rsidRPr="66B3FCC5">
        <w:rPr>
          <w:rFonts w:ascii="Arial" w:hAnsi="Arial" w:cs="Arial"/>
          <w:color w:val="4D160F" w:themeColor="accent2" w:themeShade="80"/>
        </w:rPr>
        <w:t>requests.</w:t>
      </w:r>
      <w:r w:rsidRPr="00000332">
        <w:rPr>
          <w:rFonts w:ascii="Arial" w:hAnsi="Arial" w:cs="Arial"/>
          <w:color w:val="4D160F" w:themeColor="accent2" w:themeShade="80"/>
        </w:rPr>
        <w:t xml:space="preserve"> </w:t>
      </w:r>
      <w:r w:rsidRPr="7CC813A1">
        <w:rPr>
          <w:rFonts w:ascii="Arial" w:hAnsi="Arial" w:cs="Arial"/>
          <w:color w:val="4D160F" w:themeColor="accent2" w:themeShade="80"/>
        </w:rPr>
        <w:t xml:space="preserve">It is unassertive and cooperative. </w:t>
      </w:r>
      <w:r w:rsidRPr="00000332">
        <w:rPr>
          <w:rFonts w:ascii="Arial" w:hAnsi="Arial" w:cs="Arial"/>
          <w:color w:val="4D160F" w:themeColor="accent2" w:themeShade="80"/>
        </w:rPr>
        <w:t>One party sacrifices its own needs to satisfy the other party. It is useful when maintaining harmony is more important than the issue at hand but can lead to one party feeling undervalued and to resentment if overused (Rahim, 2002).</w:t>
      </w:r>
    </w:p>
    <w:p w14:paraId="18979D6F" w14:textId="2A6E3CF0" w:rsidR="003A1E07" w:rsidRPr="00000332" w:rsidRDefault="003A6A2A" w:rsidP="00000332">
      <w:pPr>
        <w:spacing w:line="360" w:lineRule="auto"/>
        <w:rPr>
          <w:rFonts w:ascii="Arial" w:hAnsi="Arial" w:cs="Arial"/>
          <w:color w:val="4D160F" w:themeColor="accent2" w:themeShade="80"/>
        </w:rPr>
      </w:pPr>
      <w:r w:rsidRPr="00000332">
        <w:rPr>
          <w:rFonts w:ascii="Arial" w:hAnsi="Arial" w:cs="Arial"/>
          <w:b/>
          <w:bCs/>
          <w:color w:val="4D160F" w:themeColor="accent2" w:themeShade="80"/>
        </w:rPr>
        <w:t>Avoiding</w:t>
      </w:r>
      <w:r w:rsidRPr="00000332">
        <w:rPr>
          <w:rFonts w:ascii="Arial" w:hAnsi="Arial" w:cs="Arial"/>
          <w:color w:val="4D160F" w:themeColor="accent2" w:themeShade="80"/>
        </w:rPr>
        <w:t>: Avoiding the conflict means ignoring it or delaying its resolution. This style is unassertive and uncooperative. Parties do not address the conflict, leading to unresolved issues. It can be useful for trivial issues, when emotions are high, but prolonged avoidance can exacerbate the issue or may result in unresolved conflicts festering (Thomas, 1992).</w:t>
      </w:r>
    </w:p>
    <w:p w14:paraId="4DFDDD36" w14:textId="5F346CB1" w:rsidR="00ED2BE3" w:rsidRDefault="00ED2BE3" w:rsidP="62FDE7B6">
      <w:pPr>
        <w:spacing w:line="360" w:lineRule="auto"/>
        <w:rPr>
          <w:rFonts w:ascii="Arial" w:hAnsi="Arial" w:cs="Arial"/>
          <w:color w:val="4D160F" w:themeColor="accent2" w:themeShade="80"/>
        </w:rPr>
      </w:pPr>
      <w:r w:rsidRPr="62FDE7B6">
        <w:rPr>
          <w:rFonts w:ascii="Arial" w:hAnsi="Arial" w:cs="Arial"/>
          <w:b/>
          <w:bCs/>
          <w:color w:val="4D160F" w:themeColor="accent2" w:themeShade="80"/>
        </w:rPr>
        <w:t>Competing</w:t>
      </w:r>
      <w:r w:rsidRPr="62FDE7B6">
        <w:rPr>
          <w:rFonts w:ascii="Arial" w:hAnsi="Arial" w:cs="Arial"/>
          <w:color w:val="4D160F" w:themeColor="accent2" w:themeShade="80"/>
        </w:rPr>
        <w:t>: This style is assertive and uncooperative.</w:t>
      </w:r>
      <w:r w:rsidR="29FC62ED" w:rsidRPr="62FDE7B6">
        <w:rPr>
          <w:rFonts w:ascii="Arial" w:hAnsi="Arial" w:cs="Arial"/>
          <w:color w:val="4D160F" w:themeColor="accent2" w:themeShade="80"/>
        </w:rPr>
        <w:t xml:space="preserve"> One side aims to prevail in the conflict at the detriment of the other. This approach is beneficial in scenarios needing swift, decisive action, but it can harm relationships and generate resentment if employed excessively (Blake and Mouton, 1964).</w:t>
      </w:r>
    </w:p>
    <w:p w14:paraId="3FDD3B44" w14:textId="7BFC84EF" w:rsidR="003A1E07" w:rsidRPr="00000332" w:rsidRDefault="00ED2BE3" w:rsidP="00000332">
      <w:pPr>
        <w:spacing w:line="360" w:lineRule="auto"/>
        <w:rPr>
          <w:rFonts w:ascii="Arial" w:hAnsi="Arial" w:cs="Arial"/>
          <w:color w:val="4D160F" w:themeColor="accent2" w:themeShade="80"/>
        </w:rPr>
      </w:pPr>
      <w:r w:rsidRPr="00000332">
        <w:rPr>
          <w:rFonts w:ascii="Arial" w:hAnsi="Arial" w:cs="Arial"/>
          <w:b/>
          <w:bCs/>
          <w:color w:val="4D160F" w:themeColor="accent2" w:themeShade="80"/>
        </w:rPr>
        <w:t>Compromising</w:t>
      </w:r>
      <w:r w:rsidRPr="00000332">
        <w:rPr>
          <w:rFonts w:ascii="Arial" w:hAnsi="Arial" w:cs="Arial"/>
          <w:color w:val="4D160F" w:themeColor="accent2" w:themeShade="80"/>
        </w:rPr>
        <w:t xml:space="preserve">: This style is moderately assertive and cooperative. Parties </w:t>
      </w:r>
      <w:r w:rsidR="5DB93A77" w:rsidRPr="7DDF42C0">
        <w:rPr>
          <w:rFonts w:ascii="Arial" w:hAnsi="Arial" w:cs="Arial"/>
          <w:color w:val="4D160F" w:themeColor="accent2" w:themeShade="80"/>
        </w:rPr>
        <w:t>aim to find</w:t>
      </w:r>
      <w:r w:rsidRPr="00000332">
        <w:rPr>
          <w:rFonts w:ascii="Arial" w:hAnsi="Arial" w:cs="Arial"/>
          <w:color w:val="4D160F" w:themeColor="accent2" w:themeShade="80"/>
        </w:rPr>
        <w:t xml:space="preserve"> a </w:t>
      </w:r>
      <w:r w:rsidR="5DB93A77" w:rsidRPr="7DDF42C0">
        <w:rPr>
          <w:rFonts w:ascii="Arial" w:hAnsi="Arial" w:cs="Arial"/>
          <w:color w:val="4D160F" w:themeColor="accent2" w:themeShade="80"/>
        </w:rPr>
        <w:t>compromise, with</w:t>
      </w:r>
      <w:r w:rsidRPr="00000332">
        <w:rPr>
          <w:rFonts w:ascii="Arial" w:hAnsi="Arial" w:cs="Arial"/>
          <w:color w:val="4D160F" w:themeColor="accent2" w:themeShade="80"/>
        </w:rPr>
        <w:t xml:space="preserve"> each </w:t>
      </w:r>
      <w:r w:rsidR="5DB93A77" w:rsidRPr="7DDF42C0">
        <w:rPr>
          <w:rFonts w:ascii="Arial" w:hAnsi="Arial" w:cs="Arial"/>
          <w:color w:val="4D160F" w:themeColor="accent2" w:themeShade="80"/>
        </w:rPr>
        <w:t>side making concessions to achieve</w:t>
      </w:r>
      <w:r w:rsidRPr="00000332">
        <w:rPr>
          <w:rFonts w:ascii="Arial" w:hAnsi="Arial" w:cs="Arial"/>
          <w:color w:val="4D160F" w:themeColor="accent2" w:themeShade="80"/>
        </w:rPr>
        <w:t xml:space="preserve"> a </w:t>
      </w:r>
      <w:r w:rsidR="5DB93A77" w:rsidRPr="7DDF42C0">
        <w:rPr>
          <w:rFonts w:ascii="Arial" w:hAnsi="Arial" w:cs="Arial"/>
          <w:color w:val="4D160F" w:themeColor="accent2" w:themeShade="80"/>
        </w:rPr>
        <w:t>resolution.</w:t>
      </w:r>
      <w:r w:rsidRPr="00000332">
        <w:rPr>
          <w:rFonts w:ascii="Arial" w:hAnsi="Arial" w:cs="Arial"/>
          <w:color w:val="4D160F" w:themeColor="accent2" w:themeShade="80"/>
        </w:rPr>
        <w:t xml:space="preserve"> It is useful for temporary settlements and situations where parties have equal power, when time is limited, and parties need a quick resolution but may result in suboptimal outcomes (Pruitt and Rubin, 1986).</w:t>
      </w:r>
    </w:p>
    <w:p w14:paraId="59395DF5" w14:textId="184ED449" w:rsidR="003A1E07" w:rsidRPr="00000332" w:rsidRDefault="00ED2BE3" w:rsidP="00000332">
      <w:pPr>
        <w:spacing w:line="360" w:lineRule="auto"/>
        <w:rPr>
          <w:rFonts w:ascii="Arial" w:hAnsi="Arial" w:cs="Arial"/>
          <w:color w:val="4D160F" w:themeColor="accent2" w:themeShade="80"/>
        </w:rPr>
      </w:pPr>
      <w:r w:rsidRPr="00000332">
        <w:rPr>
          <w:rFonts w:ascii="Arial" w:hAnsi="Arial" w:cs="Arial"/>
          <w:b/>
          <w:bCs/>
          <w:color w:val="4D160F" w:themeColor="accent2" w:themeShade="80"/>
        </w:rPr>
        <w:t>Collaborating</w:t>
      </w:r>
      <w:r w:rsidRPr="00000332">
        <w:rPr>
          <w:rFonts w:ascii="Arial" w:hAnsi="Arial" w:cs="Arial"/>
          <w:color w:val="4D160F" w:themeColor="accent2" w:themeShade="80"/>
        </w:rPr>
        <w:t xml:space="preserve">: This style is both assertive and cooperative. </w:t>
      </w:r>
      <w:r w:rsidR="5F872EF3" w:rsidRPr="4638808A">
        <w:rPr>
          <w:rFonts w:ascii="Arial" w:hAnsi="Arial" w:cs="Arial"/>
          <w:color w:val="4D160F" w:themeColor="accent2" w:themeShade="80"/>
        </w:rPr>
        <w:t>This means collaborating</w:t>
      </w:r>
      <w:r w:rsidRPr="00000332">
        <w:rPr>
          <w:rFonts w:ascii="Arial" w:hAnsi="Arial" w:cs="Arial"/>
          <w:color w:val="4D160F" w:themeColor="accent2" w:themeShade="80"/>
        </w:rPr>
        <w:t xml:space="preserve"> to </w:t>
      </w:r>
      <w:r w:rsidR="5F872EF3" w:rsidRPr="4638808A">
        <w:rPr>
          <w:rFonts w:ascii="Arial" w:hAnsi="Arial" w:cs="Arial"/>
          <w:color w:val="4D160F" w:themeColor="accent2" w:themeShade="80"/>
        </w:rPr>
        <w:t>reach</w:t>
      </w:r>
      <w:r w:rsidRPr="00000332">
        <w:rPr>
          <w:rFonts w:ascii="Arial" w:hAnsi="Arial" w:cs="Arial"/>
          <w:color w:val="4D160F" w:themeColor="accent2" w:themeShade="80"/>
        </w:rPr>
        <w:t xml:space="preserve"> a solution that </w:t>
      </w:r>
      <w:r w:rsidR="5F872EF3" w:rsidRPr="4638808A">
        <w:rPr>
          <w:rFonts w:ascii="Arial" w:hAnsi="Arial" w:cs="Arial"/>
          <w:color w:val="4D160F" w:themeColor="accent2" w:themeShade="80"/>
        </w:rPr>
        <w:t>meets the needs of</w:t>
      </w:r>
      <w:r w:rsidRPr="00000332">
        <w:rPr>
          <w:rFonts w:ascii="Arial" w:hAnsi="Arial" w:cs="Arial"/>
          <w:color w:val="4D160F" w:themeColor="accent2" w:themeShade="80"/>
        </w:rPr>
        <w:t xml:space="preserve"> both </w:t>
      </w:r>
      <w:r w:rsidR="5F872EF3" w:rsidRPr="4638808A">
        <w:rPr>
          <w:rFonts w:ascii="Arial" w:hAnsi="Arial" w:cs="Arial"/>
          <w:color w:val="4D160F" w:themeColor="accent2" w:themeShade="80"/>
        </w:rPr>
        <w:t>sides effectively.</w:t>
      </w:r>
      <w:r w:rsidRPr="00000332">
        <w:rPr>
          <w:rFonts w:ascii="Arial" w:hAnsi="Arial" w:cs="Arial"/>
          <w:color w:val="4D160F" w:themeColor="accent2" w:themeShade="80"/>
        </w:rPr>
        <w:t xml:space="preserve"> Parties work together to find a mutually beneficial solution. It is the most effective for resolving conflicts, ideal for complex issues requiring a comprehensive solution but can be time-consuming and requires more effort (Tjosvold, 1991).</w:t>
      </w:r>
    </w:p>
    <w:p w14:paraId="786C72D4" w14:textId="77777777" w:rsidR="00ED2BE3" w:rsidRPr="003C730F" w:rsidRDefault="00ED2BE3" w:rsidP="003A1E07">
      <w:pPr>
        <w:spacing w:line="276" w:lineRule="auto"/>
        <w:rPr>
          <w:rFonts w:ascii="Arial" w:hAnsi="Arial" w:cs="Arial"/>
          <w:color w:val="4D160F" w:themeColor="accent2" w:themeShade="80"/>
        </w:rPr>
      </w:pPr>
    </w:p>
    <w:p w14:paraId="5553664B" w14:textId="77777777" w:rsidR="00ED2BE3" w:rsidRPr="00000332" w:rsidRDefault="00ED2BE3" w:rsidP="00AC5124">
      <w:pPr>
        <w:pStyle w:val="Heading2"/>
        <w:rPr>
          <w:rFonts w:ascii="Arial" w:hAnsi="Arial" w:cs="Arial"/>
          <w:color w:val="4D160F" w:themeColor="accent2" w:themeShade="80"/>
          <w:sz w:val="24"/>
          <w:szCs w:val="24"/>
          <w:u w:val="single"/>
        </w:rPr>
      </w:pPr>
      <w:bookmarkStart w:id="13" w:name="_Toc172359883"/>
      <w:r w:rsidRPr="00000332">
        <w:rPr>
          <w:rFonts w:ascii="Arial" w:hAnsi="Arial" w:cs="Arial"/>
          <w:color w:val="4D160F" w:themeColor="accent2" w:themeShade="80"/>
          <w:sz w:val="24"/>
          <w:szCs w:val="24"/>
          <w:u w:val="single"/>
        </w:rPr>
        <w:t>Appropriate Conflict Resolution Style for the Post Office Strike</w:t>
      </w:r>
      <w:bookmarkEnd w:id="13"/>
    </w:p>
    <w:p w14:paraId="63E259F4" w14:textId="77777777" w:rsidR="00AC5124" w:rsidRPr="000A42EC" w:rsidRDefault="00AC5124" w:rsidP="000A42EC">
      <w:pPr>
        <w:spacing w:line="360" w:lineRule="auto"/>
        <w:rPr>
          <w:rFonts w:ascii="Arial" w:hAnsi="Arial" w:cs="Arial"/>
          <w:color w:val="4D160F" w:themeColor="accent2" w:themeShade="80"/>
        </w:rPr>
      </w:pPr>
    </w:p>
    <w:p w14:paraId="1245D72B" w14:textId="51450459" w:rsidR="00AC5124" w:rsidRPr="00000332" w:rsidRDefault="00AC5124" w:rsidP="00000332">
      <w:pPr>
        <w:spacing w:line="360" w:lineRule="auto"/>
        <w:rPr>
          <w:rFonts w:ascii="Arial" w:hAnsi="Arial" w:cs="Arial"/>
          <w:b/>
          <w:bCs/>
          <w:color w:val="4D160F" w:themeColor="accent2" w:themeShade="80"/>
        </w:rPr>
      </w:pPr>
      <w:r w:rsidRPr="00000332">
        <w:rPr>
          <w:rFonts w:ascii="Arial" w:hAnsi="Arial" w:cs="Arial"/>
          <w:b/>
          <w:bCs/>
          <w:color w:val="4D160F" w:themeColor="accent2" w:themeShade="80"/>
        </w:rPr>
        <w:t>Implementing the Collaborating Style</w:t>
      </w:r>
      <w:r w:rsidR="000A42EC" w:rsidRPr="00000332">
        <w:rPr>
          <w:rFonts w:ascii="Arial" w:hAnsi="Arial" w:cs="Arial"/>
          <w:b/>
          <w:bCs/>
          <w:color w:val="4D160F" w:themeColor="accent2" w:themeShade="80"/>
        </w:rPr>
        <w:t xml:space="preserve">: </w:t>
      </w:r>
      <w:r w:rsidRPr="00000332">
        <w:rPr>
          <w:rFonts w:ascii="Arial" w:hAnsi="Arial" w:cs="Arial"/>
          <w:color w:val="4D160F" w:themeColor="accent2" w:themeShade="80"/>
        </w:rPr>
        <w:t>This style ensures that both the management and the workers, represented by the Communication Workers Union (CWU), can work together to find a solution that addresses the financial constraints of the organisation and the legitimate concerns of the employees.</w:t>
      </w:r>
    </w:p>
    <w:p w14:paraId="323A00B3" w14:textId="1C5C4DE3" w:rsidR="00ED2BE3" w:rsidRPr="00000332" w:rsidRDefault="00AC5124"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This approach promotes open communication and seeks to understand the underlying concerns of both parties—Post Office management and the CWU. Collaborating fosters mutual respect and aims for a solution that satisfies both the workers' demand for fair wages and the organization's needs for financial sustainability.</w:t>
      </w:r>
    </w:p>
    <w:p w14:paraId="1A28BAAC" w14:textId="77777777" w:rsidR="00ED2BE3" w:rsidRPr="00000332" w:rsidRDefault="00ED2BE3"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Open Communication: Management should establish open communication channels with the CWU to discuss the financial realities and the workers' demands transparently.</w:t>
      </w:r>
    </w:p>
    <w:p w14:paraId="278E1F71" w14:textId="0F94E454" w:rsidR="00ED2BE3" w:rsidRPr="00000332" w:rsidRDefault="00ED2BE3"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 xml:space="preserve">Joint Problem-Solving: Both parties should engage in joint problem-solving sessions to explore </w:t>
      </w:r>
      <w:r w:rsidR="13C38A9A" w:rsidRPr="25B79963">
        <w:rPr>
          <w:rFonts w:ascii="Arial" w:hAnsi="Arial" w:cs="Arial"/>
          <w:color w:val="4D160F" w:themeColor="accent2" w:themeShade="80"/>
        </w:rPr>
        <w:t>diverse</w:t>
      </w:r>
      <w:r w:rsidRPr="00000332">
        <w:rPr>
          <w:rFonts w:ascii="Arial" w:hAnsi="Arial" w:cs="Arial"/>
          <w:color w:val="4D160F" w:themeColor="accent2" w:themeShade="80"/>
        </w:rPr>
        <w:t xml:space="preserve"> options for wage adjustments, working conditions, and potential cost-saving measures that do not adversely affect employees.</w:t>
      </w:r>
    </w:p>
    <w:p w14:paraId="12590C6B" w14:textId="77777777" w:rsidR="00ED2BE3" w:rsidRPr="00000332" w:rsidRDefault="00ED2BE3"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Interest-Based Negotiation: Focus on underlying interests rather than positions. For example, management’s interest in financial sustainability and employees’ interest in fair compensation can lead to creative solutions such as phased wage increases or performance-based bonuses.</w:t>
      </w:r>
    </w:p>
    <w:p w14:paraId="3D90D1EE" w14:textId="56A8E123" w:rsidR="00ED2BE3" w:rsidRDefault="00ED2BE3" w:rsidP="66A03D91">
      <w:pPr>
        <w:spacing w:line="360" w:lineRule="auto"/>
        <w:rPr>
          <w:rFonts w:ascii="Arial" w:hAnsi="Arial" w:cs="Arial"/>
          <w:color w:val="4D160F" w:themeColor="accent2" w:themeShade="80"/>
        </w:rPr>
      </w:pPr>
      <w:r w:rsidRPr="66A03D91">
        <w:rPr>
          <w:rFonts w:ascii="Arial" w:hAnsi="Arial" w:cs="Arial"/>
          <w:color w:val="4D160F" w:themeColor="accent2" w:themeShade="80"/>
        </w:rPr>
        <w:t xml:space="preserve">External Mediation: </w:t>
      </w:r>
      <w:r w:rsidR="51C07DC4" w:rsidRPr="66A03D91">
        <w:rPr>
          <w:rFonts w:ascii="Arial" w:hAnsi="Arial" w:cs="Arial"/>
          <w:color w:val="4D160F" w:themeColor="accent2" w:themeShade="80"/>
        </w:rPr>
        <w:t>If needed, involve an outside mediator to guide the conversation and assist both parties in finding a solution that works for everyone.</w:t>
      </w:r>
    </w:p>
    <w:p w14:paraId="4C089BF4" w14:textId="2E51C326" w:rsidR="00ED2BE3" w:rsidRPr="00000332" w:rsidRDefault="00ED2BE3" w:rsidP="00000332">
      <w:pPr>
        <w:spacing w:line="360" w:lineRule="auto"/>
        <w:rPr>
          <w:rFonts w:ascii="Arial" w:hAnsi="Arial" w:cs="Arial"/>
          <w:b/>
          <w:bCs/>
          <w:color w:val="4D160F" w:themeColor="accent2" w:themeShade="80"/>
        </w:rPr>
      </w:pPr>
      <w:r w:rsidRPr="00000332">
        <w:rPr>
          <w:rFonts w:ascii="Arial" w:hAnsi="Arial" w:cs="Arial"/>
          <w:b/>
          <w:bCs/>
          <w:color w:val="4D160F" w:themeColor="accent2" w:themeShade="80"/>
        </w:rPr>
        <w:t>The Role of Leadership in Conflict Resolution</w:t>
      </w:r>
      <w:r w:rsidR="000A42EC" w:rsidRPr="00000332">
        <w:rPr>
          <w:rFonts w:ascii="Arial" w:hAnsi="Arial" w:cs="Arial"/>
          <w:b/>
          <w:bCs/>
          <w:color w:val="4D160F" w:themeColor="accent2" w:themeShade="80"/>
        </w:rPr>
        <w:t xml:space="preserve">: </w:t>
      </w:r>
      <w:r w:rsidRPr="00000332">
        <w:rPr>
          <w:rFonts w:ascii="Arial" w:hAnsi="Arial" w:cs="Arial"/>
          <w:color w:val="4D160F" w:themeColor="accent2" w:themeShade="80"/>
        </w:rPr>
        <w:t>Effective leadership is crucial in conflict resolution. In this case, a participatory leadership style would be beneficial. This style involves leaders who are willing to engage with employees, listen to their concerns, and involve them in decision-making processes. Participatory leadership can enhance trust and cooperation, making it easier to implement collaborative conflict resolution strategies (Yukl, 2013).</w:t>
      </w:r>
    </w:p>
    <w:p w14:paraId="74389428" w14:textId="3CB5C14F" w:rsidR="00AC5124" w:rsidRDefault="00AC5124"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The Post Office workers' strike presents a significant challenge that requires effective conflict resolution to ensure organisational stability and employee satisfaction. While conflict can have both positive and negative impacts, employing the collaborating style can lead to a win-win outcome that addresses the needs of both management and employees. By fostering open communication, joint problem-solving, and interest-based negotiation, and supported by participatory leadership, the Post Office can navigate this conflict effectively and emerge stronger.</w:t>
      </w:r>
    </w:p>
    <w:p w14:paraId="688F7E28" w14:textId="77777777" w:rsidR="00000332" w:rsidRPr="00000332" w:rsidRDefault="00000332" w:rsidP="00000332">
      <w:pPr>
        <w:spacing w:line="360" w:lineRule="auto"/>
        <w:rPr>
          <w:rFonts w:ascii="Arial" w:hAnsi="Arial" w:cs="Arial"/>
          <w:color w:val="4D160F" w:themeColor="accent2" w:themeShade="80"/>
        </w:rPr>
      </w:pPr>
    </w:p>
    <w:p w14:paraId="4F1784AA" w14:textId="77777777" w:rsidR="005C7839" w:rsidRPr="00000332" w:rsidRDefault="005C7839" w:rsidP="005C7839">
      <w:pPr>
        <w:pStyle w:val="Heading2"/>
        <w:rPr>
          <w:rFonts w:ascii="Arial" w:hAnsi="Arial" w:cs="Arial"/>
          <w:color w:val="4D160F" w:themeColor="accent2" w:themeShade="80"/>
          <w:sz w:val="24"/>
          <w:szCs w:val="24"/>
          <w:u w:val="single"/>
        </w:rPr>
      </w:pPr>
      <w:bookmarkStart w:id="14" w:name="_Toc172359884"/>
      <w:r w:rsidRPr="00000332">
        <w:rPr>
          <w:rFonts w:ascii="Arial" w:hAnsi="Arial" w:cs="Arial"/>
          <w:color w:val="4D160F" w:themeColor="accent2" w:themeShade="80"/>
          <w:sz w:val="24"/>
          <w:szCs w:val="24"/>
          <w:u w:val="single"/>
        </w:rPr>
        <w:t>Developing a Model for Change</w:t>
      </w:r>
      <w:bookmarkEnd w:id="14"/>
    </w:p>
    <w:p w14:paraId="78CF366D" w14:textId="77777777" w:rsidR="005C7839" w:rsidRPr="003C730F" w:rsidRDefault="005C7839" w:rsidP="005C7839">
      <w:pPr>
        <w:spacing w:line="276" w:lineRule="auto"/>
        <w:rPr>
          <w:rFonts w:ascii="Arial" w:hAnsi="Arial" w:cs="Arial"/>
          <w:color w:val="4D160F" w:themeColor="accent2" w:themeShade="80"/>
        </w:rPr>
      </w:pPr>
    </w:p>
    <w:p w14:paraId="6F4FF27E" w14:textId="77777777" w:rsidR="005C7839" w:rsidRPr="00000332" w:rsidRDefault="005C7839"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The strike highlighted the need for effective change management strategies to address employee dissatisfaction and ensure organizational stability.</w:t>
      </w:r>
    </w:p>
    <w:p w14:paraId="411C818C" w14:textId="0BAAD554" w:rsidR="005C7839" w:rsidRPr="00000332" w:rsidRDefault="005C7839"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To address the challenges faced by the Post Office and manage the strike effectively, a comprehensive change model is required. This model should incorporate elements from several established theoretical frameworks, including Kotter's 8-Step Change Model, Lewin's Three-Stage Model, and Shapiro's 7 Levels of Change.</w:t>
      </w:r>
    </w:p>
    <w:p w14:paraId="2131054E" w14:textId="150A0319" w:rsidR="003A1E07" w:rsidRPr="00000332" w:rsidRDefault="003A1E07" w:rsidP="00000332">
      <w:pPr>
        <w:spacing w:line="360" w:lineRule="auto"/>
        <w:rPr>
          <w:rFonts w:ascii="Arial" w:hAnsi="Arial" w:cs="Arial"/>
          <w:b/>
          <w:bCs/>
          <w:color w:val="4D160F" w:themeColor="accent2" w:themeShade="80"/>
        </w:rPr>
      </w:pPr>
      <w:r w:rsidRPr="00000332">
        <w:rPr>
          <w:rFonts w:ascii="Arial" w:hAnsi="Arial" w:cs="Arial"/>
          <w:b/>
          <w:bCs/>
          <w:color w:val="4D160F" w:themeColor="accent2" w:themeShade="80"/>
        </w:rPr>
        <w:t>Lewin's Three-Stage Model</w:t>
      </w:r>
      <w:r w:rsidR="000A42EC" w:rsidRPr="00000332">
        <w:rPr>
          <w:rFonts w:ascii="Arial" w:hAnsi="Arial" w:cs="Arial"/>
          <w:b/>
          <w:bCs/>
          <w:color w:val="4D160F" w:themeColor="accent2" w:themeShade="80"/>
        </w:rPr>
        <w:t xml:space="preserve">: </w:t>
      </w:r>
      <w:r w:rsidRPr="00000332">
        <w:rPr>
          <w:rFonts w:ascii="Arial" w:hAnsi="Arial" w:cs="Arial"/>
          <w:color w:val="4D160F" w:themeColor="accent2" w:themeShade="80"/>
        </w:rPr>
        <w:t>Kurt Lewin's three-stage model of change provides a structured approach for managing change (Lewin, 1951):</w:t>
      </w:r>
    </w:p>
    <w:p w14:paraId="04E186E4" w14:textId="77777777" w:rsidR="00D44FC8" w:rsidRPr="00000332" w:rsidRDefault="003A1E07"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 xml:space="preserve">Unfreezing: </w:t>
      </w:r>
      <w:r w:rsidR="00D44FC8" w:rsidRPr="00000332">
        <w:rPr>
          <w:rFonts w:ascii="Arial" w:hAnsi="Arial" w:cs="Arial"/>
          <w:color w:val="4D160F" w:themeColor="accent2" w:themeShade="80"/>
        </w:rPr>
        <w:t>This stage involves preparing the organization to accept that change is necessary by acknowledging the issues and creating awareness about the need for improvement. For the Post Office, it means acknowledging the legitimacy of workers' concerns and the need to address wage issues to prevent further disruptions.</w:t>
      </w:r>
    </w:p>
    <w:p w14:paraId="2B165E28" w14:textId="51FE1B45" w:rsidR="005C7839" w:rsidRPr="00000332" w:rsidRDefault="003A1E07"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 xml:space="preserve">Changing: </w:t>
      </w:r>
      <w:r w:rsidR="00D44FC8" w:rsidRPr="00000332">
        <w:rPr>
          <w:rFonts w:ascii="Arial" w:hAnsi="Arial" w:cs="Arial"/>
          <w:color w:val="4D160F" w:themeColor="accent2" w:themeShade="80"/>
        </w:rPr>
        <w:t xml:space="preserve">This is the phase where new </w:t>
      </w:r>
      <w:r w:rsidR="731E65B4" w:rsidRPr="6F4A785D">
        <w:rPr>
          <w:rFonts w:ascii="Arial" w:hAnsi="Arial" w:cs="Arial"/>
          <w:color w:val="4D160F" w:themeColor="accent2" w:themeShade="80"/>
        </w:rPr>
        <w:t>behaviours</w:t>
      </w:r>
      <w:r w:rsidR="00D44FC8" w:rsidRPr="00000332">
        <w:rPr>
          <w:rFonts w:ascii="Arial" w:hAnsi="Arial" w:cs="Arial"/>
          <w:color w:val="4D160F" w:themeColor="accent2" w:themeShade="80"/>
        </w:rPr>
        <w:t xml:space="preserve">, processes, and </w:t>
      </w:r>
      <w:r w:rsidR="397EDAE3" w:rsidRPr="22C4A028">
        <w:rPr>
          <w:rFonts w:ascii="Arial" w:hAnsi="Arial" w:cs="Arial"/>
          <w:color w:val="4D160F" w:themeColor="accent2" w:themeShade="80"/>
        </w:rPr>
        <w:t>mindsets</w:t>
      </w:r>
      <w:r w:rsidR="00D44FC8" w:rsidRPr="00000332">
        <w:rPr>
          <w:rFonts w:ascii="Arial" w:hAnsi="Arial" w:cs="Arial"/>
          <w:color w:val="4D160F" w:themeColor="accent2" w:themeShade="80"/>
        </w:rPr>
        <w:t xml:space="preserve"> are </w:t>
      </w:r>
      <w:r w:rsidR="397EDAE3" w:rsidRPr="22C4A028">
        <w:rPr>
          <w:rFonts w:ascii="Arial" w:hAnsi="Arial" w:cs="Arial"/>
          <w:color w:val="4D160F" w:themeColor="accent2" w:themeShade="80"/>
        </w:rPr>
        <w:t>introduced and put into practice.</w:t>
      </w:r>
      <w:r w:rsidR="00D44FC8" w:rsidRPr="00000332">
        <w:rPr>
          <w:rFonts w:ascii="Arial" w:hAnsi="Arial" w:cs="Arial"/>
          <w:color w:val="4D160F" w:themeColor="accent2" w:themeShade="80"/>
        </w:rPr>
        <w:t xml:space="preserve"> For the Post Office, it involves negotiating with the CWU to reach an agreement and implementing the agreed-upon changes, such as wage adjustments and improved working conditions, through collaborative efforts between management and employees.</w:t>
      </w:r>
    </w:p>
    <w:p w14:paraId="6C41AE05" w14:textId="37CBF173" w:rsidR="005C7839" w:rsidRPr="00000332" w:rsidRDefault="003A1E07"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Refreezing: In this stage, the changes are solidified into the organization's culture. For the Post Office, it means ensuring that the agreed changes are implemented and maintained, promoting long-term stability and trust between management and employees.</w:t>
      </w:r>
    </w:p>
    <w:p w14:paraId="67AA51A8" w14:textId="3B7E7702" w:rsidR="003A1E07" w:rsidRPr="00000332" w:rsidRDefault="003A1E07" w:rsidP="00000332">
      <w:pPr>
        <w:spacing w:line="360" w:lineRule="auto"/>
        <w:rPr>
          <w:rFonts w:ascii="Arial" w:hAnsi="Arial" w:cs="Arial"/>
          <w:color w:val="4D160F" w:themeColor="accent2" w:themeShade="80"/>
        </w:rPr>
      </w:pPr>
      <w:r w:rsidRPr="00000332">
        <w:rPr>
          <w:rFonts w:ascii="Arial" w:hAnsi="Arial" w:cs="Arial"/>
          <w:b/>
          <w:bCs/>
          <w:color w:val="4D160F" w:themeColor="accent2" w:themeShade="80"/>
        </w:rPr>
        <w:t>Kotter’s Eight Steps of Change</w:t>
      </w:r>
      <w:r w:rsidR="0029186A" w:rsidRPr="00000332">
        <w:rPr>
          <w:rFonts w:ascii="Arial" w:hAnsi="Arial" w:cs="Arial"/>
          <w:b/>
          <w:bCs/>
          <w:color w:val="4D160F" w:themeColor="accent2" w:themeShade="80"/>
        </w:rPr>
        <w:t xml:space="preserve"> </w:t>
      </w:r>
      <w:r w:rsidR="0029186A" w:rsidRPr="00000332">
        <w:rPr>
          <w:rFonts w:ascii="Arial" w:hAnsi="Arial" w:cs="Arial"/>
          <w:color w:val="4D160F" w:themeColor="accent2" w:themeShade="80"/>
        </w:rPr>
        <w:t>(see Figure 2)</w:t>
      </w:r>
    </w:p>
    <w:p w14:paraId="30C1DFA9" w14:textId="1BC0E141" w:rsidR="003A1E07" w:rsidRDefault="003A1E07"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John Kotter’s eight-step model offers a detailed guide for implementing change (Kotter, 1996):</w:t>
      </w:r>
    </w:p>
    <w:p w14:paraId="2C2A6120" w14:textId="77777777" w:rsidR="00112148" w:rsidRPr="00000332" w:rsidRDefault="00112148" w:rsidP="00112148">
      <w:pPr>
        <w:pStyle w:val="ListParagraph"/>
        <w:numPr>
          <w:ilvl w:val="0"/>
          <w:numId w:val="9"/>
        </w:numPr>
        <w:spacing w:line="360" w:lineRule="auto"/>
        <w:ind w:left="714" w:hanging="357"/>
        <w:rPr>
          <w:rFonts w:ascii="Arial" w:hAnsi="Arial" w:cs="Arial"/>
          <w:color w:val="4D160F" w:themeColor="accent2" w:themeShade="80"/>
        </w:rPr>
      </w:pPr>
      <w:r w:rsidRPr="00000332">
        <w:rPr>
          <w:rFonts w:ascii="Arial" w:hAnsi="Arial" w:cs="Arial"/>
          <w:color w:val="4D160F" w:themeColor="accent2" w:themeShade="80"/>
        </w:rPr>
        <w:t>Establish a sense of urgency: Highlight the financial pressures and competitive threats to emphasize the need for change, the strike's impact on operations.</w:t>
      </w:r>
    </w:p>
    <w:p w14:paraId="70DCE3F6" w14:textId="77777777" w:rsidR="00112148" w:rsidRPr="00000332" w:rsidRDefault="00112148" w:rsidP="00112148">
      <w:pPr>
        <w:pStyle w:val="ListParagraph"/>
        <w:numPr>
          <w:ilvl w:val="0"/>
          <w:numId w:val="9"/>
        </w:numPr>
        <w:spacing w:line="360" w:lineRule="auto"/>
        <w:ind w:left="714" w:hanging="357"/>
        <w:rPr>
          <w:rFonts w:ascii="Arial" w:hAnsi="Arial" w:cs="Arial"/>
          <w:color w:val="4D160F" w:themeColor="accent2" w:themeShade="80"/>
        </w:rPr>
      </w:pPr>
      <w:r w:rsidRPr="00000332">
        <w:rPr>
          <w:rFonts w:ascii="Arial" w:hAnsi="Arial" w:cs="Arial"/>
          <w:color w:val="4D160F" w:themeColor="accent2" w:themeShade="80"/>
        </w:rPr>
        <w:t>Form a powerful coalition: Form a powerful coalition: Gather a group of influential stakeholders to lead the change. Form a team of leaders from various departments, including HR and union representatives.</w:t>
      </w:r>
    </w:p>
    <w:p w14:paraId="65223E50" w14:textId="261D7529" w:rsidR="00112148" w:rsidRPr="00000332" w:rsidRDefault="00112148" w:rsidP="00112148">
      <w:pPr>
        <w:pStyle w:val="ListParagraph"/>
        <w:numPr>
          <w:ilvl w:val="0"/>
          <w:numId w:val="9"/>
        </w:numPr>
        <w:spacing w:line="360" w:lineRule="auto"/>
        <w:ind w:left="714" w:hanging="357"/>
        <w:rPr>
          <w:rFonts w:ascii="Arial" w:hAnsi="Arial" w:cs="Arial"/>
          <w:color w:val="4D160F" w:themeColor="accent2" w:themeShade="80"/>
        </w:rPr>
      </w:pPr>
      <w:r w:rsidRPr="00000332">
        <w:rPr>
          <w:rFonts w:ascii="Arial" w:hAnsi="Arial" w:cs="Arial"/>
          <w:color w:val="4D160F" w:themeColor="accent2" w:themeShade="80"/>
        </w:rPr>
        <w:t xml:space="preserve">Develop a vision and strategy: Create </w:t>
      </w:r>
      <w:r w:rsidR="2FD54AC3" w:rsidRPr="02332F82">
        <w:rPr>
          <w:rFonts w:ascii="Arial" w:hAnsi="Arial" w:cs="Arial"/>
          <w:color w:val="4D160F" w:themeColor="accent2" w:themeShade="80"/>
        </w:rPr>
        <w:t>an unobstructed</w:t>
      </w:r>
      <w:r w:rsidRPr="00000332">
        <w:rPr>
          <w:rFonts w:ascii="Arial" w:hAnsi="Arial" w:cs="Arial"/>
          <w:color w:val="4D160F" w:themeColor="accent2" w:themeShade="80"/>
        </w:rPr>
        <w:t xml:space="preserve"> vision for resolving the pay dispute and improving employee relations while ensuring the financial sustainability of the Post Office.</w:t>
      </w:r>
    </w:p>
    <w:p w14:paraId="6DBD7D45" w14:textId="45E39673" w:rsidR="00112148" w:rsidRPr="00000332" w:rsidRDefault="00112148" w:rsidP="00112148">
      <w:pPr>
        <w:pStyle w:val="ListParagraph"/>
        <w:numPr>
          <w:ilvl w:val="0"/>
          <w:numId w:val="9"/>
        </w:numPr>
        <w:spacing w:line="360" w:lineRule="auto"/>
        <w:ind w:left="714" w:hanging="357"/>
        <w:rPr>
          <w:rFonts w:ascii="Arial" w:hAnsi="Arial" w:cs="Arial"/>
          <w:color w:val="4D160F" w:themeColor="accent2" w:themeShade="80"/>
        </w:rPr>
      </w:pPr>
      <w:r w:rsidRPr="00000332">
        <w:rPr>
          <w:rFonts w:ascii="Arial" w:hAnsi="Arial" w:cs="Arial"/>
          <w:color w:val="4D160F" w:themeColor="accent2" w:themeShade="80"/>
        </w:rPr>
        <w:t xml:space="preserve">Communicate the change vision: </w:t>
      </w:r>
      <w:r w:rsidR="56D05D0B" w:rsidRPr="5F155EC7">
        <w:rPr>
          <w:rFonts w:ascii="Arial" w:hAnsi="Arial" w:cs="Arial"/>
          <w:color w:val="4D160F" w:themeColor="accent2" w:themeShade="80"/>
        </w:rPr>
        <w:t>Employ various</w:t>
      </w:r>
      <w:r w:rsidRPr="00000332">
        <w:rPr>
          <w:rFonts w:ascii="Arial" w:hAnsi="Arial" w:cs="Arial"/>
          <w:color w:val="4D160F" w:themeColor="accent2" w:themeShade="80"/>
        </w:rPr>
        <w:t xml:space="preserve"> communication </w:t>
      </w:r>
      <w:r w:rsidR="56D05D0B" w:rsidRPr="5F155EC7">
        <w:rPr>
          <w:rFonts w:ascii="Arial" w:hAnsi="Arial" w:cs="Arial"/>
          <w:color w:val="4D160F" w:themeColor="accent2" w:themeShade="80"/>
        </w:rPr>
        <w:t>methods</w:t>
      </w:r>
      <w:r w:rsidRPr="00000332">
        <w:rPr>
          <w:rFonts w:ascii="Arial" w:hAnsi="Arial" w:cs="Arial"/>
          <w:color w:val="4D160F" w:themeColor="accent2" w:themeShade="80"/>
        </w:rPr>
        <w:t xml:space="preserve"> to </w:t>
      </w:r>
      <w:r w:rsidR="56D05D0B" w:rsidRPr="5F155EC7">
        <w:rPr>
          <w:rFonts w:ascii="Arial" w:hAnsi="Arial" w:cs="Arial"/>
          <w:color w:val="4D160F" w:themeColor="accent2" w:themeShade="80"/>
        </w:rPr>
        <w:t>convey</w:t>
      </w:r>
      <w:r w:rsidRPr="00000332">
        <w:rPr>
          <w:rFonts w:ascii="Arial" w:hAnsi="Arial" w:cs="Arial"/>
          <w:color w:val="4D160F" w:themeColor="accent2" w:themeShade="80"/>
        </w:rPr>
        <w:t xml:space="preserve"> the vision </w:t>
      </w:r>
      <w:r w:rsidR="56D05D0B" w:rsidRPr="5F155EC7">
        <w:rPr>
          <w:rFonts w:ascii="Arial" w:hAnsi="Arial" w:cs="Arial"/>
          <w:color w:val="4D160F" w:themeColor="accent2" w:themeShade="80"/>
        </w:rPr>
        <w:t>to</w:t>
      </w:r>
      <w:r w:rsidRPr="00000332">
        <w:rPr>
          <w:rFonts w:ascii="Arial" w:hAnsi="Arial" w:cs="Arial"/>
          <w:color w:val="4D160F" w:themeColor="accent2" w:themeShade="80"/>
        </w:rPr>
        <w:t xml:space="preserve"> all </w:t>
      </w:r>
      <w:r w:rsidR="56D05D0B" w:rsidRPr="5F155EC7">
        <w:rPr>
          <w:rFonts w:ascii="Arial" w:hAnsi="Arial" w:cs="Arial"/>
          <w:color w:val="4D160F" w:themeColor="accent2" w:themeShade="80"/>
        </w:rPr>
        <w:t>interested parties</w:t>
      </w:r>
      <w:r w:rsidRPr="4C795D38">
        <w:rPr>
          <w:rFonts w:ascii="Arial" w:hAnsi="Arial" w:cs="Arial"/>
          <w:color w:val="4D160F" w:themeColor="accent2" w:themeShade="80"/>
        </w:rPr>
        <w:t>,</w:t>
      </w:r>
      <w:r w:rsidRPr="00000332">
        <w:rPr>
          <w:rFonts w:ascii="Arial" w:hAnsi="Arial" w:cs="Arial"/>
          <w:color w:val="4D160F" w:themeColor="accent2" w:themeShade="80"/>
        </w:rPr>
        <w:t xml:space="preserve"> ensuring transparency, building trust and gain support.</w:t>
      </w:r>
    </w:p>
    <w:p w14:paraId="197BA3B9" w14:textId="77777777" w:rsidR="00112148" w:rsidRPr="00000332" w:rsidRDefault="00112148" w:rsidP="00112148">
      <w:pPr>
        <w:pStyle w:val="ListParagraph"/>
        <w:numPr>
          <w:ilvl w:val="0"/>
          <w:numId w:val="9"/>
        </w:numPr>
        <w:spacing w:line="360" w:lineRule="auto"/>
        <w:ind w:left="714" w:hanging="357"/>
        <w:rPr>
          <w:rFonts w:ascii="Arial" w:hAnsi="Arial" w:cs="Arial"/>
          <w:color w:val="4D160F" w:themeColor="accent2" w:themeShade="80"/>
        </w:rPr>
      </w:pPr>
      <w:r w:rsidRPr="00000332">
        <w:rPr>
          <w:rFonts w:ascii="Arial" w:hAnsi="Arial" w:cs="Arial"/>
          <w:color w:val="4D160F" w:themeColor="accent2" w:themeShade="80"/>
        </w:rPr>
        <w:t>Empower broad-based action: Remove obstacles to change by addressing employee concerns and providing the necessary resources and support. Address any barriers to change, such as rigid policies or resistance.</w:t>
      </w:r>
    </w:p>
    <w:p w14:paraId="3744BA2A" w14:textId="77777777" w:rsidR="00112148" w:rsidRPr="00000332" w:rsidRDefault="00112148" w:rsidP="00112148">
      <w:pPr>
        <w:pStyle w:val="ListParagraph"/>
        <w:numPr>
          <w:ilvl w:val="0"/>
          <w:numId w:val="9"/>
        </w:numPr>
        <w:spacing w:line="360" w:lineRule="auto"/>
        <w:ind w:left="714" w:hanging="357"/>
        <w:rPr>
          <w:rFonts w:ascii="Arial" w:hAnsi="Arial" w:cs="Arial"/>
          <w:color w:val="4D160F" w:themeColor="accent2" w:themeShade="80"/>
        </w:rPr>
      </w:pPr>
      <w:r w:rsidRPr="00000332">
        <w:rPr>
          <w:rFonts w:ascii="Arial" w:hAnsi="Arial" w:cs="Arial"/>
          <w:color w:val="4D160F" w:themeColor="accent2" w:themeShade="80"/>
        </w:rPr>
        <w:t>Generate short-term wins: Achieve early successes, such as reaching a preliminary agreement with the CWU, to build momentum.</w:t>
      </w:r>
    </w:p>
    <w:p w14:paraId="5AC0A124" w14:textId="4BC102FC" w:rsidR="00112148" w:rsidRDefault="00112148" w:rsidP="0B25E350">
      <w:pPr>
        <w:pStyle w:val="ListParagraph"/>
        <w:numPr>
          <w:ilvl w:val="0"/>
          <w:numId w:val="9"/>
        </w:numPr>
        <w:spacing w:line="360" w:lineRule="auto"/>
        <w:rPr>
          <w:rFonts w:ascii="Arial" w:hAnsi="Arial" w:cs="Arial"/>
          <w:color w:val="4D160F" w:themeColor="accent2" w:themeShade="80"/>
        </w:rPr>
      </w:pPr>
      <w:r w:rsidRPr="0B25E350">
        <w:rPr>
          <w:rFonts w:ascii="Arial" w:hAnsi="Arial" w:cs="Arial"/>
          <w:color w:val="4D160F" w:themeColor="accent2" w:themeShade="80"/>
        </w:rPr>
        <w:t xml:space="preserve">Consolidate gains and produce more change: </w:t>
      </w:r>
      <w:r w:rsidR="740B5D01" w:rsidRPr="0B25E350">
        <w:rPr>
          <w:rFonts w:ascii="Arial" w:hAnsi="Arial" w:cs="Arial"/>
          <w:color w:val="4D160F" w:themeColor="accent2" w:themeShade="80"/>
        </w:rPr>
        <w:t>Leverage the early wins to enhance both employee relations and operational effectiveness.</w:t>
      </w:r>
    </w:p>
    <w:p w14:paraId="4919CEB0" w14:textId="6F307C5E" w:rsidR="00000332" w:rsidRPr="00112148" w:rsidRDefault="00112148" w:rsidP="00000332">
      <w:pPr>
        <w:pStyle w:val="ListParagraph"/>
        <w:numPr>
          <w:ilvl w:val="0"/>
          <w:numId w:val="9"/>
        </w:numPr>
        <w:spacing w:line="360" w:lineRule="auto"/>
        <w:rPr>
          <w:rFonts w:ascii="Arial" w:hAnsi="Arial" w:cs="Arial"/>
          <w:color w:val="4D160F" w:themeColor="accent2" w:themeShade="80"/>
        </w:rPr>
      </w:pPr>
      <w:r w:rsidRPr="00000332">
        <w:rPr>
          <w:rFonts w:ascii="Arial" w:hAnsi="Arial" w:cs="Arial"/>
          <w:color w:val="4D160F" w:themeColor="accent2" w:themeShade="80"/>
        </w:rPr>
        <w:t xml:space="preserve">Anchor </w:t>
      </w:r>
      <w:r w:rsidR="41B8BF4F" w:rsidRPr="20682214">
        <w:rPr>
          <w:rFonts w:ascii="Arial" w:hAnsi="Arial" w:cs="Arial"/>
          <w:color w:val="4D160F" w:themeColor="accent2" w:themeShade="80"/>
        </w:rPr>
        <w:t>innovative</w:t>
      </w:r>
      <w:r w:rsidRPr="00000332">
        <w:rPr>
          <w:rFonts w:ascii="Arial" w:hAnsi="Arial" w:cs="Arial"/>
          <w:color w:val="4D160F" w:themeColor="accent2" w:themeShade="80"/>
        </w:rPr>
        <w:t xml:space="preserve"> approaches in the culture: Ensure that the changes are integrated into the organizational culture through continuous communication and reinforcement.</w:t>
      </w:r>
    </w:p>
    <w:p w14:paraId="44320F58" w14:textId="3B68D4A0" w:rsidR="00BB6C8C" w:rsidRPr="003C730F" w:rsidRDefault="00A20E3B" w:rsidP="003A1E07">
      <w:pPr>
        <w:spacing w:line="276" w:lineRule="auto"/>
        <w:rPr>
          <w:rFonts w:ascii="Arial" w:hAnsi="Arial" w:cs="Arial"/>
          <w:color w:val="4D160F" w:themeColor="accent2" w:themeShade="80"/>
        </w:rPr>
      </w:pPr>
      <w:r w:rsidRPr="003C730F">
        <w:rPr>
          <w:rFonts w:ascii="Arial" w:hAnsi="Arial" w:cs="Arial"/>
          <w:noProof/>
          <w:color w:val="4D160F" w:themeColor="accent2" w:themeShade="80"/>
        </w:rPr>
        <mc:AlternateContent>
          <mc:Choice Requires="wps">
            <w:drawing>
              <wp:anchor distT="0" distB="0" distL="114300" distR="114300" simplePos="0" relativeHeight="251658251" behindDoc="0" locked="0" layoutInCell="1" allowOverlap="1" wp14:anchorId="7F5B9584" wp14:editId="50417812">
                <wp:simplePos x="0" y="0"/>
                <wp:positionH relativeFrom="column">
                  <wp:posOffset>2194560</wp:posOffset>
                </wp:positionH>
                <wp:positionV relativeFrom="paragraph">
                  <wp:posOffset>177666</wp:posOffset>
                </wp:positionV>
                <wp:extent cx="1289017" cy="1116531"/>
                <wp:effectExtent l="0" t="0" r="26035" b="26670"/>
                <wp:wrapNone/>
                <wp:docPr id="290306697" name="Flowchart: Connector 11"/>
                <wp:cNvGraphicFramePr/>
                <a:graphic xmlns:a="http://schemas.openxmlformats.org/drawingml/2006/main">
                  <a:graphicData uri="http://schemas.microsoft.com/office/word/2010/wordprocessingShape">
                    <wps:wsp>
                      <wps:cNvSpPr/>
                      <wps:spPr>
                        <a:xfrm>
                          <a:off x="0" y="0"/>
                          <a:ext cx="1289017" cy="1116531"/>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F040517" w14:textId="06E63055" w:rsidR="00BB6C8C" w:rsidRPr="0029186A" w:rsidRDefault="00BB6C8C" w:rsidP="00BB6C8C">
                            <w:pPr>
                              <w:jc w:val="center"/>
                              <w:rPr>
                                <w:rFonts w:ascii="Arial" w:hAnsi="Arial" w:cs="Arial"/>
                                <w:color w:val="F4CDC8" w:themeColor="accent2" w:themeTint="33"/>
                              </w:rPr>
                            </w:pPr>
                            <w:r w:rsidRPr="0029186A">
                              <w:rPr>
                                <w:rFonts w:ascii="Arial" w:hAnsi="Arial" w:cs="Arial"/>
                                <w:color w:val="F4CDC8" w:themeColor="accent2" w:themeTint="33"/>
                              </w:rPr>
                              <w:t>1.Create a sense of urgency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5B9584"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1" o:spid="_x0000_s1034" type="#_x0000_t120" style="position:absolute;margin-left:172.8pt;margin-top:14pt;width:101.5pt;height:87.9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" fillcolor="#d34817 [3204]" strokecolor="#1f0a03 [484]" strokeweight="1pt">
                <v:stroke joinstyle="miter"/>
                <v:textbox>
                  <w:txbxContent>
                    <w:p w14:paraId="5F040517" w14:textId="06E63055" w:rsidR="00BB6C8C" w:rsidRPr="0029186A" w:rsidRDefault="00BB6C8C" w:rsidP="00BB6C8C">
                      <w:pPr>
                        <w:jc w:val="center"/>
                        <w:rPr>
                          <w:rFonts w:ascii="Arial" w:hAnsi="Arial" w:cs="Arial"/>
                          <w:color w:val="F4CDC8" w:themeColor="accent2" w:themeTint="33"/>
                        </w:rPr>
                      </w:pPr>
                      <w:r w:rsidRPr="0029186A">
                        <w:rPr>
                          <w:rFonts w:ascii="Arial" w:hAnsi="Arial" w:cs="Arial"/>
                          <w:color w:val="F4CDC8" w:themeColor="accent2" w:themeTint="33"/>
                        </w:rPr>
                        <w:t>1.Create a sense of urgency</w:t>
                      </w:r>
                    </w:p>
                  </w:txbxContent>
                </v:textbox>
              </v:shape>
            </w:pict>
          </mc:Fallback>
        </mc:AlternateContent>
      </w:r>
    </w:p>
    <w:p w14:paraId="00527A27" w14:textId="3E01A09F" w:rsidR="00BB6C8C" w:rsidRPr="003C730F" w:rsidRDefault="00BB6C8C" w:rsidP="003A1E07">
      <w:pPr>
        <w:spacing w:line="276" w:lineRule="auto"/>
        <w:rPr>
          <w:rFonts w:ascii="Arial" w:hAnsi="Arial" w:cs="Arial"/>
          <w:color w:val="4D160F" w:themeColor="accent2" w:themeShade="80"/>
        </w:rPr>
      </w:pPr>
    </w:p>
    <w:p w14:paraId="0569AD11" w14:textId="122638B2" w:rsidR="00BB6C8C" w:rsidRPr="003C730F" w:rsidRDefault="0029186A" w:rsidP="003A1E07">
      <w:pPr>
        <w:spacing w:line="276" w:lineRule="auto"/>
        <w:rPr>
          <w:rFonts w:ascii="Arial" w:hAnsi="Arial" w:cs="Arial"/>
          <w:color w:val="4D160F" w:themeColor="accent2" w:themeShade="80"/>
        </w:rPr>
      </w:pPr>
      <w:r w:rsidRPr="003C730F">
        <w:rPr>
          <w:rFonts w:ascii="Arial" w:hAnsi="Arial" w:cs="Arial"/>
          <w:noProof/>
          <w:color w:val="4D160F" w:themeColor="accent2" w:themeShade="80"/>
        </w:rPr>
        <mc:AlternateContent>
          <mc:Choice Requires="wps">
            <w:drawing>
              <wp:anchor distT="0" distB="0" distL="114300" distR="114300" simplePos="0" relativeHeight="251658258" behindDoc="0" locked="0" layoutInCell="1" allowOverlap="1" wp14:anchorId="0320A6C7" wp14:editId="21C990D4">
                <wp:simplePos x="0" y="0"/>
                <wp:positionH relativeFrom="column">
                  <wp:posOffset>1097280</wp:posOffset>
                </wp:positionH>
                <wp:positionV relativeFrom="paragraph">
                  <wp:posOffset>9157</wp:posOffset>
                </wp:positionV>
                <wp:extent cx="1154430" cy="1164657"/>
                <wp:effectExtent l="0" t="0" r="26670" b="16510"/>
                <wp:wrapNone/>
                <wp:docPr id="67527868" name="Flowchart: Connector 19"/>
                <wp:cNvGraphicFramePr/>
                <a:graphic xmlns:a="http://schemas.openxmlformats.org/drawingml/2006/main">
                  <a:graphicData uri="http://schemas.microsoft.com/office/word/2010/wordprocessingShape">
                    <wps:wsp>
                      <wps:cNvSpPr/>
                      <wps:spPr>
                        <a:xfrm>
                          <a:off x="0" y="0"/>
                          <a:ext cx="1154430" cy="1164657"/>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A53BEFD" w14:textId="58118800" w:rsidR="00A20E3B" w:rsidRPr="0029186A" w:rsidRDefault="00A20E3B" w:rsidP="00A20E3B">
                            <w:pPr>
                              <w:jc w:val="center"/>
                              <w:rPr>
                                <w:rFonts w:ascii="Arial" w:hAnsi="Arial" w:cs="Arial"/>
                                <w:color w:val="F4CDC8" w:themeColor="accent2" w:themeTint="33"/>
                              </w:rPr>
                            </w:pPr>
                            <w:r w:rsidRPr="0029186A">
                              <w:rPr>
                                <w:rFonts w:ascii="Arial" w:hAnsi="Arial" w:cs="Arial"/>
                                <w:color w:val="F4CDC8" w:themeColor="accent2" w:themeTint="33"/>
                              </w:rPr>
                              <w:t>8.Institute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0A6C7" id="Flowchart: Connector 19" o:spid="_x0000_s1035" type="#_x0000_t120" style="position:absolute;margin-left:86.4pt;margin-top:.7pt;width:90.9pt;height:91.7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" fillcolor="#d34817 [3204]" strokecolor="#1f0a03 [484]" strokeweight="1pt">
                <v:stroke joinstyle="miter"/>
                <v:textbox>
                  <w:txbxContent>
                    <w:p w14:paraId="1A53BEFD" w14:textId="58118800" w:rsidR="00A20E3B" w:rsidRPr="0029186A" w:rsidRDefault="00A20E3B" w:rsidP="00A20E3B">
                      <w:pPr>
                        <w:jc w:val="center"/>
                        <w:rPr>
                          <w:rFonts w:ascii="Arial" w:hAnsi="Arial" w:cs="Arial"/>
                          <w:color w:val="F4CDC8" w:themeColor="accent2" w:themeTint="33"/>
                        </w:rPr>
                      </w:pPr>
                      <w:r w:rsidRPr="0029186A">
                        <w:rPr>
                          <w:rFonts w:ascii="Arial" w:hAnsi="Arial" w:cs="Arial"/>
                          <w:color w:val="F4CDC8" w:themeColor="accent2" w:themeTint="33"/>
                        </w:rPr>
                        <w:t>8.Institute change</w:t>
                      </w:r>
                    </w:p>
                  </w:txbxContent>
                </v:textbox>
              </v:shape>
            </w:pict>
          </mc:Fallback>
        </mc:AlternateContent>
      </w:r>
      <w:r w:rsidR="00A20E3B" w:rsidRPr="003C730F">
        <w:rPr>
          <w:rFonts w:ascii="Arial" w:hAnsi="Arial" w:cs="Arial"/>
          <w:noProof/>
          <w:color w:val="4D160F" w:themeColor="accent2" w:themeShade="80"/>
        </w:rPr>
        <mc:AlternateContent>
          <mc:Choice Requires="wps">
            <w:drawing>
              <wp:anchor distT="0" distB="0" distL="114300" distR="114300" simplePos="0" relativeHeight="251658252" behindDoc="0" locked="0" layoutInCell="1" allowOverlap="1" wp14:anchorId="149EAB55" wp14:editId="6381ED2E">
                <wp:simplePos x="0" y="0"/>
                <wp:positionH relativeFrom="column">
                  <wp:posOffset>3407343</wp:posOffset>
                </wp:positionH>
                <wp:positionV relativeFrom="paragraph">
                  <wp:posOffset>9157</wp:posOffset>
                </wp:positionV>
                <wp:extent cx="1135347" cy="1039495"/>
                <wp:effectExtent l="0" t="0" r="27305" b="27305"/>
                <wp:wrapNone/>
                <wp:docPr id="656890738" name="Flowchart: Connector 12"/>
                <wp:cNvGraphicFramePr/>
                <a:graphic xmlns:a="http://schemas.openxmlformats.org/drawingml/2006/main">
                  <a:graphicData uri="http://schemas.microsoft.com/office/word/2010/wordprocessingShape">
                    <wps:wsp>
                      <wps:cNvSpPr/>
                      <wps:spPr>
                        <a:xfrm>
                          <a:off x="0" y="0"/>
                          <a:ext cx="1135347" cy="1039495"/>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787C1D1" w14:textId="3FE60F5E" w:rsidR="00BB6C8C" w:rsidRPr="0029186A" w:rsidRDefault="00BB6C8C" w:rsidP="00BB6C8C">
                            <w:pPr>
                              <w:jc w:val="center"/>
                              <w:rPr>
                                <w:rFonts w:ascii="Arial" w:hAnsi="Arial" w:cs="Arial"/>
                                <w:color w:val="F4CDC8" w:themeColor="accent2" w:themeTint="33"/>
                              </w:rPr>
                            </w:pPr>
                            <w:r w:rsidRPr="0029186A">
                              <w:rPr>
                                <w:rFonts w:ascii="Arial" w:hAnsi="Arial" w:cs="Arial"/>
                                <w:color w:val="F4CDC8" w:themeColor="accent2" w:themeTint="33"/>
                              </w:rPr>
                              <w:t>2.Build a guiding coalition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EAB55" id="Flowchart: Connector 12" o:spid="_x0000_s1036" type="#_x0000_t120" style="position:absolute;margin-left:268.3pt;margin-top:.7pt;width:89.4pt;height:81.8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" fillcolor="#d34817 [3204]" strokecolor="#1f0a03 [484]" strokeweight="1pt">
                <v:stroke joinstyle="miter"/>
                <v:textbox>
                  <w:txbxContent>
                    <w:p w14:paraId="1787C1D1" w14:textId="3FE60F5E" w:rsidR="00BB6C8C" w:rsidRPr="0029186A" w:rsidRDefault="00BB6C8C" w:rsidP="00BB6C8C">
                      <w:pPr>
                        <w:jc w:val="center"/>
                        <w:rPr>
                          <w:rFonts w:ascii="Arial" w:hAnsi="Arial" w:cs="Arial"/>
                          <w:color w:val="F4CDC8" w:themeColor="accent2" w:themeTint="33"/>
                        </w:rPr>
                      </w:pPr>
                      <w:r w:rsidRPr="0029186A">
                        <w:rPr>
                          <w:rFonts w:ascii="Arial" w:hAnsi="Arial" w:cs="Arial"/>
                          <w:color w:val="F4CDC8" w:themeColor="accent2" w:themeTint="33"/>
                        </w:rPr>
                        <w:t>2.Build a guiding coalition</w:t>
                      </w:r>
                    </w:p>
                  </w:txbxContent>
                </v:textbox>
              </v:shape>
            </w:pict>
          </mc:Fallback>
        </mc:AlternateContent>
      </w:r>
    </w:p>
    <w:p w14:paraId="0D50B299" w14:textId="5AB3ABA4" w:rsidR="00BB6C8C" w:rsidRPr="003C730F" w:rsidRDefault="00BB6C8C" w:rsidP="003A1E07">
      <w:pPr>
        <w:spacing w:line="276" w:lineRule="auto"/>
        <w:rPr>
          <w:rFonts w:ascii="Arial" w:hAnsi="Arial" w:cs="Arial"/>
          <w:color w:val="4D160F" w:themeColor="accent2" w:themeShade="80"/>
        </w:rPr>
      </w:pPr>
      <w:r w:rsidRPr="003C730F">
        <w:rPr>
          <w:rFonts w:ascii="Arial" w:hAnsi="Arial" w:cs="Arial"/>
          <w:noProof/>
          <w:color w:val="4D160F" w:themeColor="accent2" w:themeShade="80"/>
        </w:rPr>
        <mc:AlternateContent>
          <mc:Choice Requires="wps">
            <w:drawing>
              <wp:anchor distT="0" distB="0" distL="114300" distR="114300" simplePos="0" relativeHeight="251658250" behindDoc="0" locked="0" layoutInCell="1" allowOverlap="1" wp14:anchorId="322D1CA9" wp14:editId="5430257B">
                <wp:simplePos x="0" y="0"/>
                <wp:positionH relativeFrom="column">
                  <wp:posOffset>1770915</wp:posOffset>
                </wp:positionH>
                <wp:positionV relativeFrom="paragraph">
                  <wp:posOffset>174625</wp:posOffset>
                </wp:positionV>
                <wp:extent cx="2314708" cy="2156059"/>
                <wp:effectExtent l="0" t="0" r="28575" b="15875"/>
                <wp:wrapNone/>
                <wp:docPr id="1036715091" name="Flowchart: Connector 10"/>
                <wp:cNvGraphicFramePr/>
                <a:graphic xmlns:a="http://schemas.openxmlformats.org/drawingml/2006/main">
                  <a:graphicData uri="http://schemas.microsoft.com/office/word/2010/wordprocessingShape">
                    <wps:wsp>
                      <wps:cNvSpPr/>
                      <wps:spPr>
                        <a:xfrm>
                          <a:off x="0" y="0"/>
                          <a:ext cx="2314708" cy="2156059"/>
                        </a:xfrm>
                        <a:prstGeom prst="flowChartConnector">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C2EE892" w14:textId="14C2669F" w:rsidR="00BB6C8C" w:rsidRPr="00000332" w:rsidRDefault="00BB6C8C" w:rsidP="00BB6C8C">
                            <w:pPr>
                              <w:jc w:val="center"/>
                              <w:rPr>
                                <w:rFonts w:ascii="Arial" w:hAnsi="Arial" w:cs="Arial"/>
                                <w:color w:val="4D160F" w:themeColor="accent2" w:themeShade="80"/>
                              </w:rPr>
                            </w:pPr>
                            <w:r w:rsidRPr="00000332">
                              <w:rPr>
                                <w:rFonts w:ascii="Arial" w:hAnsi="Arial" w:cs="Arial"/>
                                <w:color w:val="4D160F" w:themeColor="accent2" w:themeShade="80"/>
                              </w:rPr>
                              <w:t>The big Opportunity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D1CA9" id="Flowchart: Connector 10" o:spid="_x0000_s1037" type="#_x0000_t120" style="position:absolute;margin-left:139.45pt;margin-top:13.75pt;width:182.25pt;height:169.7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" fillcolor="#f9d8cd [660]" strokecolor="#1f0a03 [484]" strokeweight="1pt">
                <v:stroke joinstyle="miter"/>
                <v:textbox>
                  <w:txbxContent>
                    <w:p w14:paraId="6C2EE892" w14:textId="14C2669F" w:rsidR="00BB6C8C" w:rsidRPr="00000332" w:rsidRDefault="00BB6C8C" w:rsidP="00BB6C8C">
                      <w:pPr>
                        <w:jc w:val="center"/>
                        <w:rPr>
                          <w:rFonts w:ascii="Arial" w:hAnsi="Arial" w:cs="Arial"/>
                          <w:color w:val="4D160F" w:themeColor="accent2" w:themeShade="80"/>
                        </w:rPr>
                      </w:pPr>
                      <w:r w:rsidRPr="00000332">
                        <w:rPr>
                          <w:rFonts w:ascii="Arial" w:hAnsi="Arial" w:cs="Arial"/>
                          <w:color w:val="4D160F" w:themeColor="accent2" w:themeShade="80"/>
                        </w:rPr>
                        <w:t>The big Opportunity</w:t>
                      </w:r>
                    </w:p>
                  </w:txbxContent>
                </v:textbox>
              </v:shape>
            </w:pict>
          </mc:Fallback>
        </mc:AlternateContent>
      </w:r>
    </w:p>
    <w:p w14:paraId="184A3D80" w14:textId="3CAD30B8" w:rsidR="00BB6C8C" w:rsidRPr="003C730F" w:rsidRDefault="00BB6C8C" w:rsidP="003A1E07">
      <w:pPr>
        <w:spacing w:line="276" w:lineRule="auto"/>
        <w:rPr>
          <w:rFonts w:ascii="Arial" w:hAnsi="Arial" w:cs="Arial"/>
          <w:color w:val="4D160F" w:themeColor="accent2" w:themeShade="80"/>
        </w:rPr>
      </w:pPr>
    </w:p>
    <w:p w14:paraId="188247D6" w14:textId="29FB6C1E" w:rsidR="00BB6C8C" w:rsidRPr="003C730F" w:rsidRDefault="00A20E3B" w:rsidP="003A1E07">
      <w:pPr>
        <w:spacing w:line="276" w:lineRule="auto"/>
        <w:rPr>
          <w:rFonts w:ascii="Arial" w:hAnsi="Arial" w:cs="Arial"/>
          <w:color w:val="4D160F" w:themeColor="accent2" w:themeShade="80"/>
        </w:rPr>
      </w:pPr>
      <w:r w:rsidRPr="003C730F">
        <w:rPr>
          <w:rFonts w:ascii="Arial" w:hAnsi="Arial" w:cs="Arial"/>
          <w:noProof/>
          <w:color w:val="4D160F" w:themeColor="accent2" w:themeShade="80"/>
        </w:rPr>
        <mc:AlternateContent>
          <mc:Choice Requires="wps">
            <w:drawing>
              <wp:anchor distT="0" distB="0" distL="114300" distR="114300" simplePos="0" relativeHeight="251658253" behindDoc="0" locked="0" layoutInCell="1" allowOverlap="1" wp14:anchorId="53FB183B" wp14:editId="67D6291A">
                <wp:simplePos x="0" y="0"/>
                <wp:positionH relativeFrom="column">
                  <wp:posOffset>3964672</wp:posOffset>
                </wp:positionH>
                <wp:positionV relativeFrom="paragraph">
                  <wp:posOffset>44049</wp:posOffset>
                </wp:positionV>
                <wp:extent cx="1145406" cy="1174282"/>
                <wp:effectExtent l="0" t="0" r="17145" b="26035"/>
                <wp:wrapNone/>
                <wp:docPr id="211583080" name="Flowchart: Connector 13"/>
                <wp:cNvGraphicFramePr/>
                <a:graphic xmlns:a="http://schemas.openxmlformats.org/drawingml/2006/main">
                  <a:graphicData uri="http://schemas.microsoft.com/office/word/2010/wordprocessingShape">
                    <wps:wsp>
                      <wps:cNvSpPr/>
                      <wps:spPr>
                        <a:xfrm>
                          <a:off x="0" y="0"/>
                          <a:ext cx="1145406" cy="1174282"/>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C743BAD" w14:textId="3103B644" w:rsidR="00BB6C8C" w:rsidRPr="0029186A" w:rsidRDefault="00BB6C8C" w:rsidP="00BB6C8C">
                            <w:pPr>
                              <w:jc w:val="center"/>
                              <w:rPr>
                                <w:rFonts w:ascii="Arial" w:hAnsi="Arial" w:cs="Arial"/>
                                <w:color w:val="F4CDC8" w:themeColor="accent2" w:themeTint="33"/>
                              </w:rPr>
                            </w:pPr>
                            <w:r w:rsidRPr="0029186A">
                              <w:rPr>
                                <w:rFonts w:ascii="Arial" w:hAnsi="Arial" w:cs="Arial"/>
                                <w:color w:val="F4CDC8" w:themeColor="accent2" w:themeTint="33"/>
                              </w:rPr>
                              <w:t>3.Form a strategic vision and initiatives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FB183B" id="Flowchart: Connector 13" o:spid="_x0000_s1038" type="#_x0000_t120" style="position:absolute;margin-left:312.2pt;margin-top:3.45pt;width:90.2pt;height:92.4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" fillcolor="#d34817 [3204]" strokecolor="#1f0a03 [484]" strokeweight="1pt">
                <v:stroke joinstyle="miter"/>
                <v:textbox>
                  <w:txbxContent>
                    <w:p w14:paraId="1C743BAD" w14:textId="3103B644" w:rsidR="00BB6C8C" w:rsidRPr="0029186A" w:rsidRDefault="00BB6C8C" w:rsidP="00BB6C8C">
                      <w:pPr>
                        <w:jc w:val="center"/>
                        <w:rPr>
                          <w:rFonts w:ascii="Arial" w:hAnsi="Arial" w:cs="Arial"/>
                          <w:color w:val="F4CDC8" w:themeColor="accent2" w:themeTint="33"/>
                        </w:rPr>
                      </w:pPr>
                      <w:r w:rsidRPr="0029186A">
                        <w:rPr>
                          <w:rFonts w:ascii="Arial" w:hAnsi="Arial" w:cs="Arial"/>
                          <w:color w:val="F4CDC8" w:themeColor="accent2" w:themeTint="33"/>
                        </w:rPr>
                        <w:t>3.Form a strategic vision and initiatives</w:t>
                      </w:r>
                    </w:p>
                  </w:txbxContent>
                </v:textbox>
              </v:shape>
            </w:pict>
          </mc:Fallback>
        </mc:AlternateContent>
      </w:r>
    </w:p>
    <w:p w14:paraId="06767892" w14:textId="2D6F8155" w:rsidR="00BB6C8C" w:rsidRPr="003C730F" w:rsidRDefault="00A20E3B" w:rsidP="003A1E07">
      <w:pPr>
        <w:spacing w:line="276" w:lineRule="auto"/>
        <w:rPr>
          <w:rFonts w:ascii="Arial" w:hAnsi="Arial" w:cs="Arial"/>
          <w:color w:val="4D160F" w:themeColor="accent2" w:themeShade="80"/>
        </w:rPr>
      </w:pPr>
      <w:r w:rsidRPr="003C730F">
        <w:rPr>
          <w:rFonts w:ascii="Arial" w:hAnsi="Arial" w:cs="Arial"/>
          <w:noProof/>
          <w:color w:val="4D160F" w:themeColor="accent2" w:themeShade="80"/>
        </w:rPr>
        <mc:AlternateContent>
          <mc:Choice Requires="wps">
            <w:drawing>
              <wp:anchor distT="0" distB="0" distL="114300" distR="114300" simplePos="0" relativeHeight="251658257" behindDoc="0" locked="0" layoutInCell="1" allowOverlap="1" wp14:anchorId="6C1C326F" wp14:editId="2468B09B">
                <wp:simplePos x="0" y="0"/>
                <wp:positionH relativeFrom="column">
                  <wp:posOffset>866140</wp:posOffset>
                </wp:positionH>
                <wp:positionV relativeFrom="paragraph">
                  <wp:posOffset>27906</wp:posOffset>
                </wp:positionV>
                <wp:extent cx="1106671" cy="1125788"/>
                <wp:effectExtent l="0" t="0" r="17780" b="17780"/>
                <wp:wrapNone/>
                <wp:docPr id="110796269" name="Flowchart: Connector 18"/>
                <wp:cNvGraphicFramePr/>
                <a:graphic xmlns:a="http://schemas.openxmlformats.org/drawingml/2006/main">
                  <a:graphicData uri="http://schemas.microsoft.com/office/word/2010/wordprocessingShape">
                    <wps:wsp>
                      <wps:cNvSpPr/>
                      <wps:spPr>
                        <a:xfrm>
                          <a:off x="0" y="0"/>
                          <a:ext cx="1106671" cy="1125788"/>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9ED0F3A" w14:textId="78554B03" w:rsidR="00A20E3B" w:rsidRPr="0029186A" w:rsidRDefault="00A20E3B" w:rsidP="00A20E3B">
                            <w:pPr>
                              <w:jc w:val="center"/>
                              <w:rPr>
                                <w:rFonts w:ascii="Arial" w:hAnsi="Arial" w:cs="Arial"/>
                                <w:color w:val="F4CDC8" w:themeColor="accent2" w:themeTint="33"/>
                              </w:rPr>
                            </w:pPr>
                            <w:r w:rsidRPr="0029186A">
                              <w:rPr>
                                <w:rFonts w:ascii="Arial" w:hAnsi="Arial" w:cs="Arial"/>
                                <w:color w:val="F4CDC8" w:themeColor="accent2" w:themeTint="33"/>
                              </w:rPr>
                              <w:t>7.Sustain acceleration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C326F" id="Flowchart: Connector 18" o:spid="_x0000_s1039" type="#_x0000_t120" style="position:absolute;margin-left:68.2pt;margin-top:2.2pt;width:87.15pt;height:88.6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" fillcolor="#d34817 [3204]" strokecolor="#1f0a03 [484]" strokeweight="1pt">
                <v:stroke joinstyle="miter"/>
                <v:textbox>
                  <w:txbxContent>
                    <w:p w14:paraId="49ED0F3A" w14:textId="78554B03" w:rsidR="00A20E3B" w:rsidRPr="0029186A" w:rsidRDefault="00A20E3B" w:rsidP="00A20E3B">
                      <w:pPr>
                        <w:jc w:val="center"/>
                        <w:rPr>
                          <w:rFonts w:ascii="Arial" w:hAnsi="Arial" w:cs="Arial"/>
                          <w:color w:val="F4CDC8" w:themeColor="accent2" w:themeTint="33"/>
                        </w:rPr>
                      </w:pPr>
                      <w:r w:rsidRPr="0029186A">
                        <w:rPr>
                          <w:rFonts w:ascii="Arial" w:hAnsi="Arial" w:cs="Arial"/>
                          <w:color w:val="F4CDC8" w:themeColor="accent2" w:themeTint="33"/>
                        </w:rPr>
                        <w:t>7.Sustain acceleration</w:t>
                      </w:r>
                    </w:p>
                  </w:txbxContent>
                </v:textbox>
              </v:shape>
            </w:pict>
          </mc:Fallback>
        </mc:AlternateContent>
      </w:r>
    </w:p>
    <w:p w14:paraId="293661C9" w14:textId="1B6A98F5" w:rsidR="00BB6C8C" w:rsidRPr="003C730F" w:rsidRDefault="00BB6C8C" w:rsidP="003A1E07">
      <w:pPr>
        <w:spacing w:line="276" w:lineRule="auto"/>
        <w:rPr>
          <w:rFonts w:ascii="Arial" w:hAnsi="Arial" w:cs="Arial"/>
          <w:color w:val="4D160F" w:themeColor="accent2" w:themeShade="80"/>
        </w:rPr>
      </w:pPr>
    </w:p>
    <w:p w14:paraId="35A7C71F" w14:textId="633FEFAB" w:rsidR="00BB6C8C" w:rsidRPr="003C730F" w:rsidRDefault="00A20E3B" w:rsidP="003A1E07">
      <w:pPr>
        <w:spacing w:line="276" w:lineRule="auto"/>
        <w:rPr>
          <w:rFonts w:ascii="Arial" w:hAnsi="Arial" w:cs="Arial"/>
          <w:color w:val="4D160F" w:themeColor="accent2" w:themeShade="80"/>
        </w:rPr>
      </w:pPr>
      <w:r w:rsidRPr="003C730F">
        <w:rPr>
          <w:rFonts w:ascii="Arial" w:hAnsi="Arial" w:cs="Arial"/>
          <w:noProof/>
          <w:color w:val="4D160F" w:themeColor="accent2" w:themeShade="80"/>
        </w:rPr>
        <mc:AlternateContent>
          <mc:Choice Requires="wps">
            <w:drawing>
              <wp:anchor distT="0" distB="0" distL="114300" distR="114300" simplePos="0" relativeHeight="251658254" behindDoc="0" locked="0" layoutInCell="1" allowOverlap="1" wp14:anchorId="4C26DD91" wp14:editId="6294B265">
                <wp:simplePos x="0" y="0"/>
                <wp:positionH relativeFrom="column">
                  <wp:posOffset>3564890</wp:posOffset>
                </wp:positionH>
                <wp:positionV relativeFrom="paragraph">
                  <wp:posOffset>282575</wp:posOffset>
                </wp:positionV>
                <wp:extent cx="1149985" cy="1174115"/>
                <wp:effectExtent l="0" t="0" r="12065" b="26035"/>
                <wp:wrapNone/>
                <wp:docPr id="489322786" name="Flowchart: Connector 14"/>
                <wp:cNvGraphicFramePr/>
                <a:graphic xmlns:a="http://schemas.openxmlformats.org/drawingml/2006/main">
                  <a:graphicData uri="http://schemas.microsoft.com/office/word/2010/wordprocessingShape">
                    <wps:wsp>
                      <wps:cNvSpPr/>
                      <wps:spPr>
                        <a:xfrm>
                          <a:off x="0" y="0"/>
                          <a:ext cx="1149985" cy="1174115"/>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B0FD7F2" w14:textId="5FC386C2" w:rsidR="00BB6C8C" w:rsidRPr="0029186A" w:rsidRDefault="00BB6C8C" w:rsidP="00BB6C8C">
                            <w:pPr>
                              <w:jc w:val="center"/>
                              <w:rPr>
                                <w:rFonts w:ascii="Arial" w:hAnsi="Arial" w:cs="Arial"/>
                                <w:color w:val="F4CDC8" w:themeColor="accent2" w:themeTint="33"/>
                              </w:rPr>
                            </w:pPr>
                            <w:r w:rsidRPr="0029186A">
                              <w:rPr>
                                <w:rFonts w:ascii="Arial" w:hAnsi="Arial" w:cs="Arial"/>
                                <w:color w:val="F4CDC8" w:themeColor="accent2" w:themeTint="33"/>
                              </w:rPr>
                              <w:t>4.Enlist a volunteer army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26DD91" id="Flowchart: Connector 14" o:spid="_x0000_s1040" type="#_x0000_t120" style="position:absolute;margin-left:280.7pt;margin-top:22.25pt;width:90.55pt;height:92.4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" fillcolor="#d34817 [3204]" strokecolor="#1f0a03 [484]" strokeweight="1pt">
                <v:stroke joinstyle="miter"/>
                <v:textbox>
                  <w:txbxContent>
                    <w:p w14:paraId="2B0FD7F2" w14:textId="5FC386C2" w:rsidR="00BB6C8C" w:rsidRPr="0029186A" w:rsidRDefault="00BB6C8C" w:rsidP="00BB6C8C">
                      <w:pPr>
                        <w:jc w:val="center"/>
                        <w:rPr>
                          <w:rFonts w:ascii="Arial" w:hAnsi="Arial" w:cs="Arial"/>
                          <w:color w:val="F4CDC8" w:themeColor="accent2" w:themeTint="33"/>
                        </w:rPr>
                      </w:pPr>
                      <w:r w:rsidRPr="0029186A">
                        <w:rPr>
                          <w:rFonts w:ascii="Arial" w:hAnsi="Arial" w:cs="Arial"/>
                          <w:color w:val="F4CDC8" w:themeColor="accent2" w:themeTint="33"/>
                        </w:rPr>
                        <w:t>4.Enlist a volunteer army</w:t>
                      </w:r>
                    </w:p>
                  </w:txbxContent>
                </v:textbox>
              </v:shape>
            </w:pict>
          </mc:Fallback>
        </mc:AlternateContent>
      </w:r>
    </w:p>
    <w:p w14:paraId="7CAD8A00" w14:textId="207278E5" w:rsidR="00BB6C8C" w:rsidRPr="003C730F" w:rsidRDefault="00A20E3B" w:rsidP="003A1E07">
      <w:pPr>
        <w:spacing w:line="276" w:lineRule="auto"/>
        <w:rPr>
          <w:rFonts w:ascii="Arial" w:hAnsi="Arial" w:cs="Arial"/>
          <w:color w:val="4D160F" w:themeColor="accent2" w:themeShade="80"/>
        </w:rPr>
      </w:pPr>
      <w:r w:rsidRPr="003C730F">
        <w:rPr>
          <w:rFonts w:ascii="Arial" w:hAnsi="Arial" w:cs="Arial"/>
          <w:noProof/>
          <w:color w:val="4D160F" w:themeColor="accent2" w:themeShade="80"/>
        </w:rPr>
        <mc:AlternateContent>
          <mc:Choice Requires="wps">
            <w:drawing>
              <wp:anchor distT="0" distB="0" distL="114300" distR="114300" simplePos="0" relativeHeight="251658256" behindDoc="0" locked="0" layoutInCell="1" allowOverlap="1" wp14:anchorId="7762FC7A" wp14:editId="3DF315F1">
                <wp:simplePos x="0" y="0"/>
                <wp:positionH relativeFrom="column">
                  <wp:posOffset>1366787</wp:posOffset>
                </wp:positionH>
                <wp:positionV relativeFrom="paragraph">
                  <wp:posOffset>170147</wp:posOffset>
                </wp:positionV>
                <wp:extent cx="1155032" cy="1106905"/>
                <wp:effectExtent l="0" t="0" r="26670" b="17145"/>
                <wp:wrapNone/>
                <wp:docPr id="1874462051" name="Flowchart: Connector 17"/>
                <wp:cNvGraphicFramePr/>
                <a:graphic xmlns:a="http://schemas.openxmlformats.org/drawingml/2006/main">
                  <a:graphicData uri="http://schemas.microsoft.com/office/word/2010/wordprocessingShape">
                    <wps:wsp>
                      <wps:cNvSpPr/>
                      <wps:spPr>
                        <a:xfrm>
                          <a:off x="0" y="0"/>
                          <a:ext cx="1155032" cy="1106905"/>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5060A44" w14:textId="44174C4C" w:rsidR="00A20E3B" w:rsidRPr="0029186A" w:rsidRDefault="00A20E3B" w:rsidP="00A20E3B">
                            <w:pPr>
                              <w:jc w:val="center"/>
                              <w:rPr>
                                <w:rFonts w:ascii="Arial" w:hAnsi="Arial" w:cs="Arial"/>
                                <w:color w:val="F4CDC8" w:themeColor="accent2" w:themeTint="33"/>
                              </w:rPr>
                            </w:pPr>
                            <w:r w:rsidRPr="0029186A">
                              <w:rPr>
                                <w:rFonts w:ascii="Arial" w:hAnsi="Arial" w:cs="Arial"/>
                                <w:color w:val="F4CDC8" w:themeColor="accent2" w:themeTint="33"/>
                              </w:rPr>
                              <w:t>6.Generate short-term wins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2FC7A" id="Flowchart: Connector 17" o:spid="_x0000_s1041" type="#_x0000_t120" style="position:absolute;margin-left:107.6pt;margin-top:13.4pt;width:90.95pt;height:87.1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" fillcolor="#d34817 [3204]" strokecolor="#1f0a03 [484]" strokeweight="1pt">
                <v:stroke joinstyle="miter"/>
                <v:textbox>
                  <w:txbxContent>
                    <w:p w14:paraId="55060A44" w14:textId="44174C4C" w:rsidR="00A20E3B" w:rsidRPr="0029186A" w:rsidRDefault="00A20E3B" w:rsidP="00A20E3B">
                      <w:pPr>
                        <w:jc w:val="center"/>
                        <w:rPr>
                          <w:rFonts w:ascii="Arial" w:hAnsi="Arial" w:cs="Arial"/>
                          <w:color w:val="F4CDC8" w:themeColor="accent2" w:themeTint="33"/>
                        </w:rPr>
                      </w:pPr>
                      <w:r w:rsidRPr="0029186A">
                        <w:rPr>
                          <w:rFonts w:ascii="Arial" w:hAnsi="Arial" w:cs="Arial"/>
                          <w:color w:val="F4CDC8" w:themeColor="accent2" w:themeTint="33"/>
                        </w:rPr>
                        <w:t>6.Generate short-term wins</w:t>
                      </w:r>
                    </w:p>
                  </w:txbxContent>
                </v:textbox>
              </v:shape>
            </w:pict>
          </mc:Fallback>
        </mc:AlternateContent>
      </w:r>
    </w:p>
    <w:p w14:paraId="539B1D13" w14:textId="42987B31" w:rsidR="00BB6C8C" w:rsidRPr="003C730F" w:rsidRDefault="00A20E3B" w:rsidP="003A1E07">
      <w:pPr>
        <w:spacing w:line="276" w:lineRule="auto"/>
        <w:rPr>
          <w:rFonts w:ascii="Arial" w:hAnsi="Arial" w:cs="Arial"/>
          <w:color w:val="4D160F" w:themeColor="accent2" w:themeShade="80"/>
        </w:rPr>
      </w:pPr>
      <w:r w:rsidRPr="003C730F">
        <w:rPr>
          <w:rFonts w:ascii="Arial" w:hAnsi="Arial" w:cs="Arial"/>
          <w:noProof/>
          <w:color w:val="4D160F" w:themeColor="accent2" w:themeShade="80"/>
        </w:rPr>
        <mc:AlternateContent>
          <mc:Choice Requires="wps">
            <w:drawing>
              <wp:anchor distT="0" distB="0" distL="114300" distR="114300" simplePos="0" relativeHeight="251658255" behindDoc="0" locked="0" layoutInCell="1" allowOverlap="1" wp14:anchorId="3FD25E6F" wp14:editId="201D40B4">
                <wp:simplePos x="0" y="0"/>
                <wp:positionH relativeFrom="column">
                  <wp:posOffset>2464067</wp:posOffset>
                </wp:positionH>
                <wp:positionV relativeFrom="paragraph">
                  <wp:posOffset>105143</wp:posOffset>
                </wp:positionV>
                <wp:extent cx="1164557" cy="1106805"/>
                <wp:effectExtent l="0" t="0" r="17145" b="17145"/>
                <wp:wrapNone/>
                <wp:docPr id="1125082628" name="Flowchart: Connector 15"/>
                <wp:cNvGraphicFramePr/>
                <a:graphic xmlns:a="http://schemas.openxmlformats.org/drawingml/2006/main">
                  <a:graphicData uri="http://schemas.microsoft.com/office/word/2010/wordprocessingShape">
                    <wps:wsp>
                      <wps:cNvSpPr/>
                      <wps:spPr>
                        <a:xfrm>
                          <a:off x="0" y="0"/>
                          <a:ext cx="1164557" cy="1106805"/>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C8E941D" w14:textId="43A296BC" w:rsidR="00A20E3B" w:rsidRPr="0029186A" w:rsidRDefault="00A20E3B" w:rsidP="00A20E3B">
                            <w:pPr>
                              <w:jc w:val="center"/>
                              <w:rPr>
                                <w:rFonts w:ascii="Arial" w:hAnsi="Arial" w:cs="Arial"/>
                                <w:color w:val="F4CDC8" w:themeColor="accent2" w:themeTint="33"/>
                              </w:rPr>
                            </w:pPr>
                            <w:r w:rsidRPr="0029186A">
                              <w:rPr>
                                <w:rFonts w:ascii="Arial" w:hAnsi="Arial" w:cs="Arial"/>
                                <w:color w:val="F4CDC8" w:themeColor="accent2" w:themeTint="33"/>
                              </w:rPr>
                              <w:t>5.Enable action by removing barriers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D25E6F" id="Flowchart: Connector 15" o:spid="_x0000_s1042" type="#_x0000_t120" style="position:absolute;margin-left:194pt;margin-top:8.3pt;width:91.7pt;height:87.1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" fillcolor="#d34817 [3204]" strokecolor="#1f0a03 [484]" strokeweight="1pt">
                <v:stroke joinstyle="miter"/>
                <v:textbox>
                  <w:txbxContent>
                    <w:p w14:paraId="3C8E941D" w14:textId="43A296BC" w:rsidR="00A20E3B" w:rsidRPr="0029186A" w:rsidRDefault="00A20E3B" w:rsidP="00A20E3B">
                      <w:pPr>
                        <w:jc w:val="center"/>
                        <w:rPr>
                          <w:rFonts w:ascii="Arial" w:hAnsi="Arial" w:cs="Arial"/>
                          <w:color w:val="F4CDC8" w:themeColor="accent2" w:themeTint="33"/>
                        </w:rPr>
                      </w:pPr>
                      <w:r w:rsidRPr="0029186A">
                        <w:rPr>
                          <w:rFonts w:ascii="Arial" w:hAnsi="Arial" w:cs="Arial"/>
                          <w:color w:val="F4CDC8" w:themeColor="accent2" w:themeTint="33"/>
                        </w:rPr>
                        <w:t>5.Enable action by removing barriers</w:t>
                      </w:r>
                    </w:p>
                  </w:txbxContent>
                </v:textbox>
              </v:shape>
            </w:pict>
          </mc:Fallback>
        </mc:AlternateContent>
      </w:r>
    </w:p>
    <w:p w14:paraId="1347797F" w14:textId="783C661C" w:rsidR="00BB6C8C" w:rsidRPr="003C730F" w:rsidRDefault="00BB6C8C" w:rsidP="003A1E07">
      <w:pPr>
        <w:spacing w:line="276" w:lineRule="auto"/>
        <w:rPr>
          <w:rFonts w:ascii="Arial" w:hAnsi="Arial" w:cs="Arial"/>
          <w:color w:val="4D160F" w:themeColor="accent2" w:themeShade="80"/>
        </w:rPr>
      </w:pPr>
    </w:p>
    <w:p w14:paraId="5B41E44D" w14:textId="77777777" w:rsidR="00BB6C8C" w:rsidRPr="003C730F" w:rsidRDefault="00BB6C8C" w:rsidP="003A1E07">
      <w:pPr>
        <w:spacing w:line="276" w:lineRule="auto"/>
        <w:rPr>
          <w:rFonts w:ascii="Arial" w:hAnsi="Arial" w:cs="Arial"/>
          <w:color w:val="4D160F" w:themeColor="accent2" w:themeShade="80"/>
        </w:rPr>
      </w:pPr>
    </w:p>
    <w:p w14:paraId="64ECA4EE" w14:textId="77777777" w:rsidR="00A20E3B" w:rsidRPr="003C730F" w:rsidRDefault="00A20E3B" w:rsidP="003A1E07">
      <w:pPr>
        <w:spacing w:line="276" w:lineRule="auto"/>
        <w:rPr>
          <w:rFonts w:ascii="Arial" w:hAnsi="Arial" w:cs="Arial"/>
          <w:color w:val="4D160F" w:themeColor="accent2" w:themeShade="80"/>
        </w:rPr>
      </w:pPr>
    </w:p>
    <w:p w14:paraId="1728D883" w14:textId="77777777" w:rsidR="00A20E3B" w:rsidRPr="003C730F" w:rsidRDefault="00A20E3B" w:rsidP="003A1E07">
      <w:pPr>
        <w:spacing w:line="276" w:lineRule="auto"/>
        <w:rPr>
          <w:rFonts w:ascii="Arial" w:hAnsi="Arial" w:cs="Arial"/>
          <w:color w:val="4D160F" w:themeColor="accent2" w:themeShade="80"/>
        </w:rPr>
      </w:pPr>
    </w:p>
    <w:p w14:paraId="35A080DA" w14:textId="28796E91" w:rsidR="0029186A" w:rsidRPr="00000332" w:rsidRDefault="0029186A" w:rsidP="00000332">
      <w:pPr>
        <w:spacing w:line="276" w:lineRule="auto"/>
        <w:jc w:val="center"/>
        <w:rPr>
          <w:rFonts w:ascii="Arial" w:hAnsi="Arial" w:cs="Arial"/>
          <w:b/>
          <w:bCs/>
          <w:color w:val="4D160F" w:themeColor="accent2" w:themeShade="80"/>
        </w:rPr>
      </w:pPr>
      <w:r w:rsidRPr="00000332">
        <w:rPr>
          <w:rFonts w:ascii="Arial" w:hAnsi="Arial" w:cs="Arial"/>
          <w:color w:val="4D160F" w:themeColor="accent2" w:themeShade="80"/>
        </w:rPr>
        <w:t>Figure 2: Kotter’s Eight Steps of Change (Kotter, 1996)</w:t>
      </w:r>
    </w:p>
    <w:p w14:paraId="0B76780A" w14:textId="77777777" w:rsidR="00A20E3B" w:rsidRPr="003C730F" w:rsidRDefault="00A20E3B" w:rsidP="003A1E07">
      <w:pPr>
        <w:spacing w:line="276" w:lineRule="auto"/>
        <w:rPr>
          <w:rFonts w:ascii="Arial" w:hAnsi="Arial" w:cs="Arial"/>
          <w:color w:val="4D160F" w:themeColor="accent2" w:themeShade="80"/>
        </w:rPr>
      </w:pPr>
    </w:p>
    <w:p w14:paraId="2BD6D720" w14:textId="7C1CF209" w:rsidR="005572ED" w:rsidRPr="00000332" w:rsidRDefault="005572ED" w:rsidP="00000332">
      <w:pPr>
        <w:spacing w:line="360" w:lineRule="auto"/>
        <w:rPr>
          <w:rFonts w:ascii="Arial" w:hAnsi="Arial" w:cs="Arial"/>
          <w:b/>
          <w:bCs/>
          <w:color w:val="4D160F" w:themeColor="accent2" w:themeShade="80"/>
        </w:rPr>
      </w:pPr>
      <w:r w:rsidRPr="00000332">
        <w:rPr>
          <w:rFonts w:ascii="Arial" w:hAnsi="Arial" w:cs="Arial"/>
          <w:b/>
          <w:bCs/>
          <w:color w:val="4D160F" w:themeColor="accent2" w:themeShade="80"/>
        </w:rPr>
        <w:t>HR’s Role in Change Management</w:t>
      </w:r>
      <w:r w:rsidR="00000332">
        <w:rPr>
          <w:rFonts w:ascii="Arial" w:hAnsi="Arial" w:cs="Arial"/>
          <w:b/>
          <w:bCs/>
          <w:color w:val="4D160F" w:themeColor="accent2" w:themeShade="80"/>
        </w:rPr>
        <w:t xml:space="preserve">: </w:t>
      </w:r>
      <w:r w:rsidRPr="00000332">
        <w:rPr>
          <w:rFonts w:ascii="Arial" w:hAnsi="Arial" w:cs="Arial"/>
          <w:color w:val="4D160F" w:themeColor="accent2" w:themeShade="80"/>
        </w:rPr>
        <w:t>HR plays a crucial role in managing change by:</w:t>
      </w:r>
    </w:p>
    <w:p w14:paraId="03E6B659" w14:textId="1957ABE7" w:rsidR="639663D0" w:rsidRDefault="639663D0" w:rsidP="5495A1E7">
      <w:pPr>
        <w:spacing w:line="360" w:lineRule="auto"/>
        <w:rPr>
          <w:rFonts w:ascii="Arial" w:hAnsi="Arial" w:cs="Arial"/>
          <w:color w:val="4D160F" w:themeColor="accent2" w:themeShade="80"/>
        </w:rPr>
      </w:pPr>
      <w:r w:rsidRPr="5495A1E7">
        <w:rPr>
          <w:rFonts w:ascii="Arial" w:hAnsi="Arial" w:cs="Arial"/>
          <w:color w:val="4D160F" w:themeColor="accent2" w:themeShade="80"/>
        </w:rPr>
        <w:t>Enhancing the exchange of information between leadership and staff.</w:t>
      </w:r>
    </w:p>
    <w:p w14:paraId="04662AC3" w14:textId="439E79F5" w:rsidR="639663D0" w:rsidRDefault="639663D0" w:rsidP="5495A1E7">
      <w:pPr>
        <w:spacing w:line="360" w:lineRule="auto"/>
      </w:pPr>
      <w:r w:rsidRPr="5495A1E7">
        <w:rPr>
          <w:rFonts w:ascii="Arial" w:hAnsi="Arial" w:cs="Arial"/>
          <w:color w:val="4D160F" w:themeColor="accent2" w:themeShade="80"/>
        </w:rPr>
        <w:t>Offering training and development initiatives to support employees in adjusting to new positions and procedures.</w:t>
      </w:r>
    </w:p>
    <w:p w14:paraId="7CDF2D20" w14:textId="77777777" w:rsidR="005572ED" w:rsidRPr="00000332" w:rsidRDefault="005572ED"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Ensuring fair and transparent negotiation processes with the CWU.</w:t>
      </w:r>
    </w:p>
    <w:p w14:paraId="52788B2A" w14:textId="18D31D56" w:rsidR="00D44FC8" w:rsidRPr="00000332" w:rsidRDefault="005572ED"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Supporting the implementation of changes and monitoring their impact on employee morale and productivity (Buller and McEvoy, 2012).</w:t>
      </w:r>
    </w:p>
    <w:p w14:paraId="34B17412" w14:textId="404BBA40" w:rsidR="005572ED" w:rsidRPr="00000332" w:rsidRDefault="005572ED" w:rsidP="00000332">
      <w:pPr>
        <w:spacing w:line="360" w:lineRule="auto"/>
        <w:rPr>
          <w:rFonts w:ascii="Arial" w:hAnsi="Arial" w:cs="Arial"/>
          <w:b/>
          <w:bCs/>
          <w:color w:val="4D160F" w:themeColor="accent2" w:themeShade="80"/>
        </w:rPr>
      </w:pPr>
      <w:r w:rsidRPr="00000332">
        <w:rPr>
          <w:rFonts w:ascii="Arial" w:hAnsi="Arial" w:cs="Arial"/>
          <w:b/>
          <w:bCs/>
          <w:color w:val="4D160F" w:themeColor="accent2" w:themeShade="80"/>
        </w:rPr>
        <w:t xml:space="preserve">The 7 </w:t>
      </w:r>
      <w:r w:rsidR="27A37ABD" w:rsidRPr="49EED7F7">
        <w:rPr>
          <w:rFonts w:ascii="Arial" w:hAnsi="Arial" w:cs="Arial"/>
          <w:b/>
          <w:bCs/>
          <w:color w:val="4D160F" w:themeColor="accent2" w:themeShade="80"/>
        </w:rPr>
        <w:t>Cs</w:t>
      </w:r>
      <w:r w:rsidRPr="00000332">
        <w:rPr>
          <w:rFonts w:ascii="Arial" w:hAnsi="Arial" w:cs="Arial"/>
          <w:b/>
          <w:bCs/>
          <w:color w:val="4D160F" w:themeColor="accent2" w:themeShade="80"/>
        </w:rPr>
        <w:t xml:space="preserve"> of Change (Molloy and Whittington, 2005)</w:t>
      </w:r>
    </w:p>
    <w:p w14:paraId="16BEB1A8" w14:textId="77777777" w:rsidR="005572ED" w:rsidRPr="00000332" w:rsidRDefault="005572ED" w:rsidP="00000332">
      <w:pPr>
        <w:spacing w:line="360" w:lineRule="auto"/>
        <w:rPr>
          <w:rFonts w:ascii="Arial" w:hAnsi="Arial" w:cs="Arial"/>
          <w:color w:val="4D160F" w:themeColor="accent2" w:themeShade="80"/>
        </w:rPr>
      </w:pPr>
      <w:bookmarkStart w:id="15" w:name="_Int_l6PpErHH"/>
      <w:r w:rsidRPr="00000332">
        <w:rPr>
          <w:rFonts w:ascii="Arial" w:hAnsi="Arial" w:cs="Arial"/>
          <w:color w:val="4D160F" w:themeColor="accent2" w:themeShade="80"/>
        </w:rPr>
        <w:t>Clarity: Ensure that all stakeholders understand the vision and objectives of the change.</w:t>
      </w:r>
      <w:bookmarkEnd w:id="15"/>
    </w:p>
    <w:p w14:paraId="2CB228B7" w14:textId="77777777" w:rsidR="005572ED" w:rsidRPr="00000332" w:rsidRDefault="005572ED"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Consistency: Maintain consistent communication and actions throughout the change process.</w:t>
      </w:r>
    </w:p>
    <w:p w14:paraId="49D0AE2D" w14:textId="77777777" w:rsidR="005572ED" w:rsidRPr="00000332" w:rsidRDefault="005572ED" w:rsidP="00000332">
      <w:pPr>
        <w:spacing w:line="360" w:lineRule="auto"/>
        <w:rPr>
          <w:rFonts w:ascii="Arial" w:hAnsi="Arial" w:cs="Arial"/>
          <w:color w:val="4D160F" w:themeColor="accent2" w:themeShade="80"/>
        </w:rPr>
      </w:pPr>
      <w:bookmarkStart w:id="16" w:name="_Int_HyXYZgkn"/>
      <w:r w:rsidRPr="00000332">
        <w:rPr>
          <w:rFonts w:ascii="Arial" w:hAnsi="Arial" w:cs="Arial"/>
          <w:color w:val="4D160F" w:themeColor="accent2" w:themeShade="80"/>
        </w:rPr>
        <w:t>Collaboration: Foster a collaborative environment where employees and management work together towards common goals.</w:t>
      </w:r>
      <w:bookmarkEnd w:id="16"/>
    </w:p>
    <w:p w14:paraId="65B6C8F1" w14:textId="77777777" w:rsidR="005572ED" w:rsidRPr="00000332" w:rsidRDefault="005572ED"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Commitment: Secure commitment from all levels of the organization to support the change.</w:t>
      </w:r>
    </w:p>
    <w:p w14:paraId="3047A22A" w14:textId="77777777" w:rsidR="005572ED" w:rsidRPr="00000332" w:rsidRDefault="005572ED"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Connection: Build strong connections between the change initiative and the organizational culture.</w:t>
      </w:r>
    </w:p>
    <w:p w14:paraId="4724EC37" w14:textId="77777777" w:rsidR="005572ED" w:rsidRPr="00000332" w:rsidRDefault="005572ED"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Capability: Develop the necessary skills and capabilities within the organization to support the change.</w:t>
      </w:r>
    </w:p>
    <w:p w14:paraId="3645A981" w14:textId="6E86D457" w:rsidR="005572ED" w:rsidRPr="00000332" w:rsidRDefault="005572ED"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Capacity: Ensure that the organization has the resources and capacity to implement the change effectively.</w:t>
      </w:r>
    </w:p>
    <w:p w14:paraId="4FADCC11" w14:textId="77777777" w:rsidR="005572ED" w:rsidRPr="003C730F" w:rsidRDefault="005572ED" w:rsidP="003A1E07">
      <w:pPr>
        <w:spacing w:line="276" w:lineRule="auto"/>
        <w:rPr>
          <w:rFonts w:ascii="Arial" w:hAnsi="Arial" w:cs="Arial"/>
          <w:color w:val="4D160F" w:themeColor="accent2" w:themeShade="80"/>
        </w:rPr>
      </w:pPr>
    </w:p>
    <w:p w14:paraId="5036E0B6" w14:textId="77777777" w:rsidR="005572ED" w:rsidRPr="00000332" w:rsidRDefault="005572ED" w:rsidP="00605681">
      <w:pPr>
        <w:pStyle w:val="Heading2"/>
        <w:rPr>
          <w:rFonts w:ascii="Arial" w:hAnsi="Arial" w:cs="Arial"/>
          <w:color w:val="4D160F" w:themeColor="accent2" w:themeShade="80"/>
          <w:sz w:val="24"/>
          <w:szCs w:val="24"/>
          <w:u w:val="single"/>
        </w:rPr>
      </w:pPr>
      <w:bookmarkStart w:id="17" w:name="_Toc172359885"/>
      <w:r w:rsidRPr="00000332">
        <w:rPr>
          <w:rFonts w:ascii="Arial" w:hAnsi="Arial" w:cs="Arial"/>
          <w:color w:val="4D160F" w:themeColor="accent2" w:themeShade="80"/>
          <w:sz w:val="24"/>
          <w:szCs w:val="24"/>
          <w:u w:val="single"/>
        </w:rPr>
        <w:t>Emergent Change and Resistance to Change</w:t>
      </w:r>
      <w:bookmarkEnd w:id="17"/>
    </w:p>
    <w:p w14:paraId="2AA259AC" w14:textId="77777777" w:rsidR="00605681" w:rsidRPr="003C730F" w:rsidRDefault="00605681" w:rsidP="005572ED">
      <w:pPr>
        <w:spacing w:line="276" w:lineRule="auto"/>
        <w:rPr>
          <w:rFonts w:ascii="Arial" w:hAnsi="Arial" w:cs="Arial"/>
          <w:color w:val="4D160F" w:themeColor="accent2" w:themeShade="80"/>
        </w:rPr>
      </w:pPr>
    </w:p>
    <w:p w14:paraId="4FE1C2C4" w14:textId="191E34FA" w:rsidR="005572ED" w:rsidRPr="00000332" w:rsidRDefault="005572ED"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 xml:space="preserve">Emergent change emphasizes the need for flexibility and adaptability in response to evolving circumstances. The Post Office must remain responsive to changes in the external environment and be prepared to adjust its strategies as needed. Resistance to change is a </w:t>
      </w:r>
      <w:r w:rsidR="4C21460E" w:rsidRPr="6B9B8614">
        <w:rPr>
          <w:rFonts w:ascii="Arial" w:hAnsi="Arial" w:cs="Arial"/>
          <w:color w:val="4D160F" w:themeColor="accent2" w:themeShade="80"/>
        </w:rPr>
        <w:t>frequent issue</w:t>
      </w:r>
      <w:r w:rsidRPr="00000332">
        <w:rPr>
          <w:rFonts w:ascii="Arial" w:hAnsi="Arial" w:cs="Arial"/>
          <w:color w:val="4D160F" w:themeColor="accent2" w:themeShade="80"/>
        </w:rPr>
        <w:t xml:space="preserve"> and </w:t>
      </w:r>
      <w:r w:rsidR="4C21460E" w:rsidRPr="6B9B8614">
        <w:rPr>
          <w:rFonts w:ascii="Arial" w:hAnsi="Arial" w:cs="Arial"/>
          <w:color w:val="4D160F" w:themeColor="accent2" w:themeShade="80"/>
        </w:rPr>
        <w:t>often arises</w:t>
      </w:r>
      <w:r w:rsidRPr="00000332">
        <w:rPr>
          <w:rFonts w:ascii="Arial" w:hAnsi="Arial" w:cs="Arial"/>
          <w:color w:val="4D160F" w:themeColor="accent2" w:themeShade="80"/>
        </w:rPr>
        <w:t xml:space="preserve"> from </w:t>
      </w:r>
      <w:r w:rsidR="4C21460E" w:rsidRPr="6B9B8614">
        <w:rPr>
          <w:rFonts w:ascii="Arial" w:hAnsi="Arial" w:cs="Arial"/>
          <w:color w:val="4D160F" w:themeColor="accent2" w:themeShade="80"/>
        </w:rPr>
        <w:t>fears about</w:t>
      </w:r>
      <w:r w:rsidRPr="00000332">
        <w:rPr>
          <w:rFonts w:ascii="Arial" w:hAnsi="Arial" w:cs="Arial"/>
          <w:color w:val="4D160F" w:themeColor="accent2" w:themeShade="80"/>
        </w:rPr>
        <w:t xml:space="preserve"> the unknown, </w:t>
      </w:r>
      <w:r w:rsidR="4C21460E" w:rsidRPr="6B9B8614">
        <w:rPr>
          <w:rFonts w:ascii="Arial" w:hAnsi="Arial" w:cs="Arial"/>
          <w:color w:val="4D160F" w:themeColor="accent2" w:themeShade="80"/>
        </w:rPr>
        <w:t>concerns about losing</w:t>
      </w:r>
      <w:r w:rsidRPr="00000332">
        <w:rPr>
          <w:rFonts w:ascii="Arial" w:hAnsi="Arial" w:cs="Arial"/>
          <w:color w:val="4D160F" w:themeColor="accent2" w:themeShade="80"/>
        </w:rPr>
        <w:t xml:space="preserve"> control, or </w:t>
      </w:r>
      <w:r w:rsidR="4C21460E" w:rsidRPr="6B9B8614">
        <w:rPr>
          <w:rFonts w:ascii="Arial" w:hAnsi="Arial" w:cs="Arial"/>
          <w:color w:val="4D160F" w:themeColor="accent2" w:themeShade="80"/>
        </w:rPr>
        <w:t>worries about potential</w:t>
      </w:r>
      <w:r w:rsidRPr="00000332">
        <w:rPr>
          <w:rFonts w:ascii="Arial" w:hAnsi="Arial" w:cs="Arial"/>
          <w:color w:val="4D160F" w:themeColor="accent2" w:themeShade="80"/>
        </w:rPr>
        <w:t xml:space="preserve"> negative </w:t>
      </w:r>
      <w:r w:rsidR="4C21460E" w:rsidRPr="6B9B8614">
        <w:rPr>
          <w:rFonts w:ascii="Arial" w:hAnsi="Arial" w:cs="Arial"/>
          <w:color w:val="4D160F" w:themeColor="accent2" w:themeShade="80"/>
        </w:rPr>
        <w:t>effects.</w:t>
      </w:r>
      <w:r w:rsidRPr="00000332">
        <w:rPr>
          <w:rFonts w:ascii="Arial" w:hAnsi="Arial" w:cs="Arial"/>
          <w:color w:val="4D160F" w:themeColor="accent2" w:themeShade="80"/>
        </w:rPr>
        <w:t xml:space="preserve"> Can be addressed through effective communication, involving employees in the decision-making process, and providing support throughout the transition (Dent and Goldberg, 1999).</w:t>
      </w:r>
    </w:p>
    <w:p w14:paraId="1DA4295B" w14:textId="1C163B62" w:rsidR="005572ED" w:rsidRPr="00000332" w:rsidRDefault="005572ED"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Involvement of stakeholders in the change process, and addressing concerns openly are key strategies to mitigate resistance (Kotter and Schlesinger, 2008).</w:t>
      </w:r>
    </w:p>
    <w:p w14:paraId="6ECA18A5" w14:textId="5CDD4480" w:rsidR="005572ED" w:rsidRPr="00000332" w:rsidRDefault="005572ED" w:rsidP="00000332">
      <w:pPr>
        <w:spacing w:line="360" w:lineRule="auto"/>
        <w:rPr>
          <w:rFonts w:ascii="Arial" w:hAnsi="Arial" w:cs="Arial"/>
          <w:b/>
          <w:bCs/>
          <w:color w:val="4D160F" w:themeColor="accent2" w:themeShade="80"/>
        </w:rPr>
      </w:pPr>
      <w:r w:rsidRPr="00000332">
        <w:rPr>
          <w:rFonts w:ascii="Arial" w:hAnsi="Arial" w:cs="Arial"/>
          <w:b/>
          <w:bCs/>
          <w:color w:val="4D160F" w:themeColor="accent2" w:themeShade="80"/>
        </w:rPr>
        <w:t>Communication Barriers and Negotiation</w:t>
      </w:r>
      <w:r w:rsidR="00605681" w:rsidRPr="00000332">
        <w:rPr>
          <w:rFonts w:ascii="Arial" w:hAnsi="Arial" w:cs="Arial"/>
          <w:b/>
          <w:bCs/>
          <w:color w:val="4D160F" w:themeColor="accent2" w:themeShade="80"/>
        </w:rPr>
        <w:t xml:space="preserve">: </w:t>
      </w:r>
      <w:r w:rsidRPr="00000332">
        <w:rPr>
          <w:rFonts w:ascii="Arial" w:hAnsi="Arial" w:cs="Arial"/>
          <w:color w:val="4D160F" w:themeColor="accent2" w:themeShade="80"/>
        </w:rPr>
        <w:t>Effective communication is essential for overcoming barriers and ensuring successful change implementation. The Post Office should:</w:t>
      </w:r>
    </w:p>
    <w:p w14:paraId="5A205346" w14:textId="77777777" w:rsidR="005572ED" w:rsidRPr="00000332" w:rsidRDefault="005572ED"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Use clear and transparent communication channels to share information with all stakeholders.</w:t>
      </w:r>
    </w:p>
    <w:p w14:paraId="25277C79" w14:textId="77777777" w:rsidR="005572ED" w:rsidRPr="00000332" w:rsidRDefault="005572ED"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Address any misinformation or concerns promptly.</w:t>
      </w:r>
    </w:p>
    <w:p w14:paraId="25BD8529" w14:textId="1BF0D2E7" w:rsidR="00605681" w:rsidRPr="00000332" w:rsidRDefault="005572ED"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Engage in fair and open negotiations with the CWU to reach a mutually acceptable resolution.</w:t>
      </w:r>
    </w:p>
    <w:p w14:paraId="40C17C47" w14:textId="00D7B985" w:rsidR="003A1E07" w:rsidRPr="00000332" w:rsidRDefault="003A1E07" w:rsidP="00000332">
      <w:pPr>
        <w:spacing w:line="360" w:lineRule="auto"/>
        <w:rPr>
          <w:rFonts w:ascii="Arial" w:hAnsi="Arial" w:cs="Arial"/>
          <w:b/>
          <w:bCs/>
          <w:color w:val="4D160F" w:themeColor="accent2" w:themeShade="80"/>
        </w:rPr>
      </w:pPr>
      <w:r w:rsidRPr="00000332">
        <w:rPr>
          <w:rFonts w:ascii="Arial" w:hAnsi="Arial" w:cs="Arial"/>
          <w:b/>
          <w:bCs/>
          <w:color w:val="4D160F" w:themeColor="accent2" w:themeShade="80"/>
        </w:rPr>
        <w:t>Consultancy Model</w:t>
      </w:r>
      <w:r w:rsidR="00605681" w:rsidRPr="00000332">
        <w:rPr>
          <w:rFonts w:ascii="Arial" w:hAnsi="Arial" w:cs="Arial"/>
          <w:b/>
          <w:bCs/>
          <w:color w:val="4D160F" w:themeColor="accent2" w:themeShade="80"/>
        </w:rPr>
        <w:t xml:space="preserve">: </w:t>
      </w:r>
      <w:r w:rsidRPr="00000332">
        <w:rPr>
          <w:rFonts w:ascii="Arial" w:hAnsi="Arial" w:cs="Arial"/>
          <w:color w:val="4D160F" w:themeColor="accent2" w:themeShade="80"/>
        </w:rPr>
        <w:t>Engaging an external consultancy can provide an unbiased perspective and specialized expertise in conflict resolution and change management. External consultants can facilitate negotiations, offer strategic advice, and help implement best practices (Lippitt and Lippitt, 1986). However, an internal consultancy model leverages existing organizational knowledge and fosters a sense of ownership among employees.</w:t>
      </w:r>
    </w:p>
    <w:p w14:paraId="26C011D3" w14:textId="01A6117A" w:rsidR="003A1E07" w:rsidRPr="00000332" w:rsidRDefault="003A1E07" w:rsidP="00000332">
      <w:pPr>
        <w:spacing w:line="360" w:lineRule="auto"/>
        <w:rPr>
          <w:rFonts w:ascii="Arial" w:hAnsi="Arial" w:cs="Arial"/>
          <w:b/>
          <w:bCs/>
          <w:color w:val="4D160F" w:themeColor="accent2" w:themeShade="80"/>
        </w:rPr>
      </w:pPr>
      <w:r w:rsidRPr="00000332">
        <w:rPr>
          <w:rFonts w:ascii="Arial" w:hAnsi="Arial" w:cs="Arial"/>
          <w:b/>
          <w:bCs/>
          <w:color w:val="4D160F" w:themeColor="accent2" w:themeShade="80"/>
        </w:rPr>
        <w:t>Combining Approaches</w:t>
      </w:r>
      <w:r w:rsidR="00605681" w:rsidRPr="00000332">
        <w:rPr>
          <w:rFonts w:ascii="Arial" w:hAnsi="Arial" w:cs="Arial"/>
          <w:b/>
          <w:bCs/>
          <w:color w:val="4D160F" w:themeColor="accent2" w:themeShade="80"/>
        </w:rPr>
        <w:t xml:space="preserve">: </w:t>
      </w:r>
      <w:r w:rsidRPr="00000332">
        <w:rPr>
          <w:rFonts w:ascii="Arial" w:hAnsi="Arial" w:cs="Arial"/>
          <w:color w:val="4D160F" w:themeColor="accent2" w:themeShade="80"/>
        </w:rPr>
        <w:t>A mixed approach can be highly effective. Using Lewin’s model for the overall change process and Kotter’s steps for detailed implementation can provide a comprehensive framework. Integrating external consultancy for initial assessments and strategic advice, combined with internal teams for execution, ensures both expert guidance and organizational buy-in.</w:t>
      </w:r>
    </w:p>
    <w:p w14:paraId="648BC918" w14:textId="31C1C98B" w:rsidR="00C14C8E" w:rsidRPr="00000332" w:rsidRDefault="003A1E07" w:rsidP="00000332">
      <w:pPr>
        <w:spacing w:line="360" w:lineRule="auto"/>
        <w:rPr>
          <w:rFonts w:ascii="Arial" w:hAnsi="Arial" w:cs="Arial"/>
          <w:b/>
          <w:bCs/>
          <w:color w:val="4D160F" w:themeColor="accent2" w:themeShade="80"/>
        </w:rPr>
      </w:pPr>
      <w:r w:rsidRPr="00000332">
        <w:rPr>
          <w:rFonts w:ascii="Arial" w:hAnsi="Arial" w:cs="Arial"/>
          <w:b/>
          <w:bCs/>
          <w:color w:val="4D160F" w:themeColor="accent2" w:themeShade="80"/>
        </w:rPr>
        <w:t>Efficiency vs. Effectiveness</w:t>
      </w:r>
      <w:r w:rsidR="00605681" w:rsidRPr="00000332">
        <w:rPr>
          <w:rFonts w:ascii="Arial" w:hAnsi="Arial" w:cs="Arial"/>
          <w:b/>
          <w:bCs/>
          <w:color w:val="4D160F" w:themeColor="accent2" w:themeShade="80"/>
        </w:rPr>
        <w:t xml:space="preserve">: </w:t>
      </w:r>
      <w:r w:rsidRPr="00000332">
        <w:rPr>
          <w:rFonts w:ascii="Arial" w:hAnsi="Arial" w:cs="Arial"/>
          <w:color w:val="4D160F" w:themeColor="accent2" w:themeShade="80"/>
        </w:rPr>
        <w:t>In the context of the Post Office conflict, efficiency refers to resolving the strike swiftly to minimize operational disruptions, while effectiveness focuses on achieving a sustainable and satisfactory resolution for all stakeholders. Balancing both is crucial: efficiency ensures immediate operational stability, while effectiveness ensures long-term organizational health and employee satisfaction (Drucker, 2006).</w:t>
      </w:r>
    </w:p>
    <w:p w14:paraId="005DD5E6" w14:textId="39534AAB" w:rsidR="00C14C8E" w:rsidRPr="00000332" w:rsidRDefault="00605681" w:rsidP="00000332">
      <w:pPr>
        <w:spacing w:line="360" w:lineRule="auto"/>
        <w:rPr>
          <w:rFonts w:ascii="Arial" w:hAnsi="Arial" w:cs="Arial"/>
          <w:b/>
          <w:bCs/>
          <w:color w:val="4D160F" w:themeColor="accent2" w:themeShade="80"/>
        </w:rPr>
      </w:pPr>
      <w:r w:rsidRPr="00000332">
        <w:rPr>
          <w:rFonts w:ascii="Arial" w:hAnsi="Arial" w:cs="Arial"/>
          <w:b/>
          <w:bCs/>
          <w:color w:val="4D160F" w:themeColor="accent2" w:themeShade="80"/>
        </w:rPr>
        <w:t xml:space="preserve">Impact of Organisational Culture: </w:t>
      </w:r>
      <w:r w:rsidRPr="34289AC7">
        <w:rPr>
          <w:rFonts w:ascii="Arial" w:hAnsi="Arial" w:cs="Arial"/>
          <w:color w:val="4D160F" w:themeColor="accent2" w:themeShade="80"/>
        </w:rPr>
        <w:t xml:space="preserve">Organizational culture </w:t>
      </w:r>
      <w:r w:rsidR="134B0A38" w:rsidRPr="34289AC7">
        <w:rPr>
          <w:rFonts w:ascii="Arial" w:hAnsi="Arial" w:cs="Arial"/>
          <w:color w:val="4D160F" w:themeColor="accent2" w:themeShade="80"/>
        </w:rPr>
        <w:t>is crucial for</w:t>
      </w:r>
      <w:r w:rsidRPr="34289AC7">
        <w:rPr>
          <w:rFonts w:ascii="Arial" w:hAnsi="Arial" w:cs="Arial"/>
          <w:color w:val="4D160F" w:themeColor="accent2" w:themeShade="80"/>
        </w:rPr>
        <w:t xml:space="preserve"> the success of change management </w:t>
      </w:r>
      <w:r w:rsidR="134B0A38" w:rsidRPr="34289AC7">
        <w:rPr>
          <w:rFonts w:ascii="Arial" w:hAnsi="Arial" w:cs="Arial"/>
          <w:color w:val="4D160F" w:themeColor="accent2" w:themeShade="80"/>
        </w:rPr>
        <w:t>efforts.</w:t>
      </w:r>
      <w:r w:rsidRPr="00000332">
        <w:rPr>
          <w:rFonts w:ascii="Arial" w:hAnsi="Arial" w:cs="Arial"/>
          <w:color w:val="4D160F" w:themeColor="accent2" w:themeShade="80"/>
        </w:rPr>
        <w:t xml:space="preserve"> A supportive culture that values open communication, collaboration, and continuous improvement will facilitate the change process and reduce resistance. Conversely, a rigid and hierarchical culture may hinder the implementation of change and increase resistance.</w:t>
      </w:r>
    </w:p>
    <w:p w14:paraId="738342FA" w14:textId="77777777" w:rsidR="00C14C8E" w:rsidRPr="003C730F" w:rsidRDefault="00C14C8E" w:rsidP="00E51D29">
      <w:pPr>
        <w:spacing w:line="276" w:lineRule="auto"/>
        <w:rPr>
          <w:rFonts w:ascii="Arial" w:hAnsi="Arial" w:cs="Arial"/>
          <w:color w:val="4D160F" w:themeColor="accent2" w:themeShade="80"/>
        </w:rPr>
      </w:pPr>
    </w:p>
    <w:p w14:paraId="05CAEFC7" w14:textId="32340E7A" w:rsidR="000D348C" w:rsidRPr="00000332" w:rsidRDefault="004E0EA0" w:rsidP="004E0EA0">
      <w:pPr>
        <w:pStyle w:val="Heading1"/>
        <w:shd w:val="clear" w:color="auto" w:fill="FCEDE8"/>
        <w:rPr>
          <w:rFonts w:ascii="Arial" w:hAnsi="Arial" w:cs="Arial"/>
          <w:color w:val="4D160F" w:themeColor="accent2" w:themeShade="80"/>
          <w:sz w:val="36"/>
          <w:szCs w:val="36"/>
        </w:rPr>
      </w:pPr>
      <w:bookmarkStart w:id="18" w:name="_Toc172359886"/>
      <w:r w:rsidRPr="00000332">
        <w:rPr>
          <w:rFonts w:ascii="Arial" w:hAnsi="Arial" w:cs="Arial"/>
          <w:color w:val="4D160F" w:themeColor="accent2" w:themeShade="80"/>
          <w:sz w:val="36"/>
          <w:szCs w:val="36"/>
        </w:rPr>
        <w:t>Achieving a 'Win-Win' Solution Among Stakeholders</w:t>
      </w:r>
      <w:bookmarkEnd w:id="18"/>
    </w:p>
    <w:p w14:paraId="774064F6" w14:textId="77777777" w:rsidR="000D348C" w:rsidRPr="003C730F" w:rsidRDefault="000D348C" w:rsidP="00E51D29">
      <w:pPr>
        <w:spacing w:line="276" w:lineRule="auto"/>
        <w:rPr>
          <w:rFonts w:ascii="Arial" w:hAnsi="Arial" w:cs="Arial"/>
          <w:color w:val="4D160F" w:themeColor="accent2" w:themeShade="80"/>
        </w:rPr>
      </w:pPr>
    </w:p>
    <w:p w14:paraId="1EB016EE" w14:textId="77777777" w:rsidR="00E51D29" w:rsidRPr="003C730F" w:rsidRDefault="00E51D29" w:rsidP="00E51D29">
      <w:pPr>
        <w:spacing w:line="276" w:lineRule="auto"/>
        <w:rPr>
          <w:rFonts w:ascii="Arial" w:hAnsi="Arial" w:cs="Arial"/>
          <w:color w:val="4D160F" w:themeColor="accent2" w:themeShade="80"/>
        </w:rPr>
      </w:pPr>
    </w:p>
    <w:p w14:paraId="71A2A2B7" w14:textId="0E5525A4" w:rsidR="00213F51" w:rsidRPr="00000332" w:rsidRDefault="00213F51"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 xml:space="preserve">A win-win solution in conflict resolution refers to an outcome where all parties involved benefit from the resolution of the conflict. </w:t>
      </w:r>
      <w:r w:rsidR="280D0D07" w:rsidRPr="46907997">
        <w:rPr>
          <w:rFonts w:ascii="Arial" w:hAnsi="Arial" w:cs="Arial"/>
          <w:color w:val="4D160F" w:themeColor="accent2" w:themeShade="80"/>
        </w:rPr>
        <w:t>This method is different from</w:t>
      </w:r>
      <w:r w:rsidRPr="00000332">
        <w:rPr>
          <w:rFonts w:ascii="Arial" w:hAnsi="Arial" w:cs="Arial"/>
          <w:color w:val="4D160F" w:themeColor="accent2" w:themeShade="80"/>
        </w:rPr>
        <w:t xml:space="preserve"> win-lose </w:t>
      </w:r>
      <w:r w:rsidR="280D0D07" w:rsidRPr="46907997">
        <w:rPr>
          <w:rFonts w:ascii="Arial" w:hAnsi="Arial" w:cs="Arial"/>
          <w:color w:val="4D160F" w:themeColor="accent2" w:themeShade="80"/>
        </w:rPr>
        <w:t>scenarios,</w:t>
      </w:r>
      <w:r w:rsidRPr="00000332">
        <w:rPr>
          <w:rFonts w:ascii="Arial" w:hAnsi="Arial" w:cs="Arial"/>
          <w:color w:val="4D160F" w:themeColor="accent2" w:themeShade="80"/>
        </w:rPr>
        <w:t xml:space="preserve"> where </w:t>
      </w:r>
      <w:r w:rsidR="280D0D07" w:rsidRPr="46907997">
        <w:rPr>
          <w:rFonts w:ascii="Arial" w:hAnsi="Arial" w:cs="Arial"/>
          <w:color w:val="4D160F" w:themeColor="accent2" w:themeShade="80"/>
        </w:rPr>
        <w:t xml:space="preserve">the advantage of </w:t>
      </w:r>
      <w:r w:rsidRPr="00000332">
        <w:rPr>
          <w:rFonts w:ascii="Arial" w:hAnsi="Arial" w:cs="Arial"/>
          <w:color w:val="4D160F" w:themeColor="accent2" w:themeShade="80"/>
        </w:rPr>
        <w:t>one</w:t>
      </w:r>
      <w:r w:rsidR="280D0D07" w:rsidRPr="0D39C4F8">
        <w:rPr>
          <w:rFonts w:ascii="Arial" w:hAnsi="Arial" w:cs="Arial"/>
          <w:color w:val="4D160F" w:themeColor="accent2" w:themeShade="80"/>
        </w:rPr>
        <w:t>-</w:t>
      </w:r>
      <w:r w:rsidR="280D0D07" w:rsidRPr="46907997">
        <w:rPr>
          <w:rFonts w:ascii="Arial" w:hAnsi="Arial" w:cs="Arial"/>
          <w:color w:val="4D160F" w:themeColor="accent2" w:themeShade="80"/>
        </w:rPr>
        <w:t>party results in a disadvantage for the other.</w:t>
      </w:r>
      <w:r w:rsidRPr="00000332">
        <w:rPr>
          <w:rFonts w:ascii="Arial" w:hAnsi="Arial" w:cs="Arial"/>
          <w:color w:val="4D160F" w:themeColor="accent2" w:themeShade="80"/>
        </w:rPr>
        <w:t xml:space="preserve"> Win-win solutions aim to address the interests of all stakeholders, fostering long-term cooperation and trust (Fisher and Ury, 1981).</w:t>
      </w:r>
    </w:p>
    <w:p w14:paraId="07493A40" w14:textId="77777777" w:rsidR="00213F51" w:rsidRPr="003C730F" w:rsidRDefault="00213F51" w:rsidP="00213F51">
      <w:pPr>
        <w:spacing w:line="360" w:lineRule="auto"/>
        <w:rPr>
          <w:rFonts w:ascii="Arial" w:hAnsi="Arial" w:cs="Arial"/>
          <w:color w:val="4D160F" w:themeColor="accent2" w:themeShade="80"/>
        </w:rPr>
      </w:pPr>
    </w:p>
    <w:p w14:paraId="1F4C4ECB" w14:textId="77777777" w:rsidR="00213F51" w:rsidRPr="00000332" w:rsidRDefault="00213F51" w:rsidP="00213F51">
      <w:pPr>
        <w:pStyle w:val="Heading2"/>
        <w:rPr>
          <w:rFonts w:ascii="Arial" w:hAnsi="Arial" w:cs="Arial"/>
          <w:color w:val="4D160F" w:themeColor="accent2" w:themeShade="80"/>
          <w:sz w:val="24"/>
          <w:szCs w:val="24"/>
          <w:u w:val="single"/>
        </w:rPr>
      </w:pPr>
      <w:bookmarkStart w:id="19" w:name="_Toc172359887"/>
      <w:r w:rsidRPr="00000332">
        <w:rPr>
          <w:rFonts w:ascii="Arial" w:hAnsi="Arial" w:cs="Arial"/>
          <w:color w:val="4D160F" w:themeColor="accent2" w:themeShade="80"/>
          <w:sz w:val="24"/>
          <w:szCs w:val="24"/>
          <w:u w:val="single"/>
        </w:rPr>
        <w:t>Strategies for Achieving Win-Win Solutions</w:t>
      </w:r>
      <w:bookmarkEnd w:id="19"/>
    </w:p>
    <w:p w14:paraId="7FCD91C5" w14:textId="77777777" w:rsidR="00213F51" w:rsidRPr="003C730F" w:rsidRDefault="00213F51" w:rsidP="00213F51">
      <w:pPr>
        <w:spacing w:line="360" w:lineRule="auto"/>
        <w:rPr>
          <w:rFonts w:ascii="Arial" w:hAnsi="Arial" w:cs="Arial"/>
          <w:color w:val="4D160F" w:themeColor="accent2" w:themeShade="80"/>
        </w:rPr>
      </w:pPr>
    </w:p>
    <w:p w14:paraId="29922247" w14:textId="77777777" w:rsidR="000C1BE3" w:rsidRPr="00000332" w:rsidRDefault="000C1BE3"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A 'win-win' solution is one where all parties involved in a conflict find their needs and interests satisfactorily addressed. In the context of the Post Office workers' strike, reaching such a resolution requires a collaborative approach that considers the diverse interests and powers of all stakeholders. Drawing from the stakeholder analysis and conflict resolution strategies discussed earlier, can be devised effective methods to achieve a mutually beneficial outcome.</w:t>
      </w:r>
    </w:p>
    <w:p w14:paraId="4406510C" w14:textId="77777777" w:rsidR="000C1BE3" w:rsidRPr="00000332" w:rsidRDefault="000C1BE3"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To achieve a win-win solution in the context of the Post Office workers' strike, several strategies can be employed:</w:t>
      </w:r>
    </w:p>
    <w:p w14:paraId="114B8859" w14:textId="51D06D84" w:rsidR="00213F51" w:rsidRPr="00000332" w:rsidRDefault="00213F51" w:rsidP="00000332">
      <w:pPr>
        <w:spacing w:line="360" w:lineRule="auto"/>
        <w:rPr>
          <w:rFonts w:ascii="Arial" w:hAnsi="Arial" w:cs="Arial"/>
          <w:color w:val="4D160F" w:themeColor="accent2" w:themeShade="80"/>
        </w:rPr>
      </w:pPr>
      <w:r w:rsidRPr="00000332">
        <w:rPr>
          <w:rFonts w:ascii="Arial" w:hAnsi="Arial" w:cs="Arial"/>
          <w:b/>
          <w:bCs/>
          <w:color w:val="4D160F" w:themeColor="accent2" w:themeShade="80"/>
        </w:rPr>
        <w:t>Interest-Based Negotiation</w:t>
      </w:r>
      <w:r w:rsidRPr="00000332">
        <w:rPr>
          <w:rFonts w:ascii="Arial" w:hAnsi="Arial" w:cs="Arial"/>
          <w:color w:val="4D160F" w:themeColor="accent2" w:themeShade="80"/>
        </w:rPr>
        <w:t>: Focus on Interests, Not Positions: Instead of rigidly sticking to their initial demands, both the management and the CWU should identify their underlying interests. For example, management’s interest may be maintaining financial sustainability, while the workers’ interest is fair compensation (Fisher and Ury, 1981).</w:t>
      </w:r>
    </w:p>
    <w:p w14:paraId="19BA6D9D" w14:textId="77777777" w:rsidR="00213F51" w:rsidRPr="00000332" w:rsidRDefault="00213F51"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Explore Multiple Options: Generate a variety of options before deciding on the final solution. This can include phased wage increases, performance-based bonuses, or improved working conditions as alternative forms of compensation (Bazerman and Neale, 1992).</w:t>
      </w:r>
    </w:p>
    <w:p w14:paraId="48A6A14A" w14:textId="71FA1BAA" w:rsidR="00213F51" w:rsidRPr="00000332" w:rsidRDefault="00213F51" w:rsidP="00000332">
      <w:pPr>
        <w:spacing w:line="360" w:lineRule="auto"/>
        <w:rPr>
          <w:rFonts w:ascii="Arial" w:hAnsi="Arial" w:cs="Arial"/>
          <w:color w:val="4D160F" w:themeColor="accent2" w:themeShade="80"/>
        </w:rPr>
      </w:pPr>
      <w:r w:rsidRPr="00000332">
        <w:rPr>
          <w:rFonts w:ascii="Arial" w:hAnsi="Arial" w:cs="Arial"/>
          <w:b/>
          <w:bCs/>
          <w:color w:val="4D160F" w:themeColor="accent2" w:themeShade="80"/>
        </w:rPr>
        <w:t>Open Communication and Transparency</w:t>
      </w:r>
      <w:r w:rsidRPr="00000332">
        <w:rPr>
          <w:rFonts w:ascii="Arial" w:hAnsi="Arial" w:cs="Arial"/>
          <w:color w:val="4D160F" w:themeColor="accent2" w:themeShade="80"/>
        </w:rPr>
        <w:t>: Clear and Honest Dialogue: Both parties should engage in open and honest communication to understand each other’s constraints and possibilities. Transparent communication builds trust and helps in finding common ground (Patterson et al., 2002).</w:t>
      </w:r>
    </w:p>
    <w:p w14:paraId="3B866508" w14:textId="77777777" w:rsidR="00213F51" w:rsidRPr="00000332" w:rsidRDefault="00213F51"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Regular Updates: Keep all stakeholders, including employees and investors, informed about the progress of negotiations to maintain trust and manage expectations.</w:t>
      </w:r>
    </w:p>
    <w:p w14:paraId="226C90B2" w14:textId="766457A1" w:rsidR="00213F51" w:rsidRPr="00000332" w:rsidRDefault="00213F51" w:rsidP="00000332">
      <w:pPr>
        <w:spacing w:line="360" w:lineRule="auto"/>
        <w:rPr>
          <w:rFonts w:ascii="Arial" w:hAnsi="Arial" w:cs="Arial"/>
          <w:color w:val="4D160F" w:themeColor="accent2" w:themeShade="80"/>
        </w:rPr>
      </w:pPr>
      <w:r w:rsidRPr="00000332">
        <w:rPr>
          <w:rFonts w:ascii="Arial" w:hAnsi="Arial" w:cs="Arial"/>
          <w:b/>
          <w:bCs/>
          <w:color w:val="4D160F" w:themeColor="accent2" w:themeShade="80"/>
        </w:rPr>
        <w:t>Joint Problem-Solving</w:t>
      </w:r>
      <w:r w:rsidRPr="00000332">
        <w:rPr>
          <w:rFonts w:ascii="Arial" w:hAnsi="Arial" w:cs="Arial"/>
          <w:color w:val="4D160F" w:themeColor="accent2" w:themeShade="80"/>
        </w:rPr>
        <w:t>: Collaborative Workshops: Organise joint problem-solving workshops where representatives from both sides can brainstorm solutions together. This collaborative approach helps in breaking down barriers and fostering a cooperative spirit (Hargrove, 2003).</w:t>
      </w:r>
    </w:p>
    <w:p w14:paraId="5CCFFD65" w14:textId="6A1A01A2" w:rsidR="00213F51" w:rsidRPr="00000332" w:rsidRDefault="00213F51" w:rsidP="00000332">
      <w:pPr>
        <w:spacing w:line="360" w:lineRule="auto"/>
        <w:rPr>
          <w:rFonts w:ascii="Arial" w:hAnsi="Arial" w:cs="Arial"/>
          <w:color w:val="4D160F" w:themeColor="accent2" w:themeShade="80"/>
        </w:rPr>
      </w:pPr>
      <w:r w:rsidRPr="00000332">
        <w:rPr>
          <w:rFonts w:ascii="Arial" w:hAnsi="Arial" w:cs="Arial"/>
          <w:b/>
          <w:bCs/>
          <w:color w:val="4D160F" w:themeColor="accent2" w:themeShade="80"/>
        </w:rPr>
        <w:t>External Mediation</w:t>
      </w:r>
      <w:r w:rsidRPr="00000332">
        <w:rPr>
          <w:rFonts w:ascii="Arial" w:hAnsi="Arial" w:cs="Arial"/>
          <w:color w:val="4D160F" w:themeColor="accent2" w:themeShade="80"/>
        </w:rPr>
        <w:t>: Involve a Neutral Mediator: An external mediator can facilitate negotiations by ensuring that discussions remain focused and constructive. Mediators can help both parties to see beyond their immediate demands and consider long-term benefits (Moore, 2003).</w:t>
      </w:r>
    </w:p>
    <w:p w14:paraId="4B2DCF12" w14:textId="77777777" w:rsidR="00A9019B" w:rsidRPr="00000332" w:rsidRDefault="00A9019B" w:rsidP="00000332">
      <w:pPr>
        <w:spacing w:line="360" w:lineRule="auto"/>
        <w:rPr>
          <w:rFonts w:ascii="Arial" w:hAnsi="Arial" w:cs="Arial"/>
          <w:color w:val="4D160F" w:themeColor="accent2" w:themeShade="80"/>
        </w:rPr>
      </w:pPr>
      <w:r w:rsidRPr="00000332">
        <w:rPr>
          <w:rFonts w:ascii="Arial" w:hAnsi="Arial" w:cs="Arial"/>
          <w:b/>
          <w:bCs/>
          <w:color w:val="4D160F" w:themeColor="accent2" w:themeShade="80"/>
        </w:rPr>
        <w:t>Government Involvement</w:t>
      </w:r>
      <w:r w:rsidRPr="00000332">
        <w:rPr>
          <w:rFonts w:ascii="Arial" w:hAnsi="Arial" w:cs="Arial"/>
          <w:color w:val="4D160F" w:themeColor="accent2" w:themeShade="80"/>
        </w:rPr>
        <w:t>: Engaging government bodies to provide support in the form of subsidies or temporary relief measures can help bridge the gap between the conflicting interests of financial constraints and fair compensation (Lewin, 1951).</w:t>
      </w:r>
    </w:p>
    <w:p w14:paraId="22E1CACD" w14:textId="77777777" w:rsidR="00A9019B" w:rsidRPr="003C730F" w:rsidRDefault="00A9019B" w:rsidP="00213F51">
      <w:pPr>
        <w:spacing w:line="360" w:lineRule="auto"/>
        <w:rPr>
          <w:rFonts w:ascii="Arial" w:hAnsi="Arial" w:cs="Arial"/>
          <w:color w:val="4D160F" w:themeColor="accent2" w:themeShade="80"/>
        </w:rPr>
      </w:pPr>
    </w:p>
    <w:p w14:paraId="3238E994" w14:textId="77777777" w:rsidR="00213F51" w:rsidRPr="00000332" w:rsidRDefault="00213F51" w:rsidP="00213F51">
      <w:pPr>
        <w:pStyle w:val="Heading2"/>
        <w:rPr>
          <w:rFonts w:ascii="Arial" w:hAnsi="Arial" w:cs="Arial"/>
          <w:color w:val="4D160F" w:themeColor="accent2" w:themeShade="80"/>
          <w:sz w:val="24"/>
          <w:szCs w:val="24"/>
          <w:u w:val="single"/>
        </w:rPr>
      </w:pPr>
      <w:bookmarkStart w:id="20" w:name="_Toc172359888"/>
      <w:r w:rsidRPr="00000332">
        <w:rPr>
          <w:rFonts w:ascii="Arial" w:hAnsi="Arial" w:cs="Arial"/>
          <w:color w:val="4D160F" w:themeColor="accent2" w:themeShade="80"/>
          <w:sz w:val="24"/>
          <w:szCs w:val="24"/>
          <w:u w:val="single"/>
        </w:rPr>
        <w:t>The Reality of Win-Win Solutions</w:t>
      </w:r>
      <w:bookmarkEnd w:id="20"/>
    </w:p>
    <w:p w14:paraId="441C72FC" w14:textId="77777777" w:rsidR="00213F51" w:rsidRPr="003C730F" w:rsidRDefault="00213F51" w:rsidP="00213F51">
      <w:pPr>
        <w:spacing w:line="360" w:lineRule="auto"/>
        <w:rPr>
          <w:rFonts w:ascii="Arial" w:hAnsi="Arial" w:cs="Arial"/>
          <w:color w:val="4D160F" w:themeColor="accent2" w:themeShade="80"/>
        </w:rPr>
      </w:pPr>
    </w:p>
    <w:p w14:paraId="714882C0" w14:textId="1273F5B5" w:rsidR="00213F51" w:rsidRPr="00000332" w:rsidRDefault="00213F51"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While the goal is to achieve a win-win outcome, it is not always possible for both sides to feel like absolute winners. The context of the situation often dictates the feasibility of a win-win solution. There are several scenarios to consider:</w:t>
      </w:r>
    </w:p>
    <w:p w14:paraId="74A03099" w14:textId="0875C8AF" w:rsidR="00213F51" w:rsidRPr="00000332" w:rsidRDefault="00213F51" w:rsidP="00000332">
      <w:pPr>
        <w:spacing w:line="360" w:lineRule="auto"/>
        <w:rPr>
          <w:rFonts w:ascii="Arial" w:hAnsi="Arial" w:cs="Arial"/>
          <w:color w:val="4D160F" w:themeColor="accent2" w:themeShade="80"/>
        </w:rPr>
      </w:pPr>
      <w:r w:rsidRPr="00000332">
        <w:rPr>
          <w:rFonts w:ascii="Arial" w:hAnsi="Arial" w:cs="Arial"/>
          <w:b/>
          <w:bCs/>
          <w:color w:val="4D160F" w:themeColor="accent2" w:themeShade="80"/>
        </w:rPr>
        <w:t>Temporary Lose-Lose Situations</w:t>
      </w:r>
      <w:r w:rsidRPr="00000332">
        <w:rPr>
          <w:rFonts w:ascii="Arial" w:hAnsi="Arial" w:cs="Arial"/>
          <w:color w:val="4D160F" w:themeColor="accent2" w:themeShade="80"/>
        </w:rPr>
        <w:t>: Short-Term Sacrifices for Long-Term Gains: In some cases, both parties might need to make short-term sacrifices to achieve long-term benefits. For example, workers might accept a smaller immediate pay increase with the understanding that better compensation structures will be implemented in the future. Similarly, management might agree to short-term financial strain to maintain workforce stability and morale (Kim and Mauborgne, 2005).</w:t>
      </w:r>
    </w:p>
    <w:p w14:paraId="40754EA6" w14:textId="77777777" w:rsidR="00213F51" w:rsidRPr="00000332" w:rsidRDefault="00213F51"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Building Trust: Temporary lose-lose situations can also help in building trust. When both parties see that the other is willing to compromise, it can lead to stronger relationships and more effective collaboration in the future (Lewicki and Bunker, 1996).</w:t>
      </w:r>
    </w:p>
    <w:p w14:paraId="56773975" w14:textId="1237D1BD" w:rsidR="00213F51" w:rsidRPr="00000332" w:rsidRDefault="00213F51" w:rsidP="00000332">
      <w:pPr>
        <w:spacing w:line="360" w:lineRule="auto"/>
        <w:rPr>
          <w:rFonts w:ascii="Arial" w:hAnsi="Arial" w:cs="Arial"/>
          <w:color w:val="4D160F" w:themeColor="accent2" w:themeShade="80"/>
        </w:rPr>
      </w:pPr>
      <w:r w:rsidRPr="00000332">
        <w:rPr>
          <w:rFonts w:ascii="Arial" w:hAnsi="Arial" w:cs="Arial"/>
          <w:b/>
          <w:bCs/>
          <w:color w:val="4D160F" w:themeColor="accent2" w:themeShade="80"/>
        </w:rPr>
        <w:t>Context-Dependent Outcomes</w:t>
      </w:r>
      <w:r w:rsidRPr="00000332">
        <w:rPr>
          <w:rFonts w:ascii="Arial" w:hAnsi="Arial" w:cs="Arial"/>
          <w:color w:val="4D160F" w:themeColor="accent2" w:themeShade="80"/>
        </w:rPr>
        <w:t>: Dynamic Stakeholder Interests: Stakeholder interests and positions are not static and can change based on the context. For instance, if the economic environment improves, management might find it easier to meet workers' demands. Conversely, if financial pressures increase, workers might need to temper their expectations (Mitchell, Agle, and Wood, 1997).</w:t>
      </w:r>
    </w:p>
    <w:p w14:paraId="51368E78" w14:textId="4A1343BF" w:rsidR="00213F51" w:rsidRPr="00000332" w:rsidRDefault="00213F51" w:rsidP="00000332">
      <w:pPr>
        <w:spacing w:line="360" w:lineRule="auto"/>
        <w:rPr>
          <w:rFonts w:ascii="Arial" w:hAnsi="Arial" w:cs="Arial"/>
          <w:color w:val="4D160F" w:themeColor="accent2" w:themeShade="80"/>
        </w:rPr>
      </w:pPr>
      <w:r w:rsidRPr="00000332">
        <w:rPr>
          <w:rFonts w:ascii="Arial" w:hAnsi="Arial" w:cs="Arial"/>
          <w:b/>
          <w:bCs/>
          <w:color w:val="4D160F" w:themeColor="accent2" w:themeShade="80"/>
        </w:rPr>
        <w:t>Future Success from Lose-Lose Situations</w:t>
      </w:r>
      <w:r w:rsidRPr="00000332">
        <w:rPr>
          <w:rFonts w:ascii="Arial" w:hAnsi="Arial" w:cs="Arial"/>
          <w:color w:val="4D160F" w:themeColor="accent2" w:themeShade="80"/>
        </w:rPr>
        <w:t>: Learning and Adaptation: Even in lose-lose scenarios, valuable lessons can be learned. Organisations can use these experiences to adapt and improve their conflict resolution processes. This learning can lead to better handling of future conflicts and contribute to organisational success (Argyris, 1993).</w:t>
      </w:r>
    </w:p>
    <w:p w14:paraId="0F6503E6" w14:textId="1D940216" w:rsidR="004E0EA0" w:rsidRPr="00000332" w:rsidRDefault="00213F51"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Strengthened Negotiation Skills: Engaging in difficult negotiations and resolving conflicts can enhance the negotiation skills of both management and union representatives, preparing them better for future interactions (Thompson, 2001).</w:t>
      </w:r>
    </w:p>
    <w:p w14:paraId="5D8FB722" w14:textId="174ECC5F" w:rsidR="004E0EA0" w:rsidRPr="00000332" w:rsidRDefault="004E0EA0"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Reaching a 'win-win' solution in the Post Office workers' strike requires a combination of open communication, interest-based negotiation, collaborative problem-solving, and adaptive strategies. Effective leadership and a supportive organisational culture further facilitate the resolution process. By addressing the needs and interests of all stakeholders, the Post Office can not only resolve the current conflict but also strengthen its organisational resilience and employee relations.</w:t>
      </w:r>
    </w:p>
    <w:p w14:paraId="2F8C8FE3" w14:textId="77777777" w:rsidR="000C1BE3" w:rsidRPr="003C730F" w:rsidRDefault="000C1BE3" w:rsidP="00E51D29">
      <w:pPr>
        <w:spacing w:line="276" w:lineRule="auto"/>
        <w:rPr>
          <w:rFonts w:ascii="Arial" w:hAnsi="Arial" w:cs="Arial"/>
          <w:color w:val="4D160F" w:themeColor="accent2" w:themeShade="80"/>
        </w:rPr>
      </w:pPr>
    </w:p>
    <w:p w14:paraId="3A700C9E" w14:textId="77777777" w:rsidR="000C1BE3" w:rsidRPr="003C730F" w:rsidRDefault="000C1BE3" w:rsidP="00E51D29">
      <w:pPr>
        <w:spacing w:line="276" w:lineRule="auto"/>
        <w:rPr>
          <w:rFonts w:ascii="Arial" w:hAnsi="Arial" w:cs="Arial"/>
          <w:color w:val="4D160F" w:themeColor="accent2" w:themeShade="80"/>
        </w:rPr>
      </w:pPr>
    </w:p>
    <w:p w14:paraId="78C3249B" w14:textId="77777777" w:rsidR="00DA4394" w:rsidRPr="00000332" w:rsidRDefault="00DA4394" w:rsidP="00DA4394">
      <w:pPr>
        <w:pStyle w:val="Heading1"/>
        <w:shd w:val="clear" w:color="auto" w:fill="FCEDE8"/>
        <w:rPr>
          <w:rFonts w:ascii="Arial" w:hAnsi="Arial" w:cs="Arial"/>
          <w:color w:val="4D160F" w:themeColor="accent2" w:themeShade="80"/>
          <w:sz w:val="36"/>
          <w:szCs w:val="36"/>
        </w:rPr>
      </w:pPr>
      <w:bookmarkStart w:id="21" w:name="_Toc172359889"/>
      <w:r w:rsidRPr="00000332">
        <w:rPr>
          <w:rFonts w:ascii="Arial" w:hAnsi="Arial" w:cs="Arial"/>
          <w:color w:val="4D160F" w:themeColor="accent2" w:themeShade="80"/>
          <w:sz w:val="36"/>
          <w:szCs w:val="36"/>
        </w:rPr>
        <w:t>Reflection on Conflict Resolution and Stakeholder Theory: Preparation for the Workplace</w:t>
      </w:r>
      <w:bookmarkEnd w:id="21"/>
    </w:p>
    <w:p w14:paraId="63EEEDC5" w14:textId="77777777" w:rsidR="00DA4394" w:rsidRPr="003C730F" w:rsidRDefault="00DA4394" w:rsidP="00DA4394">
      <w:pPr>
        <w:spacing w:line="276" w:lineRule="auto"/>
        <w:rPr>
          <w:rFonts w:ascii="Arial" w:hAnsi="Arial" w:cs="Arial"/>
          <w:color w:val="4D160F" w:themeColor="accent2" w:themeShade="80"/>
        </w:rPr>
      </w:pPr>
    </w:p>
    <w:p w14:paraId="7A484678" w14:textId="1E6C5CC5" w:rsidR="002F46C5" w:rsidRPr="00000332" w:rsidRDefault="00DA4394"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Throughout this module, my understanding of conflict resolution and stakeholder theory has deepened significantly, preparing me for the complexities of the workplace. The diverse learning experiences, engaging discussions, and practical applications have profoundly shaped my perspective and equipped me with essential skills for my professional journey.</w:t>
      </w:r>
    </w:p>
    <w:p w14:paraId="7980EE02" w14:textId="079E32B6" w:rsidR="00DA4394" w:rsidRPr="00000332" w:rsidRDefault="00DA4394" w:rsidP="00000332">
      <w:pPr>
        <w:spacing w:line="360" w:lineRule="auto"/>
        <w:rPr>
          <w:rFonts w:ascii="Arial" w:hAnsi="Arial" w:cs="Arial"/>
          <w:b/>
          <w:bCs/>
          <w:color w:val="4D160F" w:themeColor="accent2" w:themeShade="80"/>
        </w:rPr>
      </w:pPr>
      <w:r w:rsidRPr="00000332">
        <w:rPr>
          <w:rFonts w:ascii="Arial" w:hAnsi="Arial" w:cs="Arial"/>
          <w:b/>
          <w:bCs/>
          <w:color w:val="4D160F" w:themeColor="accent2" w:themeShade="80"/>
        </w:rPr>
        <w:t>Personal Experience and Learning</w:t>
      </w:r>
      <w:r w:rsidR="002F46C5" w:rsidRPr="00000332">
        <w:rPr>
          <w:rFonts w:ascii="Arial" w:hAnsi="Arial" w:cs="Arial"/>
          <w:b/>
          <w:bCs/>
          <w:color w:val="4D160F" w:themeColor="accent2" w:themeShade="80"/>
        </w:rPr>
        <w:t xml:space="preserve">: </w:t>
      </w:r>
      <w:r w:rsidRPr="00000332">
        <w:rPr>
          <w:rFonts w:ascii="Arial" w:hAnsi="Arial" w:cs="Arial"/>
          <w:color w:val="4D160F" w:themeColor="accent2" w:themeShade="80"/>
        </w:rPr>
        <w:t>From the outset, the module emphasized the critical role of stakeholders in any organizational change. The in-depth exploration of stakeholder theory, particularly Edward Freeman's perspective on the importance of managing stakeholder relationships to achieve strategic goals, was eye-opening (Freeman, 1984). This foundational knowledge was reinforced through case studies and group exercises that simulated real-world scenarios, such as the Post Office workers' strike.</w:t>
      </w:r>
    </w:p>
    <w:p w14:paraId="11158C96" w14:textId="5B0C144E" w:rsidR="00DA4394" w:rsidRPr="00000332" w:rsidRDefault="00DA4394"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One of the most impactful experiences was a role-playing exercise where we were divided into different stakeholder groups, including management, employees, unions, and external parties like government regulators. This activity vividly illustrated the complexities of stakeholder interests and the challenges of finding a resolution that satisfies all parties. I was assigned the role of a union representative, which required me to advocate fiercely for workers' rights while also understanding the constraints faced by management. This dual perspective enhanced my empathy and strategic thinking, crucial skills for any professional setting.</w:t>
      </w:r>
    </w:p>
    <w:p w14:paraId="02BF1549" w14:textId="77777777" w:rsidR="00DA4394" w:rsidRPr="00000332" w:rsidRDefault="00DA4394" w:rsidP="00000332">
      <w:pPr>
        <w:spacing w:line="360" w:lineRule="auto"/>
        <w:rPr>
          <w:rFonts w:ascii="Arial" w:hAnsi="Arial" w:cs="Arial"/>
          <w:b/>
          <w:bCs/>
          <w:color w:val="4D160F" w:themeColor="accent2" w:themeShade="80"/>
        </w:rPr>
      </w:pPr>
      <w:r w:rsidRPr="00000332">
        <w:rPr>
          <w:rFonts w:ascii="Arial" w:hAnsi="Arial" w:cs="Arial"/>
          <w:b/>
          <w:bCs/>
          <w:color w:val="4D160F" w:themeColor="accent2" w:themeShade="80"/>
        </w:rPr>
        <w:t>Insights Gained</w:t>
      </w:r>
    </w:p>
    <w:p w14:paraId="5BBFEE15" w14:textId="7973EA45" w:rsidR="00DA4394" w:rsidRPr="00000332" w:rsidRDefault="00DA4394"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Complexity of Stakeholder Management:</w:t>
      </w:r>
    </w:p>
    <w:p w14:paraId="6D1D9323" w14:textId="77777777" w:rsidR="00DA4394" w:rsidRPr="00000332" w:rsidRDefault="00DA4394"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The discussions and readings underscored that stakeholders are not monolithic entities but groups with diverse and sometimes conflicting interests. Managing these relationships requires nuanced communication and negotiation skills. The stakeholder salience model by Mitchell et al. (1997), which categorizes stakeholders based on their power, legitimacy, and urgency, provided a practical framework for prioritizing stakeholder engagement.</w:t>
      </w:r>
    </w:p>
    <w:p w14:paraId="53232CF2" w14:textId="6EEF5585" w:rsidR="00DA4394" w:rsidRPr="00000332" w:rsidRDefault="00DA4394"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Conflict Resolution Techniques:</w:t>
      </w:r>
    </w:p>
    <w:p w14:paraId="078016FC" w14:textId="77777777" w:rsidR="00DA4394" w:rsidRPr="00000332" w:rsidRDefault="00DA4394"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The module's coverage of conflict resolution styles—accommodation, avoidance, competing, compromising, and collaborating—was particularly enlightening. The collaborative style, which seeks a win-win outcome, resonated with me the most as it aligns with my values of fairness and inclusivity. However, the practical exercises demonstrated that flexibility is crucial, as different situations may require different approaches.</w:t>
      </w:r>
    </w:p>
    <w:p w14:paraId="583DF474" w14:textId="6EB0C447" w:rsidR="00DA4394" w:rsidRPr="00000332" w:rsidRDefault="00DA4394"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Application of Theoretical Models:</w:t>
      </w:r>
    </w:p>
    <w:p w14:paraId="5BD7ECDE" w14:textId="77777777" w:rsidR="00DA4394" w:rsidRPr="00000332" w:rsidRDefault="00DA4394"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Learning about Lewin's Three-Stage Model of Change (unfreeze, change, refreeze) and Kotter's Eight Steps of Change provided structured approaches to managing organizational transitions (Lewin, 1951; Kotter, 1996). These models highlighted the importance of preparation, clear communication, and reinforcement in successfully implementing change. The interactive sessions where we applied these models to hypothetical scenarios helped solidify my understanding and showed me how to adapt these frameworks to various contexts.</w:t>
      </w:r>
    </w:p>
    <w:p w14:paraId="05A6DB9E" w14:textId="77777777" w:rsidR="00DA4394" w:rsidRPr="00000332" w:rsidRDefault="00DA4394"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Practical Skills for the Workplace</w:t>
      </w:r>
    </w:p>
    <w:p w14:paraId="5F879660" w14:textId="0E66C677" w:rsidR="00DA4394" w:rsidRPr="00000332" w:rsidRDefault="00DA4394"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Enhanced Communication and Negotiation:</w:t>
      </w:r>
    </w:p>
    <w:p w14:paraId="6FA0DB15" w14:textId="77777777" w:rsidR="00DA4394" w:rsidRPr="00000332" w:rsidRDefault="00DA4394"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The module has honed my ability to communicate effectively with diverse stakeholders. I have learned to listen actively, understand different perspectives, and articulate my points clearly. These skills are essential for resolving conflicts and fostering collaboration in any workplace setting.</w:t>
      </w:r>
    </w:p>
    <w:p w14:paraId="1D3BF27A" w14:textId="17D881A6" w:rsidR="00DA4394" w:rsidRPr="00000332" w:rsidRDefault="00DA4394"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Strategic Thinking:</w:t>
      </w:r>
    </w:p>
    <w:p w14:paraId="1FD1F083" w14:textId="77777777" w:rsidR="00DA4394" w:rsidRPr="00000332" w:rsidRDefault="00DA4394"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The emphasis on stakeholder analysis and conflict resolution has developed my strategic thinking abilities. I am now more adept at anticipating potential issues, assessing the interests and influence of different stakeholders, and devising strategies that align with both organizational goals and stakeholder needs.</w:t>
      </w:r>
    </w:p>
    <w:p w14:paraId="50D2BC69" w14:textId="67F27C8B" w:rsidR="00DA4394" w:rsidRPr="00000332" w:rsidRDefault="00DA4394"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Adaptability:</w:t>
      </w:r>
    </w:p>
    <w:p w14:paraId="40789306" w14:textId="1ED9B2BE" w:rsidR="00DA4394" w:rsidRPr="00000332" w:rsidRDefault="00DA4394"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The varied scenarios and role-playing exercises taught me the importance of adaptability. Being able to shift between different conflict resolution styles and stakeholder engagement strategies based on the situation is a valuable skill that I can apply in dynamic and unpredictable work environments.</w:t>
      </w:r>
    </w:p>
    <w:p w14:paraId="55FDC70B" w14:textId="4A45D669" w:rsidR="00DA4394" w:rsidRDefault="00DA4394" w:rsidP="00000332">
      <w:pPr>
        <w:spacing w:line="360" w:lineRule="auto"/>
        <w:rPr>
          <w:rFonts w:ascii="Arial" w:hAnsi="Arial" w:cs="Arial"/>
          <w:color w:val="4D160F" w:themeColor="accent2" w:themeShade="80"/>
        </w:rPr>
      </w:pPr>
      <w:r w:rsidRPr="00000332">
        <w:rPr>
          <w:rFonts w:ascii="Arial" w:hAnsi="Arial" w:cs="Arial"/>
          <w:color w:val="4D160F" w:themeColor="accent2" w:themeShade="80"/>
        </w:rPr>
        <w:t>Overall, this module has profoundly prepared me for the workplace by equipping me with a robust understanding of conflict resolution and stakeholder theory. The knowledge and skills I have gained will enable me to navigate complex organizational landscapes, manage stakeholder relationships effectively, and contribute to creating harmonious and productive work environments. This preparation is invaluable as I embark on my professional career, and I am confident that the insights and experiences from this module will serve me well in the future.</w:t>
      </w:r>
    </w:p>
    <w:p w14:paraId="0ED775D2" w14:textId="77777777" w:rsidR="0055466D" w:rsidRPr="00000332" w:rsidRDefault="0055466D" w:rsidP="00000332">
      <w:pPr>
        <w:spacing w:line="360" w:lineRule="auto"/>
        <w:rPr>
          <w:rFonts w:ascii="Arial" w:hAnsi="Arial" w:cs="Arial"/>
          <w:color w:val="4D160F" w:themeColor="accent2" w:themeShade="80"/>
        </w:rPr>
      </w:pPr>
    </w:p>
    <w:p w14:paraId="3059C104" w14:textId="77777777" w:rsidR="00E51D29" w:rsidRPr="003C730F" w:rsidRDefault="00E51D29" w:rsidP="00E51D29">
      <w:pPr>
        <w:rPr>
          <w:rFonts w:ascii="Arial" w:hAnsi="Arial" w:cs="Arial"/>
          <w:color w:val="4D160F" w:themeColor="accent2" w:themeShade="80"/>
        </w:rPr>
      </w:pPr>
    </w:p>
    <w:p w14:paraId="76588B0D" w14:textId="5AA0D934" w:rsidR="00E51D29" w:rsidRPr="0055466D" w:rsidRDefault="002F46C5" w:rsidP="002F46C5">
      <w:pPr>
        <w:pStyle w:val="Heading1"/>
        <w:shd w:val="clear" w:color="auto" w:fill="FCEDE8"/>
        <w:rPr>
          <w:rFonts w:ascii="Arial" w:hAnsi="Arial" w:cs="Arial"/>
          <w:color w:val="4D160F" w:themeColor="accent2" w:themeShade="80"/>
          <w:sz w:val="36"/>
          <w:szCs w:val="36"/>
        </w:rPr>
      </w:pPr>
      <w:bookmarkStart w:id="22" w:name="_Toc172359890"/>
      <w:r w:rsidRPr="0055466D">
        <w:rPr>
          <w:rFonts w:ascii="Arial" w:hAnsi="Arial" w:cs="Arial"/>
          <w:color w:val="4D160F" w:themeColor="accent2" w:themeShade="80"/>
          <w:sz w:val="36"/>
          <w:szCs w:val="36"/>
        </w:rPr>
        <w:t>C</w:t>
      </w:r>
      <w:r w:rsidR="00C7401E" w:rsidRPr="0055466D">
        <w:rPr>
          <w:rFonts w:ascii="Arial" w:hAnsi="Arial" w:cs="Arial"/>
          <w:color w:val="4D160F" w:themeColor="accent2" w:themeShade="80"/>
          <w:sz w:val="36"/>
          <w:szCs w:val="36"/>
        </w:rPr>
        <w:t>onclusion and recommendations</w:t>
      </w:r>
      <w:bookmarkEnd w:id="22"/>
    </w:p>
    <w:p w14:paraId="24C2D8E3" w14:textId="77777777" w:rsidR="00E51D29" w:rsidRPr="003C730F" w:rsidRDefault="00E51D29" w:rsidP="00060DAE">
      <w:pPr>
        <w:rPr>
          <w:rFonts w:ascii="Arial" w:hAnsi="Arial" w:cs="Arial"/>
          <w:color w:val="4D160F" w:themeColor="accent2" w:themeShade="80"/>
        </w:rPr>
      </w:pPr>
    </w:p>
    <w:p w14:paraId="30CEEB5A" w14:textId="587B30A4" w:rsidR="002F46C5" w:rsidRPr="0055466D" w:rsidRDefault="002F46C5" w:rsidP="0055466D">
      <w:pPr>
        <w:spacing w:line="360" w:lineRule="auto"/>
        <w:rPr>
          <w:rFonts w:ascii="Arial" w:hAnsi="Arial" w:cs="Arial"/>
          <w:color w:val="4D160F" w:themeColor="accent2" w:themeShade="80"/>
        </w:rPr>
      </w:pPr>
      <w:r w:rsidRPr="0055466D">
        <w:rPr>
          <w:rFonts w:ascii="Arial" w:hAnsi="Arial" w:cs="Arial"/>
          <w:color w:val="4D160F" w:themeColor="accent2" w:themeShade="80"/>
        </w:rPr>
        <w:t>The study of conflict resolution and stakeholder theory within this module has provided essential insights into effectively managing organizational change. Through practical exercises and theoretical discussions, I have learned the importance of engaging stakeholders strategically and navigating conflicts with flexibility. The Post Office workers' strike case highlighted the need for structured approaches like the power-interest matrix, Lewin’s Three-Stage Model, and Kotter’s Eight Steps of Change to achieve successful outcomes. Understanding various conflict resolution styles and their situational applicability has reinforced the necessity of adaptable and strategic thinking in resolving disputes.</w:t>
      </w:r>
    </w:p>
    <w:p w14:paraId="11E1E467" w14:textId="51B6EB6F" w:rsidR="002F46C5" w:rsidRPr="0055466D" w:rsidRDefault="002F46C5" w:rsidP="0055466D">
      <w:pPr>
        <w:spacing w:line="360" w:lineRule="auto"/>
        <w:rPr>
          <w:rFonts w:ascii="Arial" w:hAnsi="Arial" w:cs="Arial"/>
          <w:b/>
          <w:bCs/>
          <w:color w:val="4D160F" w:themeColor="accent2" w:themeShade="80"/>
        </w:rPr>
      </w:pPr>
      <w:r w:rsidRPr="0055466D">
        <w:rPr>
          <w:rFonts w:ascii="Arial" w:hAnsi="Arial" w:cs="Arial"/>
          <w:b/>
          <w:bCs/>
          <w:color w:val="4D160F" w:themeColor="accent2" w:themeShade="80"/>
        </w:rPr>
        <w:t>Recommendations</w:t>
      </w:r>
      <w:r w:rsidR="0055466D" w:rsidRPr="0055466D">
        <w:rPr>
          <w:rFonts w:ascii="Arial" w:hAnsi="Arial" w:cs="Arial"/>
          <w:b/>
          <w:bCs/>
          <w:color w:val="4D160F" w:themeColor="accent2" w:themeShade="80"/>
        </w:rPr>
        <w:t xml:space="preserve">: </w:t>
      </w:r>
      <w:r w:rsidRPr="0055466D">
        <w:rPr>
          <w:rFonts w:ascii="Arial" w:hAnsi="Arial" w:cs="Arial"/>
          <w:color w:val="4D160F" w:themeColor="accent2" w:themeShade="80"/>
        </w:rPr>
        <w:t>Based on the insights gained and the analysis of the Post Office workers' strike, the following recommendations are proposed:</w:t>
      </w:r>
    </w:p>
    <w:p w14:paraId="631A0478" w14:textId="1A9D0F78" w:rsidR="002F46C5" w:rsidRPr="0055466D" w:rsidRDefault="002F46C5" w:rsidP="0055466D">
      <w:pPr>
        <w:spacing w:line="360" w:lineRule="auto"/>
        <w:rPr>
          <w:rFonts w:ascii="Arial" w:hAnsi="Arial" w:cs="Arial"/>
          <w:color w:val="4D160F" w:themeColor="accent2" w:themeShade="80"/>
        </w:rPr>
      </w:pPr>
      <w:r w:rsidRPr="0055466D">
        <w:rPr>
          <w:rFonts w:ascii="Arial" w:hAnsi="Arial" w:cs="Arial"/>
          <w:color w:val="4D160F" w:themeColor="accent2" w:themeShade="80"/>
        </w:rPr>
        <w:t>Engage Stakeholders Early and Continuously: Use tools like the power-interest matrix to identify and prioritize stakeholders, maintaining transparent communication to build trust and reduce resistance.</w:t>
      </w:r>
    </w:p>
    <w:p w14:paraId="55629321" w14:textId="106A1D7F" w:rsidR="002F46C5" w:rsidRPr="0055466D" w:rsidRDefault="002F46C5" w:rsidP="0055466D">
      <w:pPr>
        <w:spacing w:line="360" w:lineRule="auto"/>
        <w:rPr>
          <w:rFonts w:ascii="Arial" w:hAnsi="Arial" w:cs="Arial"/>
          <w:color w:val="4D160F" w:themeColor="accent2" w:themeShade="80"/>
        </w:rPr>
      </w:pPr>
      <w:r w:rsidRPr="0055466D">
        <w:rPr>
          <w:rFonts w:ascii="Arial" w:hAnsi="Arial" w:cs="Arial"/>
          <w:color w:val="4D160F" w:themeColor="accent2" w:themeShade="80"/>
        </w:rPr>
        <w:t>Adopt a Flexible Conflict Resolution Approach: Tailor conflict resolution strategies to specific contexts, employing styles such as collaboration, accommodation, or compromise as appropriate.</w:t>
      </w:r>
    </w:p>
    <w:p w14:paraId="4E0DC2A0" w14:textId="08103941" w:rsidR="002F46C5" w:rsidRPr="0055466D" w:rsidRDefault="002F46C5" w:rsidP="0055466D">
      <w:pPr>
        <w:spacing w:line="360" w:lineRule="auto"/>
        <w:rPr>
          <w:rFonts w:ascii="Arial" w:hAnsi="Arial" w:cs="Arial"/>
          <w:color w:val="4D160F" w:themeColor="accent2" w:themeShade="80"/>
        </w:rPr>
      </w:pPr>
      <w:r w:rsidRPr="0055466D">
        <w:rPr>
          <w:rFonts w:ascii="Arial" w:hAnsi="Arial" w:cs="Arial"/>
          <w:color w:val="4D160F" w:themeColor="accent2" w:themeShade="80"/>
        </w:rPr>
        <w:t>Utilize Structured Change Management Models: Implement frameworks like Lewin’s Three-Stage Model or Kotter’s Eight Steps of Change to guide change processes, ensuring smooth transitions and minimizing disruptions.</w:t>
      </w:r>
    </w:p>
    <w:p w14:paraId="52DAF03F" w14:textId="1F27D700" w:rsidR="002F46C5" w:rsidRPr="0055466D" w:rsidRDefault="002F46C5" w:rsidP="0055466D">
      <w:pPr>
        <w:spacing w:line="360" w:lineRule="auto"/>
        <w:rPr>
          <w:rFonts w:ascii="Arial" w:hAnsi="Arial" w:cs="Arial"/>
          <w:color w:val="4D160F" w:themeColor="accent2" w:themeShade="80"/>
        </w:rPr>
      </w:pPr>
      <w:r w:rsidRPr="0055466D">
        <w:rPr>
          <w:rFonts w:ascii="Arial" w:hAnsi="Arial" w:cs="Arial"/>
          <w:color w:val="4D160F" w:themeColor="accent2" w:themeShade="80"/>
        </w:rPr>
        <w:t>Foster a Collaborative Organizational Culture: Cultivate a culture of collaboration, transparency, and inclusivity to enhance stakeholder buy-in and support for change initiatives.</w:t>
      </w:r>
    </w:p>
    <w:p w14:paraId="01264358" w14:textId="1D6A4C4D" w:rsidR="002F46C5" w:rsidRPr="0055466D" w:rsidRDefault="002F46C5" w:rsidP="0055466D">
      <w:pPr>
        <w:spacing w:line="360" w:lineRule="auto"/>
        <w:rPr>
          <w:rFonts w:ascii="Arial" w:hAnsi="Arial" w:cs="Arial"/>
          <w:color w:val="4D160F" w:themeColor="accent2" w:themeShade="80"/>
        </w:rPr>
      </w:pPr>
      <w:r w:rsidRPr="0055466D">
        <w:rPr>
          <w:rFonts w:ascii="Arial" w:hAnsi="Arial" w:cs="Arial"/>
          <w:color w:val="4D160F" w:themeColor="accent2" w:themeShade="80"/>
        </w:rPr>
        <w:t>Leverage HR’s Role in Change Management: Utilize HR as a bridge between management and employees, ensuring clear communication and addressing concerns of all parties.</w:t>
      </w:r>
    </w:p>
    <w:p w14:paraId="6699CE96" w14:textId="54800BF2" w:rsidR="002F46C5" w:rsidRPr="0055466D" w:rsidRDefault="002F46C5" w:rsidP="0055466D">
      <w:pPr>
        <w:spacing w:line="360" w:lineRule="auto"/>
        <w:rPr>
          <w:rFonts w:ascii="Arial" w:hAnsi="Arial" w:cs="Arial"/>
          <w:color w:val="4D160F" w:themeColor="accent2" w:themeShade="80"/>
        </w:rPr>
      </w:pPr>
      <w:r w:rsidRPr="0055466D">
        <w:rPr>
          <w:rFonts w:ascii="Arial" w:hAnsi="Arial" w:cs="Arial"/>
          <w:color w:val="4D160F" w:themeColor="accent2" w:themeShade="80"/>
        </w:rPr>
        <w:t>Monitor and Adapt to Contextual Changes: Regularly update stakeholder analyses to reflect shifts in power dynamics and interests, staying attuned to external environmental changes.</w:t>
      </w:r>
    </w:p>
    <w:p w14:paraId="7E5D4BA8" w14:textId="40D7D80D" w:rsidR="002F46C5" w:rsidRPr="0055466D" w:rsidRDefault="002F46C5" w:rsidP="0055466D">
      <w:pPr>
        <w:spacing w:line="360" w:lineRule="auto"/>
        <w:rPr>
          <w:rFonts w:ascii="Arial" w:hAnsi="Arial" w:cs="Arial"/>
          <w:color w:val="4D160F" w:themeColor="accent2" w:themeShade="80"/>
        </w:rPr>
      </w:pPr>
      <w:r w:rsidRPr="0055466D">
        <w:rPr>
          <w:rFonts w:ascii="Arial" w:hAnsi="Arial" w:cs="Arial"/>
          <w:color w:val="4D160F" w:themeColor="accent2" w:themeShade="80"/>
        </w:rPr>
        <w:t xml:space="preserve">Prioritize Communication and Negotiation: Invest in </w:t>
      </w:r>
      <w:r w:rsidR="55273E2B" w:rsidRPr="6FB7DE3E">
        <w:rPr>
          <w:rFonts w:ascii="Arial" w:hAnsi="Arial" w:cs="Arial"/>
          <w:color w:val="4D160F" w:themeColor="accent2" w:themeShade="80"/>
        </w:rPr>
        <w:t>effective</w:t>
      </w:r>
      <w:r w:rsidRPr="0055466D">
        <w:rPr>
          <w:rFonts w:ascii="Arial" w:hAnsi="Arial" w:cs="Arial"/>
          <w:color w:val="4D160F" w:themeColor="accent2" w:themeShade="80"/>
        </w:rPr>
        <w:t xml:space="preserve"> communication and negotiation skills to manage perceptions and expectations effectively, achieving mutually beneficial outcomes.</w:t>
      </w:r>
    </w:p>
    <w:p w14:paraId="3C89F5C9" w14:textId="4C50BDAA" w:rsidR="002F46C5" w:rsidRPr="00112148" w:rsidRDefault="002F46C5" w:rsidP="00112148">
      <w:pPr>
        <w:spacing w:line="360" w:lineRule="auto"/>
        <w:rPr>
          <w:rFonts w:ascii="Arial" w:hAnsi="Arial" w:cs="Arial"/>
          <w:color w:val="4D160F" w:themeColor="accent2" w:themeShade="80"/>
        </w:rPr>
      </w:pPr>
      <w:r w:rsidRPr="0055466D">
        <w:rPr>
          <w:rFonts w:ascii="Arial" w:hAnsi="Arial" w:cs="Arial"/>
          <w:color w:val="4D160F" w:themeColor="accent2" w:themeShade="80"/>
        </w:rPr>
        <w:t>By implementing these recommendations, organizations can better manage stakeholder relationships, resolve conflicts, and navigate change. The knowledge and skills gained from this module have equipped me to contribute effectively to these processes in any professional setting.</w:t>
      </w:r>
    </w:p>
    <w:p w14:paraId="07CC3E99" w14:textId="77777777" w:rsidR="002F46C5" w:rsidRPr="003C730F" w:rsidRDefault="002F46C5" w:rsidP="00060DAE">
      <w:pPr>
        <w:rPr>
          <w:rFonts w:ascii="Arial" w:hAnsi="Arial" w:cs="Arial"/>
          <w:color w:val="4D160F" w:themeColor="accent2" w:themeShade="80"/>
        </w:rPr>
      </w:pPr>
    </w:p>
    <w:p w14:paraId="6BF7FCE5" w14:textId="77777777" w:rsidR="002F46C5" w:rsidRPr="003C730F" w:rsidRDefault="002F46C5" w:rsidP="00060DAE">
      <w:pPr>
        <w:rPr>
          <w:rFonts w:ascii="Arial" w:hAnsi="Arial" w:cs="Arial"/>
          <w:color w:val="4D160F" w:themeColor="accent2" w:themeShade="80"/>
        </w:rPr>
      </w:pPr>
    </w:p>
    <w:p w14:paraId="5DF6D5C0" w14:textId="77777777" w:rsidR="002F46C5" w:rsidRPr="003C730F" w:rsidRDefault="002F46C5" w:rsidP="00060DAE">
      <w:pPr>
        <w:rPr>
          <w:rFonts w:ascii="Arial" w:hAnsi="Arial" w:cs="Arial"/>
          <w:color w:val="4D160F" w:themeColor="accent2" w:themeShade="80"/>
        </w:rPr>
      </w:pPr>
    </w:p>
    <w:p w14:paraId="5755BDDA" w14:textId="77777777" w:rsidR="00112148" w:rsidRPr="003C730F" w:rsidRDefault="00112148" w:rsidP="00060DAE">
      <w:pPr>
        <w:rPr>
          <w:rFonts w:ascii="Arial" w:hAnsi="Arial" w:cs="Arial"/>
          <w:color w:val="4D160F" w:themeColor="accent2" w:themeShade="80"/>
        </w:rPr>
      </w:pPr>
    </w:p>
    <w:p w14:paraId="2CA1EFD7" w14:textId="77777777" w:rsidR="00E51D29" w:rsidRPr="003C730F" w:rsidRDefault="00E51D29" w:rsidP="00060DAE">
      <w:pPr>
        <w:rPr>
          <w:rFonts w:ascii="Arial" w:hAnsi="Arial" w:cs="Arial"/>
          <w:color w:val="4D160F" w:themeColor="accent2" w:themeShade="80"/>
        </w:rPr>
      </w:pPr>
    </w:p>
    <w:p w14:paraId="5C614A87" w14:textId="07F66325" w:rsidR="00060DAE" w:rsidRPr="00C7401E" w:rsidRDefault="00060DAE" w:rsidP="00C7401E">
      <w:pPr>
        <w:pStyle w:val="Heading1"/>
        <w:shd w:val="clear" w:color="auto" w:fill="FCEDE8"/>
        <w:rPr>
          <w:rFonts w:ascii="Arial" w:hAnsi="Arial" w:cs="Arial"/>
          <w:sz w:val="36"/>
          <w:szCs w:val="36"/>
        </w:rPr>
      </w:pPr>
      <w:bookmarkStart w:id="23" w:name="_Toc172359891"/>
      <w:r w:rsidRPr="00C7401E">
        <w:rPr>
          <w:rFonts w:ascii="Arial" w:hAnsi="Arial" w:cs="Arial"/>
          <w:sz w:val="36"/>
          <w:szCs w:val="36"/>
        </w:rPr>
        <w:t>L</w:t>
      </w:r>
      <w:r w:rsidR="00205B8D" w:rsidRPr="00C7401E">
        <w:rPr>
          <w:rFonts w:ascii="Arial" w:hAnsi="Arial" w:cs="Arial"/>
          <w:sz w:val="36"/>
          <w:szCs w:val="36"/>
        </w:rPr>
        <w:t>ist of references</w:t>
      </w:r>
      <w:bookmarkEnd w:id="23"/>
    </w:p>
    <w:p w14:paraId="1B8FBAA5" w14:textId="77777777" w:rsidR="00E65633" w:rsidRPr="003C730F" w:rsidRDefault="00E65633" w:rsidP="006E6893">
      <w:pPr>
        <w:rPr>
          <w:rFonts w:ascii="Arial" w:hAnsi="Arial" w:cs="Arial"/>
          <w:color w:val="4D160F" w:themeColor="accent2" w:themeShade="80"/>
        </w:rPr>
      </w:pPr>
    </w:p>
    <w:p w14:paraId="54D0F56E" w14:textId="7CFD846A"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1. Anderson, D. (2010) Beyond change management [electronic resource]: how to achieve breakthrough results through conscious change leadership. 2nd ed. San Francisco: Pfeiffer.</w:t>
      </w:r>
    </w:p>
    <w:p w14:paraId="78CFD7B8" w14:textId="6FB508B4"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2. BBC. (2022) Post Office strike: Workers to walk out overpay dispute. Available at: https://www.bbc.co.uk/news/business-61300417 (Accessed: 14 June 2024).</w:t>
      </w:r>
    </w:p>
    <w:p w14:paraId="30C8BF4D" w14:textId="7DE68FD1"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3. BBC. (2022) Post Office workers strike over pay. Available at: https://www.bbc.co.uk/ (Accessed: 14 June 2024).</w:t>
      </w:r>
    </w:p>
    <w:p w14:paraId="205FC8B0" w14:textId="123BE239"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 xml:space="preserve">4. Bryson, J. (1995) Strategic Planning for Public and Nonprofit Organization (rev. </w:t>
      </w:r>
      <w:r w:rsidR="170D496B" w:rsidRPr="3096438F">
        <w:rPr>
          <w:rFonts w:ascii="Arial" w:hAnsi="Arial" w:cs="Arial"/>
          <w:color w:val="4D160F" w:themeColor="accent2" w:themeShade="80"/>
        </w:rPr>
        <w:t>edh</w:t>
      </w:r>
      <w:r w:rsidRPr="00460CD2">
        <w:rPr>
          <w:rFonts w:ascii="Arial" w:hAnsi="Arial" w:cs="Arial"/>
          <w:color w:val="4D160F" w:themeColor="accent2" w:themeShade="80"/>
        </w:rPr>
        <w:t>), p.27.</w:t>
      </w:r>
    </w:p>
    <w:p w14:paraId="20DF8D75" w14:textId="4091A40B"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5. Buller, P. F. and McEvoy, G. M. (2012) ‘Strategy, human resource management and performance: Sharpening line of sight’, Human Resource Management Review, 22(1), pp. 43-56.</w:t>
      </w:r>
    </w:p>
    <w:p w14:paraId="7F3856BB" w14:textId="5B8FD12B"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6. Burnes, B. (2017) Managing change. 7th ed. Harlow, England: Pearson.</w:t>
      </w:r>
    </w:p>
    <w:p w14:paraId="55A13053" w14:textId="4497173F"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7. Cameron, E. and Green, M. (2015) Making Sense of Change Management: A Complete Guide to the Models, Tools</w:t>
      </w:r>
      <w:r w:rsidR="40098F3E" w:rsidRPr="1E2E5207">
        <w:rPr>
          <w:rFonts w:ascii="Arial" w:hAnsi="Arial" w:cs="Arial"/>
          <w:color w:val="4D160F" w:themeColor="accent2" w:themeShade="80"/>
        </w:rPr>
        <w:t>,</w:t>
      </w:r>
      <w:r w:rsidRPr="00460CD2">
        <w:rPr>
          <w:rFonts w:ascii="Arial" w:hAnsi="Arial" w:cs="Arial"/>
          <w:color w:val="4D160F" w:themeColor="accent2" w:themeShade="80"/>
        </w:rPr>
        <w:t xml:space="preserve"> and Techniques of Organizational Change. 4th ed. London: Kogan Page.</w:t>
      </w:r>
    </w:p>
    <w:p w14:paraId="43507340" w14:textId="3CEAC64B"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 xml:space="preserve">8. Clegg, S., Kornberger, M. and Pitsis, T. (2011) Managing and Organisations. 3rd </w:t>
      </w:r>
      <w:r w:rsidR="44735831" w:rsidRPr="31E42184">
        <w:rPr>
          <w:rFonts w:ascii="Arial" w:hAnsi="Arial" w:cs="Arial"/>
          <w:color w:val="4D160F" w:themeColor="accent2" w:themeShade="80"/>
        </w:rPr>
        <w:t>edh</w:t>
      </w:r>
      <w:r w:rsidRPr="00460CD2">
        <w:rPr>
          <w:rFonts w:ascii="Arial" w:hAnsi="Arial" w:cs="Arial"/>
          <w:color w:val="4D160F" w:themeColor="accent2" w:themeShade="80"/>
        </w:rPr>
        <w:t>. London: SAGE.</w:t>
      </w:r>
    </w:p>
    <w:p w14:paraId="5502C586" w14:textId="79F3D709"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9. De Dreu, C. K. W. and Van Vianen, A. E. M. (2001) ‘Managing Relationship Conflict and the Effectiveness of Organizational Teams’, Journal of Organizational Behaviour, 22(3), pp. 309–328.</w:t>
      </w:r>
    </w:p>
    <w:p w14:paraId="20BDDDB8" w14:textId="09F7977D"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10. Dent, E. B. and Goldberg, S. G. (1999) ‘Challenging “Resistance to Change”’, Journal of Applied Behavioural Science, 35(1), pp. 25-41.</w:t>
      </w:r>
    </w:p>
    <w:p w14:paraId="3A6DAB07" w14:textId="74FA5E40"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11. Eden, C. and Ackermann, F. (1998) Making Strategy: The Journey of Strategic Management. London: SAGE.</w:t>
      </w:r>
    </w:p>
    <w:p w14:paraId="6916EFC2" w14:textId="7ABA70EA"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 xml:space="preserve">12. Fisher, R., Ury, W. and Patton, B. (2011) Getting to Yes: Negotiating Agreement Without Giving In. 3rd </w:t>
      </w:r>
      <w:r w:rsidR="4E7F822C" w:rsidRPr="4D806CFD">
        <w:rPr>
          <w:rFonts w:ascii="Arial" w:hAnsi="Arial" w:cs="Arial"/>
          <w:color w:val="4D160F" w:themeColor="accent2" w:themeShade="80"/>
        </w:rPr>
        <w:t>edh</w:t>
      </w:r>
      <w:r w:rsidRPr="00460CD2">
        <w:rPr>
          <w:rFonts w:ascii="Arial" w:hAnsi="Arial" w:cs="Arial"/>
          <w:color w:val="4D160F" w:themeColor="accent2" w:themeShade="80"/>
        </w:rPr>
        <w:t>. London: Penguin Books.</w:t>
      </w:r>
    </w:p>
    <w:p w14:paraId="77937848" w14:textId="22F7BEB5"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13. Francis, H., Holbeche, L. and Reddington, M. (2012) People and Organisational Development. CIPD.</w:t>
      </w:r>
    </w:p>
    <w:p w14:paraId="42985223" w14:textId="1A80A5ED"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14. Freeman, R. E. (1984) Strategic Management: A Stakeholder Approach, p.46. Boston, MA: Pitman. Latest edition.</w:t>
      </w:r>
    </w:p>
    <w:p w14:paraId="0DC023BE" w14:textId="216EE674"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15. Huczynski, A. and Buchanan, D. (2013) Organisational Behaviour. 8th ed. Pearson.</w:t>
      </w:r>
    </w:p>
    <w:p w14:paraId="1F27E73F" w14:textId="4796D4DB" w:rsidR="00460CD2" w:rsidRPr="00460CD2" w:rsidRDefault="00460CD2" w:rsidP="00460CD2">
      <w:pPr>
        <w:spacing w:line="360" w:lineRule="auto"/>
        <w:rPr>
          <w:rFonts w:ascii="Arial" w:hAnsi="Arial" w:cs="Arial"/>
          <w:color w:val="4D160F" w:themeColor="accent2" w:themeShade="80"/>
        </w:rPr>
      </w:pPr>
      <w:bookmarkStart w:id="24" w:name="_Int_aUJOQkpo"/>
      <w:r w:rsidRPr="00460CD2">
        <w:rPr>
          <w:rFonts w:ascii="Arial" w:hAnsi="Arial" w:cs="Arial"/>
          <w:color w:val="4D160F" w:themeColor="accent2" w:themeShade="80"/>
        </w:rPr>
        <w:t>16. Jehn, K. A. (1995) ‘A Multimethod Examination of the Benefits and Detriments of Intragroup Conflict’, Administrative Science Quarterly, 40(2), pp. 256–282.</w:t>
      </w:r>
      <w:bookmarkEnd w:id="24"/>
    </w:p>
    <w:p w14:paraId="055C5AE9" w14:textId="72607EDF"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17. Johnson, G. and Scholes, K. (2002) Exploring Corporate Strategy. 6th ed. Harlow, England: Pearson Education. Latest edition.</w:t>
      </w:r>
    </w:p>
    <w:p w14:paraId="4554A3D4" w14:textId="19236072"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18. Kotter, J. P. (1996) Leading Change. Boston, MA: Harvard Business School Press.</w:t>
      </w:r>
    </w:p>
    <w:p w14:paraId="207A1D10" w14:textId="0285B0D1"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19. Kotter, J.P. (2012) Leading Change. Harvard Business Review Press.</w:t>
      </w:r>
    </w:p>
    <w:p w14:paraId="7B1A59F1" w14:textId="19FCD33C"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20. Lewicki, R. J. and Bunker, B. B. (1996) ‘Developing and Maintaining Trust in Work Relationships’, in Kramer, R. M. and Tyler, T. R. (eds.) Trust in Organisations: Frontiers of Theory and Research. Thousand Oaks, CA: Sage, pp. 114-139.</w:t>
      </w:r>
    </w:p>
    <w:p w14:paraId="4A2F96CA" w14:textId="0042309C"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21. Lewin, K. (1951) Field Theory in Social Science. New York: Harper and Row.</w:t>
      </w:r>
    </w:p>
    <w:p w14:paraId="2B660607" w14:textId="18EEFB00"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22. McKenna, E. (2012) Business Psychology and Organisational Behaviour. 5th ed. Psychology Press.</w:t>
      </w:r>
    </w:p>
    <w:p w14:paraId="5C1A44B3" w14:textId="1428D824"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23. Mitchell, R.K., Agle, B.R. and Wood, D.J. (1997) 'Toward a Theory of Stakeholder Identification and Salience: Defining the Principle of Who and What Really Counts', Academy of Management Review, 22(4), pp. 853-886.</w:t>
      </w:r>
    </w:p>
    <w:p w14:paraId="4D7A103E" w14:textId="38087D8C" w:rsidR="00460CD2" w:rsidRPr="00460CD2" w:rsidRDefault="00460CD2" w:rsidP="00460CD2">
      <w:pPr>
        <w:spacing w:line="360" w:lineRule="auto"/>
        <w:rPr>
          <w:rFonts w:ascii="Arial" w:hAnsi="Arial" w:cs="Arial"/>
          <w:color w:val="4D160F" w:themeColor="accent2" w:themeShade="80"/>
        </w:rPr>
      </w:pPr>
      <w:bookmarkStart w:id="25" w:name="_Int_fCibHWwy"/>
      <w:r w:rsidRPr="00460CD2">
        <w:rPr>
          <w:rFonts w:ascii="Arial" w:hAnsi="Arial" w:cs="Arial"/>
          <w:color w:val="4D160F" w:themeColor="accent2" w:themeShade="80"/>
        </w:rPr>
        <w:t>24. Molloy, E. and Whittington, R. (2005) HR’s Role in Organising: Shaping Change.</w:t>
      </w:r>
      <w:bookmarkEnd w:id="25"/>
      <w:r w:rsidRPr="00460CD2">
        <w:rPr>
          <w:rFonts w:ascii="Arial" w:hAnsi="Arial" w:cs="Arial"/>
          <w:color w:val="4D160F" w:themeColor="accent2" w:themeShade="80"/>
        </w:rPr>
        <w:t xml:space="preserve"> London: CIPD.</w:t>
      </w:r>
    </w:p>
    <w:p w14:paraId="1DCE2957" w14:textId="264114BD"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 xml:space="preserve">25. Moore, C. W. (2003) The Mediation Process: Practical Strategies for Resolving Conflict. 3rd </w:t>
      </w:r>
      <w:r w:rsidR="79CB4C12" w:rsidRPr="584C211B">
        <w:rPr>
          <w:rFonts w:ascii="Arial" w:hAnsi="Arial" w:cs="Arial"/>
          <w:color w:val="4D160F" w:themeColor="accent2" w:themeShade="80"/>
        </w:rPr>
        <w:t>edh</w:t>
      </w:r>
      <w:r w:rsidRPr="00460CD2">
        <w:rPr>
          <w:rFonts w:ascii="Arial" w:hAnsi="Arial" w:cs="Arial"/>
          <w:color w:val="4D160F" w:themeColor="accent2" w:themeShade="80"/>
        </w:rPr>
        <w:t>. San Francisco, CA: Jossey-Bass.</w:t>
      </w:r>
    </w:p>
    <w:p w14:paraId="78D14355" w14:textId="2CCF5347"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26. Mullins, L.J. (2013) Management and Organisational Behaviour. Pearson.</w:t>
      </w:r>
    </w:p>
    <w:p w14:paraId="19B5A3FD" w14:textId="11CC5560"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27. Nutt, P. and Backoff, R. (1992) Strategic Management of Public and Third Sector Organizations: A Handbook for Leaders.</w:t>
      </w:r>
    </w:p>
    <w:p w14:paraId="652E123B" w14:textId="6219A6C5"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28. Patterson, K., Grenny, J., McMillan, R. and Switzler, A. (2002) Crucial Conversations: Tools for Talking When Stakes Are High. New York: McGraw-Hill.</w:t>
      </w:r>
    </w:p>
    <w:p w14:paraId="0F63BF32" w14:textId="525AACE2"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29. Pondy, L. R. (1967) ‘Organizational Conflict: Concepts and Models’, Administrative Science Quarterly, 12(2), pp. 296-320.</w:t>
      </w:r>
    </w:p>
    <w:p w14:paraId="2CE3F46E" w14:textId="4C520366"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30. Rahim, M. A. (2002) ‘Toward a Theory of Managing Organizational Conflict’, International Journal of Conflict Management, 13(3), pp. 206-235.</w:t>
      </w:r>
    </w:p>
    <w:p w14:paraId="63CCBEF3" w14:textId="4A0D23A7"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31. Robertson, A. and Leaman, B. (2007) 'Leading and implementing change', Practice Nurse: The Journal for Nurses in General Practice, 33(2), pp. 34-.</w:t>
      </w:r>
    </w:p>
    <w:p w14:paraId="137202ED" w14:textId="2B9EAB43"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32. Shapiro, A. (2003) Creating Contagious Commitment: Applying the Tipping Point to Organizational Change. Hillsborough, NC: Strategy Perspective.</w:t>
      </w:r>
    </w:p>
    <w:p w14:paraId="11C006B9" w14:textId="2825DB7D"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33. Stainton Rogers, W. (2011) Social Psychology. 2nd ed. Open University Press.</w:t>
      </w:r>
    </w:p>
    <w:p w14:paraId="2A163A76" w14:textId="671F06EE"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34. Thomas, K. W. and Kilmann, R. H. (1974) Thomas-Kilmann Conflict Mode Instrument. Mountain View, CA: CPP, Inc.</w:t>
      </w:r>
    </w:p>
    <w:p w14:paraId="327C3F90" w14:textId="71A36E80"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 xml:space="preserve">35. Thompson, L. (2001) The Mind and Heart of the Negotiator. 2nd </w:t>
      </w:r>
      <w:r w:rsidR="22328A69" w:rsidRPr="628D314B">
        <w:rPr>
          <w:rFonts w:ascii="Arial" w:hAnsi="Arial" w:cs="Arial"/>
          <w:color w:val="4D160F" w:themeColor="accent2" w:themeShade="80"/>
        </w:rPr>
        <w:t>edh</w:t>
      </w:r>
      <w:r w:rsidRPr="00460CD2">
        <w:rPr>
          <w:rFonts w:ascii="Arial" w:hAnsi="Arial" w:cs="Arial"/>
          <w:color w:val="4D160F" w:themeColor="accent2" w:themeShade="80"/>
        </w:rPr>
        <w:t>. Upper Saddle River, NJ: Prentice Hall.</w:t>
      </w:r>
    </w:p>
    <w:p w14:paraId="639F4ED4" w14:textId="429B27B1"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36. Tjosvold, D. (1998) ‘Cooperative and Competitive Goal Approach to Conflict: Accomplishments and Challenges’, Applied Psychology: An International Review, 47(3), pp. 285-342.</w:t>
      </w:r>
    </w:p>
    <w:p w14:paraId="1097933B" w14:textId="41086163" w:rsidR="00460CD2"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37. Wall, J. A. and Callister, R. R. (1995) ‘Conflict and Its Management’, Journal of Management, 21(3), pp. 515-558.</w:t>
      </w:r>
    </w:p>
    <w:p w14:paraId="234C0F41" w14:textId="182B3A34" w:rsidR="00884281" w:rsidRPr="00460CD2" w:rsidRDefault="00460CD2" w:rsidP="00460CD2">
      <w:pPr>
        <w:spacing w:line="360" w:lineRule="auto"/>
        <w:rPr>
          <w:rFonts w:ascii="Arial" w:hAnsi="Arial" w:cs="Arial"/>
          <w:color w:val="4D160F" w:themeColor="accent2" w:themeShade="80"/>
        </w:rPr>
      </w:pPr>
      <w:r w:rsidRPr="00460CD2">
        <w:rPr>
          <w:rFonts w:ascii="Arial" w:hAnsi="Arial" w:cs="Arial"/>
          <w:color w:val="4D160F" w:themeColor="accent2" w:themeShade="80"/>
        </w:rPr>
        <w:t xml:space="preserve">38. Yukl, G. (2013) Leadership in Organizations. 8th </w:t>
      </w:r>
      <w:r w:rsidR="6294F14F" w:rsidRPr="29D2E6D0">
        <w:rPr>
          <w:rFonts w:ascii="Arial" w:hAnsi="Arial" w:cs="Arial"/>
          <w:color w:val="4D160F" w:themeColor="accent2" w:themeShade="80"/>
        </w:rPr>
        <w:t>edh</w:t>
      </w:r>
      <w:r w:rsidRPr="00460CD2">
        <w:rPr>
          <w:rFonts w:ascii="Arial" w:hAnsi="Arial" w:cs="Arial"/>
          <w:color w:val="4D160F" w:themeColor="accent2" w:themeShade="80"/>
        </w:rPr>
        <w:t>. Upper Saddle River, NJ: Pearson.</w:t>
      </w:r>
    </w:p>
    <w:p w14:paraId="478C940E" w14:textId="42972142" w:rsidR="00816BDA" w:rsidRPr="00460CD2" w:rsidRDefault="00816BDA" w:rsidP="00460CD2">
      <w:pPr>
        <w:spacing w:line="360" w:lineRule="auto"/>
        <w:rPr>
          <w:rFonts w:ascii="Arial" w:hAnsi="Arial" w:cs="Arial"/>
          <w:color w:val="4D160F" w:themeColor="accent2" w:themeShade="80"/>
        </w:rPr>
      </w:pPr>
    </w:p>
    <w:sectPr w:rsidR="00816BDA" w:rsidRPr="00460CD2" w:rsidSect="00A15EF6">
      <w:footerReference w:type="default" r:id="rId12"/>
      <w:pgSz w:w="12240" w:h="15840"/>
      <w:pgMar w:top="1440" w:right="1440" w:bottom="1440" w:left="1440" w:header="720" w:footer="720" w:gutter="0"/>
      <w:pgBorders w:display="firstPage" w:offsetFrom="page">
        <w:top w:val="single" w:sz="4" w:space="24" w:color="7E0000"/>
        <w:left w:val="single" w:sz="4" w:space="24" w:color="7E0000"/>
        <w:bottom w:val="single" w:sz="4" w:space="24" w:color="7E0000"/>
        <w:right w:val="single" w:sz="4" w:space="24" w:color="7E0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21E18C" w14:textId="77777777" w:rsidR="00BB3461" w:rsidRDefault="00BB3461" w:rsidP="00881300">
      <w:pPr>
        <w:spacing w:after="0" w:line="240" w:lineRule="auto"/>
      </w:pPr>
      <w:r>
        <w:separator/>
      </w:r>
    </w:p>
  </w:endnote>
  <w:endnote w:type="continuationSeparator" w:id="0">
    <w:p w14:paraId="5DC2D025" w14:textId="77777777" w:rsidR="00BB3461" w:rsidRDefault="00BB3461" w:rsidP="00881300">
      <w:pPr>
        <w:spacing w:after="0" w:line="240" w:lineRule="auto"/>
      </w:pPr>
      <w:r>
        <w:continuationSeparator/>
      </w:r>
    </w:p>
  </w:endnote>
  <w:endnote w:type="continuationNotice" w:id="1">
    <w:p w14:paraId="514EAE87" w14:textId="77777777" w:rsidR="00BB3461" w:rsidRDefault="00BB34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3874755"/>
      <w:docPartObj>
        <w:docPartGallery w:val="Page Numbers (Bottom of Page)"/>
        <w:docPartUnique/>
      </w:docPartObj>
    </w:sdtPr>
    <w:sdtEndPr>
      <w:rPr>
        <w:noProof/>
      </w:rPr>
    </w:sdtEndPr>
    <w:sdtContent>
      <w:p w14:paraId="39DF327E" w14:textId="782599F9" w:rsidR="00A15EF6" w:rsidRDefault="00A15E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B1166A" w14:textId="75B4F31A" w:rsidR="00881300" w:rsidRDefault="008813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41B60E" w14:textId="77777777" w:rsidR="00BB3461" w:rsidRDefault="00BB3461" w:rsidP="00881300">
      <w:pPr>
        <w:spacing w:after="0" w:line="240" w:lineRule="auto"/>
      </w:pPr>
      <w:r>
        <w:separator/>
      </w:r>
    </w:p>
  </w:footnote>
  <w:footnote w:type="continuationSeparator" w:id="0">
    <w:p w14:paraId="1F3E8B47" w14:textId="77777777" w:rsidR="00BB3461" w:rsidRDefault="00BB3461" w:rsidP="00881300">
      <w:pPr>
        <w:spacing w:after="0" w:line="240" w:lineRule="auto"/>
      </w:pPr>
      <w:r>
        <w:continuationSeparator/>
      </w:r>
    </w:p>
  </w:footnote>
  <w:footnote w:type="continuationNotice" w:id="1">
    <w:p w14:paraId="5404DD6D" w14:textId="77777777" w:rsidR="00BB3461" w:rsidRDefault="00BB3461">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h552tfsv8K1NST" int2:id="AIAQb2zh">
      <int2:state int2:value="Rejected" int2:type="AugLoop_Text_Critique"/>
    </int2:textHash>
    <int2:textHash int2:hashCode="KNfZFt1yk5Kohm" int2:id="oOYIImXR">
      <int2:state int2:value="Rejected" int2:type="AugLoop_Text_Critique"/>
    </int2:textHash>
    <int2:textHash int2:hashCode="bOLm1JD4F2j5w8" int2:id="nQ7srl3Y">
      <int2:state int2:value="Rejected" int2:type="AugLoop_Text_Critique"/>
    </int2:textHash>
    <int2:textHash int2:hashCode="7XbSzR1Vcjjcvc" int2:id="jz5OAHi0">
      <int2:state int2:value="Rejected" int2:type="AugLoop_Text_Critique"/>
    </int2:textHash>
    <int2:bookmark int2:bookmarkName="_Int_HyXYZgkn" int2:invalidationBookmarkName="" int2:hashCode="V3Az5+SO4s7Cnz" int2:id="6KV0vvL0">
      <int2:extLst>
        <oel:ext uri="426473B9-03D8-482F-96C9-C2C85392BACA">
          <int2:similarityCritique int2:version="1" int2:context="Collaboration: Foster a collaborative environment where employees and management work together towards common goals.">
            <int2:source int2:sourceType="Online" int2:sourceTitle="Startup Culture: Embracing Entrepreneurial Spirit" int2:sourceUrl="https://culturepartners.com/insights/startup-culture-embracing-entrepreneurial-spirit/" int2:sourceSnippet="Promote Collaboration: Foster a collaborative environment where employees are encouraged to share ideas and work together towards common goals. Challenges in Establishing a Startup Culture. While building a startup culture can be incredibly rewarding, it also comes with its fair share of challenges. One common challenge is maintaining the ...">
              <int2:suggestions int2:citationType="Inline">
                <int2:suggestion int2:citationStyle="Mla" int2:isIdentical="0">
                  <int2:citationText>(“Startup Culture: Embracing Entrepreneurial Spirit”)</int2:citationText>
                </int2:suggestion>
                <int2:suggestion int2:citationStyle="Apa" int2:isIdentical="0">
                  <int2:citationText>(“Startup Culture: Embracing Entrepreneurial Spirit”)</int2:citationText>
                </int2:suggestion>
                <int2:suggestion int2:citationStyle="Chicago" int2:isIdentical="0">
                  <int2:citationText>(“Startup Culture: Embracing Entrepreneurial Spirit”)</int2:citationText>
                </int2:suggestion>
              </int2:suggestions>
              <int2:suggestions int2:citationType="Full">
                <int2:suggestion int2:citationStyle="Mla" int2:isIdentical="0">
                  <int2:citationText>&lt;i&gt;Startup Culture: Embracing Entrepreneurial Spirit&lt;/i&gt;, https://culturepartners.com/insights/startup-culture-embracing-entrepreneurial-spirit/.</int2:citationText>
                </int2:suggestion>
                <int2:suggestion int2:citationStyle="Apa" int2:isIdentical="0">
                  <int2:citationText>&lt;i&gt;Startup Culture: Embracing Entrepreneurial Spirit&lt;/i&gt;. (n.d.). Retrieved from https://culturepartners.com/insights/startup-culture-embracing-entrepreneurial-spirit/</int2:citationText>
                </int2:suggestion>
                <int2:suggestion int2:citationStyle="Chicago" int2:isIdentical="0">
                  <int2:citationText>“Startup Culture: Embracing Entrepreneurial Spirit” n.d., https://culturepartners.com/insights/startup-culture-embracing-entrepreneurial-spirit/.</int2:citationText>
                </int2:suggestion>
              </int2:suggestions>
            </int2:source>
          </int2:similarityCritique>
        </oel:ext>
      </int2:extLst>
    </int2:bookmark>
    <int2:bookmark int2:bookmarkName="_Int_aUJOQkpo" int2:invalidationBookmarkName="" int2:hashCode="ZPA9tECbLIRm+y" int2:id="vGTjUW9k">
      <int2:extLst>
        <oel:ext uri="426473B9-03D8-482F-96C9-C2C85392BACA">
          <int2:similarityCritique int2:version="1" int2:context="16. Jehn, K. A. (1995) ‘A Multimethod Examination of the Benefits and Detriments of Intragroup Conflict’, Administrative Science Quarterly, 40(2), pp. 256–282.">
            <int2:source int2:sourceType="Online" int2:sourceTitle="Sports Organizations, Professionalization and Organizational Conflict ..." int2:sourceUrl="https://link.springer.com/chapter/10.1057/9780230306639_8" int2:sourceSnippet="Sports Organizations, Professionalization and Organizational Conflict: A Review of the Literature ... Jehn, K. (1995) ‘A Multimethod Examination of the Benefits and Detriments on Intragroup Conflict’, Administrative Science Quarterly, 40(2): 256–282. Article Google Scholar Jehn, K., Northcraft, G. and Neale, M. (1999) ‘Why ...">
              <int2:suggestions int2:citationType="Inline">
                <int2:suggestion int2:citationStyle="Mla" int2:isIdentical="0">
                  <int2:citationText>(“Sports Organizations, Professionalization and Organizational Conflict ...”)</int2:citationText>
                </int2:suggestion>
                <int2:suggestion int2:citationStyle="Apa" int2:isIdentical="0">
                  <int2:citationText>(“Sports Organizations, Professionalization and Organizational Conflict ...”)</int2:citationText>
                </int2:suggestion>
                <int2:suggestion int2:citationStyle="Chicago" int2:isIdentical="0">
                  <int2:citationText>(“Sports Organizations, Professionalization and Organizational Conflict ...”)</int2:citationText>
                </int2:suggestion>
              </int2:suggestions>
              <int2:suggestions int2:citationType="Full">
                <int2:suggestion int2:citationStyle="Mla" int2:isIdentical="0">
                  <int2:citationText>&lt;i&gt;Sports Organizations, Professionalization and Organizational Conflict ...&lt;/i&gt;, https://link.springer.com/chapter/10.1057/9780230306639_8.</int2:citationText>
                </int2:suggestion>
                <int2:suggestion int2:citationStyle="Apa" int2:isIdentical="0">
                  <int2:citationText>&lt;i&gt;Sports Organizations, Professionalization and Organizational Conflict ...&lt;/i&gt;. (n.d.). Retrieved from https://link.springer.com/chapter/10.1057/9780230306639_8</int2:citationText>
                </int2:suggestion>
                <int2:suggestion int2:citationStyle="Chicago" int2:isIdentical="0">
                  <int2:citationText>“Sports Organizations, Professionalization and Organizational Conflict ...” n.d., https://link.springer.com/chapter/10.1057/9780230306639_8.</int2:citationText>
                </int2:suggestion>
              </int2:suggestions>
            </int2:source>
          </int2:similarityCritique>
        </oel:ext>
      </int2:extLst>
    </int2:bookmark>
    <int2:bookmark int2:bookmarkName="_Int_fCibHWwy" int2:invalidationBookmarkName="" int2:hashCode="fbJdLgqZYROciD" int2:id="EaeSAgxQ">
      <int2:extLst>
        <oel:ext uri="426473B9-03D8-482F-96C9-C2C85392BACA">
          <int2:similarityCritique int2:version="1" int2:context="24. Molloy, E. and Whittington, R. (2005) HR’s Role in Organising: Shaping Change.">
            <int2:source int2:sourceType="Online" int2:sourceTitle="Hrm in a Dynamic Environment - GraduateWay" int2:sourceUrl="https://graduateway.com/hrm-in-a-dynamic-environment/" int2:sourceSnippet="This essay will discuss the role of HR in a dynamic environment and how they can help organizations to be successful. Get help now. Essay Samples. Menu; Art 487 papers; American Dream 131 papers; ... McGraw-Hill, 1999. 7. WHITTINGTON, R. and MOLLOY, E. (2005). HR’s role in organising: shaping change. Research report. London: CIPD. 8. Human ...">
              <int2:suggestions int2:citationType="Inline">
                <int2:suggestion int2:citationStyle="Mla" int2:isIdentical="0">
                  <int2:citationText>(“Hrm in a Dynamic Environment - GraduateWay”)</int2:citationText>
                </int2:suggestion>
                <int2:suggestion int2:citationStyle="Apa" int2:isIdentical="0">
                  <int2:citationText>(“Hrm in a Dynamic Environment - GraduateWay”)</int2:citationText>
                </int2:suggestion>
                <int2:suggestion int2:citationStyle="Chicago" int2:isIdentical="0">
                  <int2:citationText>(“Hrm in a Dynamic Environment - GraduateWay”)</int2:citationText>
                </int2:suggestion>
              </int2:suggestions>
              <int2:suggestions int2:citationType="Full">
                <int2:suggestion int2:citationStyle="Mla" int2:isIdentical="0">
                  <int2:citationText>&lt;i&gt;Hrm in a Dynamic Environment - GraduateWay&lt;/i&gt;, https://graduateway.com/hrm-in-a-dynamic-environment/.</int2:citationText>
                </int2:suggestion>
                <int2:suggestion int2:citationStyle="Apa" int2:isIdentical="0">
                  <int2:citationText>&lt;i&gt;Hrm in a Dynamic Environment - GraduateWay&lt;/i&gt;. (n.d.). Retrieved from https://graduateway.com/hrm-in-a-dynamic-environment/</int2:citationText>
                </int2:suggestion>
                <int2:suggestion int2:citationStyle="Chicago" int2:isIdentical="0">
                  <int2:citationText>“Hrm in a Dynamic Environment - GraduateWay” n.d., https://graduateway.com/hrm-in-a-dynamic-environment/.</int2:citationText>
                </int2:suggestion>
              </int2:suggestions>
            </int2:source>
          </int2:similarityCritique>
        </oel:ext>
      </int2:extLst>
    </int2:bookmark>
    <int2:bookmark int2:bookmarkName="_Int_l6PpErHH" int2:invalidationBookmarkName="" int2:hashCode="+D8zzE7g2rpKfU" int2:id="NJILr9pG">
      <int2:extLst>
        <oel:ext uri="426473B9-03D8-482F-96C9-C2C85392BACA">
          <int2:similarityCritique int2:version="1" int2:context="Clarity: Ensure that all stakeholders understand the vision and objectives of the change.">
            <int2:source int2:sourceType="Online" int2:sourceTitle="Successful Change Management—Kotter’s 8-Step Change Model" int2:sourceUrl="https://leadershipthoughts.com/kotters-8-step-change-model/" int2:sourceSnippet="Clear and consistent communication is essential in change management. Ensure that the vision and objectives of the change are clearly communicated to all stakeholders. Transparent communication helps employees understand the reasons behind the change, reduces uncertainty, and promotes engagement and commitment. 3. Empower Employees">
              <int2:suggestions int2:citationType="Inline">
                <int2:suggestion int2:citationStyle="Mla" int2:isIdentical="0">
                  <int2:citationText>(“Successful Change Management—Kotter’s 8-Step Change Model”)</int2:citationText>
                </int2:suggestion>
                <int2:suggestion int2:citationStyle="Apa" int2:isIdentical="0">
                  <int2:citationText>(“Successful Change Management—Kotter’s 8-Step Change Model”)</int2:citationText>
                </int2:suggestion>
                <int2:suggestion int2:citationStyle="Chicago" int2:isIdentical="0">
                  <int2:citationText>(“Successful Change Management—Kotter’s 8-Step Change Model”)</int2:citationText>
                </int2:suggestion>
              </int2:suggestions>
              <int2:suggestions int2:citationType="Full">
                <int2:suggestion int2:citationStyle="Mla" int2:isIdentical="0">
                  <int2:citationText>&lt;i&gt;Successful Change Management—Kotter’s 8-Step Change Model&lt;/i&gt;, https://leadershipthoughts.com/kotters-8-step-change-model/.</int2:citationText>
                </int2:suggestion>
                <int2:suggestion int2:citationStyle="Apa" int2:isIdentical="0">
                  <int2:citationText>&lt;i&gt;Successful Change Management—Kotter’s 8-Step Change Model&lt;/i&gt;. (n.d.). Retrieved from https://leadershipthoughts.com/kotters-8-step-change-model/</int2:citationText>
                </int2:suggestion>
                <int2:suggestion int2:citationStyle="Chicago" int2:isIdentical="0">
                  <int2:citationText>“Successful Change Management—Kotter’s 8-Step Change Model” n.d., https://leadershipthoughts.com/kotters-8-step-change-model/.</int2:citationText>
                </int2:suggestion>
              </int2:suggestions>
            </int2:source>
          </int2:similarityCritique>
        </oel:ext>
      </int2:extLst>
    </int2:bookmark>
    <int2:entireDocument int2:id="bRhXbrfI">
      <int2:extLst>
        <oel:ext uri="E302BA01-7950-474C-9AD3-286E660C40A8">
          <int2:similaritySummary int2:version="1" int2:runId="1721467844608" int2:tilesCheckedInThisRun="263" int2:totalNumOfTiles="263" int2:similarityAnnotationCount="9" int2:numWords="6722" int2:numFlaggedWords="161"/>
        </oel:ext>
      </int2:extLst>
    </int2:entireDocument>
  </int2:observations>
  <int2:intelligenceSettings/>
  <int2:onDemandWorkflows>
    <int2:onDemandWorkflow int2:type="SimilarityCheck" int2:paragraphVersions="3AE7239F-77777777 66D2E384-4BA37CC5 1CA600EA-77777777 210F81E4-798F667A 189318F5-49FDD761 713D039C-77777777 0AB30CF1-77777777 45939377-77777777 1E1019D7-12BA1A07 0225F1F9-3C68D3DE 04C09548-7B9A6A14 054BE02F-681C52BC 4AE41077-3BABD240 1DFBDF23-643F9094 4DD9316A-77777777 62AC163B-5D0A19C3 1EB8A722-1EA691C0 2CF07721-5CD12451 725E4080-738DDF29 7708D4F7-4DA4DB19 79B80574-77777777 778D203D-77777777 0B6A0E12-31464CE9 7EAA8587-51B93AF1 6ED186B3-07618E60 77296833-0064026B 0A8F7161-63BA9370 3BFD4BAA-523F97FF 7F4C7FC9-181FBE51 34CF49B7-71EE8A5C 0F4BC986-48F6E5DC 697EDD90-7818B83C 4306CCE2-489F1412 76EEBF55-53A3BF02 402F19CA-52109486 69FD223D-72ADDA3F 2F175F6B-46932356 2EB45CDF-0185BDFE 585B980C-1260C219 4CE4F7AC-558FF816 06FE703B-1EE0FAA7 6A244CBD-1687248C 0DA0EF8A-604F2765 721244CA-26E74C9D 28DEF713-41E5FA69 5A606A01-0D451B7A 176C6EEF-6753CFE3 44A7CD8F-77777777 273A1492-77777777 7566F3F6-786CD419 5F04C9E3-77777777 1887DFCE-09AA22C6 678D7157-1EADA5BE 38420CFE-77777777 58F945D0-77777777 6DF818B9-77777777 4F874142-77777777 1F18E52D-77777777 09AFD998-77777777 72E1A087-77777777 07F29716-77777777 52038503-77777777 7C9C136E-77777777 4E1CBC91-77777777 30BB2C10-2EEBE3DD 70230922-77777777 1CD0E55D-3EB82155 0F3379AC-77777777 5315B4C6-46F747ED 02C4F589-77777777 590C47EF-77777777 29D3FB49-178F20FF 17631122-68F19E91 3A3F3384-77777777 433A78C6-185D08E7 5F03429A-65D21A2C 26F127A8-564C75E1 5623BE2B-77777777 53473AA1-1C49CBFF 6EA114DE-2B59E8DC 34AA7572-55BAFD24 24D9A4E6-77777777 622BD05B-334FA385 100DA1EE-34434ADE 301F3774-7B0EF88B 389F2D77-476B504E 6CA5EC8B-0F48F2C2 0DC47ED6-236BB3EA 78E716B6-136A6B82 46429CC0-682AABD8 38C362E1-401A9B1A 1D9FB977-77777777 6A4B64F5-7BD90FCE 5B8B3441-2865C069 0F236E05-57B84623 61C0D362-064F771A 15367E7E-15D38449 0993A267-20E2B43D 012EA36E-62F5A0AA 4C26DB90-6B7B692C 7208539D-1F48D229 7C18C438-742DEE81 08ED38CA-77777777 12CF2FF8-77777777 4457088E-301EBEAA 07612592-25A80FEB 34EB0F42-77777777 19D6D449-619AAC44 689D9821-69A9F38E 00894E24-7EFB0BBD 13994970-466A8BFD 2E1055F0-77777777 18C99071-65E59396 48942E07-23FF6B71 24808D2C-77777777 01FB02B4-39719B87 7340530F-288E9BC8 56020B64-26EFE01F 1ECB5736-77777777 299B4C07-77777777 584ACF8C-77777777 75B785E2-166D025D 0E893AC3-48BC4FB1 3348DFF0-47868629 4BC216A9-39A8FAFF 1208B891-477C1565 21D5725F-78F515A4 2284DF30-7D427174 7D9BBB1C-2EE821E4 46137597-77777777 155FD683-03FEAB82 7A0AB69C-77777777 4F48B10E-5C06557E 32BD4A91-77777777 4E7C2005-232FAC62 3BE26C53-6012CD9E 2C55AEFC-02ECC6E4 6E26B8DC-77777777 2126CCC2-67A5FB9C 7D1B663B-7D0E046B 1F2DF2C0-77777777 548AB70C-1EBC3A42 678DC601-4A9E5382 13FAE826-27D4976E 24CA3D2A-1BA8A3D8 2093E2FA-77777777 6BE4AD60-77777777 3298AFC7-77777777 4FCE7A68-3EDC2C7E 4FC8F867-77777777 33860D9B-77777777 6FD9C9AA-77777777 4034F8BC-77777777 1D918A9F-77777777 04C5ACBD-77777777 14AB37C4-77777777 66213B7B-77777777 5A35C5EF-77777777 2BFF7DD9-77777777 37F4EC34-77777777 23329AEF-77777777 73D4E6E0-76DFF4D9 4ACE4A2C-77777777 104FAF5C-77777777 670048BB-77777777 1B0BBF1E-77777777 1BAE1440-1688D979 09D7A300-1B88A887 3094DAD1-77777777 599B5705-77777777 37664584-77777777 40ED3CA2-2B15697E 70DA0080-003B625D 76522DE0-45590C18 49B6E27C-29B2D72A 1D2805CD-4440133D 41041A37-77777777 58C33106-77777777 4A7FEA09-1B794641 668C7AD9-77777777 1A7A305E-77777777 70CA7396-6224924F 18979D6F-2A6E3CF0 34B19E9D-63335640 3FDD3B44-1339030A 59395DF5-65A150FA 786C72D4-77777777 5553664B-77777777 63E259F4-77777777 1245D72B-51450459 323A00B3-1C5C4DE3 1A28BAAC-77777777 278E1F71-0F94E454 12590C6B-77777777 7D3E1A97-77777777 4C089BF4-2E51C326 74389428-3CB5C14F 688F7E28-77777777 4F1784AA-77777777 78CF366D-77777777 6F4FF27E-77777777 411C818C-0BAAD554 2131054E-150A0319 04E186E4-77777777 2B165E28-0B3CFA6B 6C41AE05-37CBF173 67AA51A8-3B7E7702 30C1DFA9-1BC0E141 2C2A6120-77777777 70DCE3F6-77777777 65223E50-261D7529 6DBD7D45-77777777 197BA3B9-77777777 3744BA2A-77777777 62A69B72-77777777 4919CEB0-6F307C5E 44320F58-3B68D4A0 00527A27-3E01A09F 0569AD11-122638B2 0D50B299-5AB3ABA4 184A3D80-3CAD30B8 188247D6-29FB6C1E 06767892-2D6F8155 293661C9-1B6A98F5 35A7C71F-633FEFAB 7CAD8A00-207278E5 539B1D13-42987B31 1347797F-783C661C 5B41E44D-77777777 64ECA4EE-77777777 1728D883-77777777 35A080DA-28796E91 0B76780A-77777777 2BD6D720-7C1CF209 6C079FCB-77777777 7B8A1F49-77777777 7CDF2D20-77777777 52788B2A-18D31D56 34B17412-404BBA40 16BEB1A8-77777777 2CB228B7-77777777 49D0AE2D-77777777 65B6C8F1-77777777 3047A22A-77777777 4724EC37-77777777 3645A981-6E86D457 4FADCC11-77777777 5036E0B6-77777777 2AA259AC-77777777 4FE1C2C4-152AEBBC 1DA4295B-1C163B62 6ECA18A5-5CDD4480 5A205346-77777777 25277C79-77777777 25BD8529-1BF0D2E7 40C17C47-00D7B985 26C011D3-01A6117A 648BC918-31C1C98B 005DD5E6-3A367ED0 738342FA-77777777 05CAEFC7-32340E7A 774064F6-77777777 1EB016EE-77777777 71A2A2B7-77777777 07493A40-77777777 1F4C4ECB-77777777 7FCD91C5-77777777 29922247-77777777 4406510C-77777777 114B8859-51D06D84 19BA6D9D-77777777 48A6A14A-71FA1BAA 3B866508-77777777 226C90B2-766457A1 5CCFFD65-6A1A01A2 4B2DCF12-77777777 22E1CACD-77777777 3238E994-77777777 441C72FC-77777777 714882C0-1273F5B5 74A03099-0875C8AF 40754EA6-77777777 56773975-1237D1BD 51368E78-4A1343BF 0F6503E6-1D940216 5D8FB722-174ECC5F 2F8C8FE3-77777777 3A700C9E-77777777 78C3249B-77777777 63EEEDC5-77777777 7A484678-1E6C5CC5 7980EE02-079E32B6 11158C96-5B0C144E 02BF1549-77777777 5BBFEE15-7973EA45 6D1D9323-77777777 53232CF2-6EEF5585 078016FC-77777777 583DF474-6EB0C447 5BD7ECDE-77777777 05A6DB9E-77777777 5F879660-0E66C677 6FA0DB15-77777777 1D3BF27A-17D881A6 1FD1F083-77777777 50D2BC69-67F27C8B 40789306-1ED9B2BE 55FDC70B-4A45D669 0ED775D2-77777777 3059C104-77777777 76588B0D-5AA0D934 24C2D8E3-77777777 30CEEB5A-587B30A4 11E1E467-51B6EB6F 631A0478-1A9D0F78 55629321-106A1D7F 4E0DC2A0-08103941 52DAF03F-1F27D700 01264358-1D6A4C4D 6699CE96-54800BF2 7E5D4BA8-40D7D80D 3C89F5C9-4C50BDAA 07CC3E99-77777777 6BF7FCE5-77777777 5DF6D5C0-77777777 5755BDDA-77777777 2CA1EFD7-77777777 5C614A87-07F66325 1B8FBAA5-77777777 54D0F56E-7CFD846A 78CFD7B8-6FB508B4 30C8BF4D-7DE68FD1 205FC8B0-123BE239 20DF8D75-4091A40B 7F3856BB-5B8FD12B 55A13053-4497173F 43507340-3CEAC64B 5502C586-79F3D709 20BDDDB8-09F7977D 3A6DAB07-74FA5E40 6916EFC2-7ABA70EA 77937848-22F7BEB5 42985223-1A80A5ED 0DC023BE-216EE674 1F27E73F-4796D4DB 055C5AE9-72607EDF 4554A3D4-19236072 207A1D10-0285B0D1 7B1A59F1-19FCD33C 4A2F96CA-0042309C 2B660607-18EEFB00 5C1A44B3-1428D824 4D7A103E-38087D8C 1DCE2957-264114BD 78D14355-2CCF5347 19B5A3FD-11CC5560 652E123B-6219A6C5 0F63BF32-525AACE2 2CE3F46E-4C520366 63CCBEF3-4A0D23A7 137202ED-2B9EAB43 11C006B9-2825DB7D 2A163A76-671F06EE 327C3F90-71A36E80 639F4ED4-429B27B1 1097933B-41086163 234C0F41-182B3A34 478C940E-42972142 39DF327E-782599F9 42B1166A-75B4F31A"/>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57E7B"/>
    <w:multiLevelType w:val="hybridMultilevel"/>
    <w:tmpl w:val="DCE2617E"/>
    <w:lvl w:ilvl="0" w:tplc="1CEAA4CC">
      <w:start w:val="1"/>
      <w:numFmt w:val="bullet"/>
      <w:lvlText w:val="•"/>
      <w:lvlJc w:val="left"/>
      <w:pPr>
        <w:ind w:left="720" w:hanging="360"/>
      </w:pPr>
      <w:rPr>
        <w:rFonts w:ascii="Arial" w:hAnsi="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14AA7F21"/>
    <w:multiLevelType w:val="hybridMultilevel"/>
    <w:tmpl w:val="4AC28696"/>
    <w:lvl w:ilvl="0" w:tplc="B24E0A4C">
      <w:start w:val="1"/>
      <w:numFmt w:val="bullet"/>
      <w:lvlText w:val="-"/>
      <w:lvlJc w:val="left"/>
      <w:pPr>
        <w:ind w:left="720" w:hanging="360"/>
      </w:pPr>
      <w:rPr>
        <w:rFonts w:ascii="Aptos" w:eastAsiaTheme="minorHAnsi" w:hAnsi="Aptos" w:cstheme="minorBid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1E7A7063"/>
    <w:multiLevelType w:val="hybridMultilevel"/>
    <w:tmpl w:val="615A5732"/>
    <w:lvl w:ilvl="0" w:tplc="0409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2BED7059"/>
    <w:multiLevelType w:val="hybridMultilevel"/>
    <w:tmpl w:val="BB6E19E2"/>
    <w:lvl w:ilvl="0" w:tplc="A68E0BE6">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3E272C0F"/>
    <w:multiLevelType w:val="hybridMultilevel"/>
    <w:tmpl w:val="ED660C7A"/>
    <w:lvl w:ilvl="0" w:tplc="1CEAA4CC">
      <w:start w:val="1"/>
      <w:numFmt w:val="bullet"/>
      <w:lvlText w:val="•"/>
      <w:lvlJc w:val="left"/>
      <w:pPr>
        <w:tabs>
          <w:tab w:val="num" w:pos="720"/>
        </w:tabs>
        <w:ind w:left="720" w:hanging="360"/>
      </w:pPr>
      <w:rPr>
        <w:rFonts w:ascii="Arial" w:hAnsi="Arial" w:hint="default"/>
      </w:rPr>
    </w:lvl>
    <w:lvl w:ilvl="1" w:tplc="D3086EBA" w:tentative="1">
      <w:start w:val="1"/>
      <w:numFmt w:val="bullet"/>
      <w:lvlText w:val="•"/>
      <w:lvlJc w:val="left"/>
      <w:pPr>
        <w:tabs>
          <w:tab w:val="num" w:pos="1440"/>
        </w:tabs>
        <w:ind w:left="1440" w:hanging="360"/>
      </w:pPr>
      <w:rPr>
        <w:rFonts w:ascii="Arial" w:hAnsi="Arial" w:hint="default"/>
      </w:rPr>
    </w:lvl>
    <w:lvl w:ilvl="2" w:tplc="3758B0B6" w:tentative="1">
      <w:start w:val="1"/>
      <w:numFmt w:val="bullet"/>
      <w:lvlText w:val="•"/>
      <w:lvlJc w:val="left"/>
      <w:pPr>
        <w:tabs>
          <w:tab w:val="num" w:pos="2160"/>
        </w:tabs>
        <w:ind w:left="2160" w:hanging="360"/>
      </w:pPr>
      <w:rPr>
        <w:rFonts w:ascii="Arial" w:hAnsi="Arial" w:hint="default"/>
      </w:rPr>
    </w:lvl>
    <w:lvl w:ilvl="3" w:tplc="B980F5E4" w:tentative="1">
      <w:start w:val="1"/>
      <w:numFmt w:val="bullet"/>
      <w:lvlText w:val="•"/>
      <w:lvlJc w:val="left"/>
      <w:pPr>
        <w:tabs>
          <w:tab w:val="num" w:pos="2880"/>
        </w:tabs>
        <w:ind w:left="2880" w:hanging="360"/>
      </w:pPr>
      <w:rPr>
        <w:rFonts w:ascii="Arial" w:hAnsi="Arial" w:hint="default"/>
      </w:rPr>
    </w:lvl>
    <w:lvl w:ilvl="4" w:tplc="C122C4B4" w:tentative="1">
      <w:start w:val="1"/>
      <w:numFmt w:val="bullet"/>
      <w:lvlText w:val="•"/>
      <w:lvlJc w:val="left"/>
      <w:pPr>
        <w:tabs>
          <w:tab w:val="num" w:pos="3600"/>
        </w:tabs>
        <w:ind w:left="3600" w:hanging="360"/>
      </w:pPr>
      <w:rPr>
        <w:rFonts w:ascii="Arial" w:hAnsi="Arial" w:hint="default"/>
      </w:rPr>
    </w:lvl>
    <w:lvl w:ilvl="5" w:tplc="E042EFE2" w:tentative="1">
      <w:start w:val="1"/>
      <w:numFmt w:val="bullet"/>
      <w:lvlText w:val="•"/>
      <w:lvlJc w:val="left"/>
      <w:pPr>
        <w:tabs>
          <w:tab w:val="num" w:pos="4320"/>
        </w:tabs>
        <w:ind w:left="4320" w:hanging="360"/>
      </w:pPr>
      <w:rPr>
        <w:rFonts w:ascii="Arial" w:hAnsi="Arial" w:hint="default"/>
      </w:rPr>
    </w:lvl>
    <w:lvl w:ilvl="6" w:tplc="2F820D74" w:tentative="1">
      <w:start w:val="1"/>
      <w:numFmt w:val="bullet"/>
      <w:lvlText w:val="•"/>
      <w:lvlJc w:val="left"/>
      <w:pPr>
        <w:tabs>
          <w:tab w:val="num" w:pos="5040"/>
        </w:tabs>
        <w:ind w:left="5040" w:hanging="360"/>
      </w:pPr>
      <w:rPr>
        <w:rFonts w:ascii="Arial" w:hAnsi="Arial" w:hint="default"/>
      </w:rPr>
    </w:lvl>
    <w:lvl w:ilvl="7" w:tplc="81AE9616" w:tentative="1">
      <w:start w:val="1"/>
      <w:numFmt w:val="bullet"/>
      <w:lvlText w:val="•"/>
      <w:lvlJc w:val="left"/>
      <w:pPr>
        <w:tabs>
          <w:tab w:val="num" w:pos="5760"/>
        </w:tabs>
        <w:ind w:left="5760" w:hanging="360"/>
      </w:pPr>
      <w:rPr>
        <w:rFonts w:ascii="Arial" w:hAnsi="Arial" w:hint="default"/>
      </w:rPr>
    </w:lvl>
    <w:lvl w:ilvl="8" w:tplc="3DA8ABD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5F16A31"/>
    <w:multiLevelType w:val="hybridMultilevel"/>
    <w:tmpl w:val="698696CA"/>
    <w:lvl w:ilvl="0" w:tplc="B24E0A4C">
      <w:start w:val="1"/>
      <w:numFmt w:val="bullet"/>
      <w:lvlText w:val="-"/>
      <w:lvlJc w:val="left"/>
      <w:pPr>
        <w:ind w:left="720" w:hanging="360"/>
      </w:pPr>
      <w:rPr>
        <w:rFonts w:ascii="Aptos" w:eastAsiaTheme="minorHAnsi" w:hAnsi="Aptos" w:cstheme="minorBid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56CF0CA0"/>
    <w:multiLevelType w:val="hybridMultilevel"/>
    <w:tmpl w:val="ABB259CE"/>
    <w:lvl w:ilvl="0" w:tplc="1CEAA4CC">
      <w:start w:val="1"/>
      <w:numFmt w:val="bullet"/>
      <w:lvlText w:val="•"/>
      <w:lvlJc w:val="left"/>
      <w:pPr>
        <w:ind w:left="720" w:hanging="360"/>
      </w:pPr>
      <w:rPr>
        <w:rFonts w:ascii="Arial" w:hAnsi="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6ACA0C85"/>
    <w:multiLevelType w:val="hybridMultilevel"/>
    <w:tmpl w:val="184431A2"/>
    <w:lvl w:ilvl="0" w:tplc="A3128600">
      <w:start w:val="1"/>
      <w:numFmt w:val="bullet"/>
      <w:lvlText w:val="•"/>
      <w:lvlJc w:val="left"/>
      <w:pPr>
        <w:tabs>
          <w:tab w:val="num" w:pos="720"/>
        </w:tabs>
        <w:ind w:left="720" w:hanging="360"/>
      </w:pPr>
      <w:rPr>
        <w:rFonts w:ascii="Arial" w:hAnsi="Arial" w:hint="default"/>
      </w:rPr>
    </w:lvl>
    <w:lvl w:ilvl="1" w:tplc="4E1840A8" w:tentative="1">
      <w:start w:val="1"/>
      <w:numFmt w:val="bullet"/>
      <w:lvlText w:val="•"/>
      <w:lvlJc w:val="left"/>
      <w:pPr>
        <w:tabs>
          <w:tab w:val="num" w:pos="1440"/>
        </w:tabs>
        <w:ind w:left="1440" w:hanging="360"/>
      </w:pPr>
      <w:rPr>
        <w:rFonts w:ascii="Arial" w:hAnsi="Arial" w:hint="default"/>
      </w:rPr>
    </w:lvl>
    <w:lvl w:ilvl="2" w:tplc="D59EC19A" w:tentative="1">
      <w:start w:val="1"/>
      <w:numFmt w:val="bullet"/>
      <w:lvlText w:val="•"/>
      <w:lvlJc w:val="left"/>
      <w:pPr>
        <w:tabs>
          <w:tab w:val="num" w:pos="2160"/>
        </w:tabs>
        <w:ind w:left="2160" w:hanging="360"/>
      </w:pPr>
      <w:rPr>
        <w:rFonts w:ascii="Arial" w:hAnsi="Arial" w:hint="default"/>
      </w:rPr>
    </w:lvl>
    <w:lvl w:ilvl="3" w:tplc="D3BC7722" w:tentative="1">
      <w:start w:val="1"/>
      <w:numFmt w:val="bullet"/>
      <w:lvlText w:val="•"/>
      <w:lvlJc w:val="left"/>
      <w:pPr>
        <w:tabs>
          <w:tab w:val="num" w:pos="2880"/>
        </w:tabs>
        <w:ind w:left="2880" w:hanging="360"/>
      </w:pPr>
      <w:rPr>
        <w:rFonts w:ascii="Arial" w:hAnsi="Arial" w:hint="default"/>
      </w:rPr>
    </w:lvl>
    <w:lvl w:ilvl="4" w:tplc="B748E4DC" w:tentative="1">
      <w:start w:val="1"/>
      <w:numFmt w:val="bullet"/>
      <w:lvlText w:val="•"/>
      <w:lvlJc w:val="left"/>
      <w:pPr>
        <w:tabs>
          <w:tab w:val="num" w:pos="3600"/>
        </w:tabs>
        <w:ind w:left="3600" w:hanging="360"/>
      </w:pPr>
      <w:rPr>
        <w:rFonts w:ascii="Arial" w:hAnsi="Arial" w:hint="default"/>
      </w:rPr>
    </w:lvl>
    <w:lvl w:ilvl="5" w:tplc="8C02B39A" w:tentative="1">
      <w:start w:val="1"/>
      <w:numFmt w:val="bullet"/>
      <w:lvlText w:val="•"/>
      <w:lvlJc w:val="left"/>
      <w:pPr>
        <w:tabs>
          <w:tab w:val="num" w:pos="4320"/>
        </w:tabs>
        <w:ind w:left="4320" w:hanging="360"/>
      </w:pPr>
      <w:rPr>
        <w:rFonts w:ascii="Arial" w:hAnsi="Arial" w:hint="default"/>
      </w:rPr>
    </w:lvl>
    <w:lvl w:ilvl="6" w:tplc="AB520326" w:tentative="1">
      <w:start w:val="1"/>
      <w:numFmt w:val="bullet"/>
      <w:lvlText w:val="•"/>
      <w:lvlJc w:val="left"/>
      <w:pPr>
        <w:tabs>
          <w:tab w:val="num" w:pos="5040"/>
        </w:tabs>
        <w:ind w:left="5040" w:hanging="360"/>
      </w:pPr>
      <w:rPr>
        <w:rFonts w:ascii="Arial" w:hAnsi="Arial" w:hint="default"/>
      </w:rPr>
    </w:lvl>
    <w:lvl w:ilvl="7" w:tplc="2D70AD90" w:tentative="1">
      <w:start w:val="1"/>
      <w:numFmt w:val="bullet"/>
      <w:lvlText w:val="•"/>
      <w:lvlJc w:val="left"/>
      <w:pPr>
        <w:tabs>
          <w:tab w:val="num" w:pos="5760"/>
        </w:tabs>
        <w:ind w:left="5760" w:hanging="360"/>
      </w:pPr>
      <w:rPr>
        <w:rFonts w:ascii="Arial" w:hAnsi="Arial" w:hint="default"/>
      </w:rPr>
    </w:lvl>
    <w:lvl w:ilvl="8" w:tplc="18CEE50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DA64CB9"/>
    <w:multiLevelType w:val="hybridMultilevel"/>
    <w:tmpl w:val="5746AAE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518231481">
    <w:abstractNumId w:val="4"/>
  </w:num>
  <w:num w:numId="2" w16cid:durableId="942767594">
    <w:abstractNumId w:val="1"/>
  </w:num>
  <w:num w:numId="3" w16cid:durableId="1848791797">
    <w:abstractNumId w:val="7"/>
  </w:num>
  <w:num w:numId="4" w16cid:durableId="1319263604">
    <w:abstractNumId w:val="8"/>
  </w:num>
  <w:num w:numId="5" w16cid:durableId="1170295764">
    <w:abstractNumId w:val="5"/>
  </w:num>
  <w:num w:numId="6" w16cid:durableId="1188181864">
    <w:abstractNumId w:val="3"/>
  </w:num>
  <w:num w:numId="7" w16cid:durableId="1735468924">
    <w:abstractNumId w:val="0"/>
  </w:num>
  <w:num w:numId="8" w16cid:durableId="1848210591">
    <w:abstractNumId w:val="6"/>
  </w:num>
  <w:num w:numId="9" w16cid:durableId="7884757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isplayBackgroundShape/>
  <w:defaultTabStop w:val="720"/>
  <w:hyphenationZone w:val="425"/>
  <w:characterSpacingControl w:val="doNotCompress"/>
  <w:hdrShapeDefaults>
    <o:shapedefaults v:ext="edit" spidmax="2050">
      <o:colormru v:ext="edit" colors="#f30,#ffece7,#fff9f7"/>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975"/>
    <w:rsid w:val="00000332"/>
    <w:rsid w:val="000147A0"/>
    <w:rsid w:val="00022813"/>
    <w:rsid w:val="00022AE5"/>
    <w:rsid w:val="000353E1"/>
    <w:rsid w:val="00041117"/>
    <w:rsid w:val="00041214"/>
    <w:rsid w:val="00042D22"/>
    <w:rsid w:val="00055FE1"/>
    <w:rsid w:val="00060DAE"/>
    <w:rsid w:val="00063EEC"/>
    <w:rsid w:val="00064CA0"/>
    <w:rsid w:val="00065633"/>
    <w:rsid w:val="00070818"/>
    <w:rsid w:val="00074757"/>
    <w:rsid w:val="00074B53"/>
    <w:rsid w:val="00075F83"/>
    <w:rsid w:val="00082DC7"/>
    <w:rsid w:val="00083727"/>
    <w:rsid w:val="00094D72"/>
    <w:rsid w:val="00096F29"/>
    <w:rsid w:val="000A42EC"/>
    <w:rsid w:val="000A4792"/>
    <w:rsid w:val="000B7EFF"/>
    <w:rsid w:val="000C1716"/>
    <w:rsid w:val="000C1BE3"/>
    <w:rsid w:val="000D348C"/>
    <w:rsid w:val="000E0BF3"/>
    <w:rsid w:val="00112148"/>
    <w:rsid w:val="0011552E"/>
    <w:rsid w:val="0012685F"/>
    <w:rsid w:val="001430F3"/>
    <w:rsid w:val="00145CEF"/>
    <w:rsid w:val="00162063"/>
    <w:rsid w:val="00171425"/>
    <w:rsid w:val="001714DF"/>
    <w:rsid w:val="001849DC"/>
    <w:rsid w:val="00185A53"/>
    <w:rsid w:val="00197D43"/>
    <w:rsid w:val="001B4C97"/>
    <w:rsid w:val="001D531E"/>
    <w:rsid w:val="001D5573"/>
    <w:rsid w:val="001F11D9"/>
    <w:rsid w:val="00205B8D"/>
    <w:rsid w:val="00206B7D"/>
    <w:rsid w:val="00213F51"/>
    <w:rsid w:val="00216DF3"/>
    <w:rsid w:val="00223C4E"/>
    <w:rsid w:val="002360D1"/>
    <w:rsid w:val="002401A9"/>
    <w:rsid w:val="002413C8"/>
    <w:rsid w:val="00242C51"/>
    <w:rsid w:val="00244BE8"/>
    <w:rsid w:val="0026037D"/>
    <w:rsid w:val="002651AD"/>
    <w:rsid w:val="0027228A"/>
    <w:rsid w:val="00280889"/>
    <w:rsid w:val="00280A05"/>
    <w:rsid w:val="0029186A"/>
    <w:rsid w:val="002942A5"/>
    <w:rsid w:val="0029502E"/>
    <w:rsid w:val="00297FBC"/>
    <w:rsid w:val="002A2112"/>
    <w:rsid w:val="002A7C9C"/>
    <w:rsid w:val="002B799E"/>
    <w:rsid w:val="002F1975"/>
    <w:rsid w:val="002F2A4D"/>
    <w:rsid w:val="002F46C5"/>
    <w:rsid w:val="002F75FF"/>
    <w:rsid w:val="00303481"/>
    <w:rsid w:val="00303FB3"/>
    <w:rsid w:val="0033715C"/>
    <w:rsid w:val="00337363"/>
    <w:rsid w:val="00365572"/>
    <w:rsid w:val="00381AB8"/>
    <w:rsid w:val="003860C4"/>
    <w:rsid w:val="0038721C"/>
    <w:rsid w:val="003A1E07"/>
    <w:rsid w:val="003A6A2A"/>
    <w:rsid w:val="003C0D4E"/>
    <w:rsid w:val="003C730F"/>
    <w:rsid w:val="003E3BA6"/>
    <w:rsid w:val="003F41AA"/>
    <w:rsid w:val="003F6DF6"/>
    <w:rsid w:val="00403BC7"/>
    <w:rsid w:val="00410DFD"/>
    <w:rsid w:val="00422472"/>
    <w:rsid w:val="004307A3"/>
    <w:rsid w:val="00431B71"/>
    <w:rsid w:val="00436FF2"/>
    <w:rsid w:val="00452D24"/>
    <w:rsid w:val="00460CD2"/>
    <w:rsid w:val="00477C72"/>
    <w:rsid w:val="00482398"/>
    <w:rsid w:val="00492A58"/>
    <w:rsid w:val="004B1851"/>
    <w:rsid w:val="004B2F30"/>
    <w:rsid w:val="004E0EA0"/>
    <w:rsid w:val="004E31AA"/>
    <w:rsid w:val="004E49D0"/>
    <w:rsid w:val="004E7324"/>
    <w:rsid w:val="004F2921"/>
    <w:rsid w:val="005318D1"/>
    <w:rsid w:val="00534E97"/>
    <w:rsid w:val="0053746C"/>
    <w:rsid w:val="0054725C"/>
    <w:rsid w:val="0055466D"/>
    <w:rsid w:val="005572ED"/>
    <w:rsid w:val="00560BAB"/>
    <w:rsid w:val="00584C4E"/>
    <w:rsid w:val="005957E2"/>
    <w:rsid w:val="005A00DA"/>
    <w:rsid w:val="005A1DAD"/>
    <w:rsid w:val="005C3B41"/>
    <w:rsid w:val="005C7839"/>
    <w:rsid w:val="005E3638"/>
    <w:rsid w:val="005E76E5"/>
    <w:rsid w:val="0060119A"/>
    <w:rsid w:val="00605681"/>
    <w:rsid w:val="00607CF3"/>
    <w:rsid w:val="00617D2A"/>
    <w:rsid w:val="00640554"/>
    <w:rsid w:val="00642415"/>
    <w:rsid w:val="00652704"/>
    <w:rsid w:val="0065435B"/>
    <w:rsid w:val="00671C34"/>
    <w:rsid w:val="00685FE7"/>
    <w:rsid w:val="00687D6D"/>
    <w:rsid w:val="0069231B"/>
    <w:rsid w:val="006A2E56"/>
    <w:rsid w:val="006C0154"/>
    <w:rsid w:val="006C19C0"/>
    <w:rsid w:val="006C7853"/>
    <w:rsid w:val="006D0F19"/>
    <w:rsid w:val="006D30A9"/>
    <w:rsid w:val="006D78F8"/>
    <w:rsid w:val="006E6893"/>
    <w:rsid w:val="00713B4D"/>
    <w:rsid w:val="00714440"/>
    <w:rsid w:val="00740E66"/>
    <w:rsid w:val="007436E1"/>
    <w:rsid w:val="00743879"/>
    <w:rsid w:val="00746671"/>
    <w:rsid w:val="007724A8"/>
    <w:rsid w:val="00786452"/>
    <w:rsid w:val="00795E9F"/>
    <w:rsid w:val="007A0ADB"/>
    <w:rsid w:val="007A2FBF"/>
    <w:rsid w:val="007A418D"/>
    <w:rsid w:val="007B0CBF"/>
    <w:rsid w:val="007B2C0C"/>
    <w:rsid w:val="007D0E32"/>
    <w:rsid w:val="007D6BF8"/>
    <w:rsid w:val="007E3237"/>
    <w:rsid w:val="007E6BE0"/>
    <w:rsid w:val="008067B4"/>
    <w:rsid w:val="00814857"/>
    <w:rsid w:val="00816BDA"/>
    <w:rsid w:val="008176F4"/>
    <w:rsid w:val="0082295F"/>
    <w:rsid w:val="00836F29"/>
    <w:rsid w:val="00847FA7"/>
    <w:rsid w:val="00864FF3"/>
    <w:rsid w:val="00876848"/>
    <w:rsid w:val="00881300"/>
    <w:rsid w:val="00884281"/>
    <w:rsid w:val="008857D8"/>
    <w:rsid w:val="008F1527"/>
    <w:rsid w:val="009032A4"/>
    <w:rsid w:val="00932C58"/>
    <w:rsid w:val="00952C73"/>
    <w:rsid w:val="009863A3"/>
    <w:rsid w:val="0099745D"/>
    <w:rsid w:val="009A14FE"/>
    <w:rsid w:val="009A6376"/>
    <w:rsid w:val="009A6BD2"/>
    <w:rsid w:val="009B1323"/>
    <w:rsid w:val="009D6E96"/>
    <w:rsid w:val="009E7162"/>
    <w:rsid w:val="009F00BB"/>
    <w:rsid w:val="00A02DCA"/>
    <w:rsid w:val="00A07F7F"/>
    <w:rsid w:val="00A13C8C"/>
    <w:rsid w:val="00A15EF6"/>
    <w:rsid w:val="00A1731D"/>
    <w:rsid w:val="00A20664"/>
    <w:rsid w:val="00A20E3B"/>
    <w:rsid w:val="00A23BE5"/>
    <w:rsid w:val="00A50418"/>
    <w:rsid w:val="00A616C2"/>
    <w:rsid w:val="00A6186E"/>
    <w:rsid w:val="00A84E91"/>
    <w:rsid w:val="00A9019B"/>
    <w:rsid w:val="00AA2FEE"/>
    <w:rsid w:val="00AC5124"/>
    <w:rsid w:val="00AE4262"/>
    <w:rsid w:val="00AF4511"/>
    <w:rsid w:val="00B001B4"/>
    <w:rsid w:val="00B06770"/>
    <w:rsid w:val="00B10FCC"/>
    <w:rsid w:val="00B12361"/>
    <w:rsid w:val="00B34A1C"/>
    <w:rsid w:val="00B3580D"/>
    <w:rsid w:val="00B424B6"/>
    <w:rsid w:val="00B46998"/>
    <w:rsid w:val="00B54F5C"/>
    <w:rsid w:val="00B55D87"/>
    <w:rsid w:val="00B61C35"/>
    <w:rsid w:val="00B6206A"/>
    <w:rsid w:val="00B66430"/>
    <w:rsid w:val="00B66783"/>
    <w:rsid w:val="00B72D35"/>
    <w:rsid w:val="00B741CA"/>
    <w:rsid w:val="00B847F3"/>
    <w:rsid w:val="00B859CC"/>
    <w:rsid w:val="00B91A27"/>
    <w:rsid w:val="00B92527"/>
    <w:rsid w:val="00B94E92"/>
    <w:rsid w:val="00BA401B"/>
    <w:rsid w:val="00BA4F74"/>
    <w:rsid w:val="00BB3461"/>
    <w:rsid w:val="00BB3B77"/>
    <w:rsid w:val="00BB5B02"/>
    <w:rsid w:val="00BB6C8C"/>
    <w:rsid w:val="00BC220F"/>
    <w:rsid w:val="00BC4352"/>
    <w:rsid w:val="00BC5CCD"/>
    <w:rsid w:val="00BC6351"/>
    <w:rsid w:val="00BD0146"/>
    <w:rsid w:val="00BD365C"/>
    <w:rsid w:val="00BD3770"/>
    <w:rsid w:val="00BD3C90"/>
    <w:rsid w:val="00BD40CA"/>
    <w:rsid w:val="00BD6A84"/>
    <w:rsid w:val="00BD75EC"/>
    <w:rsid w:val="00BE35EF"/>
    <w:rsid w:val="00BE58E4"/>
    <w:rsid w:val="00BF1DF4"/>
    <w:rsid w:val="00BF3E72"/>
    <w:rsid w:val="00C0751D"/>
    <w:rsid w:val="00C14C8E"/>
    <w:rsid w:val="00C1656C"/>
    <w:rsid w:val="00C24AE8"/>
    <w:rsid w:val="00C263E7"/>
    <w:rsid w:val="00C305DE"/>
    <w:rsid w:val="00C32170"/>
    <w:rsid w:val="00C3347B"/>
    <w:rsid w:val="00C35C8E"/>
    <w:rsid w:val="00C41D55"/>
    <w:rsid w:val="00C41F2B"/>
    <w:rsid w:val="00C47DA0"/>
    <w:rsid w:val="00C5257D"/>
    <w:rsid w:val="00C62FAD"/>
    <w:rsid w:val="00C6657C"/>
    <w:rsid w:val="00C7401E"/>
    <w:rsid w:val="00C8049F"/>
    <w:rsid w:val="00C83DA2"/>
    <w:rsid w:val="00C90703"/>
    <w:rsid w:val="00C9080C"/>
    <w:rsid w:val="00C96ED4"/>
    <w:rsid w:val="00CA3CC2"/>
    <w:rsid w:val="00CB0C4B"/>
    <w:rsid w:val="00CB3371"/>
    <w:rsid w:val="00CB3441"/>
    <w:rsid w:val="00CD409D"/>
    <w:rsid w:val="00CF6EC2"/>
    <w:rsid w:val="00CF7E83"/>
    <w:rsid w:val="00D00BB5"/>
    <w:rsid w:val="00D01617"/>
    <w:rsid w:val="00D03FB5"/>
    <w:rsid w:val="00D40925"/>
    <w:rsid w:val="00D44FC8"/>
    <w:rsid w:val="00D5513F"/>
    <w:rsid w:val="00D61169"/>
    <w:rsid w:val="00D7156F"/>
    <w:rsid w:val="00D82E9E"/>
    <w:rsid w:val="00D84F60"/>
    <w:rsid w:val="00D964E7"/>
    <w:rsid w:val="00DA4394"/>
    <w:rsid w:val="00DB3C94"/>
    <w:rsid w:val="00DB4ADF"/>
    <w:rsid w:val="00DB6094"/>
    <w:rsid w:val="00DC7830"/>
    <w:rsid w:val="00DD03AE"/>
    <w:rsid w:val="00DE1707"/>
    <w:rsid w:val="00E109FA"/>
    <w:rsid w:val="00E22B22"/>
    <w:rsid w:val="00E34ABE"/>
    <w:rsid w:val="00E35679"/>
    <w:rsid w:val="00E36FAF"/>
    <w:rsid w:val="00E421AB"/>
    <w:rsid w:val="00E42D08"/>
    <w:rsid w:val="00E51D29"/>
    <w:rsid w:val="00E574D5"/>
    <w:rsid w:val="00E60453"/>
    <w:rsid w:val="00E65633"/>
    <w:rsid w:val="00E65FAC"/>
    <w:rsid w:val="00E66C97"/>
    <w:rsid w:val="00E73304"/>
    <w:rsid w:val="00E8023E"/>
    <w:rsid w:val="00E9600C"/>
    <w:rsid w:val="00E97C27"/>
    <w:rsid w:val="00EC298C"/>
    <w:rsid w:val="00EC6774"/>
    <w:rsid w:val="00ED2A13"/>
    <w:rsid w:val="00ED2BE3"/>
    <w:rsid w:val="00EE2C70"/>
    <w:rsid w:val="00EE3C00"/>
    <w:rsid w:val="00EF4980"/>
    <w:rsid w:val="00F2153C"/>
    <w:rsid w:val="00F41C57"/>
    <w:rsid w:val="00F52B36"/>
    <w:rsid w:val="00F53818"/>
    <w:rsid w:val="00F758E7"/>
    <w:rsid w:val="00F80294"/>
    <w:rsid w:val="00F82D2F"/>
    <w:rsid w:val="00F901E3"/>
    <w:rsid w:val="00FA16FF"/>
    <w:rsid w:val="00FA4C64"/>
    <w:rsid w:val="00FB1464"/>
    <w:rsid w:val="00FC5339"/>
    <w:rsid w:val="00FD22D3"/>
    <w:rsid w:val="00FD33E6"/>
    <w:rsid w:val="00FD4262"/>
    <w:rsid w:val="00FE0F46"/>
    <w:rsid w:val="00FE129A"/>
    <w:rsid w:val="00FE4459"/>
    <w:rsid w:val="00FF36E2"/>
    <w:rsid w:val="0193035A"/>
    <w:rsid w:val="02332F82"/>
    <w:rsid w:val="055DED9E"/>
    <w:rsid w:val="082B1E99"/>
    <w:rsid w:val="0B25E350"/>
    <w:rsid w:val="0D39C4F8"/>
    <w:rsid w:val="134B0A38"/>
    <w:rsid w:val="13C38A9A"/>
    <w:rsid w:val="161F2DE4"/>
    <w:rsid w:val="16A074CF"/>
    <w:rsid w:val="170D496B"/>
    <w:rsid w:val="1E2E5207"/>
    <w:rsid w:val="1E91DE23"/>
    <w:rsid w:val="20682214"/>
    <w:rsid w:val="22328A69"/>
    <w:rsid w:val="223CCE4B"/>
    <w:rsid w:val="22C4A028"/>
    <w:rsid w:val="24011F06"/>
    <w:rsid w:val="253F9A53"/>
    <w:rsid w:val="25B79963"/>
    <w:rsid w:val="27A37ABD"/>
    <w:rsid w:val="280D0D07"/>
    <w:rsid w:val="29D2E6D0"/>
    <w:rsid w:val="29FC62ED"/>
    <w:rsid w:val="2A3E56BB"/>
    <w:rsid w:val="2B97ED10"/>
    <w:rsid w:val="2FD54AC3"/>
    <w:rsid w:val="3096438F"/>
    <w:rsid w:val="3119EBE2"/>
    <w:rsid w:val="31E42184"/>
    <w:rsid w:val="3283C6C9"/>
    <w:rsid w:val="3331BD04"/>
    <w:rsid w:val="33AED806"/>
    <w:rsid w:val="34289AC7"/>
    <w:rsid w:val="397EDAE3"/>
    <w:rsid w:val="39DC0D27"/>
    <w:rsid w:val="3BAA9C02"/>
    <w:rsid w:val="40098F3E"/>
    <w:rsid w:val="4116DA6D"/>
    <w:rsid w:val="41B8BF4F"/>
    <w:rsid w:val="42E7A1BB"/>
    <w:rsid w:val="44735831"/>
    <w:rsid w:val="45226280"/>
    <w:rsid w:val="4638808A"/>
    <w:rsid w:val="46907997"/>
    <w:rsid w:val="4785895A"/>
    <w:rsid w:val="49EED7F7"/>
    <w:rsid w:val="4C21460E"/>
    <w:rsid w:val="4C795D38"/>
    <w:rsid w:val="4CB70D50"/>
    <w:rsid w:val="4D806CFD"/>
    <w:rsid w:val="4E7F822C"/>
    <w:rsid w:val="508FA422"/>
    <w:rsid w:val="51C07DC4"/>
    <w:rsid w:val="52D52738"/>
    <w:rsid w:val="535CE701"/>
    <w:rsid w:val="5495A1E7"/>
    <w:rsid w:val="55273E2B"/>
    <w:rsid w:val="56D05D0B"/>
    <w:rsid w:val="584C211B"/>
    <w:rsid w:val="5DB93A77"/>
    <w:rsid w:val="5E53EFAE"/>
    <w:rsid w:val="5E692D82"/>
    <w:rsid w:val="5F155EC7"/>
    <w:rsid w:val="5F872EF3"/>
    <w:rsid w:val="60ADE1C3"/>
    <w:rsid w:val="628D314B"/>
    <w:rsid w:val="6294F14F"/>
    <w:rsid w:val="62FDE7B6"/>
    <w:rsid w:val="639663D0"/>
    <w:rsid w:val="66A03D91"/>
    <w:rsid w:val="66B3FCC5"/>
    <w:rsid w:val="68211FB8"/>
    <w:rsid w:val="68A7EBFE"/>
    <w:rsid w:val="6944A6D4"/>
    <w:rsid w:val="6A6906D1"/>
    <w:rsid w:val="6B9B8614"/>
    <w:rsid w:val="6C5C63C3"/>
    <w:rsid w:val="6DBFF0F5"/>
    <w:rsid w:val="6ECC591C"/>
    <w:rsid w:val="6F4A785D"/>
    <w:rsid w:val="6FB7DE3E"/>
    <w:rsid w:val="72AE5CFF"/>
    <w:rsid w:val="731E65B4"/>
    <w:rsid w:val="740B5D01"/>
    <w:rsid w:val="76D3E319"/>
    <w:rsid w:val="77B21FD6"/>
    <w:rsid w:val="79CB4C12"/>
    <w:rsid w:val="7C34A6D5"/>
    <w:rsid w:val="7CC813A1"/>
    <w:rsid w:val="7DDF42C0"/>
    <w:rsid w:val="7F6A8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30,#ffece7,#fff9f7"/>
    </o:shapedefaults>
    <o:shapelayout v:ext="edit">
      <o:idmap v:ext="edit" data="2"/>
    </o:shapelayout>
  </w:shapeDefaults>
  <w:decimalSymbol w:val="."/>
  <w:listSeparator w:val=","/>
  <w14:docId w14:val="1018E5B5"/>
  <w15:chartTrackingRefBased/>
  <w15:docId w15:val="{525A8F9F-4CBE-43BD-A357-C38EF1F9A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86A"/>
    <w:rPr>
      <w:lang w:val="en-GB"/>
    </w:rPr>
  </w:style>
  <w:style w:type="paragraph" w:styleId="Heading1">
    <w:name w:val="heading 1"/>
    <w:basedOn w:val="Normal"/>
    <w:next w:val="Normal"/>
    <w:link w:val="Heading1Char"/>
    <w:uiPriority w:val="9"/>
    <w:qFormat/>
    <w:rsid w:val="002F1975"/>
    <w:pPr>
      <w:keepNext/>
      <w:keepLines/>
      <w:spacing w:before="360" w:after="80"/>
      <w:outlineLvl w:val="0"/>
    </w:pPr>
    <w:rPr>
      <w:rFonts w:asciiTheme="majorHAnsi" w:eastAsiaTheme="majorEastAsia" w:hAnsiTheme="majorHAnsi" w:cstheme="majorBidi"/>
      <w:color w:val="9D3511" w:themeColor="accent1" w:themeShade="BF"/>
      <w:sz w:val="40"/>
      <w:szCs w:val="40"/>
    </w:rPr>
  </w:style>
  <w:style w:type="paragraph" w:styleId="Heading2">
    <w:name w:val="heading 2"/>
    <w:basedOn w:val="Normal"/>
    <w:next w:val="Normal"/>
    <w:link w:val="Heading2Char"/>
    <w:uiPriority w:val="9"/>
    <w:unhideWhenUsed/>
    <w:qFormat/>
    <w:rsid w:val="002F1975"/>
    <w:pPr>
      <w:keepNext/>
      <w:keepLines/>
      <w:spacing w:before="160" w:after="80"/>
      <w:outlineLvl w:val="1"/>
    </w:pPr>
    <w:rPr>
      <w:rFonts w:asciiTheme="majorHAnsi" w:eastAsiaTheme="majorEastAsia" w:hAnsiTheme="majorHAnsi" w:cstheme="majorBidi"/>
      <w:color w:val="9D3511" w:themeColor="accent1" w:themeShade="BF"/>
      <w:sz w:val="32"/>
      <w:szCs w:val="32"/>
    </w:rPr>
  </w:style>
  <w:style w:type="paragraph" w:styleId="Heading3">
    <w:name w:val="heading 3"/>
    <w:basedOn w:val="Normal"/>
    <w:next w:val="Normal"/>
    <w:link w:val="Heading3Char"/>
    <w:uiPriority w:val="9"/>
    <w:unhideWhenUsed/>
    <w:qFormat/>
    <w:rsid w:val="002F1975"/>
    <w:pPr>
      <w:keepNext/>
      <w:keepLines/>
      <w:spacing w:before="160" w:after="80"/>
      <w:outlineLvl w:val="2"/>
    </w:pPr>
    <w:rPr>
      <w:rFonts w:eastAsiaTheme="majorEastAsia" w:cstheme="majorBidi"/>
      <w:color w:val="9D3511" w:themeColor="accent1" w:themeShade="BF"/>
      <w:sz w:val="28"/>
      <w:szCs w:val="28"/>
    </w:rPr>
  </w:style>
  <w:style w:type="paragraph" w:styleId="Heading4">
    <w:name w:val="heading 4"/>
    <w:basedOn w:val="Normal"/>
    <w:next w:val="Normal"/>
    <w:link w:val="Heading4Char"/>
    <w:uiPriority w:val="9"/>
    <w:semiHidden/>
    <w:unhideWhenUsed/>
    <w:qFormat/>
    <w:rsid w:val="002F1975"/>
    <w:pPr>
      <w:keepNext/>
      <w:keepLines/>
      <w:spacing w:before="80" w:after="40"/>
      <w:outlineLvl w:val="3"/>
    </w:pPr>
    <w:rPr>
      <w:rFonts w:eastAsiaTheme="majorEastAsia" w:cstheme="majorBidi"/>
      <w:i/>
      <w:iCs/>
      <w:color w:val="9D3511" w:themeColor="accent1" w:themeShade="BF"/>
    </w:rPr>
  </w:style>
  <w:style w:type="paragraph" w:styleId="Heading5">
    <w:name w:val="heading 5"/>
    <w:basedOn w:val="Normal"/>
    <w:next w:val="Normal"/>
    <w:link w:val="Heading5Char"/>
    <w:uiPriority w:val="9"/>
    <w:semiHidden/>
    <w:unhideWhenUsed/>
    <w:qFormat/>
    <w:rsid w:val="002F1975"/>
    <w:pPr>
      <w:keepNext/>
      <w:keepLines/>
      <w:spacing w:before="80" w:after="40"/>
      <w:outlineLvl w:val="4"/>
    </w:pPr>
    <w:rPr>
      <w:rFonts w:eastAsiaTheme="majorEastAsia" w:cstheme="majorBidi"/>
      <w:color w:val="9D3511" w:themeColor="accent1" w:themeShade="BF"/>
    </w:rPr>
  </w:style>
  <w:style w:type="paragraph" w:styleId="Heading6">
    <w:name w:val="heading 6"/>
    <w:basedOn w:val="Normal"/>
    <w:next w:val="Normal"/>
    <w:link w:val="Heading6Char"/>
    <w:uiPriority w:val="9"/>
    <w:semiHidden/>
    <w:unhideWhenUsed/>
    <w:qFormat/>
    <w:rsid w:val="002F19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19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19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19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975"/>
    <w:rPr>
      <w:rFonts w:asciiTheme="majorHAnsi" w:eastAsiaTheme="majorEastAsia" w:hAnsiTheme="majorHAnsi" w:cstheme="majorBidi"/>
      <w:color w:val="9D3511" w:themeColor="accent1" w:themeShade="BF"/>
      <w:sz w:val="40"/>
      <w:szCs w:val="40"/>
      <w:lang w:val="en-GB"/>
    </w:rPr>
  </w:style>
  <w:style w:type="character" w:customStyle="1" w:styleId="Heading2Char">
    <w:name w:val="Heading 2 Char"/>
    <w:basedOn w:val="DefaultParagraphFont"/>
    <w:link w:val="Heading2"/>
    <w:uiPriority w:val="9"/>
    <w:rsid w:val="002F1975"/>
    <w:rPr>
      <w:rFonts w:asciiTheme="majorHAnsi" w:eastAsiaTheme="majorEastAsia" w:hAnsiTheme="majorHAnsi" w:cstheme="majorBidi"/>
      <w:color w:val="9D3511" w:themeColor="accent1" w:themeShade="BF"/>
      <w:sz w:val="32"/>
      <w:szCs w:val="32"/>
      <w:lang w:val="en-GB"/>
    </w:rPr>
  </w:style>
  <w:style w:type="character" w:customStyle="1" w:styleId="Heading3Char">
    <w:name w:val="Heading 3 Char"/>
    <w:basedOn w:val="DefaultParagraphFont"/>
    <w:link w:val="Heading3"/>
    <w:uiPriority w:val="9"/>
    <w:rsid w:val="002F1975"/>
    <w:rPr>
      <w:rFonts w:eastAsiaTheme="majorEastAsia" w:cstheme="majorBidi"/>
      <w:color w:val="9D3511" w:themeColor="accent1" w:themeShade="BF"/>
      <w:sz w:val="28"/>
      <w:szCs w:val="28"/>
      <w:lang w:val="en-GB"/>
    </w:rPr>
  </w:style>
  <w:style w:type="character" w:customStyle="1" w:styleId="Heading4Char">
    <w:name w:val="Heading 4 Char"/>
    <w:basedOn w:val="DefaultParagraphFont"/>
    <w:link w:val="Heading4"/>
    <w:uiPriority w:val="9"/>
    <w:semiHidden/>
    <w:rsid w:val="002F1975"/>
    <w:rPr>
      <w:rFonts w:eastAsiaTheme="majorEastAsia" w:cstheme="majorBidi"/>
      <w:i/>
      <w:iCs/>
      <w:color w:val="9D3511" w:themeColor="accent1" w:themeShade="BF"/>
      <w:lang w:val="en-GB"/>
    </w:rPr>
  </w:style>
  <w:style w:type="character" w:customStyle="1" w:styleId="Heading5Char">
    <w:name w:val="Heading 5 Char"/>
    <w:basedOn w:val="DefaultParagraphFont"/>
    <w:link w:val="Heading5"/>
    <w:uiPriority w:val="9"/>
    <w:semiHidden/>
    <w:rsid w:val="002F1975"/>
    <w:rPr>
      <w:rFonts w:eastAsiaTheme="majorEastAsia" w:cstheme="majorBidi"/>
      <w:color w:val="9D3511" w:themeColor="accent1" w:themeShade="BF"/>
      <w:lang w:val="en-GB"/>
    </w:rPr>
  </w:style>
  <w:style w:type="character" w:customStyle="1" w:styleId="Heading6Char">
    <w:name w:val="Heading 6 Char"/>
    <w:basedOn w:val="DefaultParagraphFont"/>
    <w:link w:val="Heading6"/>
    <w:uiPriority w:val="9"/>
    <w:semiHidden/>
    <w:rsid w:val="002F197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F197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F197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F197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F19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197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F19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197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F1975"/>
    <w:pPr>
      <w:spacing w:before="160"/>
      <w:jc w:val="center"/>
    </w:pPr>
    <w:rPr>
      <w:i/>
      <w:iCs/>
      <w:color w:val="404040" w:themeColor="text1" w:themeTint="BF"/>
    </w:rPr>
  </w:style>
  <w:style w:type="character" w:customStyle="1" w:styleId="QuoteChar">
    <w:name w:val="Quote Char"/>
    <w:basedOn w:val="DefaultParagraphFont"/>
    <w:link w:val="Quote"/>
    <w:uiPriority w:val="29"/>
    <w:rsid w:val="002F1975"/>
    <w:rPr>
      <w:i/>
      <w:iCs/>
      <w:color w:val="404040" w:themeColor="text1" w:themeTint="BF"/>
      <w:lang w:val="en-GB"/>
    </w:rPr>
  </w:style>
  <w:style w:type="paragraph" w:styleId="ListParagraph">
    <w:name w:val="List Paragraph"/>
    <w:basedOn w:val="Normal"/>
    <w:uiPriority w:val="34"/>
    <w:qFormat/>
    <w:rsid w:val="002F1975"/>
    <w:pPr>
      <w:ind w:left="720"/>
      <w:contextualSpacing/>
    </w:pPr>
  </w:style>
  <w:style w:type="character" w:styleId="IntenseEmphasis">
    <w:name w:val="Intense Emphasis"/>
    <w:basedOn w:val="DefaultParagraphFont"/>
    <w:uiPriority w:val="21"/>
    <w:qFormat/>
    <w:rsid w:val="002F1975"/>
    <w:rPr>
      <w:i/>
      <w:iCs/>
      <w:color w:val="9D3511" w:themeColor="accent1" w:themeShade="BF"/>
    </w:rPr>
  </w:style>
  <w:style w:type="paragraph" w:styleId="IntenseQuote">
    <w:name w:val="Intense Quote"/>
    <w:basedOn w:val="Normal"/>
    <w:next w:val="Normal"/>
    <w:link w:val="IntenseQuoteChar"/>
    <w:uiPriority w:val="30"/>
    <w:qFormat/>
    <w:rsid w:val="002F1975"/>
    <w:pPr>
      <w:pBdr>
        <w:top w:val="single" w:sz="4" w:space="10" w:color="9D3511" w:themeColor="accent1" w:themeShade="BF"/>
        <w:bottom w:val="single" w:sz="4" w:space="10" w:color="9D3511" w:themeColor="accent1" w:themeShade="BF"/>
      </w:pBdr>
      <w:spacing w:before="360" w:after="360"/>
      <w:ind w:left="864" w:right="864"/>
      <w:jc w:val="center"/>
    </w:pPr>
    <w:rPr>
      <w:i/>
      <w:iCs/>
      <w:color w:val="9D3511" w:themeColor="accent1" w:themeShade="BF"/>
    </w:rPr>
  </w:style>
  <w:style w:type="character" w:customStyle="1" w:styleId="IntenseQuoteChar">
    <w:name w:val="Intense Quote Char"/>
    <w:basedOn w:val="DefaultParagraphFont"/>
    <w:link w:val="IntenseQuote"/>
    <w:uiPriority w:val="30"/>
    <w:rsid w:val="002F1975"/>
    <w:rPr>
      <w:i/>
      <w:iCs/>
      <w:color w:val="9D3511" w:themeColor="accent1" w:themeShade="BF"/>
      <w:lang w:val="en-GB"/>
    </w:rPr>
  </w:style>
  <w:style w:type="character" w:styleId="IntenseReference">
    <w:name w:val="Intense Reference"/>
    <w:basedOn w:val="DefaultParagraphFont"/>
    <w:uiPriority w:val="32"/>
    <w:qFormat/>
    <w:rsid w:val="002F1975"/>
    <w:rPr>
      <w:b/>
      <w:bCs/>
      <w:smallCaps/>
      <w:color w:val="9D3511" w:themeColor="accent1" w:themeShade="BF"/>
      <w:spacing w:val="5"/>
    </w:rPr>
  </w:style>
  <w:style w:type="paragraph" w:styleId="NormalWeb">
    <w:name w:val="Normal (Web)"/>
    <w:basedOn w:val="Normal"/>
    <w:uiPriority w:val="99"/>
    <w:semiHidden/>
    <w:unhideWhenUsed/>
    <w:rsid w:val="007B2C0C"/>
    <w:pPr>
      <w:spacing w:before="100" w:beforeAutospacing="1" w:after="100" w:afterAutospacing="1" w:line="240" w:lineRule="auto"/>
    </w:pPr>
    <w:rPr>
      <w:rFonts w:ascii="Times New Roman" w:eastAsia="Times New Roman" w:hAnsi="Times New Roman" w:cs="Times New Roman"/>
      <w:kern w:val="0"/>
      <w:sz w:val="24"/>
      <w:szCs w:val="24"/>
      <w:lang w:val="bg-BG" w:eastAsia="bg-BG"/>
      <w14:ligatures w14:val="none"/>
    </w:rPr>
  </w:style>
  <w:style w:type="character" w:styleId="Hyperlink">
    <w:name w:val="Hyperlink"/>
    <w:basedOn w:val="DefaultParagraphFont"/>
    <w:uiPriority w:val="99"/>
    <w:unhideWhenUsed/>
    <w:rsid w:val="00E22B22"/>
    <w:rPr>
      <w:color w:val="CC9900" w:themeColor="hyperlink"/>
      <w:u w:val="single"/>
    </w:rPr>
  </w:style>
  <w:style w:type="character" w:styleId="UnresolvedMention">
    <w:name w:val="Unresolved Mention"/>
    <w:basedOn w:val="DefaultParagraphFont"/>
    <w:uiPriority w:val="99"/>
    <w:semiHidden/>
    <w:unhideWhenUsed/>
    <w:rsid w:val="00E22B22"/>
    <w:rPr>
      <w:color w:val="605E5C"/>
      <w:shd w:val="clear" w:color="auto" w:fill="E1DFDD"/>
    </w:rPr>
  </w:style>
  <w:style w:type="paragraph" w:styleId="Header">
    <w:name w:val="header"/>
    <w:basedOn w:val="Normal"/>
    <w:link w:val="HeaderChar"/>
    <w:uiPriority w:val="99"/>
    <w:unhideWhenUsed/>
    <w:rsid w:val="008813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1300"/>
    <w:rPr>
      <w:lang w:val="en-GB"/>
    </w:rPr>
  </w:style>
  <w:style w:type="paragraph" w:styleId="Footer">
    <w:name w:val="footer"/>
    <w:basedOn w:val="Normal"/>
    <w:link w:val="FooterChar"/>
    <w:uiPriority w:val="99"/>
    <w:unhideWhenUsed/>
    <w:rsid w:val="008813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1300"/>
    <w:rPr>
      <w:lang w:val="en-GB"/>
    </w:rPr>
  </w:style>
  <w:style w:type="paragraph" w:styleId="Caption">
    <w:name w:val="caption"/>
    <w:basedOn w:val="Normal"/>
    <w:next w:val="Normal"/>
    <w:uiPriority w:val="35"/>
    <w:unhideWhenUsed/>
    <w:qFormat/>
    <w:rsid w:val="00881300"/>
    <w:pPr>
      <w:spacing w:after="200" w:line="240" w:lineRule="auto"/>
    </w:pPr>
    <w:rPr>
      <w:i/>
      <w:iCs/>
      <w:color w:val="696464" w:themeColor="text2"/>
      <w:sz w:val="18"/>
      <w:szCs w:val="18"/>
    </w:rPr>
  </w:style>
  <w:style w:type="table" w:styleId="TableGrid">
    <w:name w:val="Table Grid"/>
    <w:basedOn w:val="TableNormal"/>
    <w:uiPriority w:val="39"/>
    <w:rsid w:val="00881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4241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36F29"/>
    <w:pPr>
      <w:tabs>
        <w:tab w:val="right" w:leader="dot" w:pos="9350"/>
      </w:tabs>
      <w:spacing w:after="100"/>
    </w:pPr>
  </w:style>
  <w:style w:type="paragraph" w:styleId="TOC3">
    <w:name w:val="toc 3"/>
    <w:basedOn w:val="Normal"/>
    <w:next w:val="Normal"/>
    <w:autoRedefine/>
    <w:uiPriority w:val="39"/>
    <w:unhideWhenUsed/>
    <w:rsid w:val="00836F29"/>
    <w:pPr>
      <w:spacing w:after="100"/>
      <w:ind w:left="440"/>
    </w:pPr>
  </w:style>
  <w:style w:type="paragraph" w:styleId="TOC2">
    <w:name w:val="toc 2"/>
    <w:basedOn w:val="Normal"/>
    <w:next w:val="Normal"/>
    <w:autoRedefine/>
    <w:uiPriority w:val="39"/>
    <w:unhideWhenUsed/>
    <w:rsid w:val="00836F29"/>
    <w:pPr>
      <w:spacing w:after="100"/>
      <w:ind w:left="220"/>
    </w:pPr>
  </w:style>
  <w:style w:type="character" w:styleId="FollowedHyperlink">
    <w:name w:val="FollowedHyperlink"/>
    <w:basedOn w:val="DefaultParagraphFont"/>
    <w:uiPriority w:val="99"/>
    <w:semiHidden/>
    <w:unhideWhenUsed/>
    <w:rsid w:val="00E574D5"/>
    <w:rPr>
      <w:color w:val="96A9A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30065">
      <w:bodyDiv w:val="1"/>
      <w:marLeft w:val="0"/>
      <w:marRight w:val="0"/>
      <w:marTop w:val="0"/>
      <w:marBottom w:val="0"/>
      <w:divBdr>
        <w:top w:val="none" w:sz="0" w:space="0" w:color="auto"/>
        <w:left w:val="none" w:sz="0" w:space="0" w:color="auto"/>
        <w:bottom w:val="none" w:sz="0" w:space="0" w:color="auto"/>
        <w:right w:val="none" w:sz="0" w:space="0" w:color="auto"/>
      </w:divBdr>
    </w:div>
    <w:div w:id="118572006">
      <w:bodyDiv w:val="1"/>
      <w:marLeft w:val="0"/>
      <w:marRight w:val="0"/>
      <w:marTop w:val="0"/>
      <w:marBottom w:val="0"/>
      <w:divBdr>
        <w:top w:val="none" w:sz="0" w:space="0" w:color="auto"/>
        <w:left w:val="none" w:sz="0" w:space="0" w:color="auto"/>
        <w:bottom w:val="none" w:sz="0" w:space="0" w:color="auto"/>
        <w:right w:val="none" w:sz="0" w:space="0" w:color="auto"/>
      </w:divBdr>
    </w:div>
    <w:div w:id="194395536">
      <w:bodyDiv w:val="1"/>
      <w:marLeft w:val="0"/>
      <w:marRight w:val="0"/>
      <w:marTop w:val="0"/>
      <w:marBottom w:val="0"/>
      <w:divBdr>
        <w:top w:val="none" w:sz="0" w:space="0" w:color="auto"/>
        <w:left w:val="none" w:sz="0" w:space="0" w:color="auto"/>
        <w:bottom w:val="none" w:sz="0" w:space="0" w:color="auto"/>
        <w:right w:val="none" w:sz="0" w:space="0" w:color="auto"/>
      </w:divBdr>
    </w:div>
    <w:div w:id="223837730">
      <w:bodyDiv w:val="1"/>
      <w:marLeft w:val="0"/>
      <w:marRight w:val="0"/>
      <w:marTop w:val="0"/>
      <w:marBottom w:val="0"/>
      <w:divBdr>
        <w:top w:val="none" w:sz="0" w:space="0" w:color="auto"/>
        <w:left w:val="none" w:sz="0" w:space="0" w:color="auto"/>
        <w:bottom w:val="none" w:sz="0" w:space="0" w:color="auto"/>
        <w:right w:val="none" w:sz="0" w:space="0" w:color="auto"/>
      </w:divBdr>
    </w:div>
    <w:div w:id="283653855">
      <w:bodyDiv w:val="1"/>
      <w:marLeft w:val="0"/>
      <w:marRight w:val="0"/>
      <w:marTop w:val="0"/>
      <w:marBottom w:val="0"/>
      <w:divBdr>
        <w:top w:val="none" w:sz="0" w:space="0" w:color="auto"/>
        <w:left w:val="none" w:sz="0" w:space="0" w:color="auto"/>
        <w:bottom w:val="none" w:sz="0" w:space="0" w:color="auto"/>
        <w:right w:val="none" w:sz="0" w:space="0" w:color="auto"/>
      </w:divBdr>
    </w:div>
    <w:div w:id="325980937">
      <w:bodyDiv w:val="1"/>
      <w:marLeft w:val="0"/>
      <w:marRight w:val="0"/>
      <w:marTop w:val="0"/>
      <w:marBottom w:val="0"/>
      <w:divBdr>
        <w:top w:val="none" w:sz="0" w:space="0" w:color="auto"/>
        <w:left w:val="none" w:sz="0" w:space="0" w:color="auto"/>
        <w:bottom w:val="none" w:sz="0" w:space="0" w:color="auto"/>
        <w:right w:val="none" w:sz="0" w:space="0" w:color="auto"/>
      </w:divBdr>
    </w:div>
    <w:div w:id="338895903">
      <w:bodyDiv w:val="1"/>
      <w:marLeft w:val="0"/>
      <w:marRight w:val="0"/>
      <w:marTop w:val="0"/>
      <w:marBottom w:val="0"/>
      <w:divBdr>
        <w:top w:val="none" w:sz="0" w:space="0" w:color="auto"/>
        <w:left w:val="none" w:sz="0" w:space="0" w:color="auto"/>
        <w:bottom w:val="none" w:sz="0" w:space="0" w:color="auto"/>
        <w:right w:val="none" w:sz="0" w:space="0" w:color="auto"/>
      </w:divBdr>
    </w:div>
    <w:div w:id="417336257">
      <w:bodyDiv w:val="1"/>
      <w:marLeft w:val="0"/>
      <w:marRight w:val="0"/>
      <w:marTop w:val="0"/>
      <w:marBottom w:val="0"/>
      <w:divBdr>
        <w:top w:val="none" w:sz="0" w:space="0" w:color="auto"/>
        <w:left w:val="none" w:sz="0" w:space="0" w:color="auto"/>
        <w:bottom w:val="none" w:sz="0" w:space="0" w:color="auto"/>
        <w:right w:val="none" w:sz="0" w:space="0" w:color="auto"/>
      </w:divBdr>
      <w:divsChild>
        <w:div w:id="1420173305">
          <w:marLeft w:val="562"/>
          <w:marRight w:val="14"/>
          <w:marTop w:val="180"/>
          <w:marBottom w:val="0"/>
          <w:divBdr>
            <w:top w:val="none" w:sz="0" w:space="0" w:color="auto"/>
            <w:left w:val="none" w:sz="0" w:space="0" w:color="auto"/>
            <w:bottom w:val="none" w:sz="0" w:space="0" w:color="auto"/>
            <w:right w:val="none" w:sz="0" w:space="0" w:color="auto"/>
          </w:divBdr>
        </w:div>
      </w:divsChild>
    </w:div>
    <w:div w:id="478575284">
      <w:bodyDiv w:val="1"/>
      <w:marLeft w:val="0"/>
      <w:marRight w:val="0"/>
      <w:marTop w:val="0"/>
      <w:marBottom w:val="0"/>
      <w:divBdr>
        <w:top w:val="none" w:sz="0" w:space="0" w:color="auto"/>
        <w:left w:val="none" w:sz="0" w:space="0" w:color="auto"/>
        <w:bottom w:val="none" w:sz="0" w:space="0" w:color="auto"/>
        <w:right w:val="none" w:sz="0" w:space="0" w:color="auto"/>
      </w:divBdr>
      <w:divsChild>
        <w:div w:id="1711957075">
          <w:marLeft w:val="0"/>
          <w:marRight w:val="0"/>
          <w:marTop w:val="0"/>
          <w:marBottom w:val="0"/>
          <w:divBdr>
            <w:top w:val="none" w:sz="0" w:space="0" w:color="auto"/>
            <w:left w:val="none" w:sz="0" w:space="0" w:color="auto"/>
            <w:bottom w:val="none" w:sz="0" w:space="0" w:color="auto"/>
            <w:right w:val="none" w:sz="0" w:space="0" w:color="auto"/>
          </w:divBdr>
        </w:div>
        <w:div w:id="1993411425">
          <w:marLeft w:val="0"/>
          <w:marRight w:val="0"/>
          <w:marTop w:val="0"/>
          <w:marBottom w:val="0"/>
          <w:divBdr>
            <w:top w:val="none" w:sz="0" w:space="0" w:color="auto"/>
            <w:left w:val="none" w:sz="0" w:space="0" w:color="auto"/>
            <w:bottom w:val="none" w:sz="0" w:space="0" w:color="auto"/>
            <w:right w:val="none" w:sz="0" w:space="0" w:color="auto"/>
          </w:divBdr>
        </w:div>
      </w:divsChild>
    </w:div>
    <w:div w:id="541014970">
      <w:bodyDiv w:val="1"/>
      <w:marLeft w:val="0"/>
      <w:marRight w:val="0"/>
      <w:marTop w:val="0"/>
      <w:marBottom w:val="0"/>
      <w:divBdr>
        <w:top w:val="none" w:sz="0" w:space="0" w:color="auto"/>
        <w:left w:val="none" w:sz="0" w:space="0" w:color="auto"/>
        <w:bottom w:val="none" w:sz="0" w:space="0" w:color="auto"/>
        <w:right w:val="none" w:sz="0" w:space="0" w:color="auto"/>
      </w:divBdr>
    </w:div>
    <w:div w:id="559707352">
      <w:bodyDiv w:val="1"/>
      <w:marLeft w:val="0"/>
      <w:marRight w:val="0"/>
      <w:marTop w:val="0"/>
      <w:marBottom w:val="0"/>
      <w:divBdr>
        <w:top w:val="none" w:sz="0" w:space="0" w:color="auto"/>
        <w:left w:val="none" w:sz="0" w:space="0" w:color="auto"/>
        <w:bottom w:val="none" w:sz="0" w:space="0" w:color="auto"/>
        <w:right w:val="none" w:sz="0" w:space="0" w:color="auto"/>
      </w:divBdr>
      <w:divsChild>
        <w:div w:id="1619289793">
          <w:marLeft w:val="562"/>
          <w:marRight w:val="706"/>
          <w:marTop w:val="180"/>
          <w:marBottom w:val="0"/>
          <w:divBdr>
            <w:top w:val="none" w:sz="0" w:space="0" w:color="auto"/>
            <w:left w:val="none" w:sz="0" w:space="0" w:color="auto"/>
            <w:bottom w:val="none" w:sz="0" w:space="0" w:color="auto"/>
            <w:right w:val="none" w:sz="0" w:space="0" w:color="auto"/>
          </w:divBdr>
        </w:div>
      </w:divsChild>
    </w:div>
    <w:div w:id="587693927">
      <w:bodyDiv w:val="1"/>
      <w:marLeft w:val="0"/>
      <w:marRight w:val="0"/>
      <w:marTop w:val="0"/>
      <w:marBottom w:val="0"/>
      <w:divBdr>
        <w:top w:val="none" w:sz="0" w:space="0" w:color="auto"/>
        <w:left w:val="none" w:sz="0" w:space="0" w:color="auto"/>
        <w:bottom w:val="none" w:sz="0" w:space="0" w:color="auto"/>
        <w:right w:val="none" w:sz="0" w:space="0" w:color="auto"/>
      </w:divBdr>
    </w:div>
    <w:div w:id="683482952">
      <w:bodyDiv w:val="1"/>
      <w:marLeft w:val="0"/>
      <w:marRight w:val="0"/>
      <w:marTop w:val="0"/>
      <w:marBottom w:val="0"/>
      <w:divBdr>
        <w:top w:val="none" w:sz="0" w:space="0" w:color="auto"/>
        <w:left w:val="none" w:sz="0" w:space="0" w:color="auto"/>
        <w:bottom w:val="none" w:sz="0" w:space="0" w:color="auto"/>
        <w:right w:val="none" w:sz="0" w:space="0" w:color="auto"/>
      </w:divBdr>
    </w:div>
    <w:div w:id="703751003">
      <w:bodyDiv w:val="1"/>
      <w:marLeft w:val="0"/>
      <w:marRight w:val="0"/>
      <w:marTop w:val="0"/>
      <w:marBottom w:val="0"/>
      <w:divBdr>
        <w:top w:val="none" w:sz="0" w:space="0" w:color="auto"/>
        <w:left w:val="none" w:sz="0" w:space="0" w:color="auto"/>
        <w:bottom w:val="none" w:sz="0" w:space="0" w:color="auto"/>
        <w:right w:val="none" w:sz="0" w:space="0" w:color="auto"/>
      </w:divBdr>
    </w:div>
    <w:div w:id="710347372">
      <w:bodyDiv w:val="1"/>
      <w:marLeft w:val="0"/>
      <w:marRight w:val="0"/>
      <w:marTop w:val="0"/>
      <w:marBottom w:val="0"/>
      <w:divBdr>
        <w:top w:val="none" w:sz="0" w:space="0" w:color="auto"/>
        <w:left w:val="none" w:sz="0" w:space="0" w:color="auto"/>
        <w:bottom w:val="none" w:sz="0" w:space="0" w:color="auto"/>
        <w:right w:val="none" w:sz="0" w:space="0" w:color="auto"/>
      </w:divBdr>
    </w:div>
    <w:div w:id="733504797">
      <w:bodyDiv w:val="1"/>
      <w:marLeft w:val="0"/>
      <w:marRight w:val="0"/>
      <w:marTop w:val="0"/>
      <w:marBottom w:val="0"/>
      <w:divBdr>
        <w:top w:val="none" w:sz="0" w:space="0" w:color="auto"/>
        <w:left w:val="none" w:sz="0" w:space="0" w:color="auto"/>
        <w:bottom w:val="none" w:sz="0" w:space="0" w:color="auto"/>
        <w:right w:val="none" w:sz="0" w:space="0" w:color="auto"/>
      </w:divBdr>
    </w:div>
    <w:div w:id="755903749">
      <w:bodyDiv w:val="1"/>
      <w:marLeft w:val="0"/>
      <w:marRight w:val="0"/>
      <w:marTop w:val="0"/>
      <w:marBottom w:val="0"/>
      <w:divBdr>
        <w:top w:val="none" w:sz="0" w:space="0" w:color="auto"/>
        <w:left w:val="none" w:sz="0" w:space="0" w:color="auto"/>
        <w:bottom w:val="none" w:sz="0" w:space="0" w:color="auto"/>
        <w:right w:val="none" w:sz="0" w:space="0" w:color="auto"/>
      </w:divBdr>
    </w:div>
    <w:div w:id="768966337">
      <w:bodyDiv w:val="1"/>
      <w:marLeft w:val="0"/>
      <w:marRight w:val="0"/>
      <w:marTop w:val="0"/>
      <w:marBottom w:val="0"/>
      <w:divBdr>
        <w:top w:val="none" w:sz="0" w:space="0" w:color="auto"/>
        <w:left w:val="none" w:sz="0" w:space="0" w:color="auto"/>
        <w:bottom w:val="none" w:sz="0" w:space="0" w:color="auto"/>
        <w:right w:val="none" w:sz="0" w:space="0" w:color="auto"/>
      </w:divBdr>
    </w:div>
    <w:div w:id="986394294">
      <w:bodyDiv w:val="1"/>
      <w:marLeft w:val="0"/>
      <w:marRight w:val="0"/>
      <w:marTop w:val="0"/>
      <w:marBottom w:val="0"/>
      <w:divBdr>
        <w:top w:val="none" w:sz="0" w:space="0" w:color="auto"/>
        <w:left w:val="none" w:sz="0" w:space="0" w:color="auto"/>
        <w:bottom w:val="none" w:sz="0" w:space="0" w:color="auto"/>
        <w:right w:val="none" w:sz="0" w:space="0" w:color="auto"/>
      </w:divBdr>
    </w:div>
    <w:div w:id="1053188430">
      <w:bodyDiv w:val="1"/>
      <w:marLeft w:val="0"/>
      <w:marRight w:val="0"/>
      <w:marTop w:val="0"/>
      <w:marBottom w:val="0"/>
      <w:divBdr>
        <w:top w:val="none" w:sz="0" w:space="0" w:color="auto"/>
        <w:left w:val="none" w:sz="0" w:space="0" w:color="auto"/>
        <w:bottom w:val="none" w:sz="0" w:space="0" w:color="auto"/>
        <w:right w:val="none" w:sz="0" w:space="0" w:color="auto"/>
      </w:divBdr>
    </w:div>
    <w:div w:id="1097672413">
      <w:bodyDiv w:val="1"/>
      <w:marLeft w:val="0"/>
      <w:marRight w:val="0"/>
      <w:marTop w:val="0"/>
      <w:marBottom w:val="0"/>
      <w:divBdr>
        <w:top w:val="none" w:sz="0" w:space="0" w:color="auto"/>
        <w:left w:val="none" w:sz="0" w:space="0" w:color="auto"/>
        <w:bottom w:val="none" w:sz="0" w:space="0" w:color="auto"/>
        <w:right w:val="none" w:sz="0" w:space="0" w:color="auto"/>
      </w:divBdr>
    </w:div>
    <w:div w:id="1127964259">
      <w:bodyDiv w:val="1"/>
      <w:marLeft w:val="0"/>
      <w:marRight w:val="0"/>
      <w:marTop w:val="0"/>
      <w:marBottom w:val="0"/>
      <w:divBdr>
        <w:top w:val="none" w:sz="0" w:space="0" w:color="auto"/>
        <w:left w:val="none" w:sz="0" w:space="0" w:color="auto"/>
        <w:bottom w:val="none" w:sz="0" w:space="0" w:color="auto"/>
        <w:right w:val="none" w:sz="0" w:space="0" w:color="auto"/>
      </w:divBdr>
    </w:div>
    <w:div w:id="1210189780">
      <w:bodyDiv w:val="1"/>
      <w:marLeft w:val="0"/>
      <w:marRight w:val="0"/>
      <w:marTop w:val="0"/>
      <w:marBottom w:val="0"/>
      <w:divBdr>
        <w:top w:val="none" w:sz="0" w:space="0" w:color="auto"/>
        <w:left w:val="none" w:sz="0" w:space="0" w:color="auto"/>
        <w:bottom w:val="none" w:sz="0" w:space="0" w:color="auto"/>
        <w:right w:val="none" w:sz="0" w:space="0" w:color="auto"/>
      </w:divBdr>
    </w:div>
    <w:div w:id="1215502692">
      <w:bodyDiv w:val="1"/>
      <w:marLeft w:val="0"/>
      <w:marRight w:val="0"/>
      <w:marTop w:val="0"/>
      <w:marBottom w:val="0"/>
      <w:divBdr>
        <w:top w:val="none" w:sz="0" w:space="0" w:color="auto"/>
        <w:left w:val="none" w:sz="0" w:space="0" w:color="auto"/>
        <w:bottom w:val="none" w:sz="0" w:space="0" w:color="auto"/>
        <w:right w:val="none" w:sz="0" w:space="0" w:color="auto"/>
      </w:divBdr>
      <w:divsChild>
        <w:div w:id="105783555">
          <w:marLeft w:val="562"/>
          <w:marRight w:val="835"/>
          <w:marTop w:val="180"/>
          <w:marBottom w:val="0"/>
          <w:divBdr>
            <w:top w:val="none" w:sz="0" w:space="0" w:color="auto"/>
            <w:left w:val="none" w:sz="0" w:space="0" w:color="auto"/>
            <w:bottom w:val="none" w:sz="0" w:space="0" w:color="auto"/>
            <w:right w:val="none" w:sz="0" w:space="0" w:color="auto"/>
          </w:divBdr>
        </w:div>
        <w:div w:id="497623615">
          <w:marLeft w:val="562"/>
          <w:marRight w:val="1123"/>
          <w:marTop w:val="180"/>
          <w:marBottom w:val="0"/>
          <w:divBdr>
            <w:top w:val="none" w:sz="0" w:space="0" w:color="auto"/>
            <w:left w:val="none" w:sz="0" w:space="0" w:color="auto"/>
            <w:bottom w:val="none" w:sz="0" w:space="0" w:color="auto"/>
            <w:right w:val="none" w:sz="0" w:space="0" w:color="auto"/>
          </w:divBdr>
        </w:div>
        <w:div w:id="571044713">
          <w:marLeft w:val="562"/>
          <w:marRight w:val="706"/>
          <w:marTop w:val="180"/>
          <w:marBottom w:val="0"/>
          <w:divBdr>
            <w:top w:val="none" w:sz="0" w:space="0" w:color="auto"/>
            <w:left w:val="none" w:sz="0" w:space="0" w:color="auto"/>
            <w:bottom w:val="none" w:sz="0" w:space="0" w:color="auto"/>
            <w:right w:val="none" w:sz="0" w:space="0" w:color="auto"/>
          </w:divBdr>
        </w:div>
        <w:div w:id="1022122872">
          <w:marLeft w:val="562"/>
          <w:marRight w:val="245"/>
          <w:marTop w:val="180"/>
          <w:marBottom w:val="0"/>
          <w:divBdr>
            <w:top w:val="none" w:sz="0" w:space="0" w:color="auto"/>
            <w:left w:val="none" w:sz="0" w:space="0" w:color="auto"/>
            <w:bottom w:val="none" w:sz="0" w:space="0" w:color="auto"/>
            <w:right w:val="none" w:sz="0" w:space="0" w:color="auto"/>
          </w:divBdr>
        </w:div>
        <w:div w:id="1589734498">
          <w:marLeft w:val="562"/>
          <w:marRight w:val="1915"/>
          <w:marTop w:val="180"/>
          <w:marBottom w:val="0"/>
          <w:divBdr>
            <w:top w:val="none" w:sz="0" w:space="0" w:color="auto"/>
            <w:left w:val="none" w:sz="0" w:space="0" w:color="auto"/>
            <w:bottom w:val="none" w:sz="0" w:space="0" w:color="auto"/>
            <w:right w:val="none" w:sz="0" w:space="0" w:color="auto"/>
          </w:divBdr>
        </w:div>
        <w:div w:id="1611206304">
          <w:marLeft w:val="562"/>
          <w:marRight w:val="0"/>
          <w:marTop w:val="200"/>
          <w:marBottom w:val="0"/>
          <w:divBdr>
            <w:top w:val="none" w:sz="0" w:space="0" w:color="auto"/>
            <w:left w:val="none" w:sz="0" w:space="0" w:color="auto"/>
            <w:bottom w:val="none" w:sz="0" w:space="0" w:color="auto"/>
            <w:right w:val="none" w:sz="0" w:space="0" w:color="auto"/>
          </w:divBdr>
        </w:div>
        <w:div w:id="2070423496">
          <w:marLeft w:val="562"/>
          <w:marRight w:val="14"/>
          <w:marTop w:val="180"/>
          <w:marBottom w:val="0"/>
          <w:divBdr>
            <w:top w:val="none" w:sz="0" w:space="0" w:color="auto"/>
            <w:left w:val="none" w:sz="0" w:space="0" w:color="auto"/>
            <w:bottom w:val="none" w:sz="0" w:space="0" w:color="auto"/>
            <w:right w:val="none" w:sz="0" w:space="0" w:color="auto"/>
          </w:divBdr>
        </w:div>
      </w:divsChild>
    </w:div>
    <w:div w:id="1296452431">
      <w:bodyDiv w:val="1"/>
      <w:marLeft w:val="0"/>
      <w:marRight w:val="0"/>
      <w:marTop w:val="0"/>
      <w:marBottom w:val="0"/>
      <w:divBdr>
        <w:top w:val="none" w:sz="0" w:space="0" w:color="auto"/>
        <w:left w:val="none" w:sz="0" w:space="0" w:color="auto"/>
        <w:bottom w:val="none" w:sz="0" w:space="0" w:color="auto"/>
        <w:right w:val="none" w:sz="0" w:space="0" w:color="auto"/>
      </w:divBdr>
      <w:divsChild>
        <w:div w:id="2139255318">
          <w:marLeft w:val="533"/>
          <w:marRight w:val="0"/>
          <w:marTop w:val="60"/>
          <w:marBottom w:val="0"/>
          <w:divBdr>
            <w:top w:val="none" w:sz="0" w:space="0" w:color="auto"/>
            <w:left w:val="none" w:sz="0" w:space="0" w:color="auto"/>
            <w:bottom w:val="none" w:sz="0" w:space="0" w:color="auto"/>
            <w:right w:val="none" w:sz="0" w:space="0" w:color="auto"/>
          </w:divBdr>
        </w:div>
      </w:divsChild>
    </w:div>
    <w:div w:id="1332217242">
      <w:bodyDiv w:val="1"/>
      <w:marLeft w:val="0"/>
      <w:marRight w:val="0"/>
      <w:marTop w:val="0"/>
      <w:marBottom w:val="0"/>
      <w:divBdr>
        <w:top w:val="none" w:sz="0" w:space="0" w:color="auto"/>
        <w:left w:val="none" w:sz="0" w:space="0" w:color="auto"/>
        <w:bottom w:val="none" w:sz="0" w:space="0" w:color="auto"/>
        <w:right w:val="none" w:sz="0" w:space="0" w:color="auto"/>
      </w:divBdr>
      <w:divsChild>
        <w:div w:id="1720588821">
          <w:marLeft w:val="0"/>
          <w:marRight w:val="0"/>
          <w:marTop w:val="0"/>
          <w:marBottom w:val="0"/>
          <w:divBdr>
            <w:top w:val="none" w:sz="0" w:space="0" w:color="auto"/>
            <w:left w:val="none" w:sz="0" w:space="0" w:color="auto"/>
            <w:bottom w:val="none" w:sz="0" w:space="0" w:color="auto"/>
            <w:right w:val="none" w:sz="0" w:space="0" w:color="auto"/>
          </w:divBdr>
          <w:divsChild>
            <w:div w:id="2109156601">
              <w:marLeft w:val="0"/>
              <w:marRight w:val="0"/>
              <w:marTop w:val="0"/>
              <w:marBottom w:val="0"/>
              <w:divBdr>
                <w:top w:val="none" w:sz="0" w:space="0" w:color="auto"/>
                <w:left w:val="none" w:sz="0" w:space="0" w:color="auto"/>
                <w:bottom w:val="none" w:sz="0" w:space="0" w:color="auto"/>
                <w:right w:val="none" w:sz="0" w:space="0" w:color="auto"/>
              </w:divBdr>
              <w:divsChild>
                <w:div w:id="84721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142559">
          <w:marLeft w:val="0"/>
          <w:marRight w:val="0"/>
          <w:marTop w:val="0"/>
          <w:marBottom w:val="0"/>
          <w:divBdr>
            <w:top w:val="none" w:sz="0" w:space="0" w:color="auto"/>
            <w:left w:val="none" w:sz="0" w:space="0" w:color="auto"/>
            <w:bottom w:val="none" w:sz="0" w:space="0" w:color="auto"/>
            <w:right w:val="none" w:sz="0" w:space="0" w:color="auto"/>
          </w:divBdr>
          <w:divsChild>
            <w:div w:id="2101100428">
              <w:marLeft w:val="0"/>
              <w:marRight w:val="0"/>
              <w:marTop w:val="0"/>
              <w:marBottom w:val="0"/>
              <w:divBdr>
                <w:top w:val="none" w:sz="0" w:space="0" w:color="auto"/>
                <w:left w:val="none" w:sz="0" w:space="0" w:color="auto"/>
                <w:bottom w:val="none" w:sz="0" w:space="0" w:color="auto"/>
                <w:right w:val="none" w:sz="0" w:space="0" w:color="auto"/>
              </w:divBdr>
              <w:divsChild>
                <w:div w:id="78087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879212">
      <w:bodyDiv w:val="1"/>
      <w:marLeft w:val="0"/>
      <w:marRight w:val="0"/>
      <w:marTop w:val="0"/>
      <w:marBottom w:val="0"/>
      <w:divBdr>
        <w:top w:val="none" w:sz="0" w:space="0" w:color="auto"/>
        <w:left w:val="none" w:sz="0" w:space="0" w:color="auto"/>
        <w:bottom w:val="none" w:sz="0" w:space="0" w:color="auto"/>
        <w:right w:val="none" w:sz="0" w:space="0" w:color="auto"/>
      </w:divBdr>
    </w:div>
    <w:div w:id="1348673282">
      <w:bodyDiv w:val="1"/>
      <w:marLeft w:val="0"/>
      <w:marRight w:val="0"/>
      <w:marTop w:val="0"/>
      <w:marBottom w:val="0"/>
      <w:divBdr>
        <w:top w:val="none" w:sz="0" w:space="0" w:color="auto"/>
        <w:left w:val="none" w:sz="0" w:space="0" w:color="auto"/>
        <w:bottom w:val="none" w:sz="0" w:space="0" w:color="auto"/>
        <w:right w:val="none" w:sz="0" w:space="0" w:color="auto"/>
      </w:divBdr>
    </w:div>
    <w:div w:id="1393574571">
      <w:bodyDiv w:val="1"/>
      <w:marLeft w:val="0"/>
      <w:marRight w:val="0"/>
      <w:marTop w:val="0"/>
      <w:marBottom w:val="0"/>
      <w:divBdr>
        <w:top w:val="none" w:sz="0" w:space="0" w:color="auto"/>
        <w:left w:val="none" w:sz="0" w:space="0" w:color="auto"/>
        <w:bottom w:val="none" w:sz="0" w:space="0" w:color="auto"/>
        <w:right w:val="none" w:sz="0" w:space="0" w:color="auto"/>
      </w:divBdr>
    </w:div>
    <w:div w:id="1424914478">
      <w:bodyDiv w:val="1"/>
      <w:marLeft w:val="0"/>
      <w:marRight w:val="0"/>
      <w:marTop w:val="0"/>
      <w:marBottom w:val="0"/>
      <w:divBdr>
        <w:top w:val="none" w:sz="0" w:space="0" w:color="auto"/>
        <w:left w:val="none" w:sz="0" w:space="0" w:color="auto"/>
        <w:bottom w:val="none" w:sz="0" w:space="0" w:color="auto"/>
        <w:right w:val="none" w:sz="0" w:space="0" w:color="auto"/>
      </w:divBdr>
      <w:divsChild>
        <w:div w:id="750736090">
          <w:marLeft w:val="0"/>
          <w:marRight w:val="0"/>
          <w:marTop w:val="0"/>
          <w:marBottom w:val="0"/>
          <w:divBdr>
            <w:top w:val="none" w:sz="0" w:space="0" w:color="auto"/>
            <w:left w:val="none" w:sz="0" w:space="0" w:color="auto"/>
            <w:bottom w:val="none" w:sz="0" w:space="0" w:color="auto"/>
            <w:right w:val="none" w:sz="0" w:space="0" w:color="auto"/>
          </w:divBdr>
          <w:divsChild>
            <w:div w:id="1202592117">
              <w:marLeft w:val="0"/>
              <w:marRight w:val="0"/>
              <w:marTop w:val="0"/>
              <w:marBottom w:val="0"/>
              <w:divBdr>
                <w:top w:val="none" w:sz="0" w:space="0" w:color="auto"/>
                <w:left w:val="none" w:sz="0" w:space="0" w:color="auto"/>
                <w:bottom w:val="none" w:sz="0" w:space="0" w:color="auto"/>
                <w:right w:val="none" w:sz="0" w:space="0" w:color="auto"/>
              </w:divBdr>
              <w:divsChild>
                <w:div w:id="435950368">
                  <w:marLeft w:val="0"/>
                  <w:marRight w:val="0"/>
                  <w:marTop w:val="0"/>
                  <w:marBottom w:val="0"/>
                  <w:divBdr>
                    <w:top w:val="none" w:sz="0" w:space="0" w:color="auto"/>
                    <w:left w:val="none" w:sz="0" w:space="0" w:color="auto"/>
                    <w:bottom w:val="none" w:sz="0" w:space="0" w:color="auto"/>
                    <w:right w:val="none" w:sz="0" w:space="0" w:color="auto"/>
                  </w:divBdr>
                  <w:divsChild>
                    <w:div w:id="13939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524003">
          <w:marLeft w:val="0"/>
          <w:marRight w:val="0"/>
          <w:marTop w:val="0"/>
          <w:marBottom w:val="0"/>
          <w:divBdr>
            <w:top w:val="none" w:sz="0" w:space="0" w:color="auto"/>
            <w:left w:val="none" w:sz="0" w:space="0" w:color="auto"/>
            <w:bottom w:val="none" w:sz="0" w:space="0" w:color="auto"/>
            <w:right w:val="none" w:sz="0" w:space="0" w:color="auto"/>
          </w:divBdr>
          <w:divsChild>
            <w:div w:id="9770064">
              <w:marLeft w:val="0"/>
              <w:marRight w:val="0"/>
              <w:marTop w:val="0"/>
              <w:marBottom w:val="0"/>
              <w:divBdr>
                <w:top w:val="none" w:sz="0" w:space="0" w:color="auto"/>
                <w:left w:val="none" w:sz="0" w:space="0" w:color="auto"/>
                <w:bottom w:val="none" w:sz="0" w:space="0" w:color="auto"/>
                <w:right w:val="none" w:sz="0" w:space="0" w:color="auto"/>
              </w:divBdr>
              <w:divsChild>
                <w:div w:id="199905966">
                  <w:marLeft w:val="0"/>
                  <w:marRight w:val="0"/>
                  <w:marTop w:val="0"/>
                  <w:marBottom w:val="0"/>
                  <w:divBdr>
                    <w:top w:val="none" w:sz="0" w:space="0" w:color="auto"/>
                    <w:left w:val="none" w:sz="0" w:space="0" w:color="auto"/>
                    <w:bottom w:val="none" w:sz="0" w:space="0" w:color="auto"/>
                    <w:right w:val="none" w:sz="0" w:space="0" w:color="auto"/>
                  </w:divBdr>
                  <w:divsChild>
                    <w:div w:id="20391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762209">
      <w:bodyDiv w:val="1"/>
      <w:marLeft w:val="0"/>
      <w:marRight w:val="0"/>
      <w:marTop w:val="0"/>
      <w:marBottom w:val="0"/>
      <w:divBdr>
        <w:top w:val="none" w:sz="0" w:space="0" w:color="auto"/>
        <w:left w:val="none" w:sz="0" w:space="0" w:color="auto"/>
        <w:bottom w:val="none" w:sz="0" w:space="0" w:color="auto"/>
        <w:right w:val="none" w:sz="0" w:space="0" w:color="auto"/>
      </w:divBdr>
    </w:div>
    <w:div w:id="1454059151">
      <w:bodyDiv w:val="1"/>
      <w:marLeft w:val="0"/>
      <w:marRight w:val="0"/>
      <w:marTop w:val="0"/>
      <w:marBottom w:val="0"/>
      <w:divBdr>
        <w:top w:val="none" w:sz="0" w:space="0" w:color="auto"/>
        <w:left w:val="none" w:sz="0" w:space="0" w:color="auto"/>
        <w:bottom w:val="none" w:sz="0" w:space="0" w:color="auto"/>
        <w:right w:val="none" w:sz="0" w:space="0" w:color="auto"/>
      </w:divBdr>
    </w:div>
    <w:div w:id="1523321707">
      <w:bodyDiv w:val="1"/>
      <w:marLeft w:val="0"/>
      <w:marRight w:val="0"/>
      <w:marTop w:val="0"/>
      <w:marBottom w:val="0"/>
      <w:divBdr>
        <w:top w:val="none" w:sz="0" w:space="0" w:color="auto"/>
        <w:left w:val="none" w:sz="0" w:space="0" w:color="auto"/>
        <w:bottom w:val="none" w:sz="0" w:space="0" w:color="auto"/>
        <w:right w:val="none" w:sz="0" w:space="0" w:color="auto"/>
      </w:divBdr>
      <w:divsChild>
        <w:div w:id="942616304">
          <w:marLeft w:val="0"/>
          <w:marRight w:val="0"/>
          <w:marTop w:val="0"/>
          <w:marBottom w:val="0"/>
          <w:divBdr>
            <w:top w:val="none" w:sz="0" w:space="0" w:color="auto"/>
            <w:left w:val="none" w:sz="0" w:space="0" w:color="auto"/>
            <w:bottom w:val="none" w:sz="0" w:space="0" w:color="auto"/>
            <w:right w:val="none" w:sz="0" w:space="0" w:color="auto"/>
          </w:divBdr>
          <w:divsChild>
            <w:div w:id="113906941">
              <w:marLeft w:val="0"/>
              <w:marRight w:val="0"/>
              <w:marTop w:val="0"/>
              <w:marBottom w:val="0"/>
              <w:divBdr>
                <w:top w:val="none" w:sz="0" w:space="0" w:color="auto"/>
                <w:left w:val="none" w:sz="0" w:space="0" w:color="auto"/>
                <w:bottom w:val="none" w:sz="0" w:space="0" w:color="auto"/>
                <w:right w:val="none" w:sz="0" w:space="0" w:color="auto"/>
              </w:divBdr>
              <w:divsChild>
                <w:div w:id="93756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445934">
          <w:marLeft w:val="0"/>
          <w:marRight w:val="0"/>
          <w:marTop w:val="0"/>
          <w:marBottom w:val="0"/>
          <w:divBdr>
            <w:top w:val="none" w:sz="0" w:space="0" w:color="auto"/>
            <w:left w:val="none" w:sz="0" w:space="0" w:color="auto"/>
            <w:bottom w:val="none" w:sz="0" w:space="0" w:color="auto"/>
            <w:right w:val="none" w:sz="0" w:space="0" w:color="auto"/>
          </w:divBdr>
          <w:divsChild>
            <w:div w:id="1393432657">
              <w:marLeft w:val="0"/>
              <w:marRight w:val="0"/>
              <w:marTop w:val="0"/>
              <w:marBottom w:val="0"/>
              <w:divBdr>
                <w:top w:val="none" w:sz="0" w:space="0" w:color="auto"/>
                <w:left w:val="none" w:sz="0" w:space="0" w:color="auto"/>
                <w:bottom w:val="none" w:sz="0" w:space="0" w:color="auto"/>
                <w:right w:val="none" w:sz="0" w:space="0" w:color="auto"/>
              </w:divBdr>
              <w:divsChild>
                <w:div w:id="135923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822654">
      <w:bodyDiv w:val="1"/>
      <w:marLeft w:val="0"/>
      <w:marRight w:val="0"/>
      <w:marTop w:val="0"/>
      <w:marBottom w:val="0"/>
      <w:divBdr>
        <w:top w:val="none" w:sz="0" w:space="0" w:color="auto"/>
        <w:left w:val="none" w:sz="0" w:space="0" w:color="auto"/>
        <w:bottom w:val="none" w:sz="0" w:space="0" w:color="auto"/>
        <w:right w:val="none" w:sz="0" w:space="0" w:color="auto"/>
      </w:divBdr>
    </w:div>
    <w:div w:id="1683122475">
      <w:bodyDiv w:val="1"/>
      <w:marLeft w:val="0"/>
      <w:marRight w:val="0"/>
      <w:marTop w:val="0"/>
      <w:marBottom w:val="0"/>
      <w:divBdr>
        <w:top w:val="none" w:sz="0" w:space="0" w:color="auto"/>
        <w:left w:val="none" w:sz="0" w:space="0" w:color="auto"/>
        <w:bottom w:val="none" w:sz="0" w:space="0" w:color="auto"/>
        <w:right w:val="none" w:sz="0" w:space="0" w:color="auto"/>
      </w:divBdr>
      <w:divsChild>
        <w:div w:id="901062534">
          <w:marLeft w:val="0"/>
          <w:marRight w:val="0"/>
          <w:marTop w:val="0"/>
          <w:marBottom w:val="0"/>
          <w:divBdr>
            <w:top w:val="none" w:sz="0" w:space="0" w:color="auto"/>
            <w:left w:val="none" w:sz="0" w:space="0" w:color="auto"/>
            <w:bottom w:val="none" w:sz="0" w:space="0" w:color="auto"/>
            <w:right w:val="none" w:sz="0" w:space="0" w:color="auto"/>
          </w:divBdr>
          <w:divsChild>
            <w:div w:id="1346901472">
              <w:marLeft w:val="0"/>
              <w:marRight w:val="0"/>
              <w:marTop w:val="0"/>
              <w:marBottom w:val="0"/>
              <w:divBdr>
                <w:top w:val="none" w:sz="0" w:space="0" w:color="auto"/>
                <w:left w:val="none" w:sz="0" w:space="0" w:color="auto"/>
                <w:bottom w:val="none" w:sz="0" w:space="0" w:color="auto"/>
                <w:right w:val="none" w:sz="0" w:space="0" w:color="auto"/>
              </w:divBdr>
              <w:divsChild>
                <w:div w:id="1322735758">
                  <w:marLeft w:val="0"/>
                  <w:marRight w:val="0"/>
                  <w:marTop w:val="0"/>
                  <w:marBottom w:val="0"/>
                  <w:divBdr>
                    <w:top w:val="none" w:sz="0" w:space="0" w:color="auto"/>
                    <w:left w:val="none" w:sz="0" w:space="0" w:color="auto"/>
                    <w:bottom w:val="none" w:sz="0" w:space="0" w:color="auto"/>
                    <w:right w:val="none" w:sz="0" w:space="0" w:color="auto"/>
                  </w:divBdr>
                  <w:divsChild>
                    <w:div w:id="124414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502772">
          <w:marLeft w:val="0"/>
          <w:marRight w:val="0"/>
          <w:marTop w:val="0"/>
          <w:marBottom w:val="0"/>
          <w:divBdr>
            <w:top w:val="none" w:sz="0" w:space="0" w:color="auto"/>
            <w:left w:val="none" w:sz="0" w:space="0" w:color="auto"/>
            <w:bottom w:val="none" w:sz="0" w:space="0" w:color="auto"/>
            <w:right w:val="none" w:sz="0" w:space="0" w:color="auto"/>
          </w:divBdr>
          <w:divsChild>
            <w:div w:id="681055162">
              <w:marLeft w:val="0"/>
              <w:marRight w:val="0"/>
              <w:marTop w:val="0"/>
              <w:marBottom w:val="0"/>
              <w:divBdr>
                <w:top w:val="none" w:sz="0" w:space="0" w:color="auto"/>
                <w:left w:val="none" w:sz="0" w:space="0" w:color="auto"/>
                <w:bottom w:val="none" w:sz="0" w:space="0" w:color="auto"/>
                <w:right w:val="none" w:sz="0" w:space="0" w:color="auto"/>
              </w:divBdr>
              <w:divsChild>
                <w:div w:id="1595239809">
                  <w:marLeft w:val="0"/>
                  <w:marRight w:val="0"/>
                  <w:marTop w:val="0"/>
                  <w:marBottom w:val="0"/>
                  <w:divBdr>
                    <w:top w:val="none" w:sz="0" w:space="0" w:color="auto"/>
                    <w:left w:val="none" w:sz="0" w:space="0" w:color="auto"/>
                    <w:bottom w:val="none" w:sz="0" w:space="0" w:color="auto"/>
                    <w:right w:val="none" w:sz="0" w:space="0" w:color="auto"/>
                  </w:divBdr>
                  <w:divsChild>
                    <w:div w:id="41078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264845">
      <w:bodyDiv w:val="1"/>
      <w:marLeft w:val="0"/>
      <w:marRight w:val="0"/>
      <w:marTop w:val="0"/>
      <w:marBottom w:val="0"/>
      <w:divBdr>
        <w:top w:val="none" w:sz="0" w:space="0" w:color="auto"/>
        <w:left w:val="none" w:sz="0" w:space="0" w:color="auto"/>
        <w:bottom w:val="none" w:sz="0" w:space="0" w:color="auto"/>
        <w:right w:val="none" w:sz="0" w:space="0" w:color="auto"/>
      </w:divBdr>
    </w:div>
    <w:div w:id="1743480413">
      <w:bodyDiv w:val="1"/>
      <w:marLeft w:val="0"/>
      <w:marRight w:val="0"/>
      <w:marTop w:val="0"/>
      <w:marBottom w:val="0"/>
      <w:divBdr>
        <w:top w:val="none" w:sz="0" w:space="0" w:color="auto"/>
        <w:left w:val="none" w:sz="0" w:space="0" w:color="auto"/>
        <w:bottom w:val="none" w:sz="0" w:space="0" w:color="auto"/>
        <w:right w:val="none" w:sz="0" w:space="0" w:color="auto"/>
      </w:divBdr>
      <w:divsChild>
        <w:div w:id="627132016">
          <w:marLeft w:val="360"/>
          <w:marRight w:val="0"/>
          <w:marTop w:val="200"/>
          <w:marBottom w:val="0"/>
          <w:divBdr>
            <w:top w:val="none" w:sz="0" w:space="0" w:color="auto"/>
            <w:left w:val="none" w:sz="0" w:space="0" w:color="auto"/>
            <w:bottom w:val="none" w:sz="0" w:space="0" w:color="auto"/>
            <w:right w:val="none" w:sz="0" w:space="0" w:color="auto"/>
          </w:divBdr>
        </w:div>
        <w:div w:id="1969626019">
          <w:marLeft w:val="360"/>
          <w:marRight w:val="0"/>
          <w:marTop w:val="200"/>
          <w:marBottom w:val="0"/>
          <w:divBdr>
            <w:top w:val="none" w:sz="0" w:space="0" w:color="auto"/>
            <w:left w:val="none" w:sz="0" w:space="0" w:color="auto"/>
            <w:bottom w:val="none" w:sz="0" w:space="0" w:color="auto"/>
            <w:right w:val="none" w:sz="0" w:space="0" w:color="auto"/>
          </w:divBdr>
        </w:div>
        <w:div w:id="2030139376">
          <w:marLeft w:val="360"/>
          <w:marRight w:val="0"/>
          <w:marTop w:val="200"/>
          <w:marBottom w:val="0"/>
          <w:divBdr>
            <w:top w:val="none" w:sz="0" w:space="0" w:color="auto"/>
            <w:left w:val="none" w:sz="0" w:space="0" w:color="auto"/>
            <w:bottom w:val="none" w:sz="0" w:space="0" w:color="auto"/>
            <w:right w:val="none" w:sz="0" w:space="0" w:color="auto"/>
          </w:divBdr>
        </w:div>
      </w:divsChild>
    </w:div>
    <w:div w:id="1984506240">
      <w:bodyDiv w:val="1"/>
      <w:marLeft w:val="0"/>
      <w:marRight w:val="0"/>
      <w:marTop w:val="0"/>
      <w:marBottom w:val="0"/>
      <w:divBdr>
        <w:top w:val="none" w:sz="0" w:space="0" w:color="auto"/>
        <w:left w:val="none" w:sz="0" w:space="0" w:color="auto"/>
        <w:bottom w:val="none" w:sz="0" w:space="0" w:color="auto"/>
        <w:right w:val="none" w:sz="0" w:space="0" w:color="auto"/>
      </w:divBdr>
    </w:div>
    <w:div w:id="2035694668">
      <w:bodyDiv w:val="1"/>
      <w:marLeft w:val="0"/>
      <w:marRight w:val="0"/>
      <w:marTop w:val="0"/>
      <w:marBottom w:val="0"/>
      <w:divBdr>
        <w:top w:val="none" w:sz="0" w:space="0" w:color="auto"/>
        <w:left w:val="none" w:sz="0" w:space="0" w:color="auto"/>
        <w:bottom w:val="none" w:sz="0" w:space="0" w:color="auto"/>
        <w:right w:val="none" w:sz="0" w:space="0" w:color="auto"/>
      </w:divBdr>
      <w:divsChild>
        <w:div w:id="436022612">
          <w:marLeft w:val="360"/>
          <w:marRight w:val="0"/>
          <w:marTop w:val="200"/>
          <w:marBottom w:val="0"/>
          <w:divBdr>
            <w:top w:val="none" w:sz="0" w:space="0" w:color="auto"/>
            <w:left w:val="none" w:sz="0" w:space="0" w:color="auto"/>
            <w:bottom w:val="none" w:sz="0" w:space="0" w:color="auto"/>
            <w:right w:val="none" w:sz="0" w:space="0" w:color="auto"/>
          </w:divBdr>
        </w:div>
      </w:divsChild>
    </w:div>
    <w:div w:id="2072731680">
      <w:bodyDiv w:val="1"/>
      <w:marLeft w:val="0"/>
      <w:marRight w:val="0"/>
      <w:marTop w:val="0"/>
      <w:marBottom w:val="0"/>
      <w:divBdr>
        <w:top w:val="none" w:sz="0" w:space="0" w:color="auto"/>
        <w:left w:val="none" w:sz="0" w:space="0" w:color="auto"/>
        <w:bottom w:val="none" w:sz="0" w:space="0" w:color="auto"/>
        <w:right w:val="none" w:sz="0" w:space="0" w:color="auto"/>
      </w:divBdr>
      <w:divsChild>
        <w:div w:id="763185497">
          <w:marLeft w:val="360"/>
          <w:marRight w:val="0"/>
          <w:marTop w:val="200"/>
          <w:marBottom w:val="0"/>
          <w:divBdr>
            <w:top w:val="none" w:sz="0" w:space="0" w:color="auto"/>
            <w:left w:val="none" w:sz="0" w:space="0" w:color="auto"/>
            <w:bottom w:val="none" w:sz="0" w:space="0" w:color="auto"/>
            <w:right w:val="none" w:sz="0" w:space="0" w:color="auto"/>
          </w:divBdr>
        </w:div>
      </w:divsChild>
    </w:div>
    <w:div w:id="2085489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5" ma:contentTypeDescription="Create a new document." ma:contentTypeScope="" ma:versionID="a4031dda8815c6b278da84f54263ef19">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54aa6ad2f159743ff10af28a7a001a59"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6730e359-ea60-4bf4-a90a-e46339816358" xsi:nil="true"/>
  </documentManagement>
</p:properties>
</file>

<file path=customXml/itemProps1.xml><?xml version="1.0" encoding="utf-8"?>
<ds:datastoreItem xmlns:ds="http://schemas.openxmlformats.org/officeDocument/2006/customXml" ds:itemID="{862FE4C0-99FE-4949-B401-05B94B76DAF8}">
  <ds:schemaRefs>
    <ds:schemaRef ds:uri="http://schemas.microsoft.com/sharepoint/v3/contenttype/forms"/>
  </ds:schemaRefs>
</ds:datastoreItem>
</file>

<file path=customXml/itemProps2.xml><?xml version="1.0" encoding="utf-8"?>
<ds:datastoreItem xmlns:ds="http://schemas.openxmlformats.org/officeDocument/2006/customXml" ds:itemID="{BB9717C5-CC35-41B9-8BA1-8877831F68F8}">
  <ds:schemaRefs>
    <ds:schemaRef ds:uri="http://schemas.openxmlformats.org/officeDocument/2006/bibliography"/>
  </ds:schemaRefs>
</ds:datastoreItem>
</file>

<file path=customXml/itemProps3.xml><?xml version="1.0" encoding="utf-8"?>
<ds:datastoreItem xmlns:ds="http://schemas.openxmlformats.org/officeDocument/2006/customXml" ds:itemID="{2BCA76C5-DF67-4679-B35A-C4265E9F3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E246CA-4642-4FAD-B437-BE36D5F15159}">
  <ds:schemaRefs>
    <ds:schemaRef ds:uri="http://schemas.microsoft.com/office/2006/metadata/properties"/>
    <ds:schemaRef ds:uri="http://schemas.microsoft.com/office/infopath/2007/PartnerControls"/>
    <ds:schemaRef ds:uri="6730e359-ea60-4bf4-a90a-e46339816358"/>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Pages>
  <Words>7501</Words>
  <Characters>42758</Characters>
  <Application>Microsoft Office Word</Application>
  <DocSecurity>4</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50159</CharactersWithSpaces>
  <SharedDoc>false</SharedDoc>
  <HLinks>
    <vt:vector size="132" baseType="variant">
      <vt:variant>
        <vt:i4>1245246</vt:i4>
      </vt:variant>
      <vt:variant>
        <vt:i4>128</vt:i4>
      </vt:variant>
      <vt:variant>
        <vt:i4>0</vt:i4>
      </vt:variant>
      <vt:variant>
        <vt:i4>5</vt:i4>
      </vt:variant>
      <vt:variant>
        <vt:lpwstr/>
      </vt:variant>
      <vt:variant>
        <vt:lpwstr>_Toc172359891</vt:lpwstr>
      </vt:variant>
      <vt:variant>
        <vt:i4>1245246</vt:i4>
      </vt:variant>
      <vt:variant>
        <vt:i4>122</vt:i4>
      </vt:variant>
      <vt:variant>
        <vt:i4>0</vt:i4>
      </vt:variant>
      <vt:variant>
        <vt:i4>5</vt:i4>
      </vt:variant>
      <vt:variant>
        <vt:lpwstr/>
      </vt:variant>
      <vt:variant>
        <vt:lpwstr>_Toc172359890</vt:lpwstr>
      </vt:variant>
      <vt:variant>
        <vt:i4>1179710</vt:i4>
      </vt:variant>
      <vt:variant>
        <vt:i4>116</vt:i4>
      </vt:variant>
      <vt:variant>
        <vt:i4>0</vt:i4>
      </vt:variant>
      <vt:variant>
        <vt:i4>5</vt:i4>
      </vt:variant>
      <vt:variant>
        <vt:lpwstr/>
      </vt:variant>
      <vt:variant>
        <vt:lpwstr>_Toc172359889</vt:lpwstr>
      </vt:variant>
      <vt:variant>
        <vt:i4>1179710</vt:i4>
      </vt:variant>
      <vt:variant>
        <vt:i4>110</vt:i4>
      </vt:variant>
      <vt:variant>
        <vt:i4>0</vt:i4>
      </vt:variant>
      <vt:variant>
        <vt:i4>5</vt:i4>
      </vt:variant>
      <vt:variant>
        <vt:lpwstr/>
      </vt:variant>
      <vt:variant>
        <vt:lpwstr>_Toc172359888</vt:lpwstr>
      </vt:variant>
      <vt:variant>
        <vt:i4>1179710</vt:i4>
      </vt:variant>
      <vt:variant>
        <vt:i4>104</vt:i4>
      </vt:variant>
      <vt:variant>
        <vt:i4>0</vt:i4>
      </vt:variant>
      <vt:variant>
        <vt:i4>5</vt:i4>
      </vt:variant>
      <vt:variant>
        <vt:lpwstr/>
      </vt:variant>
      <vt:variant>
        <vt:lpwstr>_Toc172359887</vt:lpwstr>
      </vt:variant>
      <vt:variant>
        <vt:i4>1179710</vt:i4>
      </vt:variant>
      <vt:variant>
        <vt:i4>98</vt:i4>
      </vt:variant>
      <vt:variant>
        <vt:i4>0</vt:i4>
      </vt:variant>
      <vt:variant>
        <vt:i4>5</vt:i4>
      </vt:variant>
      <vt:variant>
        <vt:lpwstr/>
      </vt:variant>
      <vt:variant>
        <vt:lpwstr>_Toc172359886</vt:lpwstr>
      </vt:variant>
      <vt:variant>
        <vt:i4>1179710</vt:i4>
      </vt:variant>
      <vt:variant>
        <vt:i4>92</vt:i4>
      </vt:variant>
      <vt:variant>
        <vt:i4>0</vt:i4>
      </vt:variant>
      <vt:variant>
        <vt:i4>5</vt:i4>
      </vt:variant>
      <vt:variant>
        <vt:lpwstr/>
      </vt:variant>
      <vt:variant>
        <vt:lpwstr>_Toc172359885</vt:lpwstr>
      </vt:variant>
      <vt:variant>
        <vt:i4>1179710</vt:i4>
      </vt:variant>
      <vt:variant>
        <vt:i4>86</vt:i4>
      </vt:variant>
      <vt:variant>
        <vt:i4>0</vt:i4>
      </vt:variant>
      <vt:variant>
        <vt:i4>5</vt:i4>
      </vt:variant>
      <vt:variant>
        <vt:lpwstr/>
      </vt:variant>
      <vt:variant>
        <vt:lpwstr>_Toc172359884</vt:lpwstr>
      </vt:variant>
      <vt:variant>
        <vt:i4>1179710</vt:i4>
      </vt:variant>
      <vt:variant>
        <vt:i4>80</vt:i4>
      </vt:variant>
      <vt:variant>
        <vt:i4>0</vt:i4>
      </vt:variant>
      <vt:variant>
        <vt:i4>5</vt:i4>
      </vt:variant>
      <vt:variant>
        <vt:lpwstr/>
      </vt:variant>
      <vt:variant>
        <vt:lpwstr>_Toc172359883</vt:lpwstr>
      </vt:variant>
      <vt:variant>
        <vt:i4>1179710</vt:i4>
      </vt:variant>
      <vt:variant>
        <vt:i4>74</vt:i4>
      </vt:variant>
      <vt:variant>
        <vt:i4>0</vt:i4>
      </vt:variant>
      <vt:variant>
        <vt:i4>5</vt:i4>
      </vt:variant>
      <vt:variant>
        <vt:lpwstr/>
      </vt:variant>
      <vt:variant>
        <vt:lpwstr>_Toc172359882</vt:lpwstr>
      </vt:variant>
      <vt:variant>
        <vt:i4>1179710</vt:i4>
      </vt:variant>
      <vt:variant>
        <vt:i4>68</vt:i4>
      </vt:variant>
      <vt:variant>
        <vt:i4>0</vt:i4>
      </vt:variant>
      <vt:variant>
        <vt:i4>5</vt:i4>
      </vt:variant>
      <vt:variant>
        <vt:lpwstr/>
      </vt:variant>
      <vt:variant>
        <vt:lpwstr>_Toc172359881</vt:lpwstr>
      </vt:variant>
      <vt:variant>
        <vt:i4>1179710</vt:i4>
      </vt:variant>
      <vt:variant>
        <vt:i4>62</vt:i4>
      </vt:variant>
      <vt:variant>
        <vt:i4>0</vt:i4>
      </vt:variant>
      <vt:variant>
        <vt:i4>5</vt:i4>
      </vt:variant>
      <vt:variant>
        <vt:lpwstr/>
      </vt:variant>
      <vt:variant>
        <vt:lpwstr>_Toc172359880</vt:lpwstr>
      </vt:variant>
      <vt:variant>
        <vt:i4>1900606</vt:i4>
      </vt:variant>
      <vt:variant>
        <vt:i4>56</vt:i4>
      </vt:variant>
      <vt:variant>
        <vt:i4>0</vt:i4>
      </vt:variant>
      <vt:variant>
        <vt:i4>5</vt:i4>
      </vt:variant>
      <vt:variant>
        <vt:lpwstr/>
      </vt:variant>
      <vt:variant>
        <vt:lpwstr>_Toc172359879</vt:lpwstr>
      </vt:variant>
      <vt:variant>
        <vt:i4>1900606</vt:i4>
      </vt:variant>
      <vt:variant>
        <vt:i4>50</vt:i4>
      </vt:variant>
      <vt:variant>
        <vt:i4>0</vt:i4>
      </vt:variant>
      <vt:variant>
        <vt:i4>5</vt:i4>
      </vt:variant>
      <vt:variant>
        <vt:lpwstr/>
      </vt:variant>
      <vt:variant>
        <vt:lpwstr>_Toc172359878</vt:lpwstr>
      </vt:variant>
      <vt:variant>
        <vt:i4>1900606</vt:i4>
      </vt:variant>
      <vt:variant>
        <vt:i4>44</vt:i4>
      </vt:variant>
      <vt:variant>
        <vt:i4>0</vt:i4>
      </vt:variant>
      <vt:variant>
        <vt:i4>5</vt:i4>
      </vt:variant>
      <vt:variant>
        <vt:lpwstr/>
      </vt:variant>
      <vt:variant>
        <vt:lpwstr>_Toc172359877</vt:lpwstr>
      </vt:variant>
      <vt:variant>
        <vt:i4>1900606</vt:i4>
      </vt:variant>
      <vt:variant>
        <vt:i4>38</vt:i4>
      </vt:variant>
      <vt:variant>
        <vt:i4>0</vt:i4>
      </vt:variant>
      <vt:variant>
        <vt:i4>5</vt:i4>
      </vt:variant>
      <vt:variant>
        <vt:lpwstr/>
      </vt:variant>
      <vt:variant>
        <vt:lpwstr>_Toc172359876</vt:lpwstr>
      </vt:variant>
      <vt:variant>
        <vt:i4>1900606</vt:i4>
      </vt:variant>
      <vt:variant>
        <vt:i4>32</vt:i4>
      </vt:variant>
      <vt:variant>
        <vt:i4>0</vt:i4>
      </vt:variant>
      <vt:variant>
        <vt:i4>5</vt:i4>
      </vt:variant>
      <vt:variant>
        <vt:lpwstr/>
      </vt:variant>
      <vt:variant>
        <vt:lpwstr>_Toc172359875</vt:lpwstr>
      </vt:variant>
      <vt:variant>
        <vt:i4>1900606</vt:i4>
      </vt:variant>
      <vt:variant>
        <vt:i4>26</vt:i4>
      </vt:variant>
      <vt:variant>
        <vt:i4>0</vt:i4>
      </vt:variant>
      <vt:variant>
        <vt:i4>5</vt:i4>
      </vt:variant>
      <vt:variant>
        <vt:lpwstr/>
      </vt:variant>
      <vt:variant>
        <vt:lpwstr>_Toc172359874</vt:lpwstr>
      </vt:variant>
      <vt:variant>
        <vt:i4>1900606</vt:i4>
      </vt:variant>
      <vt:variant>
        <vt:i4>20</vt:i4>
      </vt:variant>
      <vt:variant>
        <vt:i4>0</vt:i4>
      </vt:variant>
      <vt:variant>
        <vt:i4>5</vt:i4>
      </vt:variant>
      <vt:variant>
        <vt:lpwstr/>
      </vt:variant>
      <vt:variant>
        <vt:lpwstr>_Toc172359873</vt:lpwstr>
      </vt:variant>
      <vt:variant>
        <vt:i4>1900606</vt:i4>
      </vt:variant>
      <vt:variant>
        <vt:i4>14</vt:i4>
      </vt:variant>
      <vt:variant>
        <vt:i4>0</vt:i4>
      </vt:variant>
      <vt:variant>
        <vt:i4>5</vt:i4>
      </vt:variant>
      <vt:variant>
        <vt:lpwstr/>
      </vt:variant>
      <vt:variant>
        <vt:lpwstr>_Toc172359872</vt:lpwstr>
      </vt:variant>
      <vt:variant>
        <vt:i4>1900606</vt:i4>
      </vt:variant>
      <vt:variant>
        <vt:i4>8</vt:i4>
      </vt:variant>
      <vt:variant>
        <vt:i4>0</vt:i4>
      </vt:variant>
      <vt:variant>
        <vt:i4>5</vt:i4>
      </vt:variant>
      <vt:variant>
        <vt:lpwstr/>
      </vt:variant>
      <vt:variant>
        <vt:lpwstr>_Toc172359871</vt:lpwstr>
      </vt:variant>
      <vt:variant>
        <vt:i4>1900606</vt:i4>
      </vt:variant>
      <vt:variant>
        <vt:i4>2</vt:i4>
      </vt:variant>
      <vt:variant>
        <vt:i4>0</vt:i4>
      </vt:variant>
      <vt:variant>
        <vt:i4>5</vt:i4>
      </vt:variant>
      <vt:variant>
        <vt:lpwstr/>
      </vt:variant>
      <vt:variant>
        <vt:lpwstr>_Toc172359870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 Kancheva (2017633)</dc:creator>
  <cp:keywords/>
  <dc:description/>
  <cp:lastModifiedBy>Yordanka Kancheva (2017633)</cp:lastModifiedBy>
  <cp:revision>59</cp:revision>
  <dcterms:created xsi:type="dcterms:W3CDTF">2024-07-20T17:21:00Z</dcterms:created>
  <dcterms:modified xsi:type="dcterms:W3CDTF">2024-07-20T19:10:00Z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