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2031309"/>
        <w:docPartObj>
          <w:docPartGallery w:val="Cover Pages"/>
          <w:docPartUnique/>
        </w:docPartObj>
      </w:sdtPr>
      <w:sdtContent>
        <w:p w14:paraId="493C7814" w14:textId="148B16F1" w:rsidR="00093204" w:rsidRDefault="00093204">
          <w:r>
            <w:rPr>
              <w:noProof/>
            </w:rPr>
            <mc:AlternateContent>
              <mc:Choice Requires="wpg">
                <w:drawing>
                  <wp:anchor distT="0" distB="0" distL="114300" distR="114300" simplePos="0" relativeHeight="251662336" behindDoc="0" locked="0" layoutInCell="1" allowOverlap="1" wp14:anchorId="2FD76BB6" wp14:editId="764BF3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78C6C1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04048F8" wp14:editId="55DC3B1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325CEFD2" w:rsidR="0009320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104048F8" id="_x0000_t202" coordsize="21600,21600" o:spt="202" path="m,l,21600r21600,l21600,xe">
                    <v:stroke joinstyle="miter"/>
                    <v:path gradientshapeok="t" o:connecttype="rect"/>
                  </v:shapetype>
                  <v:shape id="Text Box 154" o:spid="_x0000_s1026"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1061BC49" w14:textId="325CEFD2" w:rsidR="0009320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4B08C5BB" w14:textId="36FBDE76" w:rsidR="00093204" w:rsidRDefault="00306133" w:rsidP="001423CA">
          <w:r>
            <w:rPr>
              <w:noProof/>
            </w:rPr>
            <mc:AlternateContent>
              <mc:Choice Requires="wps">
                <w:drawing>
                  <wp:anchor distT="0" distB="0" distL="114300" distR="114300" simplePos="0" relativeHeight="251660288" behindDoc="0" locked="0" layoutInCell="1" allowOverlap="1" wp14:anchorId="5AD481F2" wp14:editId="0F241DF3">
                    <wp:simplePos x="0" y="0"/>
                    <wp:positionH relativeFrom="page">
                      <wp:posOffset>203200</wp:posOffset>
                    </wp:positionH>
                    <wp:positionV relativeFrom="page">
                      <wp:posOffset>9531350</wp:posOffset>
                    </wp:positionV>
                    <wp:extent cx="7264400" cy="717550"/>
                    <wp:effectExtent l="0" t="0" r="0" b="6350"/>
                    <wp:wrapSquare wrapText="bothSides"/>
                    <wp:docPr id="152" name="Text Box 152"/>
                    <wp:cNvGraphicFramePr/>
                    <a:graphic xmlns:a="http://schemas.openxmlformats.org/drawingml/2006/main">
                      <a:graphicData uri="http://schemas.microsoft.com/office/word/2010/wordprocessingShape">
                        <wps:wsp>
                          <wps:cNvSpPr txBox="1"/>
                          <wps:spPr>
                            <a:xfrm>
                              <a:off x="0" y="0"/>
                              <a:ext cx="7264400" cy="717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28"/>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776F307B" w:rsidR="00093204" w:rsidRDefault="00ED009B" w:rsidP="00731C8E">
                                    <w:pPr>
                                      <w:rPr>
                                        <w:color w:val="595959" w:themeColor="text1" w:themeTint="A6"/>
                                      </w:rPr>
                                    </w:pPr>
                                    <w:r>
                                      <w:rPr>
                                        <w:sz w:val="28"/>
                                        <w:szCs w:val="24"/>
                                      </w:rPr>
                                      <w:t xml:space="preserve">                                                                                                 Galina Zasheva</w:t>
                                    </w:r>
                                  </w:p>
                                </w:sdtContent>
                              </w:sdt>
                              <w:p w14:paraId="403C690E" w14:textId="4D55423A" w:rsidR="00093204" w:rsidRPr="00751DB6" w:rsidRDefault="00000000" w:rsidP="00107776">
                                <w:pPr>
                                  <w:pStyle w:val="NoSpacing"/>
                                  <w:jc w:val="center"/>
                                  <w:rPr>
                                    <w:b/>
                                    <w:bCs/>
                                    <w:color w:val="595959" w:themeColor="text1" w:themeTint="A6"/>
                                    <w:sz w:val="24"/>
                                    <w:szCs w:val="24"/>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07776">
                                      <w:rPr>
                                        <w:color w:val="595959" w:themeColor="text1" w:themeTint="A6"/>
                                        <w:sz w:val="18"/>
                                        <w:szCs w:val="18"/>
                                      </w:rPr>
                                      <w:t xml:space="preserve">                                                                                                                                                                       </w:t>
                                    </w:r>
                                  </w:sdtContent>
                                </w:sdt>
                                <w:r w:rsidR="000A19E3">
                                  <w:rPr>
                                    <w:b/>
                                    <w:bCs/>
                                    <w:color w:val="595959" w:themeColor="text1" w:themeTint="A6"/>
                                    <w:sz w:val="24"/>
                                    <w:szCs w:val="24"/>
                                  </w:rPr>
                                  <w:t>222</w:t>
                                </w:r>
                                <w:r w:rsidR="00BD2B8E">
                                  <w:rPr>
                                    <w:b/>
                                    <w:bCs/>
                                    <w:color w:val="595959" w:themeColor="text1" w:themeTint="A6"/>
                                    <w:sz w:val="24"/>
                                    <w:szCs w:val="24"/>
                                  </w:rPr>
                                  <w:t>7456</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AD481F2" id="Text Box 152" o:spid="_x0000_s1027" type="#_x0000_t202" style="position:absolute;left:0;text-align:left;margin-left:16pt;margin-top:750.5pt;width:572pt;height:56.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AFqbAIAAD8FAAAOAAAAZHJzL2Uyb0RvYy54bWysVN+P2jAMfp+0/yHK+2hhxw8hyolxYpqE&#10;7k7jpnsOaQLV0jhLAi376+ekLTC2l5v2krr2Z8f+bGd2X5eKHIV1BeiM9nspJUJzyAu9y+i3l9WH&#10;CSXOM50zBVpk9CQcvZ+/fzerzFQMYA8qF5ZgEO2mlcno3nszTRLH96JkrgdGaDRKsCXz+Gt3SW5Z&#10;hdFLlQzSdJRUYHNjgQvnUPvQGOk8xpdScP8kpROeqIxibj6eNp7bcCbzGZvuLDP7grdpsH/IomSF&#10;xkvPoR6YZ+Rgiz9ClQW34ED6HocyASkLLmINWE0/valms2dGxFqQHGfONLn/F5Y/Hjfm2RJff4Ia&#10;GxgIqYybOlSGemppy/DFTAnakcLTmTZRe8JROR6M7u5SNHG0jfvj4TDymly8jXX+s4CSBCGjFtsS&#10;2WLHtfN4I0I7SLhMw6pQKrZGaVJldPQRQ/5mQQ+lg0bEJrdhLplHyZ+UCBilvwpJijwWEBRxvMRS&#10;WXJkOBiMc6F9rD3GRXRASUziLY4t/pLVW5ybOrqbQfuzc1losLH6m7Tz713KssEjkVd1B9HX2xoL&#10;v2rsFvIT9ttCswrO8FWBTVkz55+ZxdnHPuI++yc8pAIkH1qJkj3Yn3/TBzyOJFopqXCXMup+HJgV&#10;lKgvGoe1P0pTXFZcv/iLgo3CaDKcBPW2U+tDuQRsSB8fDcOjGMBedaK0UL7ixi/ChWhimuO1Gd12&#10;4tI3y40vBheLRQThphnm13pjeAgd+hOm7aV+Zda0I+lxmB+hWzg2vZnMBhs8NSwOHmQRxzZQ3BDa&#10;Uo9bGqe5fVHCM3D9H1GXd2/+CwAA//8DAFBLAwQUAAYACAAAACEAcvE0I+AAAAANAQAADwAAAGRy&#10;cy9kb3ducmV2LnhtbEyPzU7DMBCE70i8g7VI3Kid/gQU4lQIBSGVEwWEuLnx4kSN11HstuHt2Z7g&#10;Nrs7mv2mXE++F0ccYxdIQzZTIJCaYDtyGt7fnm7uQMRkyJo+EGr4wQjr6vKiNIUNJ3rF4zY5wSEU&#10;C6OhTWkopIxNi97EWRiQ+PYdRm8Sj6OTdjQnDve9nCuVS2864g+tGfCxxWa/PXgN9Yae8cUt3GZJ&#10;9WeoV3vz8aW0vr6aHu5BJJzSnxnO+IwOFTPtwoFsFL2GxZyrJN6vVMbq7Mhuc1Y7Vnm2VCCrUv5v&#10;Uf0CAAD//wMAUEsBAi0AFAAGAAgAAAAhALaDOJL+AAAA4QEAABMAAAAAAAAAAAAAAAAAAAAAAFtD&#10;b250ZW50X1R5cGVzXS54bWxQSwECLQAUAAYACAAAACEAOP0h/9YAAACUAQAACwAAAAAAAAAAAAAA&#10;AAAvAQAAX3JlbHMvLnJlbHNQSwECLQAUAAYACAAAACEAT3QBamwCAAA/BQAADgAAAAAAAAAAAAAA&#10;AAAuAgAAZHJzL2Uyb0RvYy54bWxQSwECLQAUAAYACAAAACEAcvE0I+AAAAANAQAADwAAAAAAAAAA&#10;AAAAAADGBAAAZHJzL2Rvd25yZXYueG1sUEsFBgAAAAAEAAQA8wAAANMFAAAAAA==&#10;" filled="f" stroked="f" strokeweight=".5pt">
                    <v:textbox inset="126pt,0,54pt,0">
                      <w:txbxContent>
                        <w:sdt>
                          <w:sdtPr>
                            <w:rPr>
                              <w:sz w:val="28"/>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776F307B" w:rsidR="00093204" w:rsidRDefault="00ED009B" w:rsidP="00731C8E">
                              <w:pPr>
                                <w:rPr>
                                  <w:color w:val="595959" w:themeColor="text1" w:themeTint="A6"/>
                                </w:rPr>
                              </w:pPr>
                              <w:r>
                                <w:rPr>
                                  <w:sz w:val="28"/>
                                  <w:szCs w:val="24"/>
                                </w:rPr>
                                <w:t xml:space="preserve">                                                                                                 Galina Zasheva</w:t>
                              </w:r>
                            </w:p>
                          </w:sdtContent>
                        </w:sdt>
                        <w:p w14:paraId="403C690E" w14:textId="4D55423A" w:rsidR="00093204" w:rsidRPr="00751DB6" w:rsidRDefault="00000000" w:rsidP="00107776">
                          <w:pPr>
                            <w:pStyle w:val="NoSpacing"/>
                            <w:jc w:val="center"/>
                            <w:rPr>
                              <w:b/>
                              <w:bCs/>
                              <w:color w:val="595959" w:themeColor="text1" w:themeTint="A6"/>
                              <w:sz w:val="24"/>
                              <w:szCs w:val="24"/>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07776">
                                <w:rPr>
                                  <w:color w:val="595959" w:themeColor="text1" w:themeTint="A6"/>
                                  <w:sz w:val="18"/>
                                  <w:szCs w:val="18"/>
                                </w:rPr>
                                <w:t xml:space="preserve">                                                                                                                                                                       </w:t>
                              </w:r>
                            </w:sdtContent>
                          </w:sdt>
                          <w:r w:rsidR="000A19E3">
                            <w:rPr>
                              <w:b/>
                              <w:bCs/>
                              <w:color w:val="595959" w:themeColor="text1" w:themeTint="A6"/>
                              <w:sz w:val="24"/>
                              <w:szCs w:val="24"/>
                            </w:rPr>
                            <w:t>222</w:t>
                          </w:r>
                          <w:r w:rsidR="00BD2B8E">
                            <w:rPr>
                              <w:b/>
                              <w:bCs/>
                              <w:color w:val="595959" w:themeColor="text1" w:themeTint="A6"/>
                              <w:sz w:val="24"/>
                              <w:szCs w:val="24"/>
                            </w:rPr>
                            <w:t>7456</w:t>
                          </w:r>
                        </w:p>
                      </w:txbxContent>
                    </v:textbox>
                    <w10:wrap type="square" anchorx="page" anchory="page"/>
                  </v:shape>
                </w:pict>
              </mc:Fallback>
            </mc:AlternateContent>
          </w:r>
          <w:r w:rsidR="00093204">
            <w:br w:type="page"/>
          </w:r>
        </w:p>
      </w:sdtContent>
    </w:sdt>
    <w:sdt>
      <w:sdtPr>
        <w:rPr>
          <w:rFonts w:asciiTheme="minorHAnsi" w:eastAsiaTheme="minorEastAsia" w:hAnsiTheme="minorHAnsi" w:cstheme="minorBidi"/>
          <w:color w:val="auto"/>
          <w:sz w:val="22"/>
          <w:szCs w:val="22"/>
          <w:lang w:val="en-GB" w:eastAsia="zh-CN"/>
        </w:rPr>
        <w:id w:val="-1833979918"/>
        <w:docPartObj>
          <w:docPartGallery w:val="Table of Contents"/>
          <w:docPartUnique/>
        </w:docPartObj>
      </w:sdtPr>
      <w:sdtEndPr>
        <w:rPr>
          <w:b/>
          <w:bCs/>
          <w:noProof/>
          <w:sz w:val="24"/>
        </w:rPr>
      </w:sdtEndPr>
      <w:sdtContent>
        <w:p w14:paraId="7F973C51" w14:textId="4C856F2E" w:rsidR="00FA6250" w:rsidRDefault="00FA6250">
          <w:pPr>
            <w:pStyle w:val="TOCHeading"/>
          </w:pPr>
          <w:r>
            <w:t>Table of Contents</w:t>
          </w:r>
        </w:p>
        <w:p w14:paraId="360706FD" w14:textId="77777777" w:rsidR="00FA6250" w:rsidRPr="00FA6250" w:rsidRDefault="00FA6250" w:rsidP="00FA6250">
          <w:pPr>
            <w:rPr>
              <w:lang w:val="en-US" w:eastAsia="en-US"/>
            </w:rPr>
          </w:pPr>
        </w:p>
        <w:p w14:paraId="0D6C4D71" w14:textId="246D9284" w:rsidR="000C0462" w:rsidRDefault="00FA6250">
          <w:pPr>
            <w:pStyle w:val="TOC1"/>
            <w:tabs>
              <w:tab w:val="right" w:leader="dot" w:pos="9016"/>
            </w:tabs>
            <w:rPr>
              <w:noProof/>
              <w:sz w:val="22"/>
              <w:lang w:val="en-US" w:eastAsia="en-US"/>
            </w:rPr>
          </w:pPr>
          <w:r>
            <w:fldChar w:fldCharType="begin"/>
          </w:r>
          <w:r>
            <w:instrText xml:space="preserve"> TOC \o "1-3" \h \z \u </w:instrText>
          </w:r>
          <w:r>
            <w:fldChar w:fldCharType="separate"/>
          </w:r>
          <w:hyperlink w:anchor="_Toc128393757" w:history="1">
            <w:r w:rsidR="000C0462" w:rsidRPr="009E6248">
              <w:rPr>
                <w:rStyle w:val="Hyperlink"/>
                <w:noProof/>
              </w:rPr>
              <w:t>Task 1 – Written summary: Preparing for Higher Education</w:t>
            </w:r>
            <w:r w:rsidR="000C0462">
              <w:rPr>
                <w:noProof/>
                <w:webHidden/>
              </w:rPr>
              <w:tab/>
            </w:r>
            <w:r w:rsidR="000C0462">
              <w:rPr>
                <w:noProof/>
                <w:webHidden/>
              </w:rPr>
              <w:fldChar w:fldCharType="begin"/>
            </w:r>
            <w:r w:rsidR="000C0462">
              <w:rPr>
                <w:noProof/>
                <w:webHidden/>
              </w:rPr>
              <w:instrText xml:space="preserve"> PAGEREF _Toc128393757 \h </w:instrText>
            </w:r>
            <w:r w:rsidR="000C0462">
              <w:rPr>
                <w:noProof/>
                <w:webHidden/>
              </w:rPr>
            </w:r>
            <w:r w:rsidR="000C0462">
              <w:rPr>
                <w:noProof/>
                <w:webHidden/>
              </w:rPr>
              <w:fldChar w:fldCharType="separate"/>
            </w:r>
            <w:r w:rsidR="000C0462">
              <w:rPr>
                <w:noProof/>
                <w:webHidden/>
              </w:rPr>
              <w:t>2</w:t>
            </w:r>
            <w:r w:rsidR="000C0462">
              <w:rPr>
                <w:noProof/>
                <w:webHidden/>
              </w:rPr>
              <w:fldChar w:fldCharType="end"/>
            </w:r>
          </w:hyperlink>
        </w:p>
        <w:p w14:paraId="0EE39ED4" w14:textId="22F7F569" w:rsidR="000C0462" w:rsidRDefault="00000000">
          <w:pPr>
            <w:pStyle w:val="TOC1"/>
            <w:tabs>
              <w:tab w:val="right" w:leader="dot" w:pos="9016"/>
            </w:tabs>
            <w:rPr>
              <w:noProof/>
              <w:sz w:val="22"/>
              <w:lang w:val="en-US" w:eastAsia="en-US"/>
            </w:rPr>
          </w:pPr>
          <w:hyperlink w:anchor="_Toc128393758" w:history="1">
            <w:r w:rsidR="000C0462" w:rsidRPr="009E6248">
              <w:rPr>
                <w:rStyle w:val="Hyperlink"/>
                <w:noProof/>
              </w:rPr>
              <w:t>Task 2 – Mind map: Becoming a digital learner</w:t>
            </w:r>
            <w:r w:rsidR="000C0462">
              <w:rPr>
                <w:noProof/>
                <w:webHidden/>
              </w:rPr>
              <w:tab/>
            </w:r>
            <w:r w:rsidR="000C0462">
              <w:rPr>
                <w:noProof/>
                <w:webHidden/>
              </w:rPr>
              <w:fldChar w:fldCharType="begin"/>
            </w:r>
            <w:r w:rsidR="000C0462">
              <w:rPr>
                <w:noProof/>
                <w:webHidden/>
              </w:rPr>
              <w:instrText xml:space="preserve"> PAGEREF _Toc128393758 \h </w:instrText>
            </w:r>
            <w:r w:rsidR="000C0462">
              <w:rPr>
                <w:noProof/>
                <w:webHidden/>
              </w:rPr>
            </w:r>
            <w:r w:rsidR="000C0462">
              <w:rPr>
                <w:noProof/>
                <w:webHidden/>
              </w:rPr>
              <w:fldChar w:fldCharType="separate"/>
            </w:r>
            <w:r w:rsidR="000C0462">
              <w:rPr>
                <w:noProof/>
                <w:webHidden/>
              </w:rPr>
              <w:t>4</w:t>
            </w:r>
            <w:r w:rsidR="000C0462">
              <w:rPr>
                <w:noProof/>
                <w:webHidden/>
              </w:rPr>
              <w:fldChar w:fldCharType="end"/>
            </w:r>
          </w:hyperlink>
        </w:p>
        <w:p w14:paraId="4D50D606" w14:textId="74C192FE" w:rsidR="000C0462" w:rsidRDefault="00000000">
          <w:pPr>
            <w:pStyle w:val="TOC1"/>
            <w:tabs>
              <w:tab w:val="right" w:leader="dot" w:pos="9016"/>
            </w:tabs>
            <w:rPr>
              <w:noProof/>
              <w:sz w:val="22"/>
              <w:lang w:val="en-US" w:eastAsia="en-US"/>
            </w:rPr>
          </w:pPr>
          <w:hyperlink w:anchor="_Toc128393759" w:history="1">
            <w:r w:rsidR="000C0462" w:rsidRPr="009E6248">
              <w:rPr>
                <w:rStyle w:val="Hyperlink"/>
                <w:noProof/>
              </w:rPr>
              <w:t>Task 3 – Presentation</w:t>
            </w:r>
            <w:r w:rsidR="000C0462">
              <w:rPr>
                <w:noProof/>
                <w:webHidden/>
              </w:rPr>
              <w:tab/>
            </w:r>
            <w:r w:rsidR="000C0462">
              <w:rPr>
                <w:noProof/>
                <w:webHidden/>
              </w:rPr>
              <w:fldChar w:fldCharType="begin"/>
            </w:r>
            <w:r w:rsidR="000C0462">
              <w:rPr>
                <w:noProof/>
                <w:webHidden/>
              </w:rPr>
              <w:instrText xml:space="preserve"> PAGEREF _Toc128393759 \h </w:instrText>
            </w:r>
            <w:r w:rsidR="000C0462">
              <w:rPr>
                <w:noProof/>
                <w:webHidden/>
              </w:rPr>
            </w:r>
            <w:r w:rsidR="000C0462">
              <w:rPr>
                <w:noProof/>
                <w:webHidden/>
              </w:rPr>
              <w:fldChar w:fldCharType="separate"/>
            </w:r>
            <w:r w:rsidR="000C0462">
              <w:rPr>
                <w:noProof/>
                <w:webHidden/>
              </w:rPr>
              <w:t>6</w:t>
            </w:r>
            <w:r w:rsidR="000C0462">
              <w:rPr>
                <w:noProof/>
                <w:webHidden/>
              </w:rPr>
              <w:fldChar w:fldCharType="end"/>
            </w:r>
          </w:hyperlink>
        </w:p>
        <w:p w14:paraId="312F880F" w14:textId="20AA6974" w:rsidR="000C0462" w:rsidRDefault="00000000">
          <w:pPr>
            <w:pStyle w:val="TOC1"/>
            <w:tabs>
              <w:tab w:val="right" w:leader="dot" w:pos="9016"/>
            </w:tabs>
            <w:rPr>
              <w:noProof/>
              <w:sz w:val="22"/>
              <w:lang w:val="en-US" w:eastAsia="en-US"/>
            </w:rPr>
          </w:pPr>
          <w:hyperlink w:anchor="_Toc128393760" w:history="1">
            <w:r w:rsidR="000C0462" w:rsidRPr="009E6248">
              <w:rPr>
                <w:rStyle w:val="Hyperlink"/>
                <w:noProof/>
              </w:rPr>
              <w:t>Task 4 – Reflection</w:t>
            </w:r>
            <w:r w:rsidR="000C0462">
              <w:rPr>
                <w:noProof/>
                <w:webHidden/>
              </w:rPr>
              <w:tab/>
            </w:r>
            <w:r w:rsidR="000C0462">
              <w:rPr>
                <w:noProof/>
                <w:webHidden/>
              </w:rPr>
              <w:fldChar w:fldCharType="begin"/>
            </w:r>
            <w:r w:rsidR="000C0462">
              <w:rPr>
                <w:noProof/>
                <w:webHidden/>
              </w:rPr>
              <w:instrText xml:space="preserve"> PAGEREF _Toc128393760 \h </w:instrText>
            </w:r>
            <w:r w:rsidR="000C0462">
              <w:rPr>
                <w:noProof/>
                <w:webHidden/>
              </w:rPr>
            </w:r>
            <w:r w:rsidR="000C0462">
              <w:rPr>
                <w:noProof/>
                <w:webHidden/>
              </w:rPr>
              <w:fldChar w:fldCharType="separate"/>
            </w:r>
            <w:r w:rsidR="000C0462">
              <w:rPr>
                <w:noProof/>
                <w:webHidden/>
              </w:rPr>
              <w:t>9</w:t>
            </w:r>
            <w:r w:rsidR="000C0462">
              <w:rPr>
                <w:noProof/>
                <w:webHidden/>
              </w:rPr>
              <w:fldChar w:fldCharType="end"/>
            </w:r>
          </w:hyperlink>
        </w:p>
        <w:p w14:paraId="0783862A" w14:textId="27AD420C" w:rsidR="000C0462" w:rsidRDefault="00000000">
          <w:pPr>
            <w:pStyle w:val="TOC1"/>
            <w:tabs>
              <w:tab w:val="right" w:leader="dot" w:pos="9016"/>
            </w:tabs>
            <w:rPr>
              <w:noProof/>
              <w:sz w:val="22"/>
              <w:lang w:val="en-US" w:eastAsia="en-US"/>
            </w:rPr>
          </w:pPr>
          <w:hyperlink w:anchor="_Toc128393761" w:history="1">
            <w:r w:rsidR="000C0462" w:rsidRPr="009E6248">
              <w:rPr>
                <w:rStyle w:val="Hyperlink"/>
                <w:noProof/>
              </w:rPr>
              <w:t>Reference list</w:t>
            </w:r>
            <w:r w:rsidR="000C0462">
              <w:rPr>
                <w:noProof/>
                <w:webHidden/>
              </w:rPr>
              <w:tab/>
            </w:r>
            <w:r w:rsidR="000C0462">
              <w:rPr>
                <w:noProof/>
                <w:webHidden/>
              </w:rPr>
              <w:fldChar w:fldCharType="begin"/>
            </w:r>
            <w:r w:rsidR="000C0462">
              <w:rPr>
                <w:noProof/>
                <w:webHidden/>
              </w:rPr>
              <w:instrText xml:space="preserve"> PAGEREF _Toc128393761 \h </w:instrText>
            </w:r>
            <w:r w:rsidR="000C0462">
              <w:rPr>
                <w:noProof/>
                <w:webHidden/>
              </w:rPr>
            </w:r>
            <w:r w:rsidR="000C0462">
              <w:rPr>
                <w:noProof/>
                <w:webHidden/>
              </w:rPr>
              <w:fldChar w:fldCharType="separate"/>
            </w:r>
            <w:r w:rsidR="000C0462">
              <w:rPr>
                <w:noProof/>
                <w:webHidden/>
              </w:rPr>
              <w:t>11</w:t>
            </w:r>
            <w:r w:rsidR="000C0462">
              <w:rPr>
                <w:noProof/>
                <w:webHidden/>
              </w:rPr>
              <w:fldChar w:fldCharType="end"/>
            </w:r>
          </w:hyperlink>
        </w:p>
        <w:p w14:paraId="67F1FD56" w14:textId="5BBE9D26" w:rsidR="00FA6250" w:rsidRDefault="00FA6250">
          <w:r>
            <w:rPr>
              <w:b/>
              <w:bCs/>
              <w:noProof/>
            </w:rPr>
            <w:fldChar w:fldCharType="end"/>
          </w:r>
        </w:p>
      </w:sdtContent>
    </w:sdt>
    <w:p w14:paraId="65782D1E" w14:textId="18632E9A" w:rsidR="000F56B2" w:rsidRDefault="000F56B2"/>
    <w:p w14:paraId="2FFF8B0F" w14:textId="286C13B1" w:rsidR="00FA6250" w:rsidRDefault="00FA6250"/>
    <w:p w14:paraId="553C24E6" w14:textId="7F605CD9" w:rsidR="00FA6250" w:rsidRDefault="00FA6250"/>
    <w:p w14:paraId="2ED6F41C" w14:textId="075F92A5" w:rsidR="00FA6250" w:rsidRDefault="00FA6250"/>
    <w:p w14:paraId="78896774" w14:textId="4A52D117" w:rsidR="00FA6250" w:rsidRDefault="00FA6250"/>
    <w:p w14:paraId="662C343F" w14:textId="48DD4D5F" w:rsidR="00FA6250" w:rsidRDefault="00FA6250"/>
    <w:p w14:paraId="6CEE1258" w14:textId="0442BC33" w:rsidR="00FA6250" w:rsidRDefault="00FA6250"/>
    <w:p w14:paraId="0F3A9851" w14:textId="55F22035" w:rsidR="00FA6250" w:rsidRDefault="00FA6250"/>
    <w:p w14:paraId="44CA87B7" w14:textId="28C557FD" w:rsidR="00FA6250" w:rsidRDefault="00FA6250"/>
    <w:p w14:paraId="35CD5CF4" w14:textId="2273C087" w:rsidR="00FA6250" w:rsidRDefault="00FA6250"/>
    <w:p w14:paraId="4DADC43F" w14:textId="1E4E907C" w:rsidR="00FA6250" w:rsidRDefault="00FA6250"/>
    <w:p w14:paraId="4709B898" w14:textId="5AFB6700" w:rsidR="00FA6250" w:rsidRDefault="00FA6250"/>
    <w:p w14:paraId="79AB4549" w14:textId="3A8DFD01" w:rsidR="00FA6250" w:rsidRDefault="00FA6250"/>
    <w:p w14:paraId="742FD006" w14:textId="694C6D04" w:rsidR="00FA6250" w:rsidRDefault="00FA6250"/>
    <w:p w14:paraId="33FF0F97" w14:textId="5B05E53A" w:rsidR="00FA6250" w:rsidRDefault="00FA6250"/>
    <w:p w14:paraId="2CAD5D3B" w14:textId="1EA995AC" w:rsidR="00FA6250" w:rsidRDefault="00FA6250" w:rsidP="002A2987">
      <w:pPr>
        <w:pStyle w:val="Heading1"/>
      </w:pPr>
      <w:bookmarkStart w:id="0" w:name="_Toc128393757"/>
      <w:r>
        <w:lastRenderedPageBreak/>
        <w:t xml:space="preserve">Task 1 – </w:t>
      </w:r>
      <w:r w:rsidR="00216AE8">
        <w:t>W</w:t>
      </w:r>
      <w:r>
        <w:t>ritten summary</w:t>
      </w:r>
      <w:r w:rsidR="0073767B">
        <w:t>: Preparing for Higher Education</w:t>
      </w:r>
      <w:bookmarkEnd w:id="0"/>
      <w:r w:rsidR="0073767B">
        <w:t xml:space="preserve"> </w:t>
      </w:r>
    </w:p>
    <w:p w14:paraId="6ADFB795" w14:textId="27D48F76" w:rsidR="0073767B" w:rsidRDefault="00F93473" w:rsidP="0073767B">
      <w:pPr>
        <w:rPr>
          <w:lang w:eastAsia="en-US"/>
        </w:rPr>
      </w:pPr>
      <w:r>
        <w:rPr>
          <w:lang w:eastAsia="en-US"/>
        </w:rPr>
        <w:t xml:space="preserve">Higher education is the stage that makes anyone prepare for future career challenges. Anyone who wants to get admitted to an institution requires to take preparation before starting university life. </w:t>
      </w:r>
      <w:r w:rsidR="0013313A">
        <w:rPr>
          <w:lang w:eastAsia="en-US"/>
        </w:rPr>
        <w:t xml:space="preserve"> Before preparing to </w:t>
      </w:r>
      <w:r w:rsidR="00EE69B5">
        <w:rPr>
          <w:lang w:eastAsia="en-US"/>
        </w:rPr>
        <w:t>start</w:t>
      </w:r>
      <w:r w:rsidR="0013313A">
        <w:rPr>
          <w:lang w:eastAsia="en-US"/>
        </w:rPr>
        <w:t xml:space="preserve"> a university individual requires to do some basic things. The first and foremost task is to make plans for how individuals will select a good institution for study. Anyone can select a good university based on ranking, education system, student feedback, and so o</w:t>
      </w:r>
      <w:r w:rsidR="00D17A1A">
        <w:rPr>
          <w:lang w:eastAsia="en-US"/>
        </w:rPr>
        <w:t>n (Combs et al., 2022)</w:t>
      </w:r>
      <w:r w:rsidR="0013313A">
        <w:rPr>
          <w:lang w:eastAsia="en-US"/>
        </w:rPr>
        <w:t>. A good institution is required for a student to gain a basic understanding of the subject topic and get themselves ready for the future.</w:t>
      </w:r>
      <w:r w:rsidR="003D2DBD">
        <w:rPr>
          <w:lang w:eastAsia="en-US"/>
        </w:rPr>
        <w:t xml:space="preserve"> A good teacher and educational support </w:t>
      </w:r>
      <w:r w:rsidR="00EE69B5">
        <w:rPr>
          <w:lang w:eastAsia="en-US"/>
        </w:rPr>
        <w:t>make</w:t>
      </w:r>
      <w:r w:rsidR="003D2DBD">
        <w:rPr>
          <w:lang w:eastAsia="en-US"/>
        </w:rPr>
        <w:t xml:space="preserve"> a student able to understand any topic easily and apply them in practical life. </w:t>
      </w:r>
      <w:r w:rsidR="0013313A">
        <w:rPr>
          <w:lang w:eastAsia="en-US"/>
        </w:rPr>
        <w:t xml:space="preserve"> The second thing is to focus on the skills. Students who have a basic set of skills like communication skills, time management skills, presentation skills, and report writing skills always perform well both in their academic and professional life. </w:t>
      </w:r>
      <w:r w:rsidR="003D2DBD">
        <w:rPr>
          <w:lang w:eastAsia="en-US"/>
        </w:rPr>
        <w:t xml:space="preserve"> Time management skill is highly needed for students to get themselves prepare to start the university</w:t>
      </w:r>
      <w:r w:rsidR="00FC3FCE">
        <w:rPr>
          <w:lang w:eastAsia="en-US"/>
        </w:rPr>
        <w:t xml:space="preserve"> (Jacoby, 2009). </w:t>
      </w:r>
      <w:r w:rsidR="003D2DBD">
        <w:rPr>
          <w:lang w:eastAsia="en-US"/>
        </w:rPr>
        <w:t xml:space="preserve"> It will help them to set the propriety of work by removing the distractions from the important task. It will also help them to give proper attention to study time </w:t>
      </w:r>
    </w:p>
    <w:p w14:paraId="6A7F8301" w14:textId="1450FC40" w:rsidR="005A0AB7" w:rsidRDefault="005A0AB7" w:rsidP="005A0AB7">
      <w:pPr>
        <w:jc w:val="center"/>
        <w:rPr>
          <w:lang w:eastAsia="en-US"/>
        </w:rPr>
      </w:pPr>
      <w:r w:rsidRPr="005A0AB7">
        <w:rPr>
          <w:noProof/>
          <w:lang w:eastAsia="en-US"/>
        </w:rPr>
        <w:drawing>
          <wp:inline distT="0" distB="0" distL="0" distR="0" wp14:anchorId="01E9D47B" wp14:editId="2C8C0A47">
            <wp:extent cx="3940413" cy="190690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BEBA8EAE-BF5A-486C-A8C5-ECC9F3942E4B}">
                          <a14:imgProps xmlns:a14="http://schemas.microsoft.com/office/drawing/2010/main">
                            <a14:imgLayer r:embed="rId12">
                              <a14:imgEffect>
                                <a14:sharpenSoften amount="50000"/>
                              </a14:imgEffect>
                              <a14:imgEffect>
                                <a14:colorTemperature colorTemp="4700"/>
                              </a14:imgEffect>
                            </a14:imgLayer>
                          </a14:imgProps>
                        </a:ext>
                      </a:extLst>
                    </a:blip>
                    <a:stretch>
                      <a:fillRect/>
                    </a:stretch>
                  </pic:blipFill>
                  <pic:spPr>
                    <a:xfrm>
                      <a:off x="0" y="0"/>
                      <a:ext cx="3942670" cy="1907997"/>
                    </a:xfrm>
                    <a:prstGeom prst="rect">
                      <a:avLst/>
                    </a:prstGeom>
                  </pic:spPr>
                </pic:pic>
              </a:graphicData>
            </a:graphic>
          </wp:inline>
        </w:drawing>
      </w:r>
    </w:p>
    <w:p w14:paraId="00771EF7" w14:textId="3E16F98D" w:rsidR="00F93473" w:rsidRDefault="005A0AB7" w:rsidP="005A0AB7">
      <w:pPr>
        <w:jc w:val="center"/>
        <w:rPr>
          <w:lang w:eastAsia="en-US"/>
        </w:rPr>
      </w:pPr>
      <w:r>
        <w:rPr>
          <w:lang w:eastAsia="en-US"/>
        </w:rPr>
        <w:t>Figure 1: Preparing for higher education</w:t>
      </w:r>
      <w:r w:rsidR="005A1AD7">
        <w:rPr>
          <w:lang w:eastAsia="en-US"/>
        </w:rPr>
        <w:t xml:space="preserve"> (Johnson et al., 2019). </w:t>
      </w:r>
    </w:p>
    <w:p w14:paraId="3F5FEAF5" w14:textId="3027D7A0" w:rsidR="005A0AB7" w:rsidRDefault="005A0AB7" w:rsidP="005A0AB7">
      <w:pPr>
        <w:rPr>
          <w:lang w:eastAsia="en-US"/>
        </w:rPr>
      </w:pPr>
      <w:r>
        <w:rPr>
          <w:lang w:eastAsia="en-US"/>
        </w:rPr>
        <w:t>While preparing for higher education a student needs to set a learning mindset. Higher education makes students capable, skilled, and ready for employment. To raise questions is also a process in higher education and this habit is not developed overnight. It requires practice to make a comfort zone in the university setting and asking questions to the course teachers if the class lecture is not clear enough</w:t>
      </w:r>
      <w:r w:rsidR="00B17E48">
        <w:rPr>
          <w:lang w:eastAsia="en-US"/>
        </w:rPr>
        <w:t xml:space="preserve"> (Ahmad, 2015). </w:t>
      </w:r>
      <w:r>
        <w:rPr>
          <w:lang w:eastAsia="en-US"/>
        </w:rPr>
        <w:t xml:space="preserve"> The next to do as a student before preparing to start university is to become confident and keep the mind curious. A </w:t>
      </w:r>
      <w:r>
        <w:rPr>
          <w:lang w:eastAsia="en-US"/>
        </w:rPr>
        <w:lastRenderedPageBreak/>
        <w:t xml:space="preserve">confident and curious mind helps to perform well in a university. It also makes the learning process interesting and </w:t>
      </w:r>
      <w:r w:rsidR="001852EA">
        <w:rPr>
          <w:lang w:eastAsia="en-US"/>
        </w:rPr>
        <w:t>valuable. However, these are the basics for starting university. A student can make his/her routine for each work, communicate with friends and teachers, seek help from seniors, and take whelp from online sources to make themselves competent enough</w:t>
      </w:r>
      <w:r w:rsidR="007532A3">
        <w:rPr>
          <w:lang w:eastAsia="en-US"/>
        </w:rPr>
        <w:t xml:space="preserve"> (Murtagh, 2012). </w:t>
      </w:r>
      <w:r w:rsidR="001852EA">
        <w:rPr>
          <w:lang w:eastAsia="en-US"/>
        </w:rPr>
        <w:t xml:space="preserve"> They can also work on their skills gaps to overcome any barriers in their study life. However, the more the preparation the more the chance to get into a good university and fill up the dream to perform well. </w:t>
      </w:r>
    </w:p>
    <w:p w14:paraId="0D03970D" w14:textId="5DC6956D" w:rsidR="00F93473" w:rsidRDefault="00F93473" w:rsidP="0073767B">
      <w:pPr>
        <w:rPr>
          <w:lang w:eastAsia="en-US"/>
        </w:rPr>
      </w:pPr>
    </w:p>
    <w:p w14:paraId="265F7048" w14:textId="36635366" w:rsidR="00F93473" w:rsidRDefault="00F93473" w:rsidP="0073767B">
      <w:pPr>
        <w:rPr>
          <w:lang w:eastAsia="en-US"/>
        </w:rPr>
      </w:pPr>
    </w:p>
    <w:p w14:paraId="1B833059" w14:textId="12E273F7" w:rsidR="00F93473" w:rsidRDefault="00F93473" w:rsidP="0073767B">
      <w:pPr>
        <w:rPr>
          <w:lang w:eastAsia="en-US"/>
        </w:rPr>
      </w:pPr>
    </w:p>
    <w:p w14:paraId="148795F6" w14:textId="3090BFEE" w:rsidR="00F93473" w:rsidRDefault="00F93473" w:rsidP="0073767B">
      <w:pPr>
        <w:rPr>
          <w:lang w:eastAsia="en-US"/>
        </w:rPr>
      </w:pPr>
    </w:p>
    <w:p w14:paraId="3C1FE4D4" w14:textId="77777777" w:rsidR="00F93473" w:rsidRPr="0073767B" w:rsidRDefault="00F93473" w:rsidP="0073767B">
      <w:pPr>
        <w:rPr>
          <w:lang w:eastAsia="en-US"/>
        </w:rPr>
      </w:pPr>
    </w:p>
    <w:p w14:paraId="01AA2A91" w14:textId="77777777" w:rsidR="0073767B" w:rsidRPr="0073767B" w:rsidRDefault="0073767B" w:rsidP="0073767B">
      <w:pPr>
        <w:rPr>
          <w:lang w:eastAsia="en-US"/>
        </w:rPr>
      </w:pPr>
    </w:p>
    <w:p w14:paraId="5FBE6596" w14:textId="77777777" w:rsidR="002A2987" w:rsidRPr="002A2987" w:rsidRDefault="002A2987" w:rsidP="002A2987">
      <w:pPr>
        <w:rPr>
          <w:lang w:eastAsia="en-US"/>
        </w:rPr>
      </w:pPr>
    </w:p>
    <w:p w14:paraId="6AEEEB73" w14:textId="77777777" w:rsidR="002A2987" w:rsidRPr="002A2987" w:rsidRDefault="002A2987" w:rsidP="002A2987">
      <w:pPr>
        <w:rPr>
          <w:lang w:eastAsia="en-US"/>
        </w:rPr>
      </w:pPr>
    </w:p>
    <w:p w14:paraId="4B36D0C3" w14:textId="10F3B87C" w:rsidR="00FA6250" w:rsidRDefault="00FA6250" w:rsidP="00FA6250">
      <w:pPr>
        <w:rPr>
          <w:lang w:eastAsia="en-US"/>
        </w:rPr>
      </w:pPr>
    </w:p>
    <w:p w14:paraId="70F9393F" w14:textId="24161BAD" w:rsidR="00FA6250" w:rsidRDefault="00FA6250" w:rsidP="00FA6250">
      <w:pPr>
        <w:rPr>
          <w:lang w:eastAsia="en-US"/>
        </w:rPr>
      </w:pPr>
    </w:p>
    <w:p w14:paraId="7F308400" w14:textId="0344F122" w:rsidR="00FA6250" w:rsidRDefault="00FA6250" w:rsidP="00FA6250">
      <w:pPr>
        <w:rPr>
          <w:lang w:eastAsia="en-US"/>
        </w:rPr>
      </w:pPr>
    </w:p>
    <w:p w14:paraId="06E36605" w14:textId="5CCD77ED" w:rsidR="00FA6250" w:rsidRDefault="00FA6250" w:rsidP="00FA6250">
      <w:pPr>
        <w:rPr>
          <w:lang w:eastAsia="en-US"/>
        </w:rPr>
      </w:pPr>
    </w:p>
    <w:p w14:paraId="517EB314" w14:textId="04A8D7B7" w:rsidR="00FA6250" w:rsidRDefault="00FA6250" w:rsidP="00FA6250">
      <w:pPr>
        <w:rPr>
          <w:lang w:eastAsia="en-US"/>
        </w:rPr>
      </w:pPr>
    </w:p>
    <w:p w14:paraId="5C684BF7" w14:textId="28371D52" w:rsidR="00FA6250" w:rsidRDefault="00FA6250" w:rsidP="00FA6250">
      <w:pPr>
        <w:rPr>
          <w:lang w:eastAsia="en-US"/>
        </w:rPr>
      </w:pPr>
    </w:p>
    <w:p w14:paraId="656C9D6A" w14:textId="12DFE86B" w:rsidR="00FA6250" w:rsidRDefault="00FA6250" w:rsidP="00FA6250">
      <w:pPr>
        <w:rPr>
          <w:lang w:eastAsia="en-US"/>
        </w:rPr>
      </w:pPr>
    </w:p>
    <w:p w14:paraId="32E3FC7B" w14:textId="6F59C995" w:rsidR="00FA6250" w:rsidRDefault="00FA6250" w:rsidP="00FA6250">
      <w:pPr>
        <w:rPr>
          <w:lang w:eastAsia="en-US"/>
        </w:rPr>
      </w:pPr>
    </w:p>
    <w:p w14:paraId="62973D3B" w14:textId="5F14F40C" w:rsidR="00FA6250" w:rsidRDefault="00FA6250" w:rsidP="00FA6250">
      <w:pPr>
        <w:rPr>
          <w:lang w:eastAsia="en-US"/>
        </w:rPr>
      </w:pPr>
    </w:p>
    <w:p w14:paraId="31B18043" w14:textId="4E3750B9" w:rsidR="00FA6250" w:rsidRDefault="00FA6250" w:rsidP="00FA6250">
      <w:pPr>
        <w:pStyle w:val="Heading1"/>
      </w:pPr>
      <w:bookmarkStart w:id="1" w:name="_Toc128393758"/>
      <w:r>
        <w:lastRenderedPageBreak/>
        <w:t xml:space="preserve">Task 2 – </w:t>
      </w:r>
      <w:r w:rsidR="00216AE8">
        <w:t>M</w:t>
      </w:r>
      <w:r>
        <w:t>ind map</w:t>
      </w:r>
      <w:r w:rsidR="006423C6">
        <w:t>: Becoming a digital learner</w:t>
      </w:r>
      <w:bookmarkEnd w:id="1"/>
      <w:r w:rsidR="006423C6">
        <w:t xml:space="preserve"> </w:t>
      </w:r>
    </w:p>
    <w:p w14:paraId="3B20969C" w14:textId="1F837BA8" w:rsidR="00996B65" w:rsidRDefault="00996B65" w:rsidP="00996B65">
      <w:pPr>
        <w:rPr>
          <w:lang w:eastAsia="en-US"/>
        </w:rPr>
      </w:pPr>
      <w:r>
        <w:rPr>
          <w:lang w:eastAsia="en-US"/>
        </w:rPr>
        <w:t xml:space="preserve">Mind mapping is a process of expanding the thinking of a particular issue and </w:t>
      </w:r>
      <w:r w:rsidR="007528C0">
        <w:rPr>
          <w:lang w:eastAsia="en-US"/>
        </w:rPr>
        <w:t>connecting</w:t>
      </w:r>
      <w:r>
        <w:rPr>
          <w:lang w:eastAsia="en-US"/>
        </w:rPr>
        <w:t xml:space="preserve"> it with the main issue. For example, the topic of this mind mapping is to become a digital learner. The </w:t>
      </w:r>
      <w:r w:rsidR="007528C0">
        <w:rPr>
          <w:lang w:eastAsia="en-US"/>
        </w:rPr>
        <w:t>mind-mapping</w:t>
      </w:r>
      <w:r>
        <w:rPr>
          <w:lang w:eastAsia="en-US"/>
        </w:rPr>
        <w:t xml:space="preserve"> process will start by keeping the topic in the middle and then connecting the other things related to it by expanding the ideas</w:t>
      </w:r>
      <w:r w:rsidR="00902D37">
        <w:rPr>
          <w:lang w:eastAsia="en-US"/>
        </w:rPr>
        <w:t xml:space="preserve"> (Buzan, 2006). </w:t>
      </w:r>
      <w:r>
        <w:rPr>
          <w:lang w:eastAsia="en-US"/>
        </w:rPr>
        <w:t xml:space="preserve"> It can also be referred to as brainstorming which brings new ideas for a specific topic and finds effective ways to give concentration on that. However, mind mapping related to the topic is given below: </w:t>
      </w:r>
    </w:p>
    <w:p w14:paraId="255CDA9B" w14:textId="230FF809" w:rsidR="00A37434" w:rsidRDefault="00A37434" w:rsidP="00996B65">
      <w:pPr>
        <w:rPr>
          <w:lang w:eastAsia="en-US"/>
        </w:rPr>
      </w:pPr>
      <w:r w:rsidRPr="00A37434">
        <w:rPr>
          <w:noProof/>
          <w:lang w:eastAsia="en-US"/>
        </w:rPr>
        <w:drawing>
          <wp:inline distT="0" distB="0" distL="0" distR="0" wp14:anchorId="3E571801" wp14:editId="504C0676">
            <wp:extent cx="5731510" cy="2985884"/>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BEBA8EAE-BF5A-486C-A8C5-ECC9F3942E4B}">
                          <a14:imgProps xmlns:a14="http://schemas.microsoft.com/office/drawing/2010/main">
                            <a14:imgLayer r:embed="rId14">
                              <a14:imgEffect>
                                <a14:sharpenSoften amount="50000"/>
                              </a14:imgEffect>
                              <a14:imgEffect>
                                <a14:colorTemperature colorTemp="7200"/>
                              </a14:imgEffect>
                            </a14:imgLayer>
                          </a14:imgProps>
                        </a:ext>
                      </a:extLst>
                    </a:blip>
                    <a:stretch>
                      <a:fillRect/>
                    </a:stretch>
                  </pic:blipFill>
                  <pic:spPr>
                    <a:xfrm>
                      <a:off x="0" y="0"/>
                      <a:ext cx="5736979" cy="2988733"/>
                    </a:xfrm>
                    <a:prstGeom prst="rect">
                      <a:avLst/>
                    </a:prstGeom>
                  </pic:spPr>
                </pic:pic>
              </a:graphicData>
            </a:graphic>
          </wp:inline>
        </w:drawing>
      </w:r>
    </w:p>
    <w:p w14:paraId="36AB34B5" w14:textId="6E8B1015" w:rsidR="00525E49" w:rsidRDefault="00525E49" w:rsidP="00525E49">
      <w:pPr>
        <w:jc w:val="center"/>
        <w:rPr>
          <w:lang w:eastAsia="en-US"/>
        </w:rPr>
      </w:pPr>
      <w:r>
        <w:rPr>
          <w:lang w:eastAsia="en-US"/>
        </w:rPr>
        <w:t>Figure 2: Mind Map (self-made)</w:t>
      </w:r>
    </w:p>
    <w:p w14:paraId="6053BDF3" w14:textId="645845A6" w:rsidR="00A37434" w:rsidRPr="00996B65" w:rsidRDefault="00A37434" w:rsidP="00996B65">
      <w:pPr>
        <w:rPr>
          <w:lang w:eastAsia="en-US"/>
        </w:rPr>
      </w:pPr>
      <w:r>
        <w:rPr>
          <w:lang w:eastAsia="en-US"/>
        </w:rPr>
        <w:t xml:space="preserve">To become a digital learner, a mind map considering the other related factors </w:t>
      </w:r>
      <w:r w:rsidR="007528C0">
        <w:rPr>
          <w:lang w:eastAsia="en-US"/>
        </w:rPr>
        <w:t>has</w:t>
      </w:r>
      <w:r>
        <w:rPr>
          <w:lang w:eastAsia="en-US"/>
        </w:rPr>
        <w:t xml:space="preserve"> been prepared. A digital learner requires basic and advanced level skills to operate the latest technologies. </w:t>
      </w:r>
      <w:r w:rsidR="00A7358F">
        <w:rPr>
          <w:lang w:eastAsia="en-US"/>
        </w:rPr>
        <w:t xml:space="preserve">The first concept is about the knowledge to use digital technologies like mobile, social media, and artificial intelligence. It helps </w:t>
      </w:r>
      <w:r w:rsidR="006B677F">
        <w:rPr>
          <w:lang w:eastAsia="en-US"/>
        </w:rPr>
        <w:t>learners</w:t>
      </w:r>
      <w:r w:rsidR="00A7358F">
        <w:rPr>
          <w:lang w:eastAsia="en-US"/>
        </w:rPr>
        <w:t xml:space="preserve"> to use different platforms for learning and it is related to the given topic</w:t>
      </w:r>
      <w:r w:rsidR="00F632E9">
        <w:rPr>
          <w:lang w:eastAsia="en-US"/>
        </w:rPr>
        <w:t xml:space="preserve"> (Martens et al., 2019). </w:t>
      </w:r>
      <w:r w:rsidR="006B677F">
        <w:rPr>
          <w:lang w:eastAsia="en-US"/>
        </w:rPr>
        <w:t>The second concept is about learning source selection. Anyone can learn both from online and offline sources</w:t>
      </w:r>
      <w:r w:rsidR="00333045">
        <w:rPr>
          <w:lang w:eastAsia="en-US"/>
        </w:rPr>
        <w:t xml:space="preserve">. Online sources for digital </w:t>
      </w:r>
      <w:r w:rsidR="005E49C9">
        <w:rPr>
          <w:lang w:eastAsia="en-US"/>
        </w:rPr>
        <w:t>learners</w:t>
      </w:r>
      <w:r w:rsidR="00333045">
        <w:rPr>
          <w:lang w:eastAsia="en-US"/>
        </w:rPr>
        <w:t xml:space="preserve"> are many such as Udemy, SkillShare, and Coursera. On the other hand, offline courses like training and workshop </w:t>
      </w:r>
      <w:r w:rsidR="005E49C9">
        <w:rPr>
          <w:lang w:eastAsia="en-US"/>
        </w:rPr>
        <w:t>are</w:t>
      </w:r>
      <w:r w:rsidR="00333045">
        <w:rPr>
          <w:lang w:eastAsia="en-US"/>
        </w:rPr>
        <w:t xml:space="preserve"> also a source of learning. There remain online learning platforms </w:t>
      </w:r>
      <w:r w:rsidR="003935AC">
        <w:rPr>
          <w:lang w:eastAsia="en-US"/>
        </w:rPr>
        <w:t>in</w:t>
      </w:r>
      <w:r w:rsidR="00333045">
        <w:rPr>
          <w:lang w:eastAsia="en-US"/>
        </w:rPr>
        <w:t xml:space="preserve"> the university setting to help students become digital </w:t>
      </w:r>
      <w:r w:rsidR="003935AC">
        <w:rPr>
          <w:lang w:eastAsia="en-US"/>
        </w:rPr>
        <w:t>learners</w:t>
      </w:r>
      <w:r w:rsidR="00333045">
        <w:rPr>
          <w:lang w:eastAsia="en-US"/>
        </w:rPr>
        <w:t xml:space="preserve">.  </w:t>
      </w:r>
      <w:r w:rsidR="003935AC">
        <w:rPr>
          <w:lang w:eastAsia="en-US"/>
        </w:rPr>
        <w:t xml:space="preserve">University takes online classes through Zoom App, </w:t>
      </w:r>
      <w:r w:rsidR="00830E44">
        <w:rPr>
          <w:lang w:eastAsia="en-US"/>
        </w:rPr>
        <w:t xml:space="preserve">and </w:t>
      </w:r>
      <w:r w:rsidR="003935AC">
        <w:rPr>
          <w:lang w:eastAsia="en-US"/>
        </w:rPr>
        <w:t xml:space="preserve">Google classroom, and also offers an online library </w:t>
      </w:r>
      <w:r w:rsidR="003935AC">
        <w:rPr>
          <w:lang w:eastAsia="en-US"/>
        </w:rPr>
        <w:lastRenderedPageBreak/>
        <w:t>facility to help the digital learner</w:t>
      </w:r>
      <w:r w:rsidR="00B77F6A">
        <w:rPr>
          <w:lang w:eastAsia="en-US"/>
        </w:rPr>
        <w:t xml:space="preserve"> (Erstad et al., 2013). </w:t>
      </w:r>
      <w:r w:rsidR="003935AC">
        <w:rPr>
          <w:lang w:eastAsia="en-US"/>
        </w:rPr>
        <w:t xml:space="preserve"> </w:t>
      </w:r>
      <w:r w:rsidR="007E4754">
        <w:rPr>
          <w:lang w:eastAsia="en-US"/>
        </w:rPr>
        <w:t xml:space="preserve"> To become digital </w:t>
      </w:r>
      <w:r w:rsidR="005E49C9">
        <w:rPr>
          <w:lang w:eastAsia="en-US"/>
        </w:rPr>
        <w:t>learners’</w:t>
      </w:r>
      <w:r w:rsidR="007E4754">
        <w:rPr>
          <w:lang w:eastAsia="en-US"/>
        </w:rPr>
        <w:t xml:space="preserve"> students also need supporting tools like </w:t>
      </w:r>
      <w:r w:rsidR="005E49C9">
        <w:rPr>
          <w:lang w:eastAsia="en-US"/>
        </w:rPr>
        <w:t>computers</w:t>
      </w:r>
      <w:r w:rsidR="00830E44">
        <w:rPr>
          <w:lang w:eastAsia="en-US"/>
        </w:rPr>
        <w:t>, m</w:t>
      </w:r>
      <w:r w:rsidR="005E49C9">
        <w:rPr>
          <w:lang w:eastAsia="en-US"/>
        </w:rPr>
        <w:t xml:space="preserve">obile phones, desktops, or microphones to give concentration on learning. The most important thing is </w:t>
      </w:r>
      <w:r w:rsidR="008E1166">
        <w:rPr>
          <w:lang w:eastAsia="en-US"/>
        </w:rPr>
        <w:t>to get support</w:t>
      </w:r>
      <w:r w:rsidR="005E49C9">
        <w:rPr>
          <w:lang w:eastAsia="en-US"/>
        </w:rPr>
        <w:t xml:space="preserve"> both </w:t>
      </w:r>
      <w:r w:rsidR="008E1166">
        <w:rPr>
          <w:lang w:eastAsia="en-US"/>
        </w:rPr>
        <w:t xml:space="preserve">from </w:t>
      </w:r>
      <w:r w:rsidR="005E49C9">
        <w:rPr>
          <w:lang w:eastAsia="en-US"/>
        </w:rPr>
        <w:t xml:space="preserve">the family and teachers that encourage </w:t>
      </w:r>
      <w:r w:rsidR="008E1166">
        <w:rPr>
          <w:lang w:eastAsia="en-US"/>
        </w:rPr>
        <w:t>learners</w:t>
      </w:r>
      <w:r w:rsidR="005E49C9">
        <w:rPr>
          <w:lang w:eastAsia="en-US"/>
        </w:rPr>
        <w:t xml:space="preserve"> to learn. </w:t>
      </w:r>
      <w:r w:rsidR="008E1166">
        <w:rPr>
          <w:lang w:eastAsia="en-US"/>
        </w:rPr>
        <w:t>All of these things are interconnected with the main theme of becoming a digital learner. Anyone who has experienced digital learning or thinking to learn will get benefit both in academic study and future career</w:t>
      </w:r>
      <w:r w:rsidR="003B3813">
        <w:rPr>
          <w:lang w:eastAsia="en-US"/>
        </w:rPr>
        <w:t xml:space="preserve"> (Vander, 2011). </w:t>
      </w:r>
      <w:r w:rsidR="008E1166">
        <w:rPr>
          <w:lang w:eastAsia="en-US"/>
        </w:rPr>
        <w:t xml:space="preserve"> The knowledge about digital </w:t>
      </w:r>
      <w:r w:rsidR="00390633">
        <w:rPr>
          <w:lang w:eastAsia="en-US"/>
        </w:rPr>
        <w:t>learning</w:t>
      </w:r>
      <w:r w:rsidR="008E1166">
        <w:rPr>
          <w:lang w:eastAsia="en-US"/>
        </w:rPr>
        <w:t xml:space="preserve"> will enable a student to use the technologies properly to attend classes online and </w:t>
      </w:r>
      <w:r w:rsidR="00390633">
        <w:rPr>
          <w:lang w:eastAsia="en-US"/>
        </w:rPr>
        <w:t>submit</w:t>
      </w:r>
      <w:r w:rsidR="008E1166">
        <w:rPr>
          <w:lang w:eastAsia="en-US"/>
        </w:rPr>
        <w:t xml:space="preserve"> the </w:t>
      </w:r>
      <w:r w:rsidR="00390633">
        <w:rPr>
          <w:lang w:eastAsia="en-US"/>
        </w:rPr>
        <w:t>assignments</w:t>
      </w:r>
      <w:r w:rsidR="008E1166">
        <w:rPr>
          <w:lang w:eastAsia="en-US"/>
        </w:rPr>
        <w:t xml:space="preserve"> work in due time. Furthermore, it will also help to make good career progress by applying the </w:t>
      </w:r>
      <w:r w:rsidR="00390633">
        <w:rPr>
          <w:lang w:eastAsia="en-US"/>
        </w:rPr>
        <w:t xml:space="preserve">digital learning knowledge to think and work differently from others. </w:t>
      </w:r>
    </w:p>
    <w:p w14:paraId="657D5EA9" w14:textId="15A55A21" w:rsidR="00FA6250" w:rsidRDefault="00FA6250" w:rsidP="00FA6250">
      <w:pPr>
        <w:rPr>
          <w:lang w:eastAsia="en-US"/>
        </w:rPr>
      </w:pPr>
    </w:p>
    <w:p w14:paraId="037F6A93" w14:textId="4A2840ED" w:rsidR="00FA6250" w:rsidRDefault="00FA6250" w:rsidP="00FA6250">
      <w:pPr>
        <w:rPr>
          <w:lang w:eastAsia="en-US"/>
        </w:rPr>
      </w:pPr>
    </w:p>
    <w:p w14:paraId="054F8E6E" w14:textId="5817CCA1" w:rsidR="00FA6250" w:rsidRDefault="00FA6250" w:rsidP="00FA6250">
      <w:pPr>
        <w:rPr>
          <w:lang w:eastAsia="en-US"/>
        </w:rPr>
      </w:pPr>
    </w:p>
    <w:p w14:paraId="24121EF2" w14:textId="6639F750" w:rsidR="00FA6250" w:rsidRDefault="00FA6250" w:rsidP="00FA6250">
      <w:pPr>
        <w:rPr>
          <w:lang w:eastAsia="en-US"/>
        </w:rPr>
      </w:pPr>
    </w:p>
    <w:p w14:paraId="58D1AA41" w14:textId="7E7D528E" w:rsidR="00FA6250" w:rsidRDefault="00FA6250" w:rsidP="00FA6250">
      <w:pPr>
        <w:rPr>
          <w:lang w:eastAsia="en-US"/>
        </w:rPr>
      </w:pPr>
    </w:p>
    <w:p w14:paraId="28D514B6" w14:textId="11885F2A" w:rsidR="00FA6250" w:rsidRDefault="00FA6250" w:rsidP="00FA6250">
      <w:pPr>
        <w:rPr>
          <w:lang w:eastAsia="en-US"/>
        </w:rPr>
      </w:pPr>
    </w:p>
    <w:p w14:paraId="37B787F4" w14:textId="16E7703D" w:rsidR="00FA6250" w:rsidRDefault="00FA6250" w:rsidP="00FA6250">
      <w:pPr>
        <w:rPr>
          <w:lang w:eastAsia="en-US"/>
        </w:rPr>
      </w:pPr>
    </w:p>
    <w:p w14:paraId="47C98A68" w14:textId="19CFA51B" w:rsidR="00FA6250" w:rsidRDefault="00FA6250" w:rsidP="00FA6250">
      <w:pPr>
        <w:rPr>
          <w:lang w:eastAsia="en-US"/>
        </w:rPr>
      </w:pPr>
    </w:p>
    <w:p w14:paraId="4DFDB0CF" w14:textId="1874D14A" w:rsidR="00FA6250" w:rsidRDefault="00FA6250" w:rsidP="00FA6250">
      <w:pPr>
        <w:rPr>
          <w:lang w:eastAsia="en-US"/>
        </w:rPr>
      </w:pPr>
    </w:p>
    <w:p w14:paraId="548DC06D" w14:textId="5D1BE672" w:rsidR="00FA6250" w:rsidRDefault="00FA6250" w:rsidP="00FA6250">
      <w:pPr>
        <w:rPr>
          <w:lang w:eastAsia="en-US"/>
        </w:rPr>
      </w:pPr>
    </w:p>
    <w:p w14:paraId="12647CE2" w14:textId="341798EF" w:rsidR="00FA6250" w:rsidRDefault="00FA6250" w:rsidP="00FA6250">
      <w:pPr>
        <w:rPr>
          <w:lang w:eastAsia="en-US"/>
        </w:rPr>
      </w:pPr>
    </w:p>
    <w:p w14:paraId="0852D076" w14:textId="6C13E4DA" w:rsidR="00FA6250" w:rsidRDefault="00FA6250" w:rsidP="00FA6250">
      <w:pPr>
        <w:rPr>
          <w:lang w:eastAsia="en-US"/>
        </w:rPr>
      </w:pPr>
    </w:p>
    <w:p w14:paraId="523F82EB" w14:textId="698E57CC" w:rsidR="00FA6250" w:rsidRDefault="00FA6250" w:rsidP="00FA6250">
      <w:pPr>
        <w:rPr>
          <w:lang w:eastAsia="en-US"/>
        </w:rPr>
      </w:pPr>
    </w:p>
    <w:p w14:paraId="14CB1291" w14:textId="4D93F5E7" w:rsidR="00FA6250" w:rsidRDefault="00FA6250" w:rsidP="00FA6250">
      <w:pPr>
        <w:rPr>
          <w:lang w:eastAsia="en-US"/>
        </w:rPr>
      </w:pPr>
    </w:p>
    <w:p w14:paraId="4D734B28" w14:textId="639B1072" w:rsidR="00FA6250" w:rsidRDefault="00FA6250" w:rsidP="00FA6250">
      <w:pPr>
        <w:pStyle w:val="Heading1"/>
      </w:pPr>
      <w:bookmarkStart w:id="2" w:name="_Toc128393759"/>
      <w:r>
        <w:lastRenderedPageBreak/>
        <w:t xml:space="preserve">Task 3 – </w:t>
      </w:r>
      <w:r w:rsidR="00216AE8">
        <w:t>P</w:t>
      </w:r>
      <w:r>
        <w:t>resentation</w:t>
      </w:r>
      <w:bookmarkEnd w:id="2"/>
    </w:p>
    <w:p w14:paraId="58052FD2" w14:textId="5C1D628C" w:rsidR="00FA6250" w:rsidRDefault="006A5CC5" w:rsidP="00FA6250">
      <w:pPr>
        <w:rPr>
          <w:lang w:eastAsia="en-US"/>
        </w:rPr>
      </w:pPr>
      <w:r w:rsidRPr="006A5CC5">
        <w:rPr>
          <w:noProof/>
          <w:lang w:eastAsia="en-US"/>
        </w:rPr>
        <w:drawing>
          <wp:inline distT="0" distB="0" distL="0" distR="0" wp14:anchorId="72616460" wp14:editId="108F14CB">
            <wp:extent cx="5731510" cy="3212465"/>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12465"/>
                    </a:xfrm>
                    <a:prstGeom prst="rect">
                      <a:avLst/>
                    </a:prstGeom>
                  </pic:spPr>
                </pic:pic>
              </a:graphicData>
            </a:graphic>
          </wp:inline>
        </w:drawing>
      </w:r>
    </w:p>
    <w:p w14:paraId="6E5A748A" w14:textId="62B67CF9" w:rsidR="006A5CC5" w:rsidRDefault="006A5CC5" w:rsidP="00FA6250">
      <w:pPr>
        <w:rPr>
          <w:lang w:eastAsia="en-US"/>
        </w:rPr>
      </w:pPr>
      <w:r w:rsidRPr="006A5CC5">
        <w:rPr>
          <w:noProof/>
          <w:lang w:eastAsia="en-US"/>
        </w:rPr>
        <w:drawing>
          <wp:inline distT="0" distB="0" distL="0" distR="0" wp14:anchorId="0DE53A0C" wp14:editId="0C384733">
            <wp:extent cx="5731510" cy="320484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04845"/>
                    </a:xfrm>
                    <a:prstGeom prst="rect">
                      <a:avLst/>
                    </a:prstGeom>
                  </pic:spPr>
                </pic:pic>
              </a:graphicData>
            </a:graphic>
          </wp:inline>
        </w:drawing>
      </w:r>
    </w:p>
    <w:p w14:paraId="79BC4522" w14:textId="77777777" w:rsidR="006A5CC5" w:rsidRDefault="006A5CC5" w:rsidP="006A5CC5">
      <w:r>
        <w:rPr>
          <w:lang w:eastAsia="en-US"/>
        </w:rPr>
        <w:t xml:space="preserve">Speaker Notes: </w:t>
      </w:r>
      <w:r>
        <w:t xml:space="preserve">As a person, I am social in nature and this makes me feel worthy to live. I love to communicate with everyone and keep empathy for every people in their good and bad times. This has helped me to create a personal identity among the people I live.  I have developed some beliefs inside me and this has always helped me. I believe in honesty, hard work with full dedication. I also believe in self-care and maintaining ethics while doing any set of tasks. </w:t>
      </w:r>
    </w:p>
    <w:p w14:paraId="105D86FD" w14:textId="2B29F5BE" w:rsidR="006A5CC5" w:rsidRDefault="006A5CC5" w:rsidP="00FA6250">
      <w:pPr>
        <w:rPr>
          <w:lang w:eastAsia="en-US"/>
        </w:rPr>
      </w:pPr>
      <w:r w:rsidRPr="006A5CC5">
        <w:rPr>
          <w:noProof/>
          <w:lang w:eastAsia="en-US"/>
        </w:rPr>
        <w:lastRenderedPageBreak/>
        <w:drawing>
          <wp:inline distT="0" distB="0" distL="0" distR="0" wp14:anchorId="3E683E57" wp14:editId="2218C428">
            <wp:extent cx="5731510" cy="320230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02305"/>
                    </a:xfrm>
                    <a:prstGeom prst="rect">
                      <a:avLst/>
                    </a:prstGeom>
                  </pic:spPr>
                </pic:pic>
              </a:graphicData>
            </a:graphic>
          </wp:inline>
        </w:drawing>
      </w:r>
    </w:p>
    <w:p w14:paraId="4662EB64" w14:textId="77777777" w:rsidR="006A5CC5" w:rsidRDefault="006A5CC5" w:rsidP="006A5CC5">
      <w:r>
        <w:rPr>
          <w:lang w:eastAsia="en-US"/>
        </w:rPr>
        <w:t xml:space="preserve">Speaker Notes: </w:t>
      </w:r>
      <w:r>
        <w:t xml:space="preserve">I have some values and I follow those strongly. I emphasized freedom and which is highly needed by anyone. I value wisdom and love to stay with those. I also value trust, modesty, and team spirit. I think team spirit helps to perform well in teamwork. I have also some skills like communication, presentation, and teamwork. These have always helped me. </w:t>
      </w:r>
    </w:p>
    <w:p w14:paraId="03C5513E" w14:textId="68D3411D" w:rsidR="006A5CC5" w:rsidRDefault="006A5CC5" w:rsidP="00FA6250">
      <w:pPr>
        <w:rPr>
          <w:lang w:eastAsia="en-US"/>
        </w:rPr>
      </w:pPr>
      <w:r w:rsidRPr="006A5CC5">
        <w:rPr>
          <w:noProof/>
          <w:lang w:eastAsia="en-US"/>
        </w:rPr>
        <w:drawing>
          <wp:inline distT="0" distB="0" distL="0" distR="0" wp14:anchorId="0B75E602" wp14:editId="4FB04DA9">
            <wp:extent cx="5731510" cy="3196590"/>
            <wp:effectExtent l="0" t="0" r="254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196590"/>
                    </a:xfrm>
                    <a:prstGeom prst="rect">
                      <a:avLst/>
                    </a:prstGeom>
                  </pic:spPr>
                </pic:pic>
              </a:graphicData>
            </a:graphic>
          </wp:inline>
        </w:drawing>
      </w:r>
    </w:p>
    <w:p w14:paraId="48AF6F77" w14:textId="1676D1E8" w:rsidR="006A5CC5" w:rsidRDefault="006A5CC5" w:rsidP="006A5CC5">
      <w:r>
        <w:t xml:space="preserve">Speaker Notes: My identity has helped me to become a team player. Communication skill has helped me to talk with team members and discuss the work in detail. Hard work and </w:t>
      </w:r>
      <w:r>
        <w:lastRenderedPageBreak/>
        <w:t xml:space="preserve">dedication to perform well as a team helped me to become a good team player. On the other hand, my motivation skill, and team spirit mentality supported me to give my best as a team player and get good remarks from the whole team. </w:t>
      </w:r>
    </w:p>
    <w:p w14:paraId="675F752A" w14:textId="4AF76828" w:rsidR="006A5CC5" w:rsidRDefault="006A5CC5" w:rsidP="006A5CC5">
      <w:r w:rsidRPr="006A5CC5">
        <w:rPr>
          <w:noProof/>
        </w:rPr>
        <w:drawing>
          <wp:inline distT="0" distB="0" distL="0" distR="0" wp14:anchorId="1063AF0F" wp14:editId="4DB55994">
            <wp:extent cx="5731510" cy="3195955"/>
            <wp:effectExtent l="0" t="0" r="254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195955"/>
                    </a:xfrm>
                    <a:prstGeom prst="rect">
                      <a:avLst/>
                    </a:prstGeom>
                  </pic:spPr>
                </pic:pic>
              </a:graphicData>
            </a:graphic>
          </wp:inline>
        </w:drawing>
      </w:r>
    </w:p>
    <w:p w14:paraId="100B09EE" w14:textId="1288A5B6" w:rsidR="00FA6250" w:rsidRDefault="00FA6250" w:rsidP="00FA6250">
      <w:pPr>
        <w:rPr>
          <w:lang w:eastAsia="en-US"/>
        </w:rPr>
      </w:pPr>
    </w:p>
    <w:p w14:paraId="1F49FE14" w14:textId="74A4F943" w:rsidR="00FA6250" w:rsidRDefault="00FA6250" w:rsidP="00FA6250">
      <w:pPr>
        <w:rPr>
          <w:lang w:eastAsia="en-US"/>
        </w:rPr>
      </w:pPr>
    </w:p>
    <w:p w14:paraId="77FB81C9" w14:textId="06AF055E" w:rsidR="00FA6250" w:rsidRDefault="00FA6250" w:rsidP="00FA6250">
      <w:pPr>
        <w:rPr>
          <w:lang w:eastAsia="en-US"/>
        </w:rPr>
      </w:pPr>
    </w:p>
    <w:p w14:paraId="036D98AE" w14:textId="1E870129" w:rsidR="00FA6250" w:rsidRDefault="00FA6250" w:rsidP="00FA6250">
      <w:pPr>
        <w:rPr>
          <w:lang w:eastAsia="en-US"/>
        </w:rPr>
      </w:pPr>
    </w:p>
    <w:p w14:paraId="3C445358" w14:textId="243E1B75" w:rsidR="00FA6250" w:rsidRDefault="00FA6250" w:rsidP="00FA6250">
      <w:pPr>
        <w:rPr>
          <w:lang w:eastAsia="en-US"/>
        </w:rPr>
      </w:pPr>
    </w:p>
    <w:p w14:paraId="7DB00BBA" w14:textId="65BECF8F" w:rsidR="00FA6250" w:rsidRDefault="00FA6250" w:rsidP="00FA6250">
      <w:pPr>
        <w:rPr>
          <w:lang w:eastAsia="en-US"/>
        </w:rPr>
      </w:pPr>
    </w:p>
    <w:p w14:paraId="642D9DDA" w14:textId="450DAC88" w:rsidR="00FA6250" w:rsidRDefault="00FA6250" w:rsidP="00FA6250">
      <w:pPr>
        <w:rPr>
          <w:lang w:eastAsia="en-US"/>
        </w:rPr>
      </w:pPr>
    </w:p>
    <w:p w14:paraId="38A0AC4E" w14:textId="06FF1072" w:rsidR="00FA6250" w:rsidRDefault="00FA6250" w:rsidP="00FA6250">
      <w:pPr>
        <w:rPr>
          <w:lang w:eastAsia="en-US"/>
        </w:rPr>
      </w:pPr>
    </w:p>
    <w:p w14:paraId="02268C4E" w14:textId="1BE14A3B" w:rsidR="00FA6250" w:rsidRDefault="00FA6250" w:rsidP="00FA6250">
      <w:pPr>
        <w:rPr>
          <w:lang w:eastAsia="en-US"/>
        </w:rPr>
      </w:pPr>
    </w:p>
    <w:p w14:paraId="2CE96E43" w14:textId="1237CCFF" w:rsidR="00FA6250" w:rsidRDefault="00FA6250" w:rsidP="00FA6250">
      <w:pPr>
        <w:rPr>
          <w:lang w:eastAsia="en-US"/>
        </w:rPr>
      </w:pPr>
    </w:p>
    <w:p w14:paraId="01BFFF26" w14:textId="3DAC043C" w:rsidR="00FA6250" w:rsidRDefault="00FA6250" w:rsidP="00FA6250">
      <w:pPr>
        <w:rPr>
          <w:lang w:eastAsia="en-US"/>
        </w:rPr>
      </w:pPr>
    </w:p>
    <w:p w14:paraId="168EB601" w14:textId="1CE71B03" w:rsidR="00FA6250" w:rsidRDefault="00FA6250" w:rsidP="00FA6250">
      <w:pPr>
        <w:pStyle w:val="Heading1"/>
      </w:pPr>
      <w:bookmarkStart w:id="3" w:name="_Toc128393760"/>
      <w:r>
        <w:lastRenderedPageBreak/>
        <w:t xml:space="preserve">Task 4 – </w:t>
      </w:r>
      <w:r w:rsidR="00216AE8">
        <w:t>R</w:t>
      </w:r>
      <w:r>
        <w:t>eflection</w:t>
      </w:r>
      <w:bookmarkEnd w:id="3"/>
    </w:p>
    <w:p w14:paraId="6770584D" w14:textId="06E0F896" w:rsidR="00FA6250" w:rsidRDefault="00CA42D3" w:rsidP="00FA6250">
      <w:pPr>
        <w:rPr>
          <w:lang w:eastAsia="en-US"/>
        </w:rPr>
      </w:pPr>
      <w:r>
        <w:rPr>
          <w:lang w:eastAsia="en-US"/>
        </w:rPr>
        <w:t xml:space="preserve">Reflection on learning helps to describe the situation and supports doing the same thing in a better way in </w:t>
      </w:r>
      <w:r w:rsidR="00525E49">
        <w:rPr>
          <w:lang w:eastAsia="en-US"/>
        </w:rPr>
        <w:t xml:space="preserve">the </w:t>
      </w:r>
      <w:r>
        <w:rPr>
          <w:lang w:eastAsia="en-US"/>
        </w:rPr>
        <w:t xml:space="preserve">future. I will be using Borton’s </w:t>
      </w:r>
      <w:r w:rsidR="000F7DB7">
        <w:rPr>
          <w:lang w:eastAsia="en-US"/>
        </w:rPr>
        <w:t xml:space="preserve">reflective cycle to describe my experience of starting university along with the learning and future course of action. </w:t>
      </w:r>
    </w:p>
    <w:p w14:paraId="3B50BCAF" w14:textId="381025F6" w:rsidR="00525E49" w:rsidRDefault="00525E49" w:rsidP="00525E49">
      <w:pPr>
        <w:jc w:val="center"/>
        <w:rPr>
          <w:lang w:eastAsia="en-US"/>
        </w:rPr>
      </w:pPr>
      <w:r w:rsidRPr="00525E49">
        <w:rPr>
          <w:noProof/>
          <w:lang w:eastAsia="en-US"/>
        </w:rPr>
        <w:drawing>
          <wp:inline distT="0" distB="0" distL="0" distR="0" wp14:anchorId="69D4344C" wp14:editId="02DE3E7D">
            <wp:extent cx="3028618" cy="2681167"/>
            <wp:effectExtent l="0" t="0" r="635"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040315" cy="2691522"/>
                    </a:xfrm>
                    <a:prstGeom prst="rect">
                      <a:avLst/>
                    </a:prstGeom>
                  </pic:spPr>
                </pic:pic>
              </a:graphicData>
            </a:graphic>
          </wp:inline>
        </w:drawing>
      </w:r>
    </w:p>
    <w:p w14:paraId="5E8D0D15" w14:textId="0538AF73" w:rsidR="000750A9" w:rsidRDefault="000750A9" w:rsidP="00525E49">
      <w:pPr>
        <w:jc w:val="center"/>
        <w:rPr>
          <w:lang w:eastAsia="en-US"/>
        </w:rPr>
      </w:pPr>
      <w:r>
        <w:rPr>
          <w:lang w:eastAsia="en-US"/>
        </w:rPr>
        <w:t xml:space="preserve">Figure 3: Borton’s reflective cycle </w:t>
      </w:r>
      <w:r w:rsidR="002C451B">
        <w:rPr>
          <w:lang w:eastAsia="en-US"/>
        </w:rPr>
        <w:t xml:space="preserve">(Lucas, 2012). </w:t>
      </w:r>
    </w:p>
    <w:p w14:paraId="23842FF4" w14:textId="2307A965" w:rsidR="000750A9" w:rsidRDefault="000750A9" w:rsidP="000750A9">
      <w:pPr>
        <w:rPr>
          <w:lang w:eastAsia="en-US"/>
        </w:rPr>
      </w:pPr>
      <w:r>
        <w:rPr>
          <w:lang w:eastAsia="en-US"/>
        </w:rPr>
        <w:t xml:space="preserve">This reflective cycle has three parts that help to describe an experience in a better way. I will be following those three steps to describe my experience. </w:t>
      </w:r>
    </w:p>
    <w:p w14:paraId="77FA4940" w14:textId="0020A863" w:rsidR="000750A9" w:rsidRDefault="000750A9" w:rsidP="000750A9">
      <w:pPr>
        <w:rPr>
          <w:lang w:eastAsia="en-US"/>
        </w:rPr>
      </w:pPr>
      <w:r>
        <w:rPr>
          <w:lang w:eastAsia="en-US"/>
        </w:rPr>
        <w:t>What: The first stage helps to describe what happened in that situation. The experience is about my starting at the university. I started to go to a university. I have faced many things while starting the university</w:t>
      </w:r>
      <w:r w:rsidR="0059705C">
        <w:rPr>
          <w:lang w:eastAsia="en-US"/>
        </w:rPr>
        <w:t xml:space="preserve"> (Beddoes et al., 2007). </w:t>
      </w:r>
      <w:r>
        <w:rPr>
          <w:lang w:eastAsia="en-US"/>
        </w:rPr>
        <w:t xml:space="preserve"> I have made a routine for my learning, joined online classes, and wrote my first assignment. The journey was not easy at all because I faced many problems and something did not go well as I planned. One thing I can say is that I have learned many new things from this university. </w:t>
      </w:r>
    </w:p>
    <w:p w14:paraId="39DF394B" w14:textId="2E9DD3ED" w:rsidR="007601A2" w:rsidRDefault="007601A2" w:rsidP="000750A9">
      <w:pPr>
        <w:rPr>
          <w:lang w:eastAsia="en-US"/>
        </w:rPr>
      </w:pPr>
      <w:r>
        <w:rPr>
          <w:lang w:eastAsia="en-US"/>
        </w:rPr>
        <w:t xml:space="preserve">So What: The next stage of this reflective cycle is so what which helps to describe the feeling and learning in detail. When I first started university, I was quite shy and nervous as it was a completely new place for me. </w:t>
      </w:r>
      <w:r w:rsidR="0042081A">
        <w:rPr>
          <w:lang w:eastAsia="en-US"/>
        </w:rPr>
        <w:t>I made some friends with the same personality. I made a new routine for learning. I made a study schedule and fixed time for each course to make the best use of my learning</w:t>
      </w:r>
      <w:r w:rsidR="00F84B31">
        <w:rPr>
          <w:lang w:eastAsia="en-US"/>
        </w:rPr>
        <w:t xml:space="preserve"> (Sicora, 2010).</w:t>
      </w:r>
      <w:r w:rsidR="00B83EA3">
        <w:rPr>
          <w:lang w:eastAsia="en-US"/>
        </w:rPr>
        <w:t xml:space="preserve"> </w:t>
      </w:r>
      <w:r w:rsidR="0042081A">
        <w:rPr>
          <w:lang w:eastAsia="en-US"/>
        </w:rPr>
        <w:t xml:space="preserve"> I faced some issues when I got to know about online learning and online resources in the university setting. University course teachers used to take </w:t>
      </w:r>
      <w:r w:rsidR="0042081A">
        <w:rPr>
          <w:lang w:eastAsia="en-US"/>
        </w:rPr>
        <w:lastRenderedPageBreak/>
        <w:t xml:space="preserve">online classes where they describe the study materials and used to give links for further study. At first, </w:t>
      </w:r>
      <w:r w:rsidR="00B27DCD">
        <w:rPr>
          <w:lang w:eastAsia="en-US"/>
        </w:rPr>
        <w:t>I was facing issue to use the online learning platform because I was unable to make communication with my course teacher. Then one day, I asked help from one of my teachers and she helped me to understand how to use the online resources for learning. On the other hand, my experience of writing my first assignment was quite good</w:t>
      </w:r>
      <w:r w:rsidR="00B83EA3">
        <w:rPr>
          <w:lang w:eastAsia="en-US"/>
        </w:rPr>
        <w:t xml:space="preserve"> (Smith et al., 2009). </w:t>
      </w:r>
      <w:r w:rsidR="00B27DCD">
        <w:rPr>
          <w:lang w:eastAsia="en-US"/>
        </w:rPr>
        <w:t xml:space="preserve"> I used to ask questions to my course teacher if something was not clear to me. I also took the help of online resources available at the university setting and at the internet. I successfully completed my assignment in due time. </w:t>
      </w:r>
    </w:p>
    <w:p w14:paraId="24D9F0B0" w14:textId="2B7A34D9" w:rsidR="00B27DCD" w:rsidRDefault="00B27DCD" w:rsidP="000750A9">
      <w:pPr>
        <w:rPr>
          <w:lang w:eastAsia="en-US"/>
        </w:rPr>
      </w:pPr>
      <w:r>
        <w:rPr>
          <w:lang w:eastAsia="en-US"/>
        </w:rPr>
        <w:t xml:space="preserve">Now What: I have learned about communication skills, online learning skills, </w:t>
      </w:r>
      <w:r w:rsidR="004825AA">
        <w:rPr>
          <w:lang w:eastAsia="en-US"/>
        </w:rPr>
        <w:t>and giving importance to course work. I will not all of my experience was good enough because I had difficult time also. However, the knowledge I have gained is outstanding and remarkable</w:t>
      </w:r>
      <w:r w:rsidR="00BF750A">
        <w:rPr>
          <w:lang w:eastAsia="en-US"/>
        </w:rPr>
        <w:t xml:space="preserve"> (Lucas, 2012). </w:t>
      </w:r>
      <w:r w:rsidR="004825AA">
        <w:rPr>
          <w:lang w:eastAsia="en-US"/>
        </w:rPr>
        <w:t xml:space="preserve"> If I have to face this kind of situation again in future I will perform even better. I will apply communication skills, team work skills, and dedication to give my level best to a work. </w:t>
      </w:r>
    </w:p>
    <w:p w14:paraId="303D96F6" w14:textId="45D519A2" w:rsidR="00FA6250" w:rsidRDefault="00FA6250" w:rsidP="00FA6250">
      <w:pPr>
        <w:rPr>
          <w:lang w:eastAsia="en-US"/>
        </w:rPr>
      </w:pPr>
    </w:p>
    <w:p w14:paraId="1B453385" w14:textId="48D63CB9" w:rsidR="00FA6250" w:rsidRDefault="00FA6250" w:rsidP="00FA6250">
      <w:pPr>
        <w:rPr>
          <w:lang w:eastAsia="en-US"/>
        </w:rPr>
      </w:pPr>
    </w:p>
    <w:p w14:paraId="5DE46304" w14:textId="1DB77A2E" w:rsidR="00FA6250" w:rsidRDefault="00FA6250" w:rsidP="00FA6250">
      <w:pPr>
        <w:rPr>
          <w:lang w:eastAsia="en-US"/>
        </w:rPr>
      </w:pPr>
    </w:p>
    <w:p w14:paraId="22D6F581" w14:textId="2B951195" w:rsidR="00FA6250" w:rsidRDefault="00FA6250" w:rsidP="00FA6250">
      <w:pPr>
        <w:rPr>
          <w:lang w:eastAsia="en-US"/>
        </w:rPr>
      </w:pPr>
    </w:p>
    <w:p w14:paraId="10D0520E" w14:textId="22E89D28" w:rsidR="00FA6250" w:rsidRDefault="00FA6250" w:rsidP="00FA6250">
      <w:pPr>
        <w:rPr>
          <w:lang w:eastAsia="en-US"/>
        </w:rPr>
      </w:pPr>
    </w:p>
    <w:p w14:paraId="50E1D89A" w14:textId="033F7A52" w:rsidR="00FA6250" w:rsidRDefault="00FA6250" w:rsidP="00FA6250">
      <w:pPr>
        <w:rPr>
          <w:lang w:eastAsia="en-US"/>
        </w:rPr>
      </w:pPr>
    </w:p>
    <w:p w14:paraId="35443E42" w14:textId="161532BD" w:rsidR="00FA6250" w:rsidRDefault="00FA6250" w:rsidP="00FA6250">
      <w:pPr>
        <w:rPr>
          <w:lang w:eastAsia="en-US"/>
        </w:rPr>
      </w:pPr>
    </w:p>
    <w:p w14:paraId="46482F16" w14:textId="5A434232" w:rsidR="00FA6250" w:rsidRDefault="00FA6250" w:rsidP="00FA6250">
      <w:pPr>
        <w:rPr>
          <w:lang w:eastAsia="en-US"/>
        </w:rPr>
      </w:pPr>
    </w:p>
    <w:p w14:paraId="614F64E2" w14:textId="3DDE2172" w:rsidR="00FA6250" w:rsidRDefault="00FA6250" w:rsidP="00FA6250">
      <w:pPr>
        <w:rPr>
          <w:lang w:eastAsia="en-US"/>
        </w:rPr>
      </w:pPr>
    </w:p>
    <w:p w14:paraId="7E858C80" w14:textId="646BFE90" w:rsidR="007D4D7D" w:rsidRDefault="007D4D7D" w:rsidP="007D4D7D">
      <w:pPr>
        <w:pStyle w:val="Heading1"/>
      </w:pPr>
      <w:bookmarkStart w:id="4" w:name="_Toc128393761"/>
    </w:p>
    <w:p w14:paraId="1E11C217" w14:textId="77777777" w:rsidR="007D4D7D" w:rsidRPr="007D4D7D" w:rsidRDefault="007D4D7D" w:rsidP="007D4D7D">
      <w:pPr>
        <w:rPr>
          <w:lang w:eastAsia="en-US"/>
        </w:rPr>
      </w:pPr>
    </w:p>
    <w:p w14:paraId="7CFCE66E" w14:textId="427ADD38" w:rsidR="00193744" w:rsidRPr="007D4D7D" w:rsidRDefault="00FA6250" w:rsidP="007D4D7D">
      <w:pPr>
        <w:pStyle w:val="Heading1"/>
      </w:pPr>
      <w:r>
        <w:lastRenderedPageBreak/>
        <w:t>Reference list</w:t>
      </w:r>
      <w:bookmarkEnd w:id="4"/>
    </w:p>
    <w:p w14:paraId="0D20F4E3" w14:textId="77777777" w:rsidR="00193744" w:rsidRPr="00193744" w:rsidRDefault="00193744" w:rsidP="00193744">
      <w:pPr>
        <w:pStyle w:val="ListParagraph"/>
        <w:numPr>
          <w:ilvl w:val="0"/>
          <w:numId w:val="1"/>
        </w:numPr>
        <w:rPr>
          <w:rFonts w:cstheme="minorHAnsi"/>
          <w:szCs w:val="24"/>
          <w:lang w:eastAsia="en-US"/>
        </w:rPr>
      </w:pPr>
      <w:r w:rsidRPr="00193744">
        <w:rPr>
          <w:rFonts w:cstheme="minorHAnsi"/>
          <w:color w:val="222222"/>
          <w:szCs w:val="24"/>
          <w:shd w:val="clear" w:color="auto" w:fill="FFFFFF"/>
        </w:rPr>
        <w:t>Ahmad, T., 2015. Preparing for the future of higher education. </w:t>
      </w:r>
      <w:r w:rsidRPr="00193744">
        <w:rPr>
          <w:rFonts w:cstheme="minorHAnsi"/>
          <w:i/>
          <w:iCs/>
          <w:color w:val="222222"/>
          <w:szCs w:val="24"/>
          <w:shd w:val="clear" w:color="auto" w:fill="FFFFFF"/>
        </w:rPr>
        <w:t>On the Horizon</w:t>
      </w:r>
      <w:r w:rsidRPr="00193744">
        <w:rPr>
          <w:rFonts w:cstheme="minorHAnsi"/>
          <w:color w:val="222222"/>
          <w:szCs w:val="24"/>
          <w:shd w:val="clear" w:color="auto" w:fill="FFFFFF"/>
        </w:rPr>
        <w:t>.</w:t>
      </w:r>
    </w:p>
    <w:p w14:paraId="445F63BC" w14:textId="77777777" w:rsidR="00193744" w:rsidRPr="00193744" w:rsidRDefault="00193744" w:rsidP="00193744">
      <w:pPr>
        <w:pStyle w:val="ListParagraph"/>
        <w:numPr>
          <w:ilvl w:val="0"/>
          <w:numId w:val="1"/>
        </w:numPr>
        <w:rPr>
          <w:rFonts w:cstheme="minorHAnsi"/>
          <w:szCs w:val="24"/>
          <w:lang w:eastAsia="en-US"/>
        </w:rPr>
      </w:pPr>
      <w:r w:rsidRPr="00193744">
        <w:rPr>
          <w:rFonts w:cstheme="minorHAnsi"/>
          <w:color w:val="222222"/>
          <w:szCs w:val="24"/>
          <w:shd w:val="clear" w:color="auto" w:fill="FFFFFF"/>
        </w:rPr>
        <w:t>Beddoes, L., 2007. Using reflective models to enhance learning: experiences of staff and students. </w:t>
      </w:r>
      <w:r w:rsidRPr="00193744">
        <w:rPr>
          <w:rFonts w:cstheme="minorHAnsi"/>
          <w:i/>
          <w:iCs/>
          <w:color w:val="222222"/>
          <w:szCs w:val="24"/>
          <w:shd w:val="clear" w:color="auto" w:fill="FFFFFF"/>
        </w:rPr>
        <w:t>Nurse education in practice</w:t>
      </w:r>
      <w:r w:rsidRPr="00193744">
        <w:rPr>
          <w:rFonts w:cstheme="minorHAnsi"/>
          <w:color w:val="222222"/>
          <w:szCs w:val="24"/>
          <w:shd w:val="clear" w:color="auto" w:fill="FFFFFF"/>
        </w:rPr>
        <w:t>, </w:t>
      </w:r>
      <w:r w:rsidRPr="00193744">
        <w:rPr>
          <w:rFonts w:cstheme="minorHAnsi"/>
          <w:i/>
          <w:iCs/>
          <w:color w:val="222222"/>
          <w:szCs w:val="24"/>
          <w:shd w:val="clear" w:color="auto" w:fill="FFFFFF"/>
        </w:rPr>
        <w:t>7</w:t>
      </w:r>
      <w:r w:rsidRPr="00193744">
        <w:rPr>
          <w:rFonts w:cstheme="minorHAnsi"/>
          <w:color w:val="222222"/>
          <w:szCs w:val="24"/>
          <w:shd w:val="clear" w:color="auto" w:fill="FFFFFF"/>
        </w:rPr>
        <w:t>(3), pp.135-140.</w:t>
      </w:r>
    </w:p>
    <w:p w14:paraId="1A81F0C6" w14:textId="77777777" w:rsidR="00193744" w:rsidRPr="00193744" w:rsidRDefault="00193744" w:rsidP="00193744">
      <w:pPr>
        <w:pStyle w:val="ListParagraph"/>
        <w:numPr>
          <w:ilvl w:val="0"/>
          <w:numId w:val="1"/>
        </w:numPr>
        <w:rPr>
          <w:rFonts w:cstheme="minorHAnsi"/>
          <w:szCs w:val="24"/>
          <w:lang w:eastAsia="en-US"/>
        </w:rPr>
      </w:pPr>
      <w:r w:rsidRPr="00193744">
        <w:rPr>
          <w:rFonts w:cstheme="minorHAnsi"/>
          <w:color w:val="222222"/>
          <w:szCs w:val="24"/>
          <w:shd w:val="clear" w:color="auto" w:fill="FFFFFF"/>
        </w:rPr>
        <w:t>Buzan, T. and Buzan, B., 2006. </w:t>
      </w:r>
      <w:r w:rsidRPr="00193744">
        <w:rPr>
          <w:rFonts w:cstheme="minorHAnsi"/>
          <w:i/>
          <w:iCs/>
          <w:color w:val="222222"/>
          <w:szCs w:val="24"/>
          <w:shd w:val="clear" w:color="auto" w:fill="FFFFFF"/>
        </w:rPr>
        <w:t>The mind map book</w:t>
      </w:r>
      <w:r w:rsidRPr="00193744">
        <w:rPr>
          <w:rFonts w:cstheme="minorHAnsi"/>
          <w:color w:val="222222"/>
          <w:szCs w:val="24"/>
          <w:shd w:val="clear" w:color="auto" w:fill="FFFFFF"/>
        </w:rPr>
        <w:t>. Pearson Education.</w:t>
      </w:r>
    </w:p>
    <w:p w14:paraId="05FEAEBB" w14:textId="77777777" w:rsidR="00193744" w:rsidRPr="00193744" w:rsidRDefault="00193744" w:rsidP="00193744">
      <w:pPr>
        <w:pStyle w:val="ListParagraph"/>
        <w:numPr>
          <w:ilvl w:val="0"/>
          <w:numId w:val="1"/>
        </w:numPr>
        <w:rPr>
          <w:rFonts w:cstheme="minorHAnsi"/>
          <w:szCs w:val="24"/>
          <w:lang w:eastAsia="en-US"/>
        </w:rPr>
      </w:pPr>
      <w:r w:rsidRPr="00193744">
        <w:rPr>
          <w:rFonts w:cstheme="minorHAnsi"/>
          <w:color w:val="222222"/>
          <w:szCs w:val="24"/>
          <w:shd w:val="clear" w:color="auto" w:fill="FFFFFF"/>
        </w:rPr>
        <w:t>Erstad, O. and Sefton-Green, J., 2013. Digital disconnect? The ‘digital learner’and the school. </w:t>
      </w:r>
      <w:r w:rsidRPr="00193744">
        <w:rPr>
          <w:rFonts w:cstheme="minorHAnsi"/>
          <w:i/>
          <w:iCs/>
          <w:color w:val="222222"/>
          <w:szCs w:val="24"/>
          <w:shd w:val="clear" w:color="auto" w:fill="FFFFFF"/>
        </w:rPr>
        <w:t>Identity, community and learning lives in the digital age</w:t>
      </w:r>
      <w:r w:rsidRPr="00193744">
        <w:rPr>
          <w:rFonts w:cstheme="minorHAnsi"/>
          <w:color w:val="222222"/>
          <w:szCs w:val="24"/>
          <w:shd w:val="clear" w:color="auto" w:fill="FFFFFF"/>
        </w:rPr>
        <w:t>, pp.87-106.</w:t>
      </w:r>
    </w:p>
    <w:p w14:paraId="1681E466" w14:textId="77777777" w:rsidR="00193744" w:rsidRPr="00193744" w:rsidRDefault="00193744" w:rsidP="00193744">
      <w:pPr>
        <w:pStyle w:val="ListParagraph"/>
        <w:numPr>
          <w:ilvl w:val="0"/>
          <w:numId w:val="1"/>
        </w:numPr>
        <w:rPr>
          <w:rFonts w:cstheme="minorHAnsi"/>
          <w:szCs w:val="24"/>
          <w:lang w:eastAsia="en-US"/>
        </w:rPr>
      </w:pPr>
      <w:r w:rsidRPr="00193744">
        <w:rPr>
          <w:rFonts w:cstheme="minorHAnsi"/>
          <w:color w:val="222222"/>
          <w:szCs w:val="24"/>
          <w:shd w:val="clear" w:color="auto" w:fill="FFFFFF"/>
        </w:rPr>
        <w:t>Jacoby, B., 2009. </w:t>
      </w:r>
      <w:r w:rsidRPr="00193744">
        <w:rPr>
          <w:rFonts w:cstheme="minorHAnsi"/>
          <w:i/>
          <w:iCs/>
          <w:color w:val="222222"/>
          <w:szCs w:val="24"/>
          <w:shd w:val="clear" w:color="auto" w:fill="FFFFFF"/>
        </w:rPr>
        <w:t>Civic engagement in higher education: Concepts and practices</w:t>
      </w:r>
      <w:r w:rsidRPr="00193744">
        <w:rPr>
          <w:rFonts w:cstheme="minorHAnsi"/>
          <w:color w:val="222222"/>
          <w:szCs w:val="24"/>
          <w:shd w:val="clear" w:color="auto" w:fill="FFFFFF"/>
        </w:rPr>
        <w:t>. John Wiley &amp; Sons.</w:t>
      </w:r>
    </w:p>
    <w:p w14:paraId="1023D3D5" w14:textId="77777777" w:rsidR="00193744" w:rsidRPr="00193744" w:rsidRDefault="00193744" w:rsidP="00193744">
      <w:pPr>
        <w:pStyle w:val="ListParagraph"/>
        <w:numPr>
          <w:ilvl w:val="0"/>
          <w:numId w:val="1"/>
        </w:numPr>
        <w:rPr>
          <w:rFonts w:cstheme="minorHAnsi"/>
          <w:szCs w:val="24"/>
          <w:lang w:eastAsia="en-US"/>
        </w:rPr>
      </w:pPr>
      <w:r w:rsidRPr="00193744">
        <w:rPr>
          <w:rFonts w:cstheme="minorHAnsi"/>
          <w:color w:val="222222"/>
          <w:szCs w:val="24"/>
          <w:shd w:val="clear" w:color="auto" w:fill="FFFFFF"/>
        </w:rPr>
        <w:t>Johnston-Guerrero, M.P., Combs, L.D. and Malaney-Brown, V.K., 2022. </w:t>
      </w:r>
      <w:r w:rsidRPr="00193744">
        <w:rPr>
          <w:rFonts w:cstheme="minorHAnsi"/>
          <w:i/>
          <w:iCs/>
          <w:color w:val="222222"/>
          <w:szCs w:val="24"/>
          <w:shd w:val="clear" w:color="auto" w:fill="FFFFFF"/>
        </w:rPr>
        <w:t>Preparing for Higher Education's Mixed Race Future</w:t>
      </w:r>
      <w:r w:rsidRPr="00193744">
        <w:rPr>
          <w:rFonts w:cstheme="minorHAnsi"/>
          <w:color w:val="222222"/>
          <w:szCs w:val="24"/>
          <w:shd w:val="clear" w:color="auto" w:fill="FFFFFF"/>
        </w:rPr>
        <w:t>. Springer International Publishing.</w:t>
      </w:r>
    </w:p>
    <w:p w14:paraId="49823D63" w14:textId="77777777" w:rsidR="00D17A1A" w:rsidRPr="00D17A1A" w:rsidRDefault="00D17A1A" w:rsidP="00193744">
      <w:pPr>
        <w:pStyle w:val="ListParagraph"/>
        <w:numPr>
          <w:ilvl w:val="0"/>
          <w:numId w:val="1"/>
        </w:numPr>
        <w:rPr>
          <w:rFonts w:cstheme="minorHAnsi"/>
          <w:szCs w:val="24"/>
          <w:lang w:val="en-US" w:eastAsia="en-US"/>
        </w:rPr>
      </w:pPr>
      <w:r w:rsidRPr="00D17A1A">
        <w:rPr>
          <w:rFonts w:cstheme="minorHAnsi"/>
          <w:szCs w:val="24"/>
          <w:lang w:val="en-US" w:eastAsia="en-US"/>
        </w:rPr>
        <w:t>Krug, H., Haslam, S.A., Otto, K., Safi, G. and Steffens, N.K., 2021. Doing it for the team: Soccer coaches' identity leadership predicts players' effort, turnover intentions, and performance. </w:t>
      </w:r>
      <w:r w:rsidRPr="00D17A1A">
        <w:rPr>
          <w:rFonts w:cstheme="minorHAnsi"/>
          <w:i/>
          <w:iCs/>
          <w:szCs w:val="24"/>
          <w:lang w:val="en-US" w:eastAsia="en-US"/>
        </w:rPr>
        <w:t>Psychology of Sport and Exercise</w:t>
      </w:r>
      <w:r w:rsidRPr="00D17A1A">
        <w:rPr>
          <w:rFonts w:cstheme="minorHAnsi"/>
          <w:szCs w:val="24"/>
          <w:lang w:val="en-US" w:eastAsia="en-US"/>
        </w:rPr>
        <w:t>, </w:t>
      </w:r>
      <w:r w:rsidRPr="00D17A1A">
        <w:rPr>
          <w:rFonts w:cstheme="minorHAnsi"/>
          <w:i/>
          <w:iCs/>
          <w:szCs w:val="24"/>
          <w:lang w:val="en-US" w:eastAsia="en-US"/>
        </w:rPr>
        <w:t>55</w:t>
      </w:r>
      <w:r w:rsidRPr="00D17A1A">
        <w:rPr>
          <w:rFonts w:cstheme="minorHAnsi"/>
          <w:szCs w:val="24"/>
          <w:lang w:val="en-US" w:eastAsia="en-US"/>
        </w:rPr>
        <w:t>, p.101947.</w:t>
      </w:r>
    </w:p>
    <w:p w14:paraId="2479E2D9" w14:textId="77777777" w:rsidR="00193744" w:rsidRPr="00193744" w:rsidRDefault="00193744" w:rsidP="00193744">
      <w:pPr>
        <w:pStyle w:val="ListParagraph"/>
        <w:numPr>
          <w:ilvl w:val="0"/>
          <w:numId w:val="1"/>
        </w:numPr>
        <w:rPr>
          <w:rFonts w:cstheme="minorHAnsi"/>
          <w:szCs w:val="24"/>
          <w:lang w:eastAsia="en-US"/>
        </w:rPr>
      </w:pPr>
      <w:r w:rsidRPr="00193744">
        <w:rPr>
          <w:rFonts w:cstheme="minorHAnsi"/>
          <w:color w:val="222222"/>
          <w:szCs w:val="24"/>
          <w:shd w:val="clear" w:color="auto" w:fill="FFFFFF"/>
        </w:rPr>
        <w:t>Lucas, P., 2012, October. Critical reflection. What do we really mean. In </w:t>
      </w:r>
      <w:r w:rsidRPr="00193744">
        <w:rPr>
          <w:rFonts w:cstheme="minorHAnsi"/>
          <w:i/>
          <w:iCs/>
          <w:color w:val="222222"/>
          <w:szCs w:val="24"/>
          <w:shd w:val="clear" w:color="auto" w:fill="FFFFFF"/>
        </w:rPr>
        <w:t>2012 Australian Collaborative Education Network National Conference</w:t>
      </w:r>
      <w:r w:rsidRPr="00193744">
        <w:rPr>
          <w:rFonts w:cstheme="minorHAnsi"/>
          <w:color w:val="222222"/>
          <w:szCs w:val="24"/>
          <w:shd w:val="clear" w:color="auto" w:fill="FFFFFF"/>
        </w:rPr>
        <w:t> (p. 163).</w:t>
      </w:r>
    </w:p>
    <w:p w14:paraId="7300572D" w14:textId="77777777" w:rsidR="00193744" w:rsidRPr="00193744" w:rsidRDefault="00193744" w:rsidP="00193744">
      <w:pPr>
        <w:pStyle w:val="ListParagraph"/>
        <w:numPr>
          <w:ilvl w:val="0"/>
          <w:numId w:val="1"/>
        </w:numPr>
        <w:rPr>
          <w:rFonts w:cstheme="minorHAnsi"/>
          <w:szCs w:val="24"/>
          <w:lang w:eastAsia="en-US"/>
        </w:rPr>
      </w:pPr>
      <w:r w:rsidRPr="00193744">
        <w:rPr>
          <w:rFonts w:cstheme="minorHAnsi"/>
          <w:color w:val="222222"/>
          <w:szCs w:val="24"/>
          <w:shd w:val="clear" w:color="auto" w:fill="FFFFFF"/>
        </w:rPr>
        <w:t>Murtagh, L., 2012. Enhancing preparation for higher education. </w:t>
      </w:r>
      <w:r w:rsidRPr="00193744">
        <w:rPr>
          <w:rFonts w:cstheme="minorHAnsi"/>
          <w:i/>
          <w:iCs/>
          <w:color w:val="222222"/>
          <w:szCs w:val="24"/>
          <w:shd w:val="clear" w:color="auto" w:fill="FFFFFF"/>
        </w:rPr>
        <w:t>Practitioner Research in Higher Education</w:t>
      </w:r>
      <w:r w:rsidRPr="00193744">
        <w:rPr>
          <w:rFonts w:cstheme="minorHAnsi"/>
          <w:color w:val="222222"/>
          <w:szCs w:val="24"/>
          <w:shd w:val="clear" w:color="auto" w:fill="FFFFFF"/>
        </w:rPr>
        <w:t>, </w:t>
      </w:r>
      <w:r w:rsidRPr="00193744">
        <w:rPr>
          <w:rFonts w:cstheme="minorHAnsi"/>
          <w:i/>
          <w:iCs/>
          <w:color w:val="222222"/>
          <w:szCs w:val="24"/>
          <w:shd w:val="clear" w:color="auto" w:fill="FFFFFF"/>
        </w:rPr>
        <w:t>6</w:t>
      </w:r>
      <w:r w:rsidRPr="00193744">
        <w:rPr>
          <w:rFonts w:cstheme="minorHAnsi"/>
          <w:color w:val="222222"/>
          <w:szCs w:val="24"/>
          <w:shd w:val="clear" w:color="auto" w:fill="FFFFFF"/>
        </w:rPr>
        <w:t>(1), pp.31-39.</w:t>
      </w:r>
    </w:p>
    <w:p w14:paraId="6F1D49F6" w14:textId="77777777" w:rsidR="00D17A1A" w:rsidRPr="00D17A1A" w:rsidRDefault="00D17A1A" w:rsidP="00193744">
      <w:pPr>
        <w:pStyle w:val="ListParagraph"/>
        <w:numPr>
          <w:ilvl w:val="0"/>
          <w:numId w:val="1"/>
        </w:numPr>
        <w:rPr>
          <w:rFonts w:cstheme="minorHAnsi"/>
          <w:szCs w:val="24"/>
          <w:lang w:val="en-US" w:eastAsia="en-US"/>
        </w:rPr>
      </w:pPr>
      <w:r w:rsidRPr="00D17A1A">
        <w:rPr>
          <w:rFonts w:cstheme="minorHAnsi"/>
          <w:szCs w:val="24"/>
          <w:lang w:val="en-US" w:eastAsia="en-US"/>
        </w:rPr>
        <w:t>Noonan, H.W., 2019. </w:t>
      </w:r>
      <w:r w:rsidRPr="00D17A1A">
        <w:rPr>
          <w:rFonts w:cstheme="minorHAnsi"/>
          <w:i/>
          <w:iCs/>
          <w:szCs w:val="24"/>
          <w:lang w:val="en-US" w:eastAsia="en-US"/>
        </w:rPr>
        <w:t>Personal identity</w:t>
      </w:r>
      <w:r w:rsidRPr="00D17A1A">
        <w:rPr>
          <w:rFonts w:cstheme="minorHAnsi"/>
          <w:szCs w:val="24"/>
          <w:lang w:val="en-US" w:eastAsia="en-US"/>
        </w:rPr>
        <w:t>. Routledge.</w:t>
      </w:r>
    </w:p>
    <w:p w14:paraId="51AB62DE" w14:textId="77777777" w:rsidR="00D17A1A" w:rsidRPr="00D17A1A" w:rsidRDefault="00D17A1A" w:rsidP="00193744">
      <w:pPr>
        <w:pStyle w:val="ListParagraph"/>
        <w:numPr>
          <w:ilvl w:val="0"/>
          <w:numId w:val="1"/>
        </w:numPr>
        <w:rPr>
          <w:rFonts w:cstheme="minorHAnsi"/>
          <w:szCs w:val="24"/>
          <w:lang w:val="en-US" w:eastAsia="en-US"/>
        </w:rPr>
      </w:pPr>
      <w:r w:rsidRPr="00D17A1A">
        <w:rPr>
          <w:rFonts w:cstheme="minorHAnsi"/>
          <w:szCs w:val="24"/>
          <w:lang w:val="en-US" w:eastAsia="en-US"/>
        </w:rPr>
        <w:t>Perry, J. ed., 2008. </w:t>
      </w:r>
      <w:r w:rsidRPr="00D17A1A">
        <w:rPr>
          <w:rFonts w:cstheme="minorHAnsi"/>
          <w:i/>
          <w:iCs/>
          <w:szCs w:val="24"/>
          <w:lang w:val="en-US" w:eastAsia="en-US"/>
        </w:rPr>
        <w:t>Personal identity</w:t>
      </w:r>
      <w:r w:rsidRPr="00D17A1A">
        <w:rPr>
          <w:rFonts w:cstheme="minorHAnsi"/>
          <w:szCs w:val="24"/>
          <w:lang w:val="en-US" w:eastAsia="en-US"/>
        </w:rPr>
        <w:t> (Vol. 2). Univ of California Press.</w:t>
      </w:r>
    </w:p>
    <w:p w14:paraId="36FCCC45" w14:textId="77777777" w:rsidR="00193744" w:rsidRPr="00193744" w:rsidRDefault="00193744" w:rsidP="00193744">
      <w:pPr>
        <w:pStyle w:val="ListParagraph"/>
        <w:numPr>
          <w:ilvl w:val="0"/>
          <w:numId w:val="1"/>
        </w:numPr>
        <w:rPr>
          <w:rFonts w:cstheme="minorHAnsi"/>
          <w:szCs w:val="24"/>
          <w:lang w:eastAsia="en-US"/>
        </w:rPr>
      </w:pPr>
      <w:r w:rsidRPr="00193744">
        <w:rPr>
          <w:rFonts w:cstheme="minorHAnsi"/>
          <w:color w:val="222222"/>
          <w:szCs w:val="24"/>
          <w:shd w:val="clear" w:color="auto" w:fill="FFFFFF"/>
        </w:rPr>
        <w:t>Schnackenberg, H.L. and Johnson, C. eds., 2019. </w:t>
      </w:r>
      <w:r w:rsidRPr="00193744">
        <w:rPr>
          <w:rFonts w:cstheme="minorHAnsi"/>
          <w:i/>
          <w:iCs/>
          <w:color w:val="222222"/>
          <w:szCs w:val="24"/>
          <w:shd w:val="clear" w:color="auto" w:fill="FFFFFF"/>
        </w:rPr>
        <w:t>Preparing the Higher Education Space for Gen Z</w:t>
      </w:r>
      <w:r w:rsidRPr="00193744">
        <w:rPr>
          <w:rFonts w:cstheme="minorHAnsi"/>
          <w:color w:val="222222"/>
          <w:szCs w:val="24"/>
          <w:shd w:val="clear" w:color="auto" w:fill="FFFFFF"/>
        </w:rPr>
        <w:t>. IGI Global.</w:t>
      </w:r>
    </w:p>
    <w:p w14:paraId="1B3542F1" w14:textId="77777777" w:rsidR="00193744" w:rsidRPr="00193744" w:rsidRDefault="00193744" w:rsidP="00193744">
      <w:pPr>
        <w:pStyle w:val="ListParagraph"/>
        <w:numPr>
          <w:ilvl w:val="0"/>
          <w:numId w:val="1"/>
        </w:numPr>
        <w:rPr>
          <w:rFonts w:cstheme="minorHAnsi"/>
          <w:szCs w:val="24"/>
          <w:lang w:eastAsia="en-US"/>
        </w:rPr>
      </w:pPr>
      <w:r w:rsidRPr="00193744">
        <w:rPr>
          <w:rFonts w:cstheme="minorHAnsi"/>
          <w:color w:val="222222"/>
          <w:szCs w:val="24"/>
          <w:shd w:val="clear" w:color="auto" w:fill="FFFFFF"/>
        </w:rPr>
        <w:t>Sicora, A., 2010. Self-evaluation of Social Work Practice through Reflection on Professional Mistakes. Practice Makes “Perfect”?. </w:t>
      </w:r>
      <w:r w:rsidRPr="00193744">
        <w:rPr>
          <w:rFonts w:cstheme="minorHAnsi"/>
          <w:i/>
          <w:iCs/>
          <w:color w:val="222222"/>
          <w:szCs w:val="24"/>
          <w:shd w:val="clear" w:color="auto" w:fill="FFFFFF"/>
        </w:rPr>
        <w:t>Revista de Asistenţă Socială</w:t>
      </w:r>
      <w:r w:rsidRPr="00193744">
        <w:rPr>
          <w:rFonts w:cstheme="minorHAnsi"/>
          <w:color w:val="222222"/>
          <w:szCs w:val="24"/>
          <w:shd w:val="clear" w:color="auto" w:fill="FFFFFF"/>
        </w:rPr>
        <w:t>, (4), pp.153-164.</w:t>
      </w:r>
    </w:p>
    <w:p w14:paraId="6555E327" w14:textId="77777777" w:rsidR="00193744" w:rsidRPr="00193744" w:rsidRDefault="00193744" w:rsidP="00193744">
      <w:pPr>
        <w:pStyle w:val="ListParagraph"/>
        <w:numPr>
          <w:ilvl w:val="0"/>
          <w:numId w:val="1"/>
        </w:numPr>
        <w:rPr>
          <w:rFonts w:cstheme="minorHAnsi"/>
          <w:szCs w:val="24"/>
          <w:lang w:eastAsia="en-US"/>
        </w:rPr>
      </w:pPr>
      <w:r w:rsidRPr="00193744">
        <w:rPr>
          <w:rFonts w:cstheme="minorHAnsi"/>
          <w:color w:val="222222"/>
          <w:szCs w:val="24"/>
          <w:shd w:val="clear" w:color="auto" w:fill="FFFFFF"/>
        </w:rPr>
        <w:t>Smith, D., Hedley, P. and Molloy, M., 2009. Design learning: a reflective model. </w:t>
      </w:r>
      <w:r w:rsidRPr="00193744">
        <w:rPr>
          <w:rFonts w:cstheme="minorHAnsi"/>
          <w:i/>
          <w:iCs/>
          <w:color w:val="222222"/>
          <w:szCs w:val="24"/>
          <w:shd w:val="clear" w:color="auto" w:fill="FFFFFF"/>
        </w:rPr>
        <w:t>Design Studies</w:t>
      </w:r>
      <w:r w:rsidRPr="00193744">
        <w:rPr>
          <w:rFonts w:cstheme="minorHAnsi"/>
          <w:color w:val="222222"/>
          <w:szCs w:val="24"/>
          <w:shd w:val="clear" w:color="auto" w:fill="FFFFFF"/>
        </w:rPr>
        <w:t>, </w:t>
      </w:r>
      <w:r w:rsidRPr="00193744">
        <w:rPr>
          <w:rFonts w:cstheme="minorHAnsi"/>
          <w:i/>
          <w:iCs/>
          <w:color w:val="222222"/>
          <w:szCs w:val="24"/>
          <w:shd w:val="clear" w:color="auto" w:fill="FFFFFF"/>
        </w:rPr>
        <w:t>30</w:t>
      </w:r>
      <w:r w:rsidRPr="00193744">
        <w:rPr>
          <w:rFonts w:cstheme="minorHAnsi"/>
          <w:color w:val="222222"/>
          <w:szCs w:val="24"/>
          <w:shd w:val="clear" w:color="auto" w:fill="FFFFFF"/>
        </w:rPr>
        <w:t>(1), pp.13-37.</w:t>
      </w:r>
    </w:p>
    <w:p w14:paraId="2AF83393" w14:textId="77777777" w:rsidR="00193744" w:rsidRPr="00193744" w:rsidRDefault="00193744" w:rsidP="00193744">
      <w:pPr>
        <w:pStyle w:val="ListParagraph"/>
        <w:numPr>
          <w:ilvl w:val="0"/>
          <w:numId w:val="1"/>
        </w:numPr>
        <w:rPr>
          <w:rFonts w:cstheme="minorHAnsi"/>
          <w:szCs w:val="24"/>
          <w:lang w:eastAsia="en-US"/>
        </w:rPr>
      </w:pPr>
      <w:r w:rsidRPr="00193744">
        <w:rPr>
          <w:rFonts w:cstheme="minorHAnsi"/>
          <w:color w:val="222222"/>
          <w:szCs w:val="24"/>
          <w:shd w:val="clear" w:color="auto" w:fill="FFFFFF"/>
        </w:rPr>
        <w:t>Stokhof, H., De Vries, B., Bastiaens, T. and Martens, R., 2019. Mind map our way into effective student questioning: A principle-based scenario. </w:t>
      </w:r>
      <w:r w:rsidRPr="00193744">
        <w:rPr>
          <w:rFonts w:cstheme="minorHAnsi"/>
          <w:i/>
          <w:iCs/>
          <w:color w:val="222222"/>
          <w:szCs w:val="24"/>
          <w:shd w:val="clear" w:color="auto" w:fill="FFFFFF"/>
        </w:rPr>
        <w:t>Research in Science Education</w:t>
      </w:r>
      <w:r w:rsidRPr="00193744">
        <w:rPr>
          <w:rFonts w:cstheme="minorHAnsi"/>
          <w:color w:val="222222"/>
          <w:szCs w:val="24"/>
          <w:shd w:val="clear" w:color="auto" w:fill="FFFFFF"/>
        </w:rPr>
        <w:t>, </w:t>
      </w:r>
      <w:r w:rsidRPr="00193744">
        <w:rPr>
          <w:rFonts w:cstheme="minorHAnsi"/>
          <w:i/>
          <w:iCs/>
          <w:color w:val="222222"/>
          <w:szCs w:val="24"/>
          <w:shd w:val="clear" w:color="auto" w:fill="FFFFFF"/>
        </w:rPr>
        <w:t>49</w:t>
      </w:r>
      <w:r w:rsidRPr="00193744">
        <w:rPr>
          <w:rFonts w:cstheme="minorHAnsi"/>
          <w:color w:val="222222"/>
          <w:szCs w:val="24"/>
          <w:shd w:val="clear" w:color="auto" w:fill="FFFFFF"/>
        </w:rPr>
        <w:t>, pp.347-369.</w:t>
      </w:r>
    </w:p>
    <w:p w14:paraId="0EDF512B" w14:textId="77777777" w:rsidR="00193744" w:rsidRPr="00193744" w:rsidRDefault="00193744" w:rsidP="00193744">
      <w:pPr>
        <w:pStyle w:val="ListParagraph"/>
        <w:numPr>
          <w:ilvl w:val="0"/>
          <w:numId w:val="1"/>
        </w:numPr>
        <w:rPr>
          <w:rFonts w:cstheme="minorHAnsi"/>
          <w:szCs w:val="24"/>
          <w:lang w:eastAsia="en-US"/>
        </w:rPr>
      </w:pPr>
      <w:r w:rsidRPr="00193744">
        <w:rPr>
          <w:rFonts w:cstheme="minorHAnsi"/>
          <w:color w:val="222222"/>
          <w:szCs w:val="24"/>
          <w:shd w:val="clear" w:color="auto" w:fill="FFFFFF"/>
        </w:rPr>
        <w:lastRenderedPageBreak/>
        <w:t>Vander Ark, T., 2011. </w:t>
      </w:r>
      <w:r w:rsidRPr="00193744">
        <w:rPr>
          <w:rFonts w:cstheme="minorHAnsi"/>
          <w:i/>
          <w:iCs/>
          <w:color w:val="222222"/>
          <w:szCs w:val="24"/>
          <w:shd w:val="clear" w:color="auto" w:fill="FFFFFF"/>
        </w:rPr>
        <w:t>Getting smart: How digital learning is changing the world</w:t>
      </w:r>
      <w:r w:rsidRPr="00193744">
        <w:rPr>
          <w:rFonts w:cstheme="minorHAnsi"/>
          <w:color w:val="222222"/>
          <w:szCs w:val="24"/>
          <w:shd w:val="clear" w:color="auto" w:fill="FFFFFF"/>
        </w:rPr>
        <w:t>. John Wiley &amp; Sons.</w:t>
      </w:r>
    </w:p>
    <w:sectPr w:rsidR="00193744" w:rsidRPr="00193744" w:rsidSect="00093204">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871A7" w14:textId="77777777" w:rsidR="00617740" w:rsidRDefault="00617740" w:rsidP="00FA6250">
      <w:pPr>
        <w:spacing w:after="0" w:line="240" w:lineRule="auto"/>
      </w:pPr>
      <w:r>
        <w:separator/>
      </w:r>
    </w:p>
  </w:endnote>
  <w:endnote w:type="continuationSeparator" w:id="0">
    <w:p w14:paraId="02B9BDF5" w14:textId="77777777" w:rsidR="00617740" w:rsidRDefault="00617740"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85630C" w14:textId="77777777" w:rsidR="00617740" w:rsidRDefault="00617740" w:rsidP="00FA6250">
      <w:pPr>
        <w:spacing w:after="0" w:line="240" w:lineRule="auto"/>
      </w:pPr>
      <w:r>
        <w:separator/>
      </w:r>
    </w:p>
  </w:footnote>
  <w:footnote w:type="continuationSeparator" w:id="0">
    <w:p w14:paraId="1D3674BE" w14:textId="77777777" w:rsidR="00617740" w:rsidRDefault="00617740" w:rsidP="00FA62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A83E0E"/>
    <w:multiLevelType w:val="hybridMultilevel"/>
    <w:tmpl w:val="C9E4D3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392EAB"/>
    <w:multiLevelType w:val="hybridMultilevel"/>
    <w:tmpl w:val="32FC6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2E6D7B"/>
    <w:multiLevelType w:val="hybridMultilevel"/>
    <w:tmpl w:val="CC7A234C"/>
    <w:lvl w:ilvl="0" w:tplc="62AE44CA">
      <w:start w:val="1"/>
      <w:numFmt w:val="decimal"/>
      <w:lvlText w:val="%1."/>
      <w:lvlJc w:val="left"/>
      <w:pPr>
        <w:tabs>
          <w:tab w:val="num" w:pos="720"/>
        </w:tabs>
        <w:ind w:left="720" w:hanging="360"/>
      </w:pPr>
    </w:lvl>
    <w:lvl w:ilvl="1" w:tplc="69766EDA" w:tentative="1">
      <w:start w:val="1"/>
      <w:numFmt w:val="decimal"/>
      <w:lvlText w:val="%2."/>
      <w:lvlJc w:val="left"/>
      <w:pPr>
        <w:tabs>
          <w:tab w:val="num" w:pos="1440"/>
        </w:tabs>
        <w:ind w:left="1440" w:hanging="360"/>
      </w:pPr>
    </w:lvl>
    <w:lvl w:ilvl="2" w:tplc="05E0D4E2" w:tentative="1">
      <w:start w:val="1"/>
      <w:numFmt w:val="decimal"/>
      <w:lvlText w:val="%3."/>
      <w:lvlJc w:val="left"/>
      <w:pPr>
        <w:tabs>
          <w:tab w:val="num" w:pos="2160"/>
        </w:tabs>
        <w:ind w:left="2160" w:hanging="360"/>
      </w:pPr>
    </w:lvl>
    <w:lvl w:ilvl="3" w:tplc="8AE053EA" w:tentative="1">
      <w:start w:val="1"/>
      <w:numFmt w:val="decimal"/>
      <w:lvlText w:val="%4."/>
      <w:lvlJc w:val="left"/>
      <w:pPr>
        <w:tabs>
          <w:tab w:val="num" w:pos="2880"/>
        </w:tabs>
        <w:ind w:left="2880" w:hanging="360"/>
      </w:pPr>
    </w:lvl>
    <w:lvl w:ilvl="4" w:tplc="9650F426" w:tentative="1">
      <w:start w:val="1"/>
      <w:numFmt w:val="decimal"/>
      <w:lvlText w:val="%5."/>
      <w:lvlJc w:val="left"/>
      <w:pPr>
        <w:tabs>
          <w:tab w:val="num" w:pos="3600"/>
        </w:tabs>
        <w:ind w:left="3600" w:hanging="360"/>
      </w:pPr>
    </w:lvl>
    <w:lvl w:ilvl="5" w:tplc="F614FFF4" w:tentative="1">
      <w:start w:val="1"/>
      <w:numFmt w:val="decimal"/>
      <w:lvlText w:val="%6."/>
      <w:lvlJc w:val="left"/>
      <w:pPr>
        <w:tabs>
          <w:tab w:val="num" w:pos="4320"/>
        </w:tabs>
        <w:ind w:left="4320" w:hanging="360"/>
      </w:pPr>
    </w:lvl>
    <w:lvl w:ilvl="6" w:tplc="FB0A4388" w:tentative="1">
      <w:start w:val="1"/>
      <w:numFmt w:val="decimal"/>
      <w:lvlText w:val="%7."/>
      <w:lvlJc w:val="left"/>
      <w:pPr>
        <w:tabs>
          <w:tab w:val="num" w:pos="5040"/>
        </w:tabs>
        <w:ind w:left="5040" w:hanging="360"/>
      </w:pPr>
    </w:lvl>
    <w:lvl w:ilvl="7" w:tplc="0EB69E9C" w:tentative="1">
      <w:start w:val="1"/>
      <w:numFmt w:val="decimal"/>
      <w:lvlText w:val="%8."/>
      <w:lvlJc w:val="left"/>
      <w:pPr>
        <w:tabs>
          <w:tab w:val="num" w:pos="5760"/>
        </w:tabs>
        <w:ind w:left="5760" w:hanging="360"/>
      </w:pPr>
    </w:lvl>
    <w:lvl w:ilvl="8" w:tplc="38B8444A" w:tentative="1">
      <w:start w:val="1"/>
      <w:numFmt w:val="decimal"/>
      <w:lvlText w:val="%9."/>
      <w:lvlJc w:val="left"/>
      <w:pPr>
        <w:tabs>
          <w:tab w:val="num" w:pos="6480"/>
        </w:tabs>
        <w:ind w:left="6480" w:hanging="360"/>
      </w:pPr>
    </w:lvl>
  </w:abstractNum>
  <w:abstractNum w:abstractNumId="3" w15:restartNumberingAfterBreak="0">
    <w:nsid w:val="507904EC"/>
    <w:multiLevelType w:val="hybridMultilevel"/>
    <w:tmpl w:val="B64AB338"/>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998612347">
    <w:abstractNumId w:val="0"/>
  </w:num>
  <w:num w:numId="2" w16cid:durableId="684013838">
    <w:abstractNumId w:val="2"/>
  </w:num>
  <w:num w:numId="3" w16cid:durableId="1591038785">
    <w:abstractNumId w:val="1"/>
  </w:num>
  <w:num w:numId="4" w16cid:durableId="689622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204"/>
    <w:rsid w:val="000641F5"/>
    <w:rsid w:val="000750A9"/>
    <w:rsid w:val="00093204"/>
    <w:rsid w:val="000A19E3"/>
    <w:rsid w:val="000B74CD"/>
    <w:rsid w:val="000C0462"/>
    <w:rsid w:val="000F56B2"/>
    <w:rsid w:val="000F7DB7"/>
    <w:rsid w:val="00103CE6"/>
    <w:rsid w:val="00107776"/>
    <w:rsid w:val="0013313A"/>
    <w:rsid w:val="001376C0"/>
    <w:rsid w:val="001423CA"/>
    <w:rsid w:val="00142E2D"/>
    <w:rsid w:val="001852EA"/>
    <w:rsid w:val="00193744"/>
    <w:rsid w:val="00216AE8"/>
    <w:rsid w:val="002304F6"/>
    <w:rsid w:val="0026536D"/>
    <w:rsid w:val="002A2987"/>
    <w:rsid w:val="002A4889"/>
    <w:rsid w:val="002C451B"/>
    <w:rsid w:val="00306133"/>
    <w:rsid w:val="00333045"/>
    <w:rsid w:val="00390633"/>
    <w:rsid w:val="003935AC"/>
    <w:rsid w:val="003B3813"/>
    <w:rsid w:val="003D2DBD"/>
    <w:rsid w:val="003E3B79"/>
    <w:rsid w:val="00406958"/>
    <w:rsid w:val="0042081A"/>
    <w:rsid w:val="004825AA"/>
    <w:rsid w:val="004C54F4"/>
    <w:rsid w:val="004D525D"/>
    <w:rsid w:val="004E39F5"/>
    <w:rsid w:val="00516628"/>
    <w:rsid w:val="00525E49"/>
    <w:rsid w:val="00581C1B"/>
    <w:rsid w:val="005821C0"/>
    <w:rsid w:val="0059705C"/>
    <w:rsid w:val="005A0AB7"/>
    <w:rsid w:val="005A1AD7"/>
    <w:rsid w:val="005C018D"/>
    <w:rsid w:val="005E49C9"/>
    <w:rsid w:val="00617740"/>
    <w:rsid w:val="006423C6"/>
    <w:rsid w:val="00653FC5"/>
    <w:rsid w:val="006A5CC5"/>
    <w:rsid w:val="006B677F"/>
    <w:rsid w:val="007103BD"/>
    <w:rsid w:val="00727F32"/>
    <w:rsid w:val="00731C8E"/>
    <w:rsid w:val="0073767B"/>
    <w:rsid w:val="00751DB6"/>
    <w:rsid w:val="007528C0"/>
    <w:rsid w:val="007532A3"/>
    <w:rsid w:val="007601A2"/>
    <w:rsid w:val="007D4D7D"/>
    <w:rsid w:val="007E4754"/>
    <w:rsid w:val="00830E44"/>
    <w:rsid w:val="00855DFE"/>
    <w:rsid w:val="008E1166"/>
    <w:rsid w:val="00902D37"/>
    <w:rsid w:val="00933D5F"/>
    <w:rsid w:val="00947836"/>
    <w:rsid w:val="00996B65"/>
    <w:rsid w:val="009E4832"/>
    <w:rsid w:val="00A20199"/>
    <w:rsid w:val="00A37434"/>
    <w:rsid w:val="00A7358F"/>
    <w:rsid w:val="00A81D42"/>
    <w:rsid w:val="00A8304F"/>
    <w:rsid w:val="00B17E48"/>
    <w:rsid w:val="00B27DCD"/>
    <w:rsid w:val="00B50452"/>
    <w:rsid w:val="00B77F6A"/>
    <w:rsid w:val="00B83EA3"/>
    <w:rsid w:val="00BC2498"/>
    <w:rsid w:val="00BD2B8E"/>
    <w:rsid w:val="00BF750A"/>
    <w:rsid w:val="00CA42D3"/>
    <w:rsid w:val="00D17A1A"/>
    <w:rsid w:val="00D8564E"/>
    <w:rsid w:val="00DB0EE1"/>
    <w:rsid w:val="00E23432"/>
    <w:rsid w:val="00ED009B"/>
    <w:rsid w:val="00EE69B5"/>
    <w:rsid w:val="00F02FBD"/>
    <w:rsid w:val="00F632E9"/>
    <w:rsid w:val="00F84B31"/>
    <w:rsid w:val="00F93473"/>
    <w:rsid w:val="00FA6250"/>
    <w:rsid w:val="00FC3FCE"/>
    <w:rsid w:val="00FE1D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1B4"/>
  <w15:chartTrackingRefBased/>
  <w15:docId w15:val="{9F1517AB-2074-44E7-9255-AE411B5BB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2987"/>
    <w:pPr>
      <w:spacing w:line="360" w:lineRule="auto"/>
      <w:jc w:val="both"/>
    </w:pPr>
    <w:rPr>
      <w:sz w:val="24"/>
    </w:rPr>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paragraph" w:styleId="ListParagraph">
    <w:name w:val="List Paragraph"/>
    <w:basedOn w:val="Normal"/>
    <w:uiPriority w:val="34"/>
    <w:qFormat/>
    <w:rsid w:val="00A81D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6267348">
      <w:bodyDiv w:val="1"/>
      <w:marLeft w:val="0"/>
      <w:marRight w:val="0"/>
      <w:marTop w:val="0"/>
      <w:marBottom w:val="0"/>
      <w:divBdr>
        <w:top w:val="none" w:sz="0" w:space="0" w:color="auto"/>
        <w:left w:val="none" w:sz="0" w:space="0" w:color="auto"/>
        <w:bottom w:val="none" w:sz="0" w:space="0" w:color="auto"/>
        <w:right w:val="none" w:sz="0" w:space="0" w:color="auto"/>
      </w:divBdr>
    </w:div>
    <w:div w:id="1955944038">
      <w:bodyDiv w:val="1"/>
      <w:marLeft w:val="0"/>
      <w:marRight w:val="0"/>
      <w:marTop w:val="0"/>
      <w:marBottom w:val="0"/>
      <w:divBdr>
        <w:top w:val="none" w:sz="0" w:space="0" w:color="auto"/>
        <w:left w:val="none" w:sz="0" w:space="0" w:color="auto"/>
        <w:bottom w:val="none" w:sz="0" w:space="0" w:color="auto"/>
        <w:right w:val="none" w:sz="0" w:space="0" w:color="auto"/>
      </w:divBdr>
      <w:divsChild>
        <w:div w:id="234780940">
          <w:marLeft w:val="547"/>
          <w:marRight w:val="0"/>
          <w:marTop w:val="0"/>
          <w:marBottom w:val="0"/>
          <w:divBdr>
            <w:top w:val="none" w:sz="0" w:space="0" w:color="auto"/>
            <w:left w:val="none" w:sz="0" w:space="0" w:color="auto"/>
            <w:bottom w:val="none" w:sz="0" w:space="0" w:color="auto"/>
            <w:right w:val="none" w:sz="0" w:space="0" w:color="auto"/>
          </w:divBdr>
        </w:div>
        <w:div w:id="1027368235">
          <w:marLeft w:val="547"/>
          <w:marRight w:val="0"/>
          <w:marTop w:val="0"/>
          <w:marBottom w:val="0"/>
          <w:divBdr>
            <w:top w:val="none" w:sz="0" w:space="0" w:color="auto"/>
            <w:left w:val="none" w:sz="0" w:space="0" w:color="auto"/>
            <w:bottom w:val="none" w:sz="0" w:space="0" w:color="auto"/>
            <w:right w:val="none" w:sz="0" w:space="0" w:color="auto"/>
          </w:divBdr>
        </w:div>
        <w:div w:id="905602141">
          <w:marLeft w:val="547"/>
          <w:marRight w:val="0"/>
          <w:marTop w:val="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microsoft.com/office/2007/relationships/hdphoto" Target="media/hdphoto1.wdp"/><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image" Target="media/image1.png"/><Relationship Id="rId14" Type="http://schemas.microsoft.com/office/2007/relationships/hdphoto" Target="media/hdphoto2.wdp"/><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ECD4D9-D820-4F22-A720-340B8970B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Pages>
  <Words>1744</Words>
  <Characters>9943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E-portfolio report</vt:lpstr>
    </vt:vector>
  </TitlesOfParts>
  <Manager/>
  <Company>University of Wales Trinity Saint David</Company>
  <LinksUpToDate>false</LinksUpToDate>
  <CharactersWithSpaces>11664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report</dc:title>
  <dc:subject>Learning in the Digital Era – BMPL4007/BMPS4009</dc:subject>
  <dc:creator>Galina Zasheva</dc:creator>
  <cp:keywords/>
  <dc:description/>
  <cp:lastModifiedBy>IZ Building</cp:lastModifiedBy>
  <cp:revision>23</cp:revision>
  <dcterms:created xsi:type="dcterms:W3CDTF">2023-02-27T06:37:00Z</dcterms:created>
  <dcterms:modified xsi:type="dcterms:W3CDTF">2023-03-10T18:54:00Z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aec182d683e5a535a3b7e96a3477a9687585e5b765cb0ed88b8f7535a49a8dc3</vt:lpwstr>
  </property>
</Properties>
</file>