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A867DD" w14:textId="77777777" w:rsidR="000A3351" w:rsidRPr="00CA19CE" w:rsidRDefault="00371A90" w:rsidP="00CA19CE">
      <w:pPr>
        <w:pStyle w:val="Heading1"/>
        <w:spacing w:line="360" w:lineRule="auto"/>
        <w:jc w:val="center"/>
        <w:rPr>
          <w:rFonts w:ascii="Times New Roman" w:hAnsi="Times New Roman" w:cs="Times New Roman"/>
          <w:color w:val="000000" w:themeColor="text1"/>
          <w:sz w:val="24"/>
          <w:szCs w:val="24"/>
          <w:u w:val="single"/>
        </w:rPr>
      </w:pPr>
      <w:r w:rsidRPr="00CA19CE">
        <w:rPr>
          <w:rFonts w:ascii="Times New Roman" w:hAnsi="Times New Roman" w:cs="Times New Roman"/>
          <w:color w:val="000000" w:themeColor="text1"/>
          <w:sz w:val="24"/>
          <w:szCs w:val="24"/>
          <w:u w:val="single"/>
        </w:rPr>
        <w:t>Stakeholder Management Plan for the New Public Park Development</w:t>
      </w:r>
    </w:p>
    <w:p w14:paraId="49A53F62" w14:textId="77777777" w:rsidR="000A3351" w:rsidRPr="00CA19CE" w:rsidRDefault="00371A90" w:rsidP="00CA19CE">
      <w:pPr>
        <w:spacing w:line="360" w:lineRule="auto"/>
        <w:jc w:val="center"/>
        <w:rPr>
          <w:rFonts w:ascii="Times New Roman" w:hAnsi="Times New Roman" w:cs="Times New Roman"/>
          <w:b/>
          <w:bCs/>
          <w:color w:val="000000" w:themeColor="text1"/>
          <w:sz w:val="24"/>
          <w:szCs w:val="24"/>
          <w:u w:val="single"/>
        </w:rPr>
      </w:pPr>
      <w:r w:rsidRPr="00CA19CE">
        <w:rPr>
          <w:rFonts w:ascii="Times New Roman" w:hAnsi="Times New Roman" w:cs="Times New Roman"/>
          <w:b/>
          <w:bCs/>
          <w:color w:val="000000" w:themeColor="text1"/>
          <w:sz w:val="24"/>
          <w:szCs w:val="24"/>
          <w:u w:val="single"/>
        </w:rPr>
        <w:t>Junior Stakeholder Manager – Consultancy Company</w:t>
      </w:r>
    </w:p>
    <w:p w14:paraId="637D71FC" w14:textId="77777777" w:rsidR="000A3351" w:rsidRPr="009E2428" w:rsidRDefault="00371A90" w:rsidP="00CA19CE">
      <w:pPr>
        <w:pStyle w:val="Heading2"/>
        <w:spacing w:line="360" w:lineRule="auto"/>
        <w:rPr>
          <w:rFonts w:ascii="Times New Roman" w:hAnsi="Times New Roman" w:cs="Times New Roman"/>
          <w:b w:val="0"/>
          <w:bCs w:val="0"/>
          <w:color w:val="000000" w:themeColor="text1"/>
          <w:sz w:val="24"/>
          <w:szCs w:val="24"/>
          <w:u w:val="single"/>
        </w:rPr>
      </w:pPr>
      <w:r w:rsidRPr="009E2428">
        <w:rPr>
          <w:rFonts w:ascii="Times New Roman" w:hAnsi="Times New Roman" w:cs="Times New Roman"/>
          <w:b w:val="0"/>
          <w:bCs w:val="0"/>
          <w:color w:val="000000" w:themeColor="text1"/>
          <w:sz w:val="24"/>
          <w:szCs w:val="24"/>
          <w:u w:val="single"/>
        </w:rPr>
        <w:t>Table of Contents</w:t>
      </w:r>
    </w:p>
    <w:p w14:paraId="5E8AB327" w14:textId="77777777" w:rsidR="000A3351" w:rsidRPr="009E2428" w:rsidRDefault="00371A90" w:rsidP="00CA19CE">
      <w:pPr>
        <w:pStyle w:val="ListBullet"/>
        <w:numPr>
          <w:ilvl w:val="0"/>
          <w:numId w:val="0"/>
        </w:numPr>
        <w:spacing w:line="360" w:lineRule="auto"/>
        <w:ind w:left="360" w:hanging="360"/>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1. Introduction</w:t>
      </w:r>
    </w:p>
    <w:p w14:paraId="0A07BA82" w14:textId="77777777" w:rsidR="000A3351" w:rsidRPr="009E2428" w:rsidRDefault="00371A90" w:rsidP="00CA19CE">
      <w:pPr>
        <w:pStyle w:val="ListBullet"/>
        <w:numPr>
          <w:ilvl w:val="0"/>
          <w:numId w:val="0"/>
        </w:numPr>
        <w:spacing w:line="360" w:lineRule="auto"/>
        <w:ind w:left="360" w:hanging="360"/>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2. Application: Stakeholder Engagement Strategies</w:t>
      </w:r>
    </w:p>
    <w:p w14:paraId="658AD0CF" w14:textId="77777777" w:rsidR="000A3351" w:rsidRPr="009E2428" w:rsidRDefault="00371A90" w:rsidP="00CA19CE">
      <w:pPr>
        <w:pStyle w:val="ListBullet"/>
        <w:numPr>
          <w:ilvl w:val="0"/>
          <w:numId w:val="0"/>
        </w:numPr>
        <w:spacing w:line="360" w:lineRule="auto"/>
        <w:ind w:left="360" w:hanging="360"/>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 • 2.1 Power, Influence &amp; Interest Table (Table 1)</w:t>
      </w:r>
    </w:p>
    <w:p w14:paraId="19798F43" w14:textId="77777777" w:rsidR="000A3351" w:rsidRPr="009E2428" w:rsidRDefault="00371A90" w:rsidP="00CA19CE">
      <w:pPr>
        <w:pStyle w:val="ListBullet"/>
        <w:numPr>
          <w:ilvl w:val="0"/>
          <w:numId w:val="0"/>
        </w:numPr>
        <w:spacing w:line="360" w:lineRule="auto"/>
        <w:ind w:left="360" w:hanging="360"/>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 • 2.2 Stakeholder Map (Figure 1) and Justification</w:t>
      </w:r>
    </w:p>
    <w:p w14:paraId="6779ACB1" w14:textId="77777777" w:rsidR="000A3351" w:rsidRPr="009E2428" w:rsidRDefault="00371A90" w:rsidP="00CA19CE">
      <w:pPr>
        <w:pStyle w:val="ListBullet"/>
        <w:numPr>
          <w:ilvl w:val="0"/>
          <w:numId w:val="0"/>
        </w:numPr>
        <w:spacing w:line="360" w:lineRule="auto"/>
        <w:ind w:left="360" w:hanging="360"/>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 • 2.3 Communication Plan &amp; Consultation Strategy</w:t>
      </w:r>
    </w:p>
    <w:p w14:paraId="41E2FAB6" w14:textId="77777777" w:rsidR="000A3351" w:rsidRPr="009E2428" w:rsidRDefault="00371A90" w:rsidP="00CA19CE">
      <w:pPr>
        <w:pStyle w:val="ListBullet"/>
        <w:numPr>
          <w:ilvl w:val="0"/>
          <w:numId w:val="0"/>
        </w:numPr>
        <w:spacing w:line="360" w:lineRule="auto"/>
        <w:ind w:left="360" w:hanging="360"/>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3. Ethical Considerations in Stakeholder Consultation, Participation and Feedback</w:t>
      </w:r>
    </w:p>
    <w:p w14:paraId="3BB8EDFC" w14:textId="77777777" w:rsidR="000A3351" w:rsidRPr="009E2428" w:rsidRDefault="00371A90" w:rsidP="00CA19CE">
      <w:pPr>
        <w:pStyle w:val="ListBullet"/>
        <w:numPr>
          <w:ilvl w:val="0"/>
          <w:numId w:val="0"/>
        </w:numPr>
        <w:spacing w:line="360" w:lineRule="auto"/>
        <w:ind w:left="360" w:hanging="360"/>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4. Conclusion and Reflection</w:t>
      </w:r>
    </w:p>
    <w:p w14:paraId="408EBC88" w14:textId="77777777" w:rsidR="000A3351" w:rsidRPr="009E2428" w:rsidRDefault="00371A90" w:rsidP="00CA19CE">
      <w:pPr>
        <w:pStyle w:val="ListBullet"/>
        <w:numPr>
          <w:ilvl w:val="0"/>
          <w:numId w:val="0"/>
        </w:numPr>
        <w:spacing w:line="360" w:lineRule="auto"/>
        <w:ind w:left="360" w:hanging="360"/>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5. References</w:t>
      </w:r>
    </w:p>
    <w:p w14:paraId="3EE37B08" w14:textId="77777777" w:rsidR="000A3351" w:rsidRPr="009E2428" w:rsidRDefault="00371A90" w:rsidP="00CA19CE">
      <w:pPr>
        <w:pStyle w:val="Heading2"/>
        <w:spacing w:line="360" w:lineRule="auto"/>
        <w:rPr>
          <w:rFonts w:ascii="Times New Roman" w:hAnsi="Times New Roman" w:cs="Times New Roman"/>
          <w:b w:val="0"/>
          <w:bCs w:val="0"/>
          <w:color w:val="000000" w:themeColor="text1"/>
          <w:sz w:val="24"/>
          <w:szCs w:val="24"/>
          <w:u w:val="single"/>
        </w:rPr>
      </w:pPr>
      <w:r w:rsidRPr="009E2428">
        <w:rPr>
          <w:rFonts w:ascii="Times New Roman" w:hAnsi="Times New Roman" w:cs="Times New Roman"/>
          <w:b w:val="0"/>
          <w:bCs w:val="0"/>
          <w:color w:val="000000" w:themeColor="text1"/>
          <w:sz w:val="24"/>
          <w:szCs w:val="24"/>
          <w:u w:val="single"/>
        </w:rPr>
        <w:t>1. Introduction</w:t>
      </w:r>
    </w:p>
    <w:p w14:paraId="37F3C2A4" w14:textId="6FAAE97B" w:rsidR="000A3351"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The proposed project involves the development of a new public park in the urban area of Solihull, England. The project aims to convert a previously under</w:t>
      </w:r>
      <w:r w:rsidR="00B773ED" w:rsidRPr="009E2428">
        <w:rPr>
          <w:rFonts w:ascii="Times New Roman" w:hAnsi="Times New Roman" w:cs="Times New Roman"/>
          <w:color w:val="000000" w:themeColor="text1"/>
          <w:sz w:val="24"/>
          <w:szCs w:val="24"/>
        </w:rPr>
        <w:t xml:space="preserve"> </w:t>
      </w:r>
      <w:r w:rsidRPr="009E2428">
        <w:rPr>
          <w:rFonts w:ascii="Times New Roman" w:hAnsi="Times New Roman" w:cs="Times New Roman"/>
          <w:color w:val="000000" w:themeColor="text1"/>
          <w:sz w:val="24"/>
          <w:szCs w:val="24"/>
        </w:rPr>
        <w:t>utilised brownfield site of approximately five hectares into a multifunctional green space. The park will feature children’s play areas, walking and cycling paths, wildflower meadows, community allotments, and outdoor seating and gathering zones. The project aligns with Solihull Council’s green infrastructure strategy and aims to promote public health, enhance biodiversity, and provide inclusive recreational spaces.</w:t>
      </w:r>
    </w:p>
    <w:p w14:paraId="5ACC18D4" w14:textId="56FC95EF" w:rsidR="002E6C8C" w:rsidRPr="00C714DC" w:rsidRDefault="002E6C8C" w:rsidP="00CA19CE">
      <w:pPr>
        <w:spacing w:line="360" w:lineRule="auto"/>
        <w:rPr>
          <w:rFonts w:ascii="Times New Roman" w:hAnsi="Times New Roman" w:cs="Times New Roman"/>
          <w:color w:val="000000" w:themeColor="text1"/>
          <w:sz w:val="24"/>
          <w:szCs w:val="24"/>
        </w:rPr>
      </w:pPr>
      <w:r w:rsidRPr="00C714DC">
        <w:rPr>
          <w:rFonts w:ascii="Times New Roman" w:eastAsia="Times New Roman" w:hAnsi="Times New Roman" w:cs="Times New Roman"/>
          <w:color w:val="000000"/>
          <w:sz w:val="24"/>
          <w:szCs w:val="24"/>
        </w:rPr>
        <w:t xml:space="preserve">Solihull, located in the West Midlands of England, is one of the UK’s most prosperous and family-oriented boroughs, characterised by a diverse yet predominantly middle-income population, high levels of employment, and well-established residential communities. The area is known for its suburban feel, strong local identity, and access to high-quality schools and green spaces, attracting families, older adults, and professionals who value a safe and community-focused environment. Despite its generally positive living conditions, parts of Solihull—particularly those closer to the town centre and certain northern wards—face increasing urban pressures, rising population density, and limited accessible recreational spaces. Establishing a new public park in Solihull would provide significant social, environmental, and health benefits by offering a safe space for physical activity, community interaction, and biodiversity </w:t>
      </w:r>
      <w:r w:rsidRPr="00C714DC">
        <w:rPr>
          <w:rFonts w:ascii="Times New Roman" w:eastAsia="Times New Roman" w:hAnsi="Times New Roman" w:cs="Times New Roman"/>
          <w:color w:val="000000"/>
          <w:sz w:val="24"/>
          <w:szCs w:val="24"/>
        </w:rPr>
        <w:lastRenderedPageBreak/>
        <w:t>enhancement. A well-designed park would support the wellbeing of residents of all ages, reduce social isolation, and contribute to Solihull’s strategic aim of fostering sustainable, inclusive, and healthy neighbourhoods.</w:t>
      </w:r>
    </w:p>
    <w:p w14:paraId="7E099079" w14:textId="77777777" w:rsidR="002E6C8C" w:rsidRPr="00C714DC" w:rsidRDefault="002E6C8C" w:rsidP="00CA19CE">
      <w:pPr>
        <w:spacing w:line="360" w:lineRule="auto"/>
        <w:rPr>
          <w:rFonts w:ascii="Times New Roman" w:hAnsi="Times New Roman" w:cs="Times New Roman"/>
          <w:color w:val="000000" w:themeColor="text1"/>
          <w:sz w:val="24"/>
          <w:szCs w:val="24"/>
        </w:rPr>
      </w:pPr>
    </w:p>
    <w:p w14:paraId="1D7ED42A"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Key stakeholders and their benefits include: Local Residents (health, wellbeing, and recreation), Local Businesses (increased footfall and local economy boost), Local Authority (policy success and community reputation), Environmental NGOs (biodiversity gains), Construction Firms (commercial and professional growth), and Accessibility Advocacy Groups (inclusive design outcomes). This plan outlines stakeholder mapping, engagement, ethics, and reflection to ensure project success and sustainability.</w:t>
      </w:r>
    </w:p>
    <w:p w14:paraId="259E06C8" w14:textId="77777777" w:rsidR="000A3351" w:rsidRPr="009E2428" w:rsidRDefault="00371A90" w:rsidP="00CA19CE">
      <w:pPr>
        <w:pStyle w:val="Heading2"/>
        <w:spacing w:line="360" w:lineRule="auto"/>
        <w:rPr>
          <w:rFonts w:ascii="Times New Roman" w:hAnsi="Times New Roman" w:cs="Times New Roman"/>
          <w:b w:val="0"/>
          <w:bCs w:val="0"/>
          <w:color w:val="000000" w:themeColor="text1"/>
          <w:sz w:val="24"/>
          <w:szCs w:val="24"/>
          <w:u w:val="single"/>
        </w:rPr>
      </w:pPr>
      <w:r w:rsidRPr="009E2428">
        <w:rPr>
          <w:rFonts w:ascii="Times New Roman" w:hAnsi="Times New Roman" w:cs="Times New Roman"/>
          <w:b w:val="0"/>
          <w:bCs w:val="0"/>
          <w:color w:val="000000" w:themeColor="text1"/>
          <w:sz w:val="24"/>
          <w:szCs w:val="24"/>
          <w:u w:val="single"/>
        </w:rPr>
        <w:t>2. Application: Stakeholder Engagement Strategies</w:t>
      </w:r>
    </w:p>
    <w:p w14:paraId="6D37BD57" w14:textId="3B758EAD" w:rsidR="00D21AB1" w:rsidRPr="009E2428" w:rsidRDefault="00D21AB1" w:rsidP="00CA19CE">
      <w:pPr>
        <w:spacing w:line="360" w:lineRule="auto"/>
        <w:rPr>
          <w:rFonts w:ascii="Times New Roman" w:hAnsi="Times New Roman" w:cs="Times New Roman"/>
          <w:sz w:val="24"/>
          <w:szCs w:val="24"/>
        </w:rPr>
      </w:pPr>
      <w:r w:rsidRPr="009E2428">
        <w:rPr>
          <w:rFonts w:ascii="Times New Roman" w:eastAsia="Times New Roman" w:hAnsi="Times New Roman" w:cs="Times New Roman"/>
          <w:color w:val="000000"/>
          <w:sz w:val="24"/>
          <w:szCs w:val="24"/>
        </w:rPr>
        <w:t>Effective stakeholder engagement is crucial for the success of the new public park in Solihull. This section outlines a structured approach to identifying, analysing, and engaging stakeholders through a combination of power, influence, and interest assessment, stakeholder mapping, and a detailed communication and consultation strategy. The application of theoretical frameworks ensures that engagement is systematic, transparent, and aligned with best practices in project management and community participation.</w:t>
      </w:r>
    </w:p>
    <w:p w14:paraId="3A76F0FC" w14:textId="77777777" w:rsidR="000A3351" w:rsidRPr="009E2428" w:rsidRDefault="00371A90" w:rsidP="00CA19CE">
      <w:pPr>
        <w:pStyle w:val="Heading3"/>
        <w:spacing w:line="360" w:lineRule="auto"/>
        <w:rPr>
          <w:rFonts w:ascii="Times New Roman" w:hAnsi="Times New Roman" w:cs="Times New Roman"/>
          <w:b w:val="0"/>
          <w:bCs w:val="0"/>
          <w:color w:val="000000" w:themeColor="text1"/>
          <w:sz w:val="24"/>
          <w:szCs w:val="24"/>
        </w:rPr>
      </w:pPr>
      <w:r w:rsidRPr="009E2428">
        <w:rPr>
          <w:rFonts w:ascii="Times New Roman" w:hAnsi="Times New Roman" w:cs="Times New Roman"/>
          <w:b w:val="0"/>
          <w:bCs w:val="0"/>
          <w:color w:val="000000" w:themeColor="text1"/>
          <w:sz w:val="24"/>
          <w:szCs w:val="24"/>
        </w:rPr>
        <w:t>2.1 Power, Influence &amp; Interest Table</w:t>
      </w:r>
    </w:p>
    <w:tbl>
      <w:tblPr>
        <w:tblW w:w="11657" w:type="dxa"/>
        <w:tblInd w:w="-1059" w:type="dxa"/>
        <w:tblLook w:val="04A0" w:firstRow="1" w:lastRow="0" w:firstColumn="1" w:lastColumn="0" w:noHBand="0" w:noVBand="1"/>
      </w:tblPr>
      <w:tblGrid>
        <w:gridCol w:w="1872"/>
        <w:gridCol w:w="1872"/>
        <w:gridCol w:w="1872"/>
        <w:gridCol w:w="1872"/>
        <w:gridCol w:w="4169"/>
      </w:tblGrid>
      <w:tr w:rsidR="00532275" w:rsidRPr="00CA19CE" w14:paraId="681C2CC6" w14:textId="77777777" w:rsidTr="001F51BE">
        <w:tc>
          <w:tcPr>
            <w:tcW w:w="1872" w:type="dxa"/>
          </w:tcPr>
          <w:p w14:paraId="0007D495" w14:textId="77777777" w:rsidR="000A3351" w:rsidRPr="00CA19CE" w:rsidRDefault="00371A90" w:rsidP="00CA19CE">
            <w:pPr>
              <w:spacing w:line="360" w:lineRule="auto"/>
              <w:rPr>
                <w:rFonts w:ascii="Times New Roman" w:hAnsi="Times New Roman" w:cs="Times New Roman"/>
                <w:b/>
                <w:bCs/>
                <w:color w:val="000000" w:themeColor="text1"/>
                <w:sz w:val="24"/>
                <w:szCs w:val="24"/>
              </w:rPr>
            </w:pPr>
            <w:r w:rsidRPr="00CA19CE">
              <w:rPr>
                <w:rFonts w:ascii="Times New Roman" w:hAnsi="Times New Roman" w:cs="Times New Roman"/>
                <w:b/>
                <w:bCs/>
                <w:color w:val="000000" w:themeColor="text1"/>
                <w:sz w:val="24"/>
                <w:szCs w:val="24"/>
              </w:rPr>
              <w:t>Stakeholder</w:t>
            </w:r>
          </w:p>
        </w:tc>
        <w:tc>
          <w:tcPr>
            <w:tcW w:w="1872" w:type="dxa"/>
          </w:tcPr>
          <w:p w14:paraId="47731439" w14:textId="77777777" w:rsidR="000A3351" w:rsidRPr="00CA19CE" w:rsidRDefault="00371A90" w:rsidP="00CA19CE">
            <w:pPr>
              <w:spacing w:line="360" w:lineRule="auto"/>
              <w:rPr>
                <w:rFonts w:ascii="Times New Roman" w:hAnsi="Times New Roman" w:cs="Times New Roman"/>
                <w:b/>
                <w:bCs/>
                <w:color w:val="000000" w:themeColor="text1"/>
                <w:sz w:val="24"/>
                <w:szCs w:val="24"/>
              </w:rPr>
            </w:pPr>
            <w:r w:rsidRPr="00CA19CE">
              <w:rPr>
                <w:rFonts w:ascii="Times New Roman" w:hAnsi="Times New Roman" w:cs="Times New Roman"/>
                <w:b/>
                <w:bCs/>
                <w:color w:val="000000" w:themeColor="text1"/>
                <w:sz w:val="24"/>
                <w:szCs w:val="24"/>
              </w:rPr>
              <w:t>Power</w:t>
            </w:r>
          </w:p>
        </w:tc>
        <w:tc>
          <w:tcPr>
            <w:tcW w:w="1872" w:type="dxa"/>
          </w:tcPr>
          <w:p w14:paraId="24DB9C1D" w14:textId="77777777" w:rsidR="000A3351" w:rsidRPr="00CA19CE" w:rsidRDefault="00371A90" w:rsidP="00CA19CE">
            <w:pPr>
              <w:spacing w:line="360" w:lineRule="auto"/>
              <w:rPr>
                <w:rFonts w:ascii="Times New Roman" w:hAnsi="Times New Roman" w:cs="Times New Roman"/>
                <w:b/>
                <w:bCs/>
                <w:color w:val="000000" w:themeColor="text1"/>
                <w:sz w:val="24"/>
                <w:szCs w:val="24"/>
              </w:rPr>
            </w:pPr>
            <w:r w:rsidRPr="00CA19CE">
              <w:rPr>
                <w:rFonts w:ascii="Times New Roman" w:hAnsi="Times New Roman" w:cs="Times New Roman"/>
                <w:b/>
                <w:bCs/>
                <w:color w:val="000000" w:themeColor="text1"/>
                <w:sz w:val="24"/>
                <w:szCs w:val="24"/>
              </w:rPr>
              <w:t>Influence</w:t>
            </w:r>
          </w:p>
        </w:tc>
        <w:tc>
          <w:tcPr>
            <w:tcW w:w="1872" w:type="dxa"/>
          </w:tcPr>
          <w:p w14:paraId="1800B7A4" w14:textId="77777777" w:rsidR="000A3351" w:rsidRPr="00CA19CE" w:rsidRDefault="00371A90" w:rsidP="00CA19CE">
            <w:pPr>
              <w:spacing w:line="360" w:lineRule="auto"/>
              <w:rPr>
                <w:rFonts w:ascii="Times New Roman" w:hAnsi="Times New Roman" w:cs="Times New Roman"/>
                <w:b/>
                <w:bCs/>
                <w:color w:val="000000" w:themeColor="text1"/>
                <w:sz w:val="24"/>
                <w:szCs w:val="24"/>
              </w:rPr>
            </w:pPr>
            <w:r w:rsidRPr="00CA19CE">
              <w:rPr>
                <w:rFonts w:ascii="Times New Roman" w:hAnsi="Times New Roman" w:cs="Times New Roman"/>
                <w:b/>
                <w:bCs/>
                <w:color w:val="000000" w:themeColor="text1"/>
                <w:sz w:val="24"/>
                <w:szCs w:val="24"/>
              </w:rPr>
              <w:t>Interest</w:t>
            </w:r>
          </w:p>
        </w:tc>
        <w:tc>
          <w:tcPr>
            <w:tcW w:w="4169" w:type="dxa"/>
          </w:tcPr>
          <w:p w14:paraId="6E91BD68" w14:textId="77777777" w:rsidR="000A3351" w:rsidRPr="00CA19CE" w:rsidRDefault="00371A90" w:rsidP="00CA19CE">
            <w:pPr>
              <w:spacing w:line="360" w:lineRule="auto"/>
              <w:rPr>
                <w:rFonts w:ascii="Times New Roman" w:hAnsi="Times New Roman" w:cs="Times New Roman"/>
                <w:b/>
                <w:bCs/>
                <w:color w:val="000000" w:themeColor="text1"/>
                <w:sz w:val="24"/>
                <w:szCs w:val="24"/>
              </w:rPr>
            </w:pPr>
            <w:r w:rsidRPr="00CA19CE">
              <w:rPr>
                <w:rFonts w:ascii="Times New Roman" w:hAnsi="Times New Roman" w:cs="Times New Roman"/>
                <w:b/>
                <w:bCs/>
                <w:color w:val="000000" w:themeColor="text1"/>
                <w:sz w:val="24"/>
                <w:szCs w:val="24"/>
              </w:rPr>
              <w:t>Justification</w:t>
            </w:r>
          </w:p>
        </w:tc>
      </w:tr>
      <w:tr w:rsidR="00532275" w:rsidRPr="009E2428" w14:paraId="7DFB8952" w14:textId="77777777" w:rsidTr="001F51BE">
        <w:tc>
          <w:tcPr>
            <w:tcW w:w="1872" w:type="dxa"/>
          </w:tcPr>
          <w:p w14:paraId="1BEE9AA6"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Local Residents</w:t>
            </w:r>
          </w:p>
        </w:tc>
        <w:tc>
          <w:tcPr>
            <w:tcW w:w="1872" w:type="dxa"/>
          </w:tcPr>
          <w:p w14:paraId="2BAF894E"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M</w:t>
            </w:r>
          </w:p>
        </w:tc>
        <w:tc>
          <w:tcPr>
            <w:tcW w:w="1872" w:type="dxa"/>
          </w:tcPr>
          <w:p w14:paraId="08333541"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H</w:t>
            </w:r>
          </w:p>
        </w:tc>
        <w:tc>
          <w:tcPr>
            <w:tcW w:w="1872" w:type="dxa"/>
          </w:tcPr>
          <w:p w14:paraId="2F8EAFC4"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H</w:t>
            </w:r>
          </w:p>
        </w:tc>
        <w:tc>
          <w:tcPr>
            <w:tcW w:w="4169" w:type="dxa"/>
          </w:tcPr>
          <w:p w14:paraId="0FF9D20A"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High interest due to proximity and daily impact; moderate power via consultations.</w:t>
            </w:r>
          </w:p>
        </w:tc>
      </w:tr>
      <w:tr w:rsidR="00532275" w:rsidRPr="009E2428" w14:paraId="036C3088" w14:textId="77777777" w:rsidTr="001F51BE">
        <w:tc>
          <w:tcPr>
            <w:tcW w:w="1872" w:type="dxa"/>
          </w:tcPr>
          <w:p w14:paraId="35CFF7C4"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Local Businesses</w:t>
            </w:r>
          </w:p>
        </w:tc>
        <w:tc>
          <w:tcPr>
            <w:tcW w:w="1872" w:type="dxa"/>
          </w:tcPr>
          <w:p w14:paraId="0660E01D"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L</w:t>
            </w:r>
          </w:p>
        </w:tc>
        <w:tc>
          <w:tcPr>
            <w:tcW w:w="1872" w:type="dxa"/>
          </w:tcPr>
          <w:p w14:paraId="4D827E11"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M</w:t>
            </w:r>
          </w:p>
        </w:tc>
        <w:tc>
          <w:tcPr>
            <w:tcW w:w="1872" w:type="dxa"/>
          </w:tcPr>
          <w:p w14:paraId="222B4199"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M</w:t>
            </w:r>
          </w:p>
        </w:tc>
        <w:tc>
          <w:tcPr>
            <w:tcW w:w="4169" w:type="dxa"/>
          </w:tcPr>
          <w:p w14:paraId="708041E0"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Moderate influence through local business forums; limited direct decision power.</w:t>
            </w:r>
          </w:p>
        </w:tc>
      </w:tr>
      <w:tr w:rsidR="00532275" w:rsidRPr="009E2428" w14:paraId="52A19B9F" w14:textId="77777777" w:rsidTr="001F51BE">
        <w:tc>
          <w:tcPr>
            <w:tcW w:w="1872" w:type="dxa"/>
          </w:tcPr>
          <w:p w14:paraId="688E7226"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Local Authority</w:t>
            </w:r>
          </w:p>
        </w:tc>
        <w:tc>
          <w:tcPr>
            <w:tcW w:w="1872" w:type="dxa"/>
          </w:tcPr>
          <w:p w14:paraId="3BBE041B"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H</w:t>
            </w:r>
          </w:p>
        </w:tc>
        <w:tc>
          <w:tcPr>
            <w:tcW w:w="1872" w:type="dxa"/>
          </w:tcPr>
          <w:p w14:paraId="03B053A8"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H</w:t>
            </w:r>
          </w:p>
        </w:tc>
        <w:tc>
          <w:tcPr>
            <w:tcW w:w="1872" w:type="dxa"/>
          </w:tcPr>
          <w:p w14:paraId="1E861153"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H</w:t>
            </w:r>
          </w:p>
        </w:tc>
        <w:tc>
          <w:tcPr>
            <w:tcW w:w="4169" w:type="dxa"/>
          </w:tcPr>
          <w:p w14:paraId="185366F6"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Primary decision-maker with full control and responsibility for outcomes.</w:t>
            </w:r>
          </w:p>
        </w:tc>
      </w:tr>
      <w:tr w:rsidR="00532275" w:rsidRPr="009E2428" w14:paraId="0866C4B4" w14:textId="77777777" w:rsidTr="001F51BE">
        <w:tc>
          <w:tcPr>
            <w:tcW w:w="1872" w:type="dxa"/>
          </w:tcPr>
          <w:p w14:paraId="1CDBFBB4"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lastRenderedPageBreak/>
              <w:t>Environmental NGOs</w:t>
            </w:r>
          </w:p>
        </w:tc>
        <w:tc>
          <w:tcPr>
            <w:tcW w:w="1872" w:type="dxa"/>
          </w:tcPr>
          <w:p w14:paraId="3E53F32B"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M</w:t>
            </w:r>
          </w:p>
        </w:tc>
        <w:tc>
          <w:tcPr>
            <w:tcW w:w="1872" w:type="dxa"/>
          </w:tcPr>
          <w:p w14:paraId="35A49D1A"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M</w:t>
            </w:r>
          </w:p>
        </w:tc>
        <w:tc>
          <w:tcPr>
            <w:tcW w:w="1872" w:type="dxa"/>
          </w:tcPr>
          <w:p w14:paraId="072BB82E"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M</w:t>
            </w:r>
          </w:p>
        </w:tc>
        <w:tc>
          <w:tcPr>
            <w:tcW w:w="4169" w:type="dxa"/>
          </w:tcPr>
          <w:p w14:paraId="334565FF"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Moderate advocacy power and interest in biodiversity and sustainability outcomes.</w:t>
            </w:r>
          </w:p>
        </w:tc>
      </w:tr>
      <w:tr w:rsidR="00532275" w:rsidRPr="009E2428" w14:paraId="63ED53CD" w14:textId="77777777" w:rsidTr="001F51BE">
        <w:tc>
          <w:tcPr>
            <w:tcW w:w="1872" w:type="dxa"/>
          </w:tcPr>
          <w:p w14:paraId="6994D16E"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Construction Firms</w:t>
            </w:r>
          </w:p>
        </w:tc>
        <w:tc>
          <w:tcPr>
            <w:tcW w:w="1872" w:type="dxa"/>
          </w:tcPr>
          <w:p w14:paraId="0D3350F7"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M</w:t>
            </w:r>
          </w:p>
        </w:tc>
        <w:tc>
          <w:tcPr>
            <w:tcW w:w="1872" w:type="dxa"/>
          </w:tcPr>
          <w:p w14:paraId="04B5CBB5"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M</w:t>
            </w:r>
          </w:p>
        </w:tc>
        <w:tc>
          <w:tcPr>
            <w:tcW w:w="1872" w:type="dxa"/>
          </w:tcPr>
          <w:p w14:paraId="4D54862A"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L</w:t>
            </w:r>
          </w:p>
        </w:tc>
        <w:tc>
          <w:tcPr>
            <w:tcW w:w="4169" w:type="dxa"/>
          </w:tcPr>
          <w:p w14:paraId="3EABE7ED"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Commercially interested but limited long-term influence beyond delivery phase.</w:t>
            </w:r>
          </w:p>
        </w:tc>
      </w:tr>
      <w:tr w:rsidR="00532275" w:rsidRPr="009E2428" w14:paraId="14B2FE15" w14:textId="77777777" w:rsidTr="001F51BE">
        <w:tc>
          <w:tcPr>
            <w:tcW w:w="1872" w:type="dxa"/>
          </w:tcPr>
          <w:p w14:paraId="22B4BE1C"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Accessibility Groups</w:t>
            </w:r>
          </w:p>
        </w:tc>
        <w:tc>
          <w:tcPr>
            <w:tcW w:w="1872" w:type="dxa"/>
          </w:tcPr>
          <w:p w14:paraId="0AEDFB76"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L</w:t>
            </w:r>
          </w:p>
        </w:tc>
        <w:tc>
          <w:tcPr>
            <w:tcW w:w="1872" w:type="dxa"/>
          </w:tcPr>
          <w:p w14:paraId="66D495B0"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M</w:t>
            </w:r>
          </w:p>
        </w:tc>
        <w:tc>
          <w:tcPr>
            <w:tcW w:w="1872" w:type="dxa"/>
          </w:tcPr>
          <w:p w14:paraId="047F6725"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H</w:t>
            </w:r>
          </w:p>
        </w:tc>
        <w:tc>
          <w:tcPr>
            <w:tcW w:w="4169" w:type="dxa"/>
          </w:tcPr>
          <w:p w14:paraId="26A4A0A1"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High interest in inclusivity outcomes but limited formal power.</w:t>
            </w:r>
          </w:p>
        </w:tc>
      </w:tr>
    </w:tbl>
    <w:p w14:paraId="259AA393" w14:textId="5F1AAD4C" w:rsidR="009004B5" w:rsidRPr="00B82EC8" w:rsidRDefault="009004B5" w:rsidP="00CA19CE">
      <w:pPr>
        <w:pStyle w:val="Heading3"/>
        <w:spacing w:line="360" w:lineRule="auto"/>
        <w:rPr>
          <w:rFonts w:ascii="Times New Roman" w:hAnsi="Times New Roman" w:cs="Times New Roman"/>
          <w:b w:val="0"/>
          <w:bCs w:val="0"/>
          <w:color w:val="000000" w:themeColor="text1"/>
          <w:sz w:val="24"/>
          <w:szCs w:val="24"/>
        </w:rPr>
      </w:pPr>
      <w:r w:rsidRPr="00B82EC8">
        <w:rPr>
          <w:rFonts w:ascii="Times New Roman" w:eastAsia="Times New Roman" w:hAnsi="Times New Roman" w:cs="Times New Roman"/>
          <w:b w:val="0"/>
          <w:bCs w:val="0"/>
          <w:color w:val="000000"/>
          <w:sz w:val="24"/>
          <w:szCs w:val="24"/>
        </w:rPr>
        <w:t>The PII table is informed by</w:t>
      </w:r>
      <w:r w:rsidRPr="00B82EC8">
        <w:rPr>
          <w:rStyle w:val="apple-converted-space"/>
          <w:rFonts w:ascii="Times New Roman" w:eastAsia="Times New Roman" w:hAnsi="Times New Roman" w:cs="Times New Roman"/>
          <w:b w:val="0"/>
          <w:bCs w:val="0"/>
          <w:color w:val="000000"/>
          <w:sz w:val="24"/>
          <w:szCs w:val="24"/>
        </w:rPr>
        <w:t> </w:t>
      </w:r>
      <w:r w:rsidRPr="00B82EC8">
        <w:rPr>
          <w:rStyle w:val="Strong"/>
          <w:rFonts w:ascii="Times New Roman" w:eastAsia="Times New Roman" w:hAnsi="Times New Roman" w:cs="Times New Roman"/>
          <w:b/>
          <w:bCs/>
          <w:color w:val="000000"/>
          <w:sz w:val="24"/>
          <w:szCs w:val="24"/>
        </w:rPr>
        <w:t>Mendelow’s matrix</w:t>
      </w:r>
      <w:r w:rsidRPr="00B82EC8">
        <w:rPr>
          <w:rStyle w:val="apple-converted-space"/>
          <w:rFonts w:ascii="Times New Roman" w:eastAsia="Times New Roman" w:hAnsi="Times New Roman" w:cs="Times New Roman"/>
          <w:b w:val="0"/>
          <w:bCs w:val="0"/>
          <w:color w:val="000000"/>
          <w:sz w:val="24"/>
          <w:szCs w:val="24"/>
        </w:rPr>
        <w:t> </w:t>
      </w:r>
      <w:r w:rsidRPr="00B82EC8">
        <w:rPr>
          <w:rFonts w:ascii="Times New Roman" w:eastAsia="Times New Roman" w:hAnsi="Times New Roman" w:cs="Times New Roman"/>
          <w:b w:val="0"/>
          <w:bCs w:val="0"/>
          <w:color w:val="000000"/>
          <w:sz w:val="24"/>
          <w:szCs w:val="24"/>
        </w:rPr>
        <w:t>(Mendelow, 1991) and stakeholder theory (Freeman, 1984). For example, residents’ high interest and medium power place them in a category that requires continuous engagement, whereas construction firms’ operational influence demands monitoring and periodic updates rather than intensive consultation.</w:t>
      </w:r>
    </w:p>
    <w:p w14:paraId="7EF1A66E" w14:textId="77777777" w:rsidR="009004B5" w:rsidRDefault="009004B5" w:rsidP="00CA19CE">
      <w:pPr>
        <w:pStyle w:val="Heading3"/>
        <w:spacing w:line="360" w:lineRule="auto"/>
        <w:rPr>
          <w:rFonts w:ascii="Times New Roman" w:hAnsi="Times New Roman" w:cs="Times New Roman"/>
          <w:b w:val="0"/>
          <w:bCs w:val="0"/>
          <w:color w:val="000000" w:themeColor="text1"/>
          <w:sz w:val="24"/>
          <w:szCs w:val="24"/>
        </w:rPr>
      </w:pPr>
    </w:p>
    <w:p w14:paraId="53B55EF8" w14:textId="178ACD8A" w:rsidR="00C441D8" w:rsidRPr="00C441D8" w:rsidRDefault="009004B5" w:rsidP="00CA19CE">
      <w:pPr>
        <w:pStyle w:val="Heading3"/>
        <w:spacing w:line="360" w:lineRule="auto"/>
        <w:rPr>
          <w:rFonts w:ascii="Times New Roman" w:hAnsi="Times New Roman" w:cs="Times New Roman"/>
          <w:b w:val="0"/>
          <w:bCs w:val="0"/>
          <w:color w:val="000000" w:themeColor="text1"/>
          <w:sz w:val="24"/>
          <w:szCs w:val="24"/>
        </w:rPr>
      </w:pPr>
      <w:r>
        <w:rPr>
          <w:rFonts w:ascii="Times New Roman" w:hAnsi="Times New Roman" w:cs="Times New Roman"/>
          <w:b w:val="0"/>
          <w:bCs w:val="0"/>
          <w:color w:val="000000" w:themeColor="text1"/>
          <w:sz w:val="24"/>
          <w:szCs w:val="24"/>
        </w:rPr>
        <w:t>2</w:t>
      </w:r>
      <w:r w:rsidR="00371A90" w:rsidRPr="009E2428">
        <w:rPr>
          <w:rFonts w:ascii="Times New Roman" w:hAnsi="Times New Roman" w:cs="Times New Roman"/>
          <w:b w:val="0"/>
          <w:bCs w:val="0"/>
          <w:color w:val="000000" w:themeColor="text1"/>
          <w:sz w:val="24"/>
          <w:szCs w:val="24"/>
        </w:rPr>
        <w:t>.2 Stakeholder Map (Figure 1) and Justification</w:t>
      </w:r>
      <w:r w:rsidR="00C441D8" w:rsidRPr="00C441D8">
        <w:rPr>
          <w:rFonts w:ascii="Times New Roman" w:eastAsia="Times New Roman" w:hAnsi="Times New Roman" w:cs="Times New Roman"/>
          <w:b w:val="0"/>
          <w:bCs w:val="0"/>
          <w:color w:val="000000"/>
          <w:sz w:val="24"/>
          <w:szCs w:val="24"/>
          <w:lang w:val="en-GB" w:eastAsia="en-GB"/>
        </w:rPr>
        <w:t xml:space="preserve"> </w:t>
      </w:r>
    </w:p>
    <w:p w14:paraId="700933AC" w14:textId="77777777" w:rsidR="00C441D8" w:rsidRPr="00C441D8" w:rsidRDefault="00C441D8"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C441D8">
        <w:rPr>
          <w:rFonts w:ascii="Times New Roman" w:hAnsi="Times New Roman" w:cs="Times New Roman"/>
          <w:color w:val="000000"/>
          <w:sz w:val="24"/>
          <w:szCs w:val="24"/>
          <w:lang w:val="en-GB" w:eastAsia="en-GB"/>
        </w:rPr>
        <w:t>The stakeholder map visually plots stakeholders along two axes: power and interest, forming four quadrants. This approach clarifies engagement priorities and informs communication strategies.</w:t>
      </w:r>
    </w:p>
    <w:p w14:paraId="2C1036AF" w14:textId="77777777" w:rsidR="00C441D8" w:rsidRPr="00C441D8" w:rsidRDefault="00C441D8" w:rsidP="00CA19CE">
      <w:pPr>
        <w:numPr>
          <w:ilvl w:val="0"/>
          <w:numId w:val="21"/>
        </w:numPr>
        <w:spacing w:before="100" w:beforeAutospacing="1" w:after="100" w:afterAutospacing="1" w:line="360" w:lineRule="auto"/>
        <w:rPr>
          <w:rFonts w:ascii="Times New Roman" w:hAnsi="Times New Roman" w:cs="Times New Roman"/>
          <w:color w:val="000000"/>
          <w:sz w:val="24"/>
          <w:szCs w:val="24"/>
          <w:lang w:val="en-GB" w:eastAsia="en-GB"/>
        </w:rPr>
      </w:pPr>
      <w:r w:rsidRPr="00C441D8">
        <w:rPr>
          <w:rFonts w:ascii="Times New Roman" w:hAnsi="Times New Roman" w:cs="Times New Roman"/>
          <w:color w:val="000000"/>
          <w:sz w:val="24"/>
          <w:szCs w:val="24"/>
          <w:lang w:val="en-GB" w:eastAsia="en-GB"/>
        </w:rPr>
        <w:t>Manage Closely (High Power, High Interest): Local Authority</w:t>
      </w:r>
    </w:p>
    <w:p w14:paraId="050EB251" w14:textId="77777777" w:rsidR="00C441D8" w:rsidRPr="009E2428" w:rsidRDefault="00C441D8" w:rsidP="00CA19CE">
      <w:pPr>
        <w:pStyle w:val="ListParagraph"/>
        <w:numPr>
          <w:ilvl w:val="0"/>
          <w:numId w:val="22"/>
        </w:numPr>
        <w:spacing w:before="100" w:beforeAutospacing="1" w:after="100" w:afterAutospacing="1" w:line="360" w:lineRule="auto"/>
        <w:rPr>
          <w:rFonts w:ascii="Times New Roman" w:hAnsi="Times New Roman" w:cs="Times New Roman"/>
          <w:color w:val="000000"/>
          <w:sz w:val="24"/>
          <w:szCs w:val="24"/>
          <w:lang w:val="en-GB" w:eastAsia="en-GB"/>
        </w:rPr>
      </w:pPr>
      <w:r w:rsidRPr="009E2428">
        <w:rPr>
          <w:rFonts w:ascii="Times New Roman" w:hAnsi="Times New Roman" w:cs="Times New Roman"/>
          <w:color w:val="000000"/>
          <w:sz w:val="24"/>
          <w:szCs w:val="24"/>
          <w:lang w:val="en-GB" w:eastAsia="en-GB"/>
        </w:rPr>
        <w:t>The local authority is pivotal to project approval, resource allocation, and regulatory compliance. Active engagement includes regular decision-making meetings, co-design sessions, and progress briefings. Continuous collaboration ensures alignment with policies and prevents procedural delays.</w:t>
      </w:r>
    </w:p>
    <w:p w14:paraId="1FDB7FA1" w14:textId="77777777" w:rsidR="00C441D8" w:rsidRPr="00C441D8" w:rsidRDefault="00C441D8" w:rsidP="00CA19CE">
      <w:pPr>
        <w:numPr>
          <w:ilvl w:val="0"/>
          <w:numId w:val="21"/>
        </w:numPr>
        <w:spacing w:before="100" w:beforeAutospacing="1" w:after="100" w:afterAutospacing="1" w:line="360" w:lineRule="auto"/>
        <w:rPr>
          <w:rFonts w:ascii="Times New Roman" w:hAnsi="Times New Roman" w:cs="Times New Roman"/>
          <w:color w:val="000000"/>
          <w:sz w:val="24"/>
          <w:szCs w:val="24"/>
          <w:lang w:val="en-GB" w:eastAsia="en-GB"/>
        </w:rPr>
      </w:pPr>
      <w:r w:rsidRPr="00C441D8">
        <w:rPr>
          <w:rFonts w:ascii="Times New Roman" w:hAnsi="Times New Roman" w:cs="Times New Roman"/>
          <w:color w:val="000000"/>
          <w:sz w:val="24"/>
          <w:szCs w:val="24"/>
          <w:lang w:val="en-GB" w:eastAsia="en-GB"/>
        </w:rPr>
        <w:t>Keep Satisfied (High Power, Low Interest): Construction Firms</w:t>
      </w:r>
    </w:p>
    <w:p w14:paraId="42BC11CA" w14:textId="77777777" w:rsidR="00C441D8" w:rsidRPr="009E2428" w:rsidRDefault="00C441D8" w:rsidP="00CA19CE">
      <w:pPr>
        <w:pStyle w:val="ListParagraph"/>
        <w:numPr>
          <w:ilvl w:val="0"/>
          <w:numId w:val="22"/>
        </w:numPr>
        <w:spacing w:before="100" w:beforeAutospacing="1" w:after="100" w:afterAutospacing="1" w:line="360" w:lineRule="auto"/>
        <w:rPr>
          <w:rFonts w:ascii="Times New Roman" w:hAnsi="Times New Roman" w:cs="Times New Roman"/>
          <w:color w:val="000000"/>
          <w:sz w:val="24"/>
          <w:szCs w:val="24"/>
          <w:lang w:val="en-GB" w:eastAsia="en-GB"/>
        </w:rPr>
      </w:pPr>
      <w:r w:rsidRPr="009E2428">
        <w:rPr>
          <w:rFonts w:ascii="Times New Roman" w:hAnsi="Times New Roman" w:cs="Times New Roman"/>
          <w:color w:val="000000"/>
          <w:sz w:val="24"/>
          <w:szCs w:val="24"/>
          <w:lang w:val="en-GB" w:eastAsia="en-GB"/>
        </w:rPr>
        <w:t xml:space="preserve">Construction companies possess significant operational power but lower interest in long-term park outcomes. Engagement focuses on contractual obligations, safety standards, </w:t>
      </w:r>
      <w:r w:rsidRPr="009E2428">
        <w:rPr>
          <w:rFonts w:ascii="Times New Roman" w:hAnsi="Times New Roman" w:cs="Times New Roman"/>
          <w:color w:val="000000"/>
          <w:sz w:val="24"/>
          <w:szCs w:val="24"/>
          <w:lang w:val="en-GB" w:eastAsia="en-GB"/>
        </w:rPr>
        <w:lastRenderedPageBreak/>
        <w:t>technical specifications, and timeline management. Satisfying their needs prevents delays while minimizing unnecessary consultation effort.</w:t>
      </w:r>
    </w:p>
    <w:p w14:paraId="4403451B" w14:textId="77777777" w:rsidR="00C441D8" w:rsidRPr="00C441D8" w:rsidRDefault="00C441D8" w:rsidP="00CA19CE">
      <w:pPr>
        <w:numPr>
          <w:ilvl w:val="0"/>
          <w:numId w:val="21"/>
        </w:numPr>
        <w:spacing w:before="100" w:beforeAutospacing="1" w:after="100" w:afterAutospacing="1" w:line="360" w:lineRule="auto"/>
        <w:rPr>
          <w:rFonts w:ascii="Times New Roman" w:hAnsi="Times New Roman" w:cs="Times New Roman"/>
          <w:color w:val="000000"/>
          <w:sz w:val="24"/>
          <w:szCs w:val="24"/>
          <w:lang w:val="en-GB" w:eastAsia="en-GB"/>
        </w:rPr>
      </w:pPr>
      <w:r w:rsidRPr="00C441D8">
        <w:rPr>
          <w:rFonts w:ascii="Times New Roman" w:hAnsi="Times New Roman" w:cs="Times New Roman"/>
          <w:color w:val="000000"/>
          <w:sz w:val="24"/>
          <w:szCs w:val="24"/>
          <w:lang w:val="en-GB" w:eastAsia="en-GB"/>
        </w:rPr>
        <w:t>Keep Informed (Low Power, High Interest): Local Residents and Accessibility Advocacy Groups</w:t>
      </w:r>
    </w:p>
    <w:p w14:paraId="4C7EE4AA" w14:textId="77777777" w:rsidR="00C441D8" w:rsidRPr="009E2428" w:rsidRDefault="00C441D8" w:rsidP="00CA19CE">
      <w:pPr>
        <w:pStyle w:val="ListParagraph"/>
        <w:numPr>
          <w:ilvl w:val="0"/>
          <w:numId w:val="22"/>
        </w:numPr>
        <w:spacing w:before="100" w:beforeAutospacing="1" w:after="100" w:afterAutospacing="1" w:line="360" w:lineRule="auto"/>
        <w:rPr>
          <w:rFonts w:ascii="Times New Roman" w:hAnsi="Times New Roman" w:cs="Times New Roman"/>
          <w:color w:val="000000"/>
          <w:sz w:val="24"/>
          <w:szCs w:val="24"/>
          <w:lang w:val="en-GB" w:eastAsia="en-GB"/>
        </w:rPr>
      </w:pPr>
      <w:r w:rsidRPr="009E2428">
        <w:rPr>
          <w:rFonts w:ascii="Times New Roman" w:hAnsi="Times New Roman" w:cs="Times New Roman"/>
          <w:color w:val="000000"/>
          <w:sz w:val="24"/>
          <w:szCs w:val="24"/>
          <w:lang w:val="en-GB" w:eastAsia="en-GB"/>
        </w:rPr>
        <w:t>These groups are highly interested due to direct impact on daily life and accessibility concerns. Keeping them informed through newsletters, workshops, and online updates ensures transparency. Consulting these stakeholders allows incorporation of their feedback into park design, improving inclusivity and fostering community ownership.</w:t>
      </w:r>
    </w:p>
    <w:p w14:paraId="3B172F04" w14:textId="77777777" w:rsidR="00C441D8" w:rsidRPr="00C441D8" w:rsidRDefault="00C441D8" w:rsidP="00CA19CE">
      <w:pPr>
        <w:numPr>
          <w:ilvl w:val="0"/>
          <w:numId w:val="21"/>
        </w:numPr>
        <w:spacing w:before="100" w:beforeAutospacing="1" w:after="100" w:afterAutospacing="1" w:line="360" w:lineRule="auto"/>
        <w:rPr>
          <w:rFonts w:ascii="Times New Roman" w:hAnsi="Times New Roman" w:cs="Times New Roman"/>
          <w:color w:val="000000"/>
          <w:sz w:val="24"/>
          <w:szCs w:val="24"/>
          <w:lang w:val="en-GB" w:eastAsia="en-GB"/>
        </w:rPr>
      </w:pPr>
      <w:r w:rsidRPr="00C441D8">
        <w:rPr>
          <w:rFonts w:ascii="Times New Roman" w:hAnsi="Times New Roman" w:cs="Times New Roman"/>
          <w:color w:val="000000"/>
          <w:sz w:val="24"/>
          <w:szCs w:val="24"/>
          <w:lang w:val="en-GB" w:eastAsia="en-GB"/>
        </w:rPr>
        <w:t>Monitor (Low Power, Low Interest): Local Businesses and Environmental NGOs</w:t>
      </w:r>
    </w:p>
    <w:p w14:paraId="03737D74" w14:textId="77777777" w:rsidR="00C441D8" w:rsidRPr="009E2428" w:rsidRDefault="00C441D8" w:rsidP="00CA19CE">
      <w:pPr>
        <w:pStyle w:val="ListParagraph"/>
        <w:numPr>
          <w:ilvl w:val="0"/>
          <w:numId w:val="22"/>
        </w:numPr>
        <w:spacing w:before="100" w:beforeAutospacing="1" w:after="100" w:afterAutospacing="1" w:line="360" w:lineRule="auto"/>
        <w:rPr>
          <w:rFonts w:ascii="Times New Roman" w:hAnsi="Times New Roman" w:cs="Times New Roman"/>
          <w:color w:val="000000"/>
          <w:sz w:val="24"/>
          <w:szCs w:val="24"/>
          <w:lang w:val="en-GB" w:eastAsia="en-GB"/>
        </w:rPr>
      </w:pPr>
      <w:r w:rsidRPr="009E2428">
        <w:rPr>
          <w:rFonts w:ascii="Times New Roman" w:hAnsi="Times New Roman" w:cs="Times New Roman"/>
          <w:color w:val="000000"/>
          <w:sz w:val="24"/>
          <w:szCs w:val="24"/>
          <w:lang w:val="en-GB" w:eastAsia="en-GB"/>
        </w:rPr>
        <w:t>While these stakeholders have limited power or immediate interest, they may exert influence under specific circumstances, such as economic disruption or environmental advocacy campaigns. Periodic communication maintains transparency, mitigates risks, and ensures that emerging concerns are addressed promptly.</w:t>
      </w:r>
    </w:p>
    <w:p w14:paraId="00A08C2F" w14:textId="77777777" w:rsidR="00C441D8" w:rsidRPr="00C441D8" w:rsidRDefault="00C441D8"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C441D8">
        <w:rPr>
          <w:rFonts w:ascii="Times New Roman" w:hAnsi="Times New Roman" w:cs="Times New Roman"/>
          <w:color w:val="000000"/>
          <w:sz w:val="24"/>
          <w:szCs w:val="24"/>
          <w:lang w:val="en-GB" w:eastAsia="en-GB"/>
        </w:rPr>
        <w:t>The stakeholder map guides engagement strategy by clarifying which stakeholders require intensive management, which require regular updates, and which should be monitored for evolving interest or influence. The map also identifies potential conflicts and synergies, such as differing priorities between accessibility groups and construction constraints, which can be addressed proactively (Reed, 2008; Bryson &amp; Alston, 2011).</w:t>
      </w:r>
    </w:p>
    <w:p w14:paraId="3999577E" w14:textId="77777777" w:rsidR="00C441D8" w:rsidRPr="009E2428" w:rsidRDefault="00C441D8" w:rsidP="00CA19CE">
      <w:pPr>
        <w:spacing w:line="360" w:lineRule="auto"/>
        <w:rPr>
          <w:rFonts w:ascii="Times New Roman" w:hAnsi="Times New Roman" w:cs="Times New Roman"/>
          <w:sz w:val="24"/>
          <w:szCs w:val="24"/>
        </w:rPr>
      </w:pPr>
    </w:p>
    <w:p w14:paraId="33DE4C0C"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noProof/>
          <w:color w:val="000000" w:themeColor="text1"/>
          <w:sz w:val="24"/>
          <w:szCs w:val="24"/>
        </w:rPr>
        <w:lastRenderedPageBreak/>
        <w:drawing>
          <wp:inline distT="0" distB="0" distL="0" distR="0" wp14:anchorId="13D779BB" wp14:editId="6ED0575F">
            <wp:extent cx="5783238" cy="4571878"/>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keholder_map.png"/>
                    <pic:cNvPicPr/>
                  </pic:nvPicPr>
                  <pic:blipFill>
                    <a:blip r:embed="rId8"/>
                    <a:stretch>
                      <a:fillRect/>
                    </a:stretch>
                  </pic:blipFill>
                  <pic:spPr>
                    <a:xfrm>
                      <a:off x="0" y="0"/>
                      <a:ext cx="5783392" cy="4572000"/>
                    </a:xfrm>
                    <a:prstGeom prst="rect">
                      <a:avLst/>
                    </a:prstGeom>
                  </pic:spPr>
                </pic:pic>
              </a:graphicData>
            </a:graphic>
          </wp:inline>
        </w:drawing>
      </w:r>
    </w:p>
    <w:p w14:paraId="721842CC" w14:textId="77777777" w:rsidR="000A3351" w:rsidRPr="009E2428" w:rsidRDefault="00371A90" w:rsidP="00CA19CE">
      <w:pPr>
        <w:spacing w:line="360" w:lineRule="auto"/>
        <w:rPr>
          <w:rFonts w:ascii="Times New Roman" w:hAnsi="Times New Roman" w:cs="Times New Roman"/>
          <w:color w:val="000000" w:themeColor="text1"/>
          <w:sz w:val="24"/>
          <w:szCs w:val="24"/>
        </w:rPr>
      </w:pPr>
      <w:r w:rsidRPr="009E2428">
        <w:rPr>
          <w:rFonts w:ascii="Times New Roman" w:hAnsi="Times New Roman" w:cs="Times New Roman"/>
          <w:color w:val="000000" w:themeColor="text1"/>
          <w:sz w:val="24"/>
          <w:szCs w:val="24"/>
        </w:rPr>
        <w:t>Figure 1: Stakeholder Map (Power vs Interest)</w:t>
      </w:r>
    </w:p>
    <w:p w14:paraId="27C76F2B" w14:textId="77777777" w:rsidR="000A3351" w:rsidRPr="009E2428" w:rsidRDefault="00371A90" w:rsidP="00CA19CE">
      <w:pPr>
        <w:pStyle w:val="Heading3"/>
        <w:spacing w:line="360" w:lineRule="auto"/>
        <w:rPr>
          <w:rFonts w:ascii="Times New Roman" w:hAnsi="Times New Roman" w:cs="Times New Roman"/>
          <w:b w:val="0"/>
          <w:bCs w:val="0"/>
          <w:color w:val="000000" w:themeColor="text1"/>
          <w:sz w:val="24"/>
          <w:szCs w:val="24"/>
        </w:rPr>
      </w:pPr>
      <w:r w:rsidRPr="009E2428">
        <w:rPr>
          <w:rFonts w:ascii="Times New Roman" w:hAnsi="Times New Roman" w:cs="Times New Roman"/>
          <w:b w:val="0"/>
          <w:bCs w:val="0"/>
          <w:color w:val="000000" w:themeColor="text1"/>
          <w:sz w:val="24"/>
          <w:szCs w:val="24"/>
        </w:rPr>
        <w:t>2.3 Communication Plan &amp; Consultation Strategy</w:t>
      </w:r>
    </w:p>
    <w:p w14:paraId="38C52581" w14:textId="77777777" w:rsidR="008E029D" w:rsidRPr="008E029D" w:rsidRDefault="008E029D"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A robust communication and consultation strategy ensures transparency, fosters trust, and maximises stakeholder participation. The plan identifies key stakeholders, the information to be shared, the medium of communication, and timing.</w:t>
      </w:r>
    </w:p>
    <w:p w14:paraId="7E3C8D7E" w14:textId="77777777" w:rsidR="008E029D" w:rsidRPr="008E029D" w:rsidRDefault="008E029D"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Local Residents</w:t>
      </w:r>
    </w:p>
    <w:p w14:paraId="740D0D7C" w14:textId="77777777" w:rsidR="008E029D" w:rsidRPr="008E029D" w:rsidRDefault="008E029D" w:rsidP="00CA19CE">
      <w:pPr>
        <w:numPr>
          <w:ilvl w:val="0"/>
          <w:numId w:val="12"/>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Information shared: Project scope, recreational features, timeline, environmental benefits, and consultation opportunities.</w:t>
      </w:r>
    </w:p>
    <w:p w14:paraId="33CB51D9" w14:textId="77777777" w:rsidR="008E029D" w:rsidRPr="008E029D" w:rsidRDefault="008E029D" w:rsidP="00CA19CE">
      <w:pPr>
        <w:numPr>
          <w:ilvl w:val="0"/>
          <w:numId w:val="12"/>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Medium: Email newsletters, community noticeboards, social media, public meetings, local newspaper articles.</w:t>
      </w:r>
    </w:p>
    <w:p w14:paraId="1A0FB8CB" w14:textId="77777777" w:rsidR="008E029D" w:rsidRPr="008E029D" w:rsidRDefault="008E029D" w:rsidP="00CA19CE">
      <w:pPr>
        <w:numPr>
          <w:ilvl w:val="0"/>
          <w:numId w:val="12"/>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lastRenderedPageBreak/>
        <w:t>Frequency: Monthly newsletters and quarterly workshops.</w:t>
      </w:r>
    </w:p>
    <w:p w14:paraId="6830F7BF" w14:textId="77777777" w:rsidR="008E029D" w:rsidRPr="008E029D" w:rsidRDefault="008E029D" w:rsidP="00CA19CE">
      <w:pPr>
        <w:numPr>
          <w:ilvl w:val="0"/>
          <w:numId w:val="12"/>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Justification: Residents’ high interest and influence require multiple channels to accommodate preferences and ensure inclusivity. Face-to-face workshops allow detailed input, while digital updates maintain engagement for those unable to attend.</w:t>
      </w:r>
    </w:p>
    <w:p w14:paraId="399D3679" w14:textId="77777777" w:rsidR="008E029D" w:rsidRPr="008E029D" w:rsidRDefault="008E029D"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Local Authority</w:t>
      </w:r>
    </w:p>
    <w:p w14:paraId="5F3FA2DC" w14:textId="77777777" w:rsidR="008E029D" w:rsidRPr="008E029D" w:rsidRDefault="008E029D" w:rsidP="00CA19CE">
      <w:pPr>
        <w:numPr>
          <w:ilvl w:val="0"/>
          <w:numId w:val="13"/>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Information shared: Detailed project plans, regulatory compliance, risk assessments, and progress reports.</w:t>
      </w:r>
    </w:p>
    <w:p w14:paraId="2757C922" w14:textId="77777777" w:rsidR="008E029D" w:rsidRPr="008E029D" w:rsidRDefault="008E029D" w:rsidP="00CA19CE">
      <w:pPr>
        <w:numPr>
          <w:ilvl w:val="0"/>
          <w:numId w:val="13"/>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Medium: Formal reports, face-to-face meetings, and email briefings.</w:t>
      </w:r>
    </w:p>
    <w:p w14:paraId="6DCBF6D0" w14:textId="77777777" w:rsidR="008E029D" w:rsidRPr="008E029D" w:rsidRDefault="008E029D" w:rsidP="00CA19CE">
      <w:pPr>
        <w:numPr>
          <w:ilvl w:val="0"/>
          <w:numId w:val="13"/>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Frequency: Bi-weekly meetings during planning and monthly updates during implementation.</w:t>
      </w:r>
    </w:p>
    <w:p w14:paraId="44C8851F" w14:textId="77777777" w:rsidR="008E029D" w:rsidRPr="008E029D" w:rsidRDefault="008E029D" w:rsidP="00CA19CE">
      <w:pPr>
        <w:numPr>
          <w:ilvl w:val="0"/>
          <w:numId w:val="13"/>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Justification: High-power stakeholders need formal documentation and frequent interaction to align decisions with policies and approvals.</w:t>
      </w:r>
    </w:p>
    <w:p w14:paraId="5BA7BDF7" w14:textId="77777777" w:rsidR="008E029D" w:rsidRPr="008E029D" w:rsidRDefault="008E029D"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Environmental NGOs</w:t>
      </w:r>
    </w:p>
    <w:p w14:paraId="4D2FA66A" w14:textId="77777777" w:rsidR="008E029D" w:rsidRPr="008E029D" w:rsidRDefault="008E029D" w:rsidP="00CA19CE">
      <w:pPr>
        <w:numPr>
          <w:ilvl w:val="0"/>
          <w:numId w:val="14"/>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Information shared: Biodiversity measures, ecological impact assessments, and sustainability strategies.</w:t>
      </w:r>
    </w:p>
    <w:p w14:paraId="381009C0" w14:textId="77777777" w:rsidR="008E029D" w:rsidRPr="008E029D" w:rsidRDefault="008E029D" w:rsidP="00CA19CE">
      <w:pPr>
        <w:numPr>
          <w:ilvl w:val="0"/>
          <w:numId w:val="14"/>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Medium: Email briefings, targeted consultations, public presentations.</w:t>
      </w:r>
    </w:p>
    <w:p w14:paraId="5A52CB0A" w14:textId="77777777" w:rsidR="008E029D" w:rsidRPr="008E029D" w:rsidRDefault="008E029D" w:rsidP="00CA19CE">
      <w:pPr>
        <w:numPr>
          <w:ilvl w:val="0"/>
          <w:numId w:val="14"/>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Frequency: At key planning stages and prior to approvals.</w:t>
      </w:r>
    </w:p>
    <w:p w14:paraId="354412A1" w14:textId="77777777" w:rsidR="008E029D" w:rsidRPr="008E029D" w:rsidRDefault="008E029D" w:rsidP="00CA19CE">
      <w:pPr>
        <w:numPr>
          <w:ilvl w:val="0"/>
          <w:numId w:val="14"/>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Justification: Medium power and interest; proactive engagement prevents opposition and supports ecological compliance.</w:t>
      </w:r>
    </w:p>
    <w:p w14:paraId="0F8B75B8" w14:textId="77777777" w:rsidR="008E029D" w:rsidRPr="008E029D" w:rsidRDefault="008E029D"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Construction Firms</w:t>
      </w:r>
    </w:p>
    <w:p w14:paraId="742FD567" w14:textId="77777777" w:rsidR="008E029D" w:rsidRPr="008E029D" w:rsidRDefault="008E029D" w:rsidP="00CA19CE">
      <w:pPr>
        <w:numPr>
          <w:ilvl w:val="0"/>
          <w:numId w:val="15"/>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Information shared: Technical specifications, deadlines, safety protocols, and contractual obligations.</w:t>
      </w:r>
    </w:p>
    <w:p w14:paraId="6A1ACE25" w14:textId="77777777" w:rsidR="008E029D" w:rsidRPr="008E029D" w:rsidRDefault="008E029D" w:rsidP="00CA19CE">
      <w:pPr>
        <w:numPr>
          <w:ilvl w:val="0"/>
          <w:numId w:val="15"/>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Medium: Weekly site briefings, emails, and meetings.</w:t>
      </w:r>
    </w:p>
    <w:p w14:paraId="216359B4" w14:textId="77777777" w:rsidR="008E029D" w:rsidRPr="008E029D" w:rsidRDefault="008E029D" w:rsidP="00CA19CE">
      <w:pPr>
        <w:numPr>
          <w:ilvl w:val="0"/>
          <w:numId w:val="15"/>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Frequency: Weekly during construction phases.</w:t>
      </w:r>
    </w:p>
    <w:p w14:paraId="7B751652" w14:textId="77777777" w:rsidR="008E029D" w:rsidRPr="008E029D" w:rsidRDefault="008E029D" w:rsidP="00CA19CE">
      <w:pPr>
        <w:numPr>
          <w:ilvl w:val="0"/>
          <w:numId w:val="15"/>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Justification: Operational efficiency relies on clear, timely communication to avoid project delays and quality issues.</w:t>
      </w:r>
    </w:p>
    <w:p w14:paraId="55E63003" w14:textId="77777777" w:rsidR="008E029D" w:rsidRPr="008E029D" w:rsidRDefault="008E029D"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lastRenderedPageBreak/>
        <w:t>Accessibility Advocacy Groups</w:t>
      </w:r>
    </w:p>
    <w:p w14:paraId="7ACCD667" w14:textId="77777777" w:rsidR="008E029D" w:rsidRPr="008E029D" w:rsidRDefault="008E029D" w:rsidP="00CA19CE">
      <w:pPr>
        <w:numPr>
          <w:ilvl w:val="0"/>
          <w:numId w:val="16"/>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Information shared: Inclusive design features, accessibility audits, and consultation schedules.</w:t>
      </w:r>
    </w:p>
    <w:p w14:paraId="1F4A1C2A" w14:textId="77777777" w:rsidR="008E029D" w:rsidRPr="008E029D" w:rsidRDefault="008E029D" w:rsidP="00CA19CE">
      <w:pPr>
        <w:numPr>
          <w:ilvl w:val="0"/>
          <w:numId w:val="16"/>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Medium: Workshops, focus groups, email updates.</w:t>
      </w:r>
    </w:p>
    <w:p w14:paraId="79273C90" w14:textId="77777777" w:rsidR="008E029D" w:rsidRPr="008E029D" w:rsidRDefault="008E029D" w:rsidP="00CA19CE">
      <w:pPr>
        <w:numPr>
          <w:ilvl w:val="0"/>
          <w:numId w:val="16"/>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Frequency: During design stages and pre-construction consultations.</w:t>
      </w:r>
    </w:p>
    <w:p w14:paraId="714B6130" w14:textId="77777777" w:rsidR="008E029D" w:rsidRPr="008E029D" w:rsidRDefault="008E029D" w:rsidP="00CA19CE">
      <w:pPr>
        <w:numPr>
          <w:ilvl w:val="0"/>
          <w:numId w:val="16"/>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Justification: Ensures the park meets accessibility standards and supports social inclusion.</w:t>
      </w:r>
    </w:p>
    <w:p w14:paraId="73DC5875" w14:textId="77777777" w:rsidR="008E029D" w:rsidRPr="008E029D" w:rsidRDefault="008E029D"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Consultation Methods:</w:t>
      </w:r>
    </w:p>
    <w:p w14:paraId="673A819A" w14:textId="77777777" w:rsidR="008E029D" w:rsidRPr="008E029D" w:rsidRDefault="008E029D" w:rsidP="00CA19CE">
      <w:pPr>
        <w:numPr>
          <w:ilvl w:val="0"/>
          <w:numId w:val="17"/>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Workshops and focus groups gather qualitative insights.</w:t>
      </w:r>
    </w:p>
    <w:p w14:paraId="4A8AEFF3" w14:textId="77777777" w:rsidR="008E029D" w:rsidRPr="008E029D" w:rsidRDefault="008E029D" w:rsidP="00CA19CE">
      <w:pPr>
        <w:numPr>
          <w:ilvl w:val="0"/>
          <w:numId w:val="17"/>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Surveys capture quantitative data and broaden participation.</w:t>
      </w:r>
    </w:p>
    <w:p w14:paraId="4F24128C" w14:textId="77777777" w:rsidR="008E029D" w:rsidRPr="008E029D" w:rsidRDefault="008E029D" w:rsidP="00CA19CE">
      <w:pPr>
        <w:numPr>
          <w:ilvl w:val="0"/>
          <w:numId w:val="17"/>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Public exhibitions and interactive online platforms provide visual context and feedback opportunities.</w:t>
      </w:r>
    </w:p>
    <w:p w14:paraId="35E85376" w14:textId="77777777" w:rsidR="008E029D" w:rsidRPr="008E029D" w:rsidRDefault="008E029D"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Feedback Integration:</w:t>
      </w:r>
    </w:p>
    <w:p w14:paraId="2CD69E19" w14:textId="77777777" w:rsidR="008E029D" w:rsidRPr="008E029D" w:rsidRDefault="008E029D" w:rsidP="00CA19CE">
      <w:pPr>
        <w:numPr>
          <w:ilvl w:val="0"/>
          <w:numId w:val="18"/>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All responses are collated, analysed thematically, and integrated into the design.</w:t>
      </w:r>
    </w:p>
    <w:p w14:paraId="407C02D1" w14:textId="77777777" w:rsidR="008E029D" w:rsidRPr="008E029D" w:rsidRDefault="008E029D" w:rsidP="00CA19CE">
      <w:pPr>
        <w:numPr>
          <w:ilvl w:val="0"/>
          <w:numId w:val="18"/>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Feedback summaries are published through newsletters, websites, and community meetings.</w:t>
      </w:r>
    </w:p>
    <w:p w14:paraId="7084EEAE" w14:textId="77777777" w:rsidR="008E029D" w:rsidRPr="008E029D" w:rsidRDefault="008E029D" w:rsidP="00CA19CE">
      <w:pPr>
        <w:numPr>
          <w:ilvl w:val="0"/>
          <w:numId w:val="18"/>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Decision-making explicitly references stakeholder input to demonstrate transparency and accountability.</w:t>
      </w:r>
    </w:p>
    <w:p w14:paraId="36C5727C" w14:textId="77777777" w:rsidR="008E029D" w:rsidRPr="008E029D" w:rsidRDefault="008E029D"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Risk Mitigation:</w:t>
      </w:r>
    </w:p>
    <w:p w14:paraId="4FC5E0D4" w14:textId="77777777" w:rsidR="008E029D" w:rsidRPr="008E029D" w:rsidRDefault="008E029D" w:rsidP="00CA19CE">
      <w:pPr>
        <w:numPr>
          <w:ilvl w:val="0"/>
          <w:numId w:val="19"/>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Stratified sampling ensures demographic representation.</w:t>
      </w:r>
    </w:p>
    <w:p w14:paraId="754F006D" w14:textId="77777777" w:rsidR="008E029D" w:rsidRPr="008E029D" w:rsidRDefault="008E029D" w:rsidP="00CA19CE">
      <w:pPr>
        <w:numPr>
          <w:ilvl w:val="0"/>
          <w:numId w:val="19"/>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Accessible materials and venues prevent exclusion.</w:t>
      </w:r>
    </w:p>
    <w:p w14:paraId="72D04683" w14:textId="77777777" w:rsidR="008E029D" w:rsidRPr="008E029D" w:rsidRDefault="008E029D" w:rsidP="00CA19CE">
      <w:pPr>
        <w:numPr>
          <w:ilvl w:val="0"/>
          <w:numId w:val="19"/>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Neutral facilitators avoid bias in workshops.</w:t>
      </w:r>
    </w:p>
    <w:p w14:paraId="3B2E059A" w14:textId="77777777" w:rsidR="008E029D" w:rsidRPr="008E029D" w:rsidRDefault="008E029D" w:rsidP="00CA19CE">
      <w:pPr>
        <w:numPr>
          <w:ilvl w:val="0"/>
          <w:numId w:val="19"/>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Continuous monitoring identifies emerging issues early.</w:t>
      </w:r>
    </w:p>
    <w:p w14:paraId="6F99C214" w14:textId="77777777" w:rsidR="008E029D" w:rsidRPr="008E029D" w:rsidRDefault="008E029D"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Theoretical Justification:</w:t>
      </w:r>
    </w:p>
    <w:p w14:paraId="78B770FF" w14:textId="77777777" w:rsidR="008E029D" w:rsidRPr="008E029D" w:rsidRDefault="008E029D" w:rsidP="00CA19CE">
      <w:pPr>
        <w:numPr>
          <w:ilvl w:val="0"/>
          <w:numId w:val="20"/>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Stakeholder mapping aligns with Mendelow (1991) and Freeman (1984) principles, prioritising engagement based on power and interest.</w:t>
      </w:r>
    </w:p>
    <w:p w14:paraId="3076F0E1" w14:textId="77777777" w:rsidR="008E029D" w:rsidRPr="008E029D" w:rsidRDefault="008E029D" w:rsidP="00CA19CE">
      <w:pPr>
        <w:numPr>
          <w:ilvl w:val="0"/>
          <w:numId w:val="20"/>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lastRenderedPageBreak/>
        <w:t>Consultation methods reflect Arnstein’s Ladder of Participation (1969), aiming for meaningful citizen involvement rather than tokenism.</w:t>
      </w:r>
    </w:p>
    <w:p w14:paraId="5E03C685" w14:textId="77777777" w:rsidR="008E029D" w:rsidRPr="008E029D" w:rsidRDefault="008E029D" w:rsidP="00CA19CE">
      <w:pPr>
        <w:numPr>
          <w:ilvl w:val="0"/>
          <w:numId w:val="20"/>
        </w:num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Transparent communication supports trust-building and social licence, as suggested by Bryson &amp; Alston (2011) and Reed (2008).</w:t>
      </w:r>
    </w:p>
    <w:p w14:paraId="51E3D3E7" w14:textId="77777777" w:rsidR="008E029D" w:rsidRPr="008E029D" w:rsidRDefault="008E029D" w:rsidP="00CA19CE">
      <w:pPr>
        <w:spacing w:before="100" w:beforeAutospacing="1" w:after="100" w:afterAutospacing="1" w:line="360" w:lineRule="auto"/>
        <w:rPr>
          <w:rFonts w:ascii="Times New Roman" w:hAnsi="Times New Roman" w:cs="Times New Roman"/>
          <w:color w:val="000000"/>
          <w:sz w:val="24"/>
          <w:szCs w:val="24"/>
          <w:lang w:val="en-GB" w:eastAsia="en-GB"/>
        </w:rPr>
      </w:pPr>
      <w:r w:rsidRPr="008E029D">
        <w:rPr>
          <w:rFonts w:ascii="Times New Roman" w:hAnsi="Times New Roman" w:cs="Times New Roman"/>
          <w:color w:val="000000"/>
          <w:sz w:val="24"/>
          <w:szCs w:val="24"/>
          <w:lang w:val="en-GB" w:eastAsia="en-GB"/>
        </w:rPr>
        <w:t>In conclusion, the structured analysis, stakeholder mapping, and comprehensive communication plan provide a roadmap for effective engagement. By aligning theory with practice and integrating feedback mechanisms, the project ensures inclusivity, transparency, and sustainable decision-making. This detailed approach supports project success while enhancing community ownership and satisfaction (Ackermann &amp; Eden, 2010; Uddin et al., 2023).</w:t>
      </w:r>
    </w:p>
    <w:p w14:paraId="22AD7A0D" w14:textId="77777777" w:rsidR="008E029D" w:rsidRPr="009E2428" w:rsidRDefault="008E029D" w:rsidP="00CA19CE">
      <w:pPr>
        <w:spacing w:line="360" w:lineRule="auto"/>
        <w:rPr>
          <w:rFonts w:ascii="Times New Roman" w:hAnsi="Times New Roman" w:cs="Times New Roman"/>
          <w:sz w:val="24"/>
          <w:szCs w:val="24"/>
        </w:rPr>
      </w:pPr>
    </w:p>
    <w:p w14:paraId="12C9E039" w14:textId="77777777" w:rsidR="000A3351" w:rsidRPr="009E2428" w:rsidRDefault="00371A90" w:rsidP="00CA19CE">
      <w:pPr>
        <w:pStyle w:val="Heading2"/>
        <w:spacing w:line="360" w:lineRule="auto"/>
        <w:rPr>
          <w:rFonts w:ascii="Times New Roman" w:hAnsi="Times New Roman" w:cs="Times New Roman"/>
          <w:b w:val="0"/>
          <w:bCs w:val="0"/>
          <w:color w:val="000000" w:themeColor="text1"/>
          <w:sz w:val="24"/>
          <w:szCs w:val="24"/>
          <w:u w:val="single"/>
        </w:rPr>
      </w:pPr>
      <w:r w:rsidRPr="009E2428">
        <w:rPr>
          <w:rFonts w:ascii="Times New Roman" w:hAnsi="Times New Roman" w:cs="Times New Roman"/>
          <w:b w:val="0"/>
          <w:bCs w:val="0"/>
          <w:color w:val="000000" w:themeColor="text1"/>
          <w:sz w:val="24"/>
          <w:szCs w:val="24"/>
          <w:u w:val="single"/>
        </w:rPr>
        <w:t>3. Ethical Considerations in Stakeholder Consultation, Participation and Feedback</w:t>
      </w:r>
    </w:p>
    <w:p w14:paraId="2DFE7B07" w14:textId="0D077CE0" w:rsidR="004062A4" w:rsidRPr="009E2428" w:rsidRDefault="004062A4" w:rsidP="00CA19CE">
      <w:pPr>
        <w:pStyle w:val="NormalWeb"/>
        <w:spacing w:line="360" w:lineRule="auto"/>
        <w:rPr>
          <w:color w:val="000000"/>
        </w:rPr>
      </w:pPr>
      <w:r w:rsidRPr="009E2428">
        <w:rPr>
          <w:color w:val="000000"/>
        </w:rPr>
        <w:t>Conducting consultation for the new public park in Solihull requires a robust ethical framework to ensure fairness, transparency, inclusivity, and trust. Ethical consultation is central to stakeholder engagement and ensures that the project reflects the community’s needs while respecting stakeholders’ rights and diversity. Multiple consultation methods will be employed, including in-person workshops, online surveys, focus groups, community forums, and postal questionnaires. In-person workshops will facilitate dialogue among residents, advocacy groups, and local businesses, enabling the project team to gather nuanced qualitative feedback. Online surveys will provide broader reach, particularly to younger or digitally connected stakeholders, while focus groups target specific groups such as accessibility advocates, environmental NGOs, and minority communities to ensure their voices are adequately represented.</w:t>
      </w:r>
    </w:p>
    <w:p w14:paraId="16C291A3" w14:textId="77777777" w:rsidR="004062A4" w:rsidRPr="009E2428" w:rsidRDefault="004062A4" w:rsidP="00CA19CE">
      <w:pPr>
        <w:pStyle w:val="NormalWeb"/>
        <w:spacing w:line="360" w:lineRule="auto"/>
        <w:rPr>
          <w:color w:val="000000"/>
        </w:rPr>
      </w:pPr>
      <w:r w:rsidRPr="009E2428">
        <w:rPr>
          <w:color w:val="000000"/>
        </w:rPr>
        <w:t>Ethical considerations include informed consent, confidentiality, voluntary participation, and transparency. Stakeholders will be informed about the purpose of data collection, how their feedback will be used, and their right to withdraw at any point. Data privacy will adhere to GDPR standards, ensuring that personal information is securely stored and anonymised where necessary. Special attention will be given to vulnerable populations, such as elderly residents or individuals with disabilities, providing accessible formats, sign language interpreters, and simplified materials to facilitate meaningful participation.</w:t>
      </w:r>
    </w:p>
    <w:p w14:paraId="4159E8BD" w14:textId="77777777" w:rsidR="004062A4" w:rsidRPr="009E2428" w:rsidRDefault="004062A4" w:rsidP="00CA19CE">
      <w:pPr>
        <w:pStyle w:val="NormalWeb"/>
        <w:spacing w:line="360" w:lineRule="auto"/>
        <w:rPr>
          <w:color w:val="000000"/>
        </w:rPr>
      </w:pPr>
      <w:r w:rsidRPr="009E2428">
        <w:rPr>
          <w:color w:val="000000"/>
        </w:rPr>
        <w:lastRenderedPageBreak/>
        <w:t>Bias mitigation is critical in stakeholder consultation. Measures include employing stratified sampling to ensure that feedback is representative of all demographic groups within Solihull, avoiding over-representation of vocal or influential stakeholders. Multiple communication channels will reduce selection bias and encourage participation from both high- and low-power stakeholders. Facilitators will be trained to remain neutral, avoiding leading questions or influencing responses, to ensure that the collected feedback accurately reflects stakeholders’ views.</w:t>
      </w:r>
    </w:p>
    <w:p w14:paraId="3142824A" w14:textId="77777777" w:rsidR="004062A4" w:rsidRPr="009E2428" w:rsidRDefault="004062A4" w:rsidP="00CA19CE">
      <w:pPr>
        <w:pStyle w:val="NormalWeb"/>
        <w:spacing w:line="360" w:lineRule="auto"/>
        <w:rPr>
          <w:color w:val="000000"/>
        </w:rPr>
      </w:pPr>
      <w:r w:rsidRPr="009E2428">
        <w:rPr>
          <w:color w:val="000000"/>
        </w:rPr>
        <w:t>Diversity, Equity, and Inclusion (DEI) principles underpin the consultation process. Stakeholders of varying age, gender, ethnicity, socio-economic status, and abilities will be explicitly considered. Accessibility audits of proposed consultation venues and digital platforms will ensure equitable access. Translations and culturally sensitive materials will be provided as needed to accommodate non-native English speakers. Particular attention will be paid to low-income communities and marginalized groups to ensure that they have an equal opportunity to influence design decisions that affect their quality of life.</w:t>
      </w:r>
    </w:p>
    <w:p w14:paraId="5F8D0C60" w14:textId="77777777" w:rsidR="004062A4" w:rsidRPr="009E2428" w:rsidRDefault="004062A4" w:rsidP="00CA19CE">
      <w:pPr>
        <w:pStyle w:val="NormalWeb"/>
        <w:spacing w:line="360" w:lineRule="auto"/>
        <w:rPr>
          <w:color w:val="000000"/>
        </w:rPr>
      </w:pPr>
      <w:r w:rsidRPr="009E2428">
        <w:rPr>
          <w:color w:val="000000"/>
        </w:rPr>
        <w:t>Feedback from stakeholders will be systematically collected, reviewed, and incorporated into the park’s development plans. Responses from workshops, surveys, and focus groups will be collated and analysed using thematic analysis to identify recurring issues, priorities, and concerns. The results will be reported transparently, with summaries shared with participants through newsletters, public meetings, and the project website. Decision-making will explicitly reference stakeholder feedback, demonstrating the tangible impact of consultation on project outcomes. Ethical reporting also involves acknowledging dissenting views and outlining how differing perspectives were addressed.</w:t>
      </w:r>
    </w:p>
    <w:p w14:paraId="4120A142" w14:textId="77777777" w:rsidR="004062A4" w:rsidRPr="009E2428" w:rsidRDefault="004062A4" w:rsidP="00CA19CE">
      <w:pPr>
        <w:pStyle w:val="NormalWeb"/>
        <w:spacing w:line="360" w:lineRule="auto"/>
        <w:rPr>
          <w:color w:val="000000"/>
        </w:rPr>
      </w:pPr>
      <w:r w:rsidRPr="009E2428">
        <w:rPr>
          <w:color w:val="000000"/>
        </w:rPr>
        <w:t>Finally, the project will establish mechanisms for ongoing consultation post-construction, allowing stakeholders to provide feedback on park management, maintenance, and community programs. This iterative approach ensures accountability, sustains trust, and encourages continuous improvement, aligning with best practices in ethical stakeholder engagement and long-term community wellbeing.</w:t>
      </w:r>
    </w:p>
    <w:p w14:paraId="034AC97A" w14:textId="1BD72769" w:rsidR="000A3351" w:rsidRPr="009E2428" w:rsidRDefault="000A3351" w:rsidP="00CA19CE">
      <w:pPr>
        <w:spacing w:line="360" w:lineRule="auto"/>
        <w:rPr>
          <w:rFonts w:ascii="Times New Roman" w:hAnsi="Times New Roman" w:cs="Times New Roman"/>
          <w:color w:val="000000" w:themeColor="text1"/>
          <w:sz w:val="24"/>
          <w:szCs w:val="24"/>
        </w:rPr>
      </w:pPr>
    </w:p>
    <w:p w14:paraId="671FF076" w14:textId="77777777" w:rsidR="000A3351" w:rsidRPr="009E2428" w:rsidRDefault="00371A90" w:rsidP="00CA19CE">
      <w:pPr>
        <w:pStyle w:val="Heading2"/>
        <w:spacing w:line="360" w:lineRule="auto"/>
        <w:rPr>
          <w:rFonts w:ascii="Times New Roman" w:hAnsi="Times New Roman" w:cs="Times New Roman"/>
          <w:b w:val="0"/>
          <w:bCs w:val="0"/>
          <w:color w:val="000000" w:themeColor="text1"/>
          <w:sz w:val="24"/>
          <w:szCs w:val="24"/>
          <w:u w:val="single"/>
        </w:rPr>
      </w:pPr>
      <w:r w:rsidRPr="009E2428">
        <w:rPr>
          <w:rFonts w:ascii="Times New Roman" w:hAnsi="Times New Roman" w:cs="Times New Roman"/>
          <w:b w:val="0"/>
          <w:bCs w:val="0"/>
          <w:color w:val="000000" w:themeColor="text1"/>
          <w:sz w:val="24"/>
          <w:szCs w:val="24"/>
          <w:u w:val="single"/>
        </w:rPr>
        <w:lastRenderedPageBreak/>
        <w:t>4. Conclusion and Reflection</w:t>
      </w:r>
    </w:p>
    <w:p w14:paraId="3BF41C80" w14:textId="77777777" w:rsidR="00E80F45" w:rsidRPr="009E2428" w:rsidRDefault="00E80F45" w:rsidP="00CA19CE">
      <w:pPr>
        <w:pStyle w:val="NormalWeb"/>
        <w:spacing w:line="360" w:lineRule="auto"/>
        <w:rPr>
          <w:color w:val="000000"/>
        </w:rPr>
      </w:pPr>
      <w:r w:rsidRPr="009E2428">
        <w:rPr>
          <w:color w:val="000000"/>
        </w:rPr>
        <w:t>The development of the new public park in Solihull presents a significant opportunity to enhance community wellbeing, environmental quality, and local economic vitality. Effective stakeholder engagement is central to achieving these outcomes, as it ensures that diverse perspectives shape design, delivery, and future management. Reflecting on the project through Gibbs’ Reflective Cycle (1988) provides a structured approach to evaluate learning, strengths, and areas for improvement.</w:t>
      </w:r>
    </w:p>
    <w:p w14:paraId="1EF6414E" w14:textId="77777777" w:rsidR="00E80F45" w:rsidRPr="009E2428" w:rsidRDefault="00E80F45" w:rsidP="00CA19CE">
      <w:pPr>
        <w:pStyle w:val="NormalWeb"/>
        <w:spacing w:line="360" w:lineRule="auto"/>
        <w:rPr>
          <w:color w:val="000000"/>
        </w:rPr>
      </w:pPr>
      <w:r w:rsidRPr="009E2428">
        <w:rPr>
          <w:rStyle w:val="Strong"/>
          <w:b w:val="0"/>
          <w:bCs w:val="0"/>
          <w:color w:val="000000"/>
        </w:rPr>
        <w:t>Description:</w:t>
      </w:r>
      <w:r w:rsidRPr="009E2428">
        <w:rPr>
          <w:rStyle w:val="apple-converted-space"/>
          <w:color w:val="000000"/>
        </w:rPr>
        <w:t> </w:t>
      </w:r>
      <w:r w:rsidRPr="009E2428">
        <w:rPr>
          <w:color w:val="000000"/>
        </w:rPr>
        <w:t>The project required mapping and engaging stakeholders with varying levels of power, influence, and interest. Methods included workshops, surveys, and targeted consultations with specific groups. Ethical considerations, DEI principles, and transparent feedback mechanisms were integral to the consultation strategy.</w:t>
      </w:r>
    </w:p>
    <w:p w14:paraId="683408E7" w14:textId="77777777" w:rsidR="00E80F45" w:rsidRPr="009E2428" w:rsidRDefault="00E80F45" w:rsidP="00CA19CE">
      <w:pPr>
        <w:pStyle w:val="NormalWeb"/>
        <w:spacing w:line="360" w:lineRule="auto"/>
        <w:rPr>
          <w:color w:val="000000"/>
        </w:rPr>
      </w:pPr>
      <w:r w:rsidRPr="009E2428">
        <w:rPr>
          <w:rStyle w:val="Strong"/>
          <w:b w:val="0"/>
          <w:bCs w:val="0"/>
          <w:color w:val="000000"/>
        </w:rPr>
        <w:t>Feelings:</w:t>
      </w:r>
      <w:r w:rsidRPr="009E2428">
        <w:rPr>
          <w:rStyle w:val="apple-converted-space"/>
          <w:color w:val="000000"/>
        </w:rPr>
        <w:t> </w:t>
      </w:r>
      <w:r w:rsidRPr="009E2428">
        <w:rPr>
          <w:color w:val="000000"/>
        </w:rPr>
        <w:t>Initially, I felt challenged by the complexity of balancing competing interests and the ethical responsibility to include marginalized groups. There was apprehension about adequately representing voices that might be overlooked, such as accessibility advocacy groups or low-income residents. However, I also felt excited about the potential for meaningful community impact and long-term sustainability.</w:t>
      </w:r>
    </w:p>
    <w:p w14:paraId="2F466F45" w14:textId="77777777" w:rsidR="00E80F45" w:rsidRPr="009E2428" w:rsidRDefault="00E80F45" w:rsidP="00CA19CE">
      <w:pPr>
        <w:pStyle w:val="NormalWeb"/>
        <w:spacing w:line="360" w:lineRule="auto"/>
        <w:rPr>
          <w:color w:val="000000"/>
        </w:rPr>
      </w:pPr>
      <w:r w:rsidRPr="009E2428">
        <w:rPr>
          <w:rStyle w:val="Strong"/>
          <w:b w:val="0"/>
          <w:bCs w:val="0"/>
          <w:color w:val="000000"/>
        </w:rPr>
        <w:t>Evaluation:</w:t>
      </w:r>
      <w:r w:rsidRPr="009E2428">
        <w:rPr>
          <w:rStyle w:val="apple-converted-space"/>
          <w:color w:val="000000"/>
        </w:rPr>
        <w:t> </w:t>
      </w:r>
      <w:r w:rsidRPr="009E2428">
        <w:rPr>
          <w:color w:val="000000"/>
        </w:rPr>
        <w:t>The stakeholder mapping using Mendelow’s matrix clarified priorities and highlighted the importance of focusing efforts on high-power, high-interest stakeholders while keeping informed those with low power but high interest. Ethical consultation methods, such as anonymized surveys and accessible workshops, ensured inclusivity and fairness. However, I identified areas for improvement, particularly in scheduling consultations to maximize participation and providing follow-up updates to all stakeholders.</w:t>
      </w:r>
    </w:p>
    <w:p w14:paraId="3C276C61" w14:textId="77777777" w:rsidR="00E80F45" w:rsidRPr="009E2428" w:rsidRDefault="00E80F45" w:rsidP="00CA19CE">
      <w:pPr>
        <w:pStyle w:val="NormalWeb"/>
        <w:spacing w:line="360" w:lineRule="auto"/>
        <w:rPr>
          <w:color w:val="000000"/>
        </w:rPr>
      </w:pPr>
      <w:r w:rsidRPr="009E2428">
        <w:rPr>
          <w:rStyle w:val="Strong"/>
          <w:b w:val="0"/>
          <w:bCs w:val="0"/>
          <w:color w:val="000000"/>
        </w:rPr>
        <w:t>Analysis:</w:t>
      </w:r>
      <w:r w:rsidRPr="009E2428">
        <w:rPr>
          <w:rStyle w:val="apple-converted-space"/>
          <w:color w:val="000000"/>
        </w:rPr>
        <w:t> </w:t>
      </w:r>
      <w:r w:rsidRPr="009E2428">
        <w:rPr>
          <w:color w:val="000000"/>
        </w:rPr>
        <w:t xml:space="preserve">Applying theoretical models to practical contexts illuminated the interplay between stakeholder power and project outcomes. Residents’ high interest meant their input was critical to design decisions, while the local authority’s high power required continuous alignment with policy and procedural requirements. DEI principles ensured that consultation did not inadvertently privilege dominant groups, highlighting the need for targeted engagement </w:t>
      </w:r>
      <w:r w:rsidRPr="009E2428">
        <w:rPr>
          <w:color w:val="000000"/>
        </w:rPr>
        <w:lastRenderedPageBreak/>
        <w:t>strategies. Moreover, ethical consultation practices reinforced trust and encouraged stakeholders to participate openly and honestly.</w:t>
      </w:r>
    </w:p>
    <w:p w14:paraId="4F759590" w14:textId="77777777" w:rsidR="00E80F45" w:rsidRPr="009E2428" w:rsidRDefault="00E80F45" w:rsidP="00CA19CE">
      <w:pPr>
        <w:pStyle w:val="NormalWeb"/>
        <w:spacing w:line="360" w:lineRule="auto"/>
        <w:rPr>
          <w:color w:val="000000"/>
        </w:rPr>
      </w:pPr>
      <w:r w:rsidRPr="009E2428">
        <w:rPr>
          <w:rStyle w:val="Strong"/>
          <w:b w:val="0"/>
          <w:bCs w:val="0"/>
          <w:color w:val="000000"/>
        </w:rPr>
        <w:t>Conclusion:</w:t>
      </w:r>
      <w:r w:rsidRPr="009E2428">
        <w:rPr>
          <w:rStyle w:val="apple-converted-space"/>
          <w:color w:val="000000"/>
        </w:rPr>
        <w:t> </w:t>
      </w:r>
      <w:r w:rsidRPr="009E2428">
        <w:rPr>
          <w:color w:val="000000"/>
        </w:rPr>
        <w:t>The process reinforced the significance of ethical, structured stakeholder engagement for project sustainability. Successful outcomes depend not only on technical design but also on the relationships, trust, and feedback mechanisms established with the community. Reflective learning demonstrated that continuous adaptation, clear communication, and respect for diversity are essential for effective stakeholder management.</w:t>
      </w:r>
    </w:p>
    <w:p w14:paraId="6CF7845C" w14:textId="77777777" w:rsidR="00E80F45" w:rsidRPr="009E2428" w:rsidRDefault="00E80F45" w:rsidP="00CA19CE">
      <w:pPr>
        <w:pStyle w:val="NormalWeb"/>
        <w:spacing w:line="360" w:lineRule="auto"/>
        <w:rPr>
          <w:color w:val="000000"/>
        </w:rPr>
      </w:pPr>
      <w:r w:rsidRPr="009E2428">
        <w:rPr>
          <w:rStyle w:val="Strong"/>
          <w:b w:val="0"/>
          <w:bCs w:val="0"/>
          <w:color w:val="000000"/>
        </w:rPr>
        <w:t>Action Plan:</w:t>
      </w:r>
      <w:r w:rsidRPr="009E2428">
        <w:rPr>
          <w:rStyle w:val="apple-converted-space"/>
          <w:color w:val="000000"/>
        </w:rPr>
        <w:t> </w:t>
      </w:r>
      <w:r w:rsidRPr="009E2428">
        <w:rPr>
          <w:color w:val="000000"/>
        </w:rPr>
        <w:t>For future projects, I will implement iterative engagement cycles to accommodate evolving stakeholder concerns, enhance accessibility and diversity considerations in all consultation formats, develop feedback dashboards to communicate how stakeholder input influences decisions, and periodically review and update stakeholder maps to reflect shifting interests and influence. I will also ensure more consistent follow-up to report the impact of stakeholder feedback on project decisions.</w:t>
      </w:r>
    </w:p>
    <w:p w14:paraId="6E9DAF76" w14:textId="77777777" w:rsidR="00E80F45" w:rsidRPr="009E2428" w:rsidRDefault="00E80F45" w:rsidP="00CA19CE">
      <w:pPr>
        <w:pStyle w:val="NormalWeb"/>
        <w:spacing w:line="360" w:lineRule="auto"/>
        <w:rPr>
          <w:color w:val="000000"/>
        </w:rPr>
      </w:pPr>
      <w:r w:rsidRPr="009E2428">
        <w:rPr>
          <w:color w:val="000000"/>
        </w:rPr>
        <w:t>Overall, the project demonstrates how structured stakeholder engagement, ethical consultation, and reflective learning are essential to the success, sustainability, and community impact of local infrastructure projects. Meaningful engagement fosters community ownership, strengthens public trust, and ensures that the project delivers social, environmental, and economic value for all parties involved.</w:t>
      </w:r>
    </w:p>
    <w:p w14:paraId="5A32156B" w14:textId="77777777" w:rsidR="00E80F45" w:rsidRPr="009E2428" w:rsidRDefault="00E80F45" w:rsidP="00CA19CE">
      <w:pPr>
        <w:spacing w:line="360" w:lineRule="auto"/>
        <w:rPr>
          <w:rFonts w:ascii="Times New Roman" w:hAnsi="Times New Roman" w:cs="Times New Roman"/>
          <w:sz w:val="24"/>
          <w:szCs w:val="24"/>
        </w:rPr>
      </w:pPr>
    </w:p>
    <w:p w14:paraId="4706CBAE" w14:textId="77777777" w:rsidR="000A3351" w:rsidRPr="009E2428" w:rsidRDefault="00371A90" w:rsidP="00CA19CE">
      <w:pPr>
        <w:pStyle w:val="Heading2"/>
        <w:spacing w:line="360" w:lineRule="auto"/>
        <w:rPr>
          <w:rFonts w:ascii="Times New Roman" w:hAnsi="Times New Roman" w:cs="Times New Roman"/>
          <w:b w:val="0"/>
          <w:bCs w:val="0"/>
          <w:color w:val="000000" w:themeColor="text1"/>
          <w:sz w:val="24"/>
          <w:szCs w:val="24"/>
          <w:u w:val="single"/>
        </w:rPr>
      </w:pPr>
      <w:r w:rsidRPr="009E2428">
        <w:rPr>
          <w:rFonts w:ascii="Times New Roman" w:hAnsi="Times New Roman" w:cs="Times New Roman"/>
          <w:b w:val="0"/>
          <w:bCs w:val="0"/>
          <w:color w:val="000000" w:themeColor="text1"/>
          <w:sz w:val="24"/>
          <w:szCs w:val="24"/>
          <w:u w:val="single"/>
        </w:rPr>
        <w:t>5. References</w:t>
      </w:r>
    </w:p>
    <w:p w14:paraId="1DD27DDF" w14:textId="0280C99F" w:rsidR="003D4F0E" w:rsidRPr="009E2428" w:rsidRDefault="003D4F0E" w:rsidP="00CA19CE">
      <w:pPr>
        <w:pStyle w:val="NormalWeb"/>
        <w:numPr>
          <w:ilvl w:val="0"/>
          <w:numId w:val="10"/>
        </w:numPr>
        <w:spacing w:line="360" w:lineRule="auto"/>
      </w:pPr>
      <w:r w:rsidRPr="009E2428">
        <w:t>Ackermann, F. and Eden, C. (2010)</w:t>
      </w:r>
      <w:r w:rsidRPr="009E2428">
        <w:rPr>
          <w:rStyle w:val="apple-converted-space"/>
        </w:rPr>
        <w:t> </w:t>
      </w:r>
      <w:r w:rsidRPr="009E2428">
        <w:rPr>
          <w:rStyle w:val="Emphasis"/>
          <w:i w:val="0"/>
          <w:iCs w:val="0"/>
        </w:rPr>
        <w:t>Strategic management of stakeholders: Theory and practice.</w:t>
      </w:r>
      <w:r w:rsidRPr="009E2428">
        <w:rPr>
          <w:rStyle w:val="apple-converted-space"/>
        </w:rPr>
        <w:t> </w:t>
      </w:r>
      <w:r w:rsidRPr="009E2428">
        <w:rPr>
          <w:rStyle w:val="Emphasis"/>
          <w:i w:val="0"/>
          <w:iCs w:val="0"/>
        </w:rPr>
        <w:t>Journal of Management Studies</w:t>
      </w:r>
      <w:r w:rsidRPr="009E2428">
        <w:t>, 47(8), pp. 1442–1465.</w:t>
      </w:r>
    </w:p>
    <w:p w14:paraId="2F3386E4" w14:textId="2B05F639" w:rsidR="003D4F0E" w:rsidRPr="009E2428" w:rsidRDefault="003D4F0E" w:rsidP="00CA19CE">
      <w:pPr>
        <w:pStyle w:val="NormalWeb"/>
        <w:numPr>
          <w:ilvl w:val="0"/>
          <w:numId w:val="10"/>
        </w:numPr>
        <w:spacing w:line="360" w:lineRule="auto"/>
      </w:pPr>
      <w:r w:rsidRPr="009E2428">
        <w:t>Bryson, J.M. and Alston, F.K. (2011)</w:t>
      </w:r>
      <w:r w:rsidRPr="009E2428">
        <w:rPr>
          <w:rStyle w:val="apple-converted-space"/>
        </w:rPr>
        <w:t> </w:t>
      </w:r>
      <w:r w:rsidRPr="009E2428">
        <w:rPr>
          <w:rStyle w:val="Emphasis"/>
          <w:i w:val="0"/>
          <w:iCs w:val="0"/>
        </w:rPr>
        <w:t>Creating and implementing your strategic plan.</w:t>
      </w:r>
      <w:r w:rsidRPr="009E2428">
        <w:rPr>
          <w:rStyle w:val="apple-converted-space"/>
        </w:rPr>
        <w:t> </w:t>
      </w:r>
      <w:r w:rsidRPr="009E2428">
        <w:t>2nd edn. San Francisco: Jossey-Bass.</w:t>
      </w:r>
    </w:p>
    <w:p w14:paraId="66CA991D" w14:textId="1EC3B4FD" w:rsidR="003D4F0E" w:rsidRPr="009E2428" w:rsidRDefault="003D4F0E" w:rsidP="00CA19CE">
      <w:pPr>
        <w:pStyle w:val="NormalWeb"/>
        <w:numPr>
          <w:ilvl w:val="0"/>
          <w:numId w:val="10"/>
        </w:numPr>
        <w:spacing w:line="360" w:lineRule="auto"/>
      </w:pPr>
      <w:r w:rsidRPr="009E2428">
        <w:t>Freeman, R.E. (1984)</w:t>
      </w:r>
      <w:r w:rsidRPr="009E2428">
        <w:rPr>
          <w:rStyle w:val="apple-converted-space"/>
        </w:rPr>
        <w:t> </w:t>
      </w:r>
      <w:r w:rsidRPr="009E2428">
        <w:rPr>
          <w:rStyle w:val="Emphasis"/>
          <w:i w:val="0"/>
          <w:iCs w:val="0"/>
        </w:rPr>
        <w:t>Strategic management: A stakeholder approach.</w:t>
      </w:r>
      <w:r w:rsidRPr="009E2428">
        <w:rPr>
          <w:rStyle w:val="apple-converted-space"/>
        </w:rPr>
        <w:t> </w:t>
      </w:r>
      <w:r w:rsidRPr="009E2428">
        <w:t>Boston: Pitman.</w:t>
      </w:r>
    </w:p>
    <w:p w14:paraId="0560E7E6" w14:textId="5502FDF0" w:rsidR="003D4F0E" w:rsidRPr="009E2428" w:rsidRDefault="003D4F0E" w:rsidP="00CA19CE">
      <w:pPr>
        <w:pStyle w:val="NormalWeb"/>
        <w:numPr>
          <w:ilvl w:val="0"/>
          <w:numId w:val="10"/>
        </w:numPr>
        <w:spacing w:line="360" w:lineRule="auto"/>
      </w:pPr>
      <w:r w:rsidRPr="009E2428">
        <w:t>Gibbs, G. (1988)</w:t>
      </w:r>
      <w:r w:rsidRPr="009E2428">
        <w:rPr>
          <w:rStyle w:val="apple-converted-space"/>
        </w:rPr>
        <w:t> </w:t>
      </w:r>
      <w:r w:rsidRPr="009E2428">
        <w:rPr>
          <w:rStyle w:val="Emphasis"/>
          <w:i w:val="0"/>
          <w:iCs w:val="0"/>
        </w:rPr>
        <w:t>Learning by doing: A guide to teaching and learning methods.</w:t>
      </w:r>
      <w:r w:rsidRPr="009E2428">
        <w:rPr>
          <w:rStyle w:val="apple-converted-space"/>
        </w:rPr>
        <w:t> </w:t>
      </w:r>
      <w:r w:rsidRPr="009E2428">
        <w:t>Oxford: Further Education Unit.</w:t>
      </w:r>
    </w:p>
    <w:p w14:paraId="71AD076B" w14:textId="6ED4CA95" w:rsidR="003D4F0E" w:rsidRPr="009E2428" w:rsidRDefault="003D4F0E" w:rsidP="00CA19CE">
      <w:pPr>
        <w:pStyle w:val="NormalWeb"/>
        <w:numPr>
          <w:ilvl w:val="0"/>
          <w:numId w:val="10"/>
        </w:numPr>
        <w:spacing w:line="360" w:lineRule="auto"/>
      </w:pPr>
      <w:r w:rsidRPr="009E2428">
        <w:lastRenderedPageBreak/>
        <w:t>Reed, M.S. (2008) ‘Stakeholder participation for environmental management’,</w:t>
      </w:r>
      <w:r w:rsidRPr="009E2428">
        <w:rPr>
          <w:rStyle w:val="apple-converted-space"/>
        </w:rPr>
        <w:t> </w:t>
      </w:r>
      <w:r w:rsidRPr="009E2428">
        <w:rPr>
          <w:rStyle w:val="Emphasis"/>
          <w:i w:val="0"/>
          <w:iCs w:val="0"/>
        </w:rPr>
        <w:t>Biological Conservation</w:t>
      </w:r>
      <w:r w:rsidRPr="009E2428">
        <w:t>, 141(10), pp. 2417–2431.</w:t>
      </w:r>
    </w:p>
    <w:p w14:paraId="16027BCD" w14:textId="746CB3A2" w:rsidR="003D4F0E" w:rsidRPr="009E2428" w:rsidRDefault="003D4F0E" w:rsidP="00CA19CE">
      <w:pPr>
        <w:pStyle w:val="NormalWeb"/>
        <w:numPr>
          <w:ilvl w:val="0"/>
          <w:numId w:val="10"/>
        </w:numPr>
        <w:spacing w:line="360" w:lineRule="auto"/>
      </w:pPr>
      <w:r w:rsidRPr="009E2428">
        <w:t>Uddin, S., Ong, S. and Matous, P. (2023) ‘Stakeholder analysis and engagement in projects’,</w:t>
      </w:r>
      <w:r w:rsidRPr="009E2428">
        <w:rPr>
          <w:rStyle w:val="apple-converted-space"/>
        </w:rPr>
        <w:t> </w:t>
      </w:r>
      <w:r w:rsidRPr="009E2428">
        <w:rPr>
          <w:rStyle w:val="Emphasis"/>
          <w:i w:val="0"/>
          <w:iCs w:val="0"/>
        </w:rPr>
        <w:t>International Journal of Project Management</w:t>
      </w:r>
      <w:r w:rsidRPr="009E2428">
        <w:t>, 41(4), pp. 356–368.</w:t>
      </w:r>
    </w:p>
    <w:p w14:paraId="7854188C" w14:textId="09343149" w:rsidR="003D4F0E" w:rsidRPr="009E2428" w:rsidRDefault="003D4F0E" w:rsidP="00CA19CE">
      <w:pPr>
        <w:pStyle w:val="NormalWeb"/>
        <w:numPr>
          <w:ilvl w:val="0"/>
          <w:numId w:val="10"/>
        </w:numPr>
        <w:spacing w:line="360" w:lineRule="auto"/>
      </w:pPr>
      <w:r w:rsidRPr="009E2428">
        <w:t>Sarami-Foroushani, T., Yazdandoost, F., Khorasani, R. and Nikoo, M.R. (2024) ‘Assessing the role of stakeholders in sustainable groundwater resources management’,</w:t>
      </w:r>
      <w:r w:rsidRPr="009E2428">
        <w:rPr>
          <w:rStyle w:val="apple-converted-space"/>
        </w:rPr>
        <w:t> </w:t>
      </w:r>
      <w:r w:rsidRPr="009E2428">
        <w:rPr>
          <w:rStyle w:val="Emphasis"/>
          <w:i w:val="0"/>
          <w:iCs w:val="0"/>
        </w:rPr>
        <w:t>Frontiers in Water</w:t>
      </w:r>
      <w:r w:rsidRPr="009E2428">
        <w:t>, 6, 1344856.</w:t>
      </w:r>
    </w:p>
    <w:p w14:paraId="4D3EB216" w14:textId="3253727F" w:rsidR="003D4F0E" w:rsidRPr="009E2428" w:rsidRDefault="003D4F0E" w:rsidP="00CA19CE">
      <w:pPr>
        <w:pStyle w:val="NormalWeb"/>
        <w:numPr>
          <w:ilvl w:val="0"/>
          <w:numId w:val="10"/>
        </w:numPr>
        <w:spacing w:line="360" w:lineRule="auto"/>
      </w:pPr>
      <w:r w:rsidRPr="009E2428">
        <w:t>Zhu, Q., Xie, X., Goh, M. and Lee, W.L. (2024) ‘Stakeholder mapping and analysis of off-site construction projects’,</w:t>
      </w:r>
      <w:r w:rsidRPr="009E2428">
        <w:rPr>
          <w:rStyle w:val="apple-converted-space"/>
        </w:rPr>
        <w:t> </w:t>
      </w:r>
      <w:r w:rsidRPr="009E2428">
        <w:rPr>
          <w:rStyle w:val="Emphasis"/>
          <w:i w:val="0"/>
          <w:iCs w:val="0"/>
        </w:rPr>
        <w:t>Buildings</w:t>
      </w:r>
      <w:r w:rsidRPr="009E2428">
        <w:t>, 14(9), 2865.</w:t>
      </w:r>
    </w:p>
    <w:p w14:paraId="7942E02A" w14:textId="465C35B9" w:rsidR="003D4F0E" w:rsidRPr="009E2428" w:rsidRDefault="003D4F0E" w:rsidP="00CA19CE">
      <w:pPr>
        <w:pStyle w:val="NormalWeb"/>
        <w:numPr>
          <w:ilvl w:val="0"/>
          <w:numId w:val="10"/>
        </w:numPr>
        <w:spacing w:line="360" w:lineRule="auto"/>
      </w:pPr>
      <w:r w:rsidRPr="009E2428">
        <w:t>SimplyStakeholders (2025)</w:t>
      </w:r>
      <w:r w:rsidRPr="009E2428">
        <w:rPr>
          <w:rStyle w:val="apple-converted-space"/>
        </w:rPr>
        <w:t> </w:t>
      </w:r>
      <w:r w:rsidRPr="009E2428">
        <w:rPr>
          <w:rStyle w:val="Emphasis"/>
          <w:i w:val="0"/>
          <w:iCs w:val="0"/>
        </w:rPr>
        <w:t>Stakeholder analysis guide.</w:t>
      </w:r>
      <w:r w:rsidRPr="009E2428">
        <w:rPr>
          <w:rStyle w:val="apple-converted-space"/>
        </w:rPr>
        <w:t> </w:t>
      </w:r>
      <w:r w:rsidRPr="009E2428">
        <w:t>Available at:</w:t>
      </w:r>
      <w:r w:rsidRPr="009E2428">
        <w:rPr>
          <w:rStyle w:val="apple-converted-space"/>
        </w:rPr>
        <w:t> </w:t>
      </w:r>
      <w:r w:rsidRPr="009E2428">
        <w:t>https://simplystakeholders.com</w:t>
      </w:r>
      <w:r w:rsidRPr="009E2428">
        <w:rPr>
          <w:rStyle w:val="apple-converted-space"/>
        </w:rPr>
        <w:t> </w:t>
      </w:r>
      <w:r w:rsidRPr="009E2428">
        <w:t>(Accessed: 19 October 2025).</w:t>
      </w:r>
    </w:p>
    <w:p w14:paraId="159E93DC" w14:textId="5A85CDE7" w:rsidR="003D4F0E" w:rsidRPr="009E2428" w:rsidRDefault="003D4F0E" w:rsidP="00CA19CE">
      <w:pPr>
        <w:pStyle w:val="NormalWeb"/>
        <w:numPr>
          <w:ilvl w:val="0"/>
          <w:numId w:val="10"/>
        </w:numPr>
        <w:spacing w:line="360" w:lineRule="auto"/>
      </w:pPr>
      <w:r w:rsidRPr="009E2428">
        <w:t>Solihull Metropolitan Borough Council (2024)</w:t>
      </w:r>
      <w:r w:rsidRPr="009E2428">
        <w:rPr>
          <w:rStyle w:val="apple-converted-space"/>
        </w:rPr>
        <w:t> </w:t>
      </w:r>
      <w:r w:rsidRPr="009E2428">
        <w:rPr>
          <w:rStyle w:val="Emphasis"/>
          <w:i w:val="0"/>
          <w:iCs w:val="0"/>
        </w:rPr>
        <w:t>Green infrastructure and public spaces strategy 2024–2028.</w:t>
      </w:r>
      <w:r w:rsidRPr="009E2428">
        <w:rPr>
          <w:rStyle w:val="apple-converted-space"/>
        </w:rPr>
        <w:t> </w:t>
      </w:r>
      <w:r w:rsidRPr="009E2428">
        <w:t>Available at:</w:t>
      </w:r>
      <w:r w:rsidRPr="009E2428">
        <w:rPr>
          <w:rStyle w:val="apple-converted-space"/>
        </w:rPr>
        <w:t> </w:t>
      </w:r>
      <w:r w:rsidRPr="009E2428">
        <w:t>https://www.solihull.gov.uk</w:t>
      </w:r>
      <w:r w:rsidRPr="009E2428">
        <w:rPr>
          <w:rStyle w:val="apple-converted-space"/>
        </w:rPr>
        <w:t> </w:t>
      </w:r>
      <w:r w:rsidRPr="009E2428">
        <w:t>(Accessed: 19 October 2025).</w:t>
      </w:r>
    </w:p>
    <w:p w14:paraId="3FD9712C" w14:textId="1B68C34D" w:rsidR="000A3351" w:rsidRPr="009E2428" w:rsidRDefault="000A3351" w:rsidP="00CA19CE">
      <w:pPr>
        <w:pStyle w:val="ListNumber"/>
        <w:numPr>
          <w:ilvl w:val="0"/>
          <w:numId w:val="0"/>
        </w:numPr>
        <w:spacing w:line="360" w:lineRule="auto"/>
        <w:ind w:left="360" w:hanging="360"/>
        <w:rPr>
          <w:rFonts w:ascii="Times New Roman" w:hAnsi="Times New Roman" w:cs="Times New Roman"/>
          <w:color w:val="000000" w:themeColor="text1"/>
          <w:sz w:val="24"/>
          <w:szCs w:val="24"/>
        </w:rPr>
      </w:pPr>
    </w:p>
    <w:sectPr w:rsidR="000A3351" w:rsidRPr="009E2428" w:rsidSect="000346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88776" w14:textId="77777777" w:rsidR="008A1723" w:rsidRDefault="008A1723" w:rsidP="007E6345">
      <w:pPr>
        <w:spacing w:after="0" w:line="240" w:lineRule="auto"/>
      </w:pPr>
      <w:r>
        <w:separator/>
      </w:r>
    </w:p>
  </w:endnote>
  <w:endnote w:type="continuationSeparator" w:id="0">
    <w:p w14:paraId="6801FD35" w14:textId="77777777" w:rsidR="008A1723" w:rsidRDefault="008A1723" w:rsidP="007E63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A64E8" w14:textId="77777777" w:rsidR="008A1723" w:rsidRDefault="008A1723" w:rsidP="007E6345">
      <w:pPr>
        <w:spacing w:after="0" w:line="240" w:lineRule="auto"/>
      </w:pPr>
      <w:r>
        <w:separator/>
      </w:r>
    </w:p>
  </w:footnote>
  <w:footnote w:type="continuationSeparator" w:id="0">
    <w:p w14:paraId="7328FC76" w14:textId="77777777" w:rsidR="008A1723" w:rsidRDefault="008A1723" w:rsidP="007E63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8F7686"/>
    <w:multiLevelType w:val="hybridMultilevel"/>
    <w:tmpl w:val="63C63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9F46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C51E03"/>
    <w:multiLevelType w:val="hybridMultilevel"/>
    <w:tmpl w:val="0058A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F5643E"/>
    <w:multiLevelType w:val="hybridMultilevel"/>
    <w:tmpl w:val="72CC567C"/>
    <w:lvl w:ilvl="0" w:tplc="FFFFFFFF">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6C62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2070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BD011C"/>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FE37D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AE1C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1161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482D5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2F71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2171F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0444892">
    <w:abstractNumId w:val="8"/>
  </w:num>
  <w:num w:numId="2" w16cid:durableId="104689905">
    <w:abstractNumId w:val="6"/>
  </w:num>
  <w:num w:numId="3" w16cid:durableId="1467627581">
    <w:abstractNumId w:val="5"/>
  </w:num>
  <w:num w:numId="4" w16cid:durableId="1006519962">
    <w:abstractNumId w:val="4"/>
  </w:num>
  <w:num w:numId="5" w16cid:durableId="1286161603">
    <w:abstractNumId w:val="7"/>
  </w:num>
  <w:num w:numId="6" w16cid:durableId="1987314778">
    <w:abstractNumId w:val="3"/>
  </w:num>
  <w:num w:numId="7" w16cid:durableId="100419319">
    <w:abstractNumId w:val="2"/>
  </w:num>
  <w:num w:numId="8" w16cid:durableId="1418595053">
    <w:abstractNumId w:val="1"/>
  </w:num>
  <w:num w:numId="9" w16cid:durableId="1010177435">
    <w:abstractNumId w:val="0"/>
  </w:num>
  <w:num w:numId="10" w16cid:durableId="1268149583">
    <w:abstractNumId w:val="11"/>
  </w:num>
  <w:num w:numId="11" w16cid:durableId="1888835664">
    <w:abstractNumId w:val="12"/>
  </w:num>
  <w:num w:numId="12" w16cid:durableId="1865971642">
    <w:abstractNumId w:val="20"/>
  </w:num>
  <w:num w:numId="13" w16cid:durableId="809976697">
    <w:abstractNumId w:val="21"/>
  </w:num>
  <w:num w:numId="14" w16cid:durableId="1401711011">
    <w:abstractNumId w:val="13"/>
  </w:num>
  <w:num w:numId="15" w16cid:durableId="1674458228">
    <w:abstractNumId w:val="18"/>
  </w:num>
  <w:num w:numId="16" w16cid:durableId="98261253">
    <w:abstractNumId w:val="10"/>
  </w:num>
  <w:num w:numId="17" w16cid:durableId="839613786">
    <w:abstractNumId w:val="16"/>
  </w:num>
  <w:num w:numId="18" w16cid:durableId="66925627">
    <w:abstractNumId w:val="14"/>
  </w:num>
  <w:num w:numId="19" w16cid:durableId="1333148143">
    <w:abstractNumId w:val="19"/>
  </w:num>
  <w:num w:numId="20" w16cid:durableId="699861307">
    <w:abstractNumId w:val="17"/>
  </w:num>
  <w:num w:numId="21" w16cid:durableId="902104164">
    <w:abstractNumId w:val="15"/>
  </w:num>
  <w:num w:numId="22" w16cid:durableId="178954506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3351"/>
    <w:rsid w:val="0015074B"/>
    <w:rsid w:val="001F51BE"/>
    <w:rsid w:val="0027043A"/>
    <w:rsid w:val="0029639D"/>
    <w:rsid w:val="002E6C8C"/>
    <w:rsid w:val="00326F90"/>
    <w:rsid w:val="00371A90"/>
    <w:rsid w:val="0038463A"/>
    <w:rsid w:val="003D4F0E"/>
    <w:rsid w:val="004062A4"/>
    <w:rsid w:val="00532275"/>
    <w:rsid w:val="0059188E"/>
    <w:rsid w:val="005F4122"/>
    <w:rsid w:val="007E6345"/>
    <w:rsid w:val="00873538"/>
    <w:rsid w:val="008A1723"/>
    <w:rsid w:val="008E029D"/>
    <w:rsid w:val="009004B5"/>
    <w:rsid w:val="00981A23"/>
    <w:rsid w:val="009E2428"/>
    <w:rsid w:val="00AA1D8D"/>
    <w:rsid w:val="00B36633"/>
    <w:rsid w:val="00B47730"/>
    <w:rsid w:val="00B773ED"/>
    <w:rsid w:val="00B82EC8"/>
    <w:rsid w:val="00C06C8C"/>
    <w:rsid w:val="00C441D8"/>
    <w:rsid w:val="00C714DC"/>
    <w:rsid w:val="00C9565B"/>
    <w:rsid w:val="00CA19CE"/>
    <w:rsid w:val="00CB0664"/>
    <w:rsid w:val="00CD1359"/>
    <w:rsid w:val="00D21AB1"/>
    <w:rsid w:val="00DF112F"/>
    <w:rsid w:val="00DF3360"/>
    <w:rsid w:val="00E80F45"/>
    <w:rsid w:val="00EC2B78"/>
    <w:rsid w:val="00ED0860"/>
    <w:rsid w:val="00F73662"/>
    <w:rsid w:val="00FC693F"/>
    <w:rsid w:val="00FC6EB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3F8CB6"/>
  <w14:defaultImageDpi w14:val="300"/>
  <w15:docId w15:val="{17357D3D-BD19-B046-9217-0EB29F22C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3D4F0E"/>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apple-converted-space">
    <w:name w:val="apple-converted-space"/>
    <w:basedOn w:val="DefaultParagraphFont"/>
    <w:rsid w:val="003D4F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12</Pages>
  <Words>2912</Words>
  <Characters>16603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Kiran Begum (2106720)</cp:lastModifiedBy>
  <cp:revision>19</cp:revision>
  <dcterms:created xsi:type="dcterms:W3CDTF">2025-10-19T13:32:00Z</dcterms:created>
  <dcterms:modified xsi:type="dcterms:W3CDTF">2025-11-27T21:24:00Z</dcterms:modified>
  <cp:category/>
</cp:coreProperties>
</file>