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D35CC" w14:textId="61F85C36" w:rsidR="005C02B2" w:rsidRDefault="69FBF86D" w:rsidP="0A095A35">
      <w:pPr>
        <w:rPr>
          <w:rFonts w:ascii="Arial" w:eastAsia="Arial" w:hAnsi="Arial" w:cs="Arial"/>
          <w:b/>
          <w:bCs/>
          <w:sz w:val="22"/>
          <w:szCs w:val="22"/>
        </w:rPr>
      </w:pPr>
      <w:r>
        <w:rPr>
          <w:noProof/>
        </w:rPr>
        <w:drawing>
          <wp:inline distT="0" distB="0" distL="0" distR="0" wp14:anchorId="2B573999" wp14:editId="68A7BE96">
            <wp:extent cx="2131808" cy="1173059"/>
            <wp:effectExtent l="0" t="0" r="0" b="0"/>
            <wp:docPr id="6139664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966463" name="Picture 613966463"/>
                    <pic:cNvPicPr/>
                  </pic:nvPicPr>
                  <pic:blipFill>
                    <a:blip r:embed="rId7">
                      <a:extLst>
                        <a:ext uri="{28A0092B-C50C-407E-A947-70E740481C1C}">
                          <a14:useLocalDpi xmlns:a14="http://schemas.microsoft.com/office/drawing/2010/main"/>
                        </a:ext>
                      </a:extLst>
                    </a:blip>
                    <a:stretch>
                      <a:fillRect/>
                    </a:stretch>
                  </pic:blipFill>
                  <pic:spPr>
                    <a:xfrm>
                      <a:off x="0" y="0"/>
                      <a:ext cx="2131808" cy="1173059"/>
                    </a:xfrm>
                    <a:prstGeom prst="rect">
                      <a:avLst/>
                    </a:prstGeom>
                  </pic:spPr>
                </pic:pic>
              </a:graphicData>
            </a:graphic>
          </wp:inline>
        </w:drawing>
      </w:r>
    </w:p>
    <w:p w14:paraId="0C5F32C6" w14:textId="5247F437" w:rsidR="005C02B2" w:rsidRDefault="1F81A75E" w:rsidP="0A095A35">
      <w:pPr>
        <w:spacing w:before="120" w:after="120"/>
        <w:jc w:val="both"/>
        <w:rPr>
          <w:rFonts w:ascii="Arial" w:eastAsia="Arial" w:hAnsi="Arial" w:cs="Arial"/>
          <w:sz w:val="36"/>
          <w:szCs w:val="36"/>
        </w:rPr>
      </w:pPr>
      <w:r w:rsidRPr="0A095A35">
        <w:rPr>
          <w:rFonts w:ascii="Arial" w:eastAsia="Arial" w:hAnsi="Arial" w:cs="Arial"/>
          <w:b/>
          <w:bCs/>
          <w:sz w:val="36"/>
          <w:szCs w:val="36"/>
        </w:rPr>
        <w:t xml:space="preserve">   </w:t>
      </w:r>
    </w:p>
    <w:p w14:paraId="2C960B65" w14:textId="56AD24E1" w:rsidR="005C02B2" w:rsidRDefault="1F81A75E" w:rsidP="0A095A35">
      <w:pPr>
        <w:spacing w:before="120" w:after="120"/>
        <w:jc w:val="center"/>
        <w:rPr>
          <w:rFonts w:ascii="Arial" w:eastAsia="Arial" w:hAnsi="Arial" w:cs="Arial"/>
          <w:sz w:val="36"/>
          <w:szCs w:val="36"/>
        </w:rPr>
      </w:pPr>
      <w:r w:rsidRPr="0A095A35">
        <w:rPr>
          <w:rFonts w:ascii="Arial" w:eastAsia="Arial" w:hAnsi="Arial" w:cs="Arial"/>
          <w:b/>
          <w:bCs/>
          <w:sz w:val="36"/>
          <w:szCs w:val="36"/>
        </w:rPr>
        <w:t xml:space="preserve"> Introduction to Physiology - BMHP5023</w:t>
      </w:r>
    </w:p>
    <w:p w14:paraId="5C784924" w14:textId="5575456A" w:rsidR="005C02B2" w:rsidRDefault="005C02B2" w:rsidP="0A095A35">
      <w:pPr>
        <w:jc w:val="center"/>
        <w:rPr>
          <w:rFonts w:ascii="Arial" w:eastAsia="Arial" w:hAnsi="Arial" w:cs="Arial"/>
          <w:b/>
          <w:bCs/>
          <w:sz w:val="22"/>
          <w:szCs w:val="22"/>
        </w:rPr>
      </w:pPr>
    </w:p>
    <w:p w14:paraId="7CA2F476" w14:textId="6DE877B6" w:rsidR="005C02B2" w:rsidRDefault="6EF02FC9" w:rsidP="0A095A35">
      <w:pPr>
        <w:shd w:val="clear" w:color="auto" w:fill="D9E2F3"/>
        <w:jc w:val="center"/>
        <w:rPr>
          <w:rFonts w:ascii="Arial" w:eastAsia="Arial" w:hAnsi="Arial" w:cs="Arial"/>
          <w:b/>
          <w:bCs/>
          <w:color w:val="074F6A" w:themeColor="accent4" w:themeShade="80"/>
          <w:sz w:val="40"/>
          <w:szCs w:val="40"/>
        </w:rPr>
      </w:pPr>
      <w:r w:rsidRPr="0A095A35">
        <w:rPr>
          <w:rFonts w:ascii="Arial" w:eastAsia="Arial" w:hAnsi="Arial" w:cs="Arial"/>
          <w:b/>
          <w:bCs/>
          <w:color w:val="074F6A" w:themeColor="accent4" w:themeShade="80"/>
          <w:sz w:val="40"/>
          <w:szCs w:val="40"/>
        </w:rPr>
        <w:t>Component 1: Written Assignment</w:t>
      </w:r>
    </w:p>
    <w:p w14:paraId="7C48B3B9" w14:textId="4D113C0E" w:rsidR="005C02B2" w:rsidRDefault="2214566A" w:rsidP="0A095A35">
      <w:pPr>
        <w:shd w:val="clear" w:color="auto" w:fill="D9E2F3"/>
        <w:jc w:val="center"/>
        <w:rPr>
          <w:rFonts w:ascii="Arial" w:eastAsia="Arial" w:hAnsi="Arial" w:cs="Arial"/>
          <w:b/>
          <w:bCs/>
          <w:color w:val="074F6A" w:themeColor="accent4" w:themeShade="80"/>
          <w:sz w:val="40"/>
          <w:szCs w:val="40"/>
        </w:rPr>
      </w:pPr>
      <w:r w:rsidRPr="0A095A35">
        <w:rPr>
          <w:rFonts w:ascii="Arial" w:eastAsia="Arial" w:hAnsi="Arial" w:cs="Arial"/>
          <w:b/>
          <w:bCs/>
          <w:color w:val="074F6A" w:themeColor="accent4" w:themeShade="80"/>
          <w:sz w:val="40"/>
          <w:szCs w:val="40"/>
        </w:rPr>
        <w:t>TYPE 2 Diabetes Case Study</w:t>
      </w:r>
    </w:p>
    <w:p w14:paraId="784A5D84" w14:textId="6170E486" w:rsidR="005C02B2" w:rsidRDefault="005C02B2" w:rsidP="0A095A35">
      <w:pPr>
        <w:jc w:val="center"/>
        <w:rPr>
          <w:rFonts w:ascii="Arial" w:eastAsia="Arial" w:hAnsi="Arial" w:cs="Arial"/>
          <w:b/>
          <w:bCs/>
          <w:color w:val="074F6A" w:themeColor="accent4" w:themeShade="80"/>
          <w:sz w:val="40"/>
          <w:szCs w:val="40"/>
        </w:rPr>
      </w:pPr>
    </w:p>
    <w:p w14:paraId="20EDFDA0" w14:textId="437754BC" w:rsidR="005C02B2" w:rsidRDefault="005C02B2" w:rsidP="0A095A35">
      <w:pPr>
        <w:jc w:val="center"/>
        <w:rPr>
          <w:rFonts w:ascii="Arial" w:eastAsia="Arial" w:hAnsi="Arial" w:cs="Arial"/>
          <w:b/>
          <w:bCs/>
          <w:color w:val="074F6A" w:themeColor="accent4" w:themeShade="80"/>
          <w:sz w:val="40"/>
          <w:szCs w:val="40"/>
        </w:rPr>
      </w:pPr>
    </w:p>
    <w:p w14:paraId="0FFB618C" w14:textId="0ECC8519" w:rsidR="005C02B2" w:rsidRDefault="17F4F9F8" w:rsidP="0A095A35">
      <w:pPr>
        <w:shd w:val="clear" w:color="auto" w:fill="D9E2F3"/>
        <w:jc w:val="center"/>
        <w:rPr>
          <w:rFonts w:ascii="Arial" w:eastAsia="Arial" w:hAnsi="Arial" w:cs="Arial"/>
          <w:color w:val="074F6A" w:themeColor="accent4" w:themeShade="80"/>
          <w:sz w:val="36"/>
          <w:szCs w:val="36"/>
        </w:rPr>
      </w:pPr>
      <w:r w:rsidRPr="0A095A35">
        <w:rPr>
          <w:rFonts w:ascii="Arial" w:eastAsia="Arial" w:hAnsi="Arial" w:cs="Arial"/>
          <w:color w:val="074F6A" w:themeColor="accent4" w:themeShade="80"/>
          <w:sz w:val="36"/>
          <w:szCs w:val="36"/>
        </w:rPr>
        <w:t>By Florenta Anisoara Chistol</w:t>
      </w:r>
    </w:p>
    <w:p w14:paraId="61AA4A60" w14:textId="2B3FA403" w:rsidR="005C02B2" w:rsidRDefault="17F4F9F8" w:rsidP="0A095A35">
      <w:pPr>
        <w:shd w:val="clear" w:color="auto" w:fill="D9E2F3"/>
        <w:jc w:val="center"/>
        <w:rPr>
          <w:rFonts w:ascii="Arial" w:eastAsia="Arial" w:hAnsi="Arial" w:cs="Arial"/>
          <w:color w:val="074F6A" w:themeColor="accent4" w:themeShade="80"/>
          <w:sz w:val="36"/>
          <w:szCs w:val="36"/>
        </w:rPr>
      </w:pPr>
      <w:r w:rsidRPr="0A095A35">
        <w:rPr>
          <w:rFonts w:ascii="Arial" w:eastAsia="Arial" w:hAnsi="Arial" w:cs="Arial"/>
          <w:color w:val="074F6A" w:themeColor="accent4" w:themeShade="80"/>
          <w:sz w:val="36"/>
          <w:szCs w:val="36"/>
        </w:rPr>
        <w:t>Student ID 2422978</w:t>
      </w:r>
    </w:p>
    <w:p w14:paraId="4F209C70" w14:textId="7A00FDEC" w:rsidR="005C02B2" w:rsidRDefault="3B74BE59" w:rsidP="0A095A35">
      <w:pPr>
        <w:shd w:val="clear" w:color="auto" w:fill="D9E2F3"/>
        <w:jc w:val="right"/>
        <w:rPr>
          <w:rFonts w:ascii="Arial" w:eastAsia="Arial" w:hAnsi="Arial" w:cs="Arial"/>
          <w:color w:val="074F6A" w:themeColor="accent4" w:themeShade="80"/>
          <w:sz w:val="28"/>
          <w:szCs w:val="28"/>
        </w:rPr>
      </w:pPr>
      <w:r w:rsidRPr="0A095A35">
        <w:rPr>
          <w:rFonts w:ascii="Arial" w:eastAsia="Arial" w:hAnsi="Arial" w:cs="Arial"/>
          <w:color w:val="074F6A" w:themeColor="accent4" w:themeShade="80"/>
          <w:sz w:val="28"/>
          <w:szCs w:val="28"/>
        </w:rPr>
        <w:t>Lecturer Parese Ahmed</w:t>
      </w:r>
    </w:p>
    <w:p w14:paraId="13E4D61D" w14:textId="095E2853" w:rsidR="005C02B2" w:rsidRDefault="005C02B2" w:rsidP="0A095A35">
      <w:pPr>
        <w:jc w:val="right"/>
        <w:rPr>
          <w:rFonts w:ascii="Arial" w:eastAsia="Arial" w:hAnsi="Arial" w:cs="Arial"/>
          <w:color w:val="074F6A" w:themeColor="accent4" w:themeShade="80"/>
          <w:sz w:val="28"/>
          <w:szCs w:val="28"/>
        </w:rPr>
      </w:pPr>
    </w:p>
    <w:p w14:paraId="5CDDD431" w14:textId="5664059E" w:rsidR="005C02B2" w:rsidRDefault="005C02B2" w:rsidP="0A095A35">
      <w:pPr>
        <w:jc w:val="right"/>
        <w:rPr>
          <w:rFonts w:ascii="Arial" w:eastAsia="Arial" w:hAnsi="Arial" w:cs="Arial"/>
          <w:color w:val="074F6A" w:themeColor="accent4" w:themeShade="80"/>
          <w:sz w:val="28"/>
          <w:szCs w:val="28"/>
        </w:rPr>
      </w:pPr>
    </w:p>
    <w:p w14:paraId="6BA7E132" w14:textId="7E0EB0A2" w:rsidR="005C02B2" w:rsidRDefault="005C02B2" w:rsidP="0A095A35">
      <w:pPr>
        <w:jc w:val="right"/>
        <w:rPr>
          <w:rFonts w:ascii="Arial" w:eastAsia="Arial" w:hAnsi="Arial" w:cs="Arial"/>
          <w:color w:val="074F6A" w:themeColor="accent4" w:themeShade="80"/>
          <w:sz w:val="28"/>
          <w:szCs w:val="28"/>
        </w:rPr>
      </w:pPr>
    </w:p>
    <w:p w14:paraId="6D2EC7E1" w14:textId="6282EB2C" w:rsidR="005C02B2" w:rsidRDefault="005C02B2" w:rsidP="0A095A35">
      <w:pPr>
        <w:jc w:val="right"/>
        <w:rPr>
          <w:rFonts w:ascii="Arial" w:eastAsia="Arial" w:hAnsi="Arial" w:cs="Arial"/>
          <w:color w:val="074F6A" w:themeColor="accent4" w:themeShade="80"/>
          <w:sz w:val="28"/>
          <w:szCs w:val="28"/>
        </w:rPr>
      </w:pPr>
    </w:p>
    <w:p w14:paraId="50CFA649" w14:textId="61287547" w:rsidR="005C02B2" w:rsidRDefault="005C02B2" w:rsidP="0A095A35">
      <w:pPr>
        <w:jc w:val="right"/>
        <w:rPr>
          <w:rFonts w:ascii="Arial" w:eastAsia="Arial" w:hAnsi="Arial" w:cs="Arial"/>
          <w:color w:val="074F6A" w:themeColor="accent4" w:themeShade="80"/>
          <w:sz w:val="28"/>
          <w:szCs w:val="28"/>
        </w:rPr>
      </w:pPr>
    </w:p>
    <w:p w14:paraId="48960E06" w14:textId="2D6FC4F7" w:rsidR="005C02B2" w:rsidRDefault="005C02B2" w:rsidP="0A095A35">
      <w:pPr>
        <w:jc w:val="center"/>
        <w:rPr>
          <w:rFonts w:ascii="Arial" w:eastAsia="Arial" w:hAnsi="Arial" w:cs="Arial"/>
          <w:color w:val="074F6A" w:themeColor="accent4" w:themeShade="80"/>
          <w:sz w:val="28"/>
          <w:szCs w:val="28"/>
        </w:rPr>
      </w:pPr>
    </w:p>
    <w:p w14:paraId="638B2FA6" w14:textId="3F395278" w:rsidR="005C02B2" w:rsidRDefault="3B74BE59" w:rsidP="0A095A35">
      <w:pPr>
        <w:jc w:val="center"/>
        <w:rPr>
          <w:rFonts w:ascii="Arial" w:eastAsia="Arial" w:hAnsi="Arial" w:cs="Arial"/>
          <w:color w:val="074F6A" w:themeColor="accent4" w:themeShade="80"/>
          <w:sz w:val="32"/>
          <w:szCs w:val="32"/>
        </w:rPr>
      </w:pPr>
      <w:r w:rsidRPr="0A095A35">
        <w:rPr>
          <w:rFonts w:ascii="Arial" w:eastAsia="Arial" w:hAnsi="Arial" w:cs="Arial"/>
          <w:color w:val="074F6A" w:themeColor="accent4" w:themeShade="80"/>
          <w:sz w:val="32"/>
          <w:szCs w:val="32"/>
        </w:rPr>
        <w:t>23</w:t>
      </w:r>
      <w:r w:rsidRPr="0A095A35">
        <w:rPr>
          <w:rFonts w:ascii="Arial" w:eastAsia="Arial" w:hAnsi="Arial" w:cs="Arial"/>
          <w:color w:val="074F6A" w:themeColor="accent4" w:themeShade="80"/>
          <w:sz w:val="32"/>
          <w:szCs w:val="32"/>
          <w:vertAlign w:val="superscript"/>
        </w:rPr>
        <w:t xml:space="preserve">rd </w:t>
      </w:r>
      <w:r w:rsidRPr="0A095A35">
        <w:rPr>
          <w:rFonts w:ascii="Arial" w:eastAsia="Arial" w:hAnsi="Arial" w:cs="Arial"/>
          <w:color w:val="074F6A" w:themeColor="accent4" w:themeShade="80"/>
          <w:sz w:val="32"/>
          <w:szCs w:val="32"/>
        </w:rPr>
        <w:t>of Feb 2026</w:t>
      </w:r>
    </w:p>
    <w:p w14:paraId="32260956" w14:textId="28D92D4A" w:rsidR="005C02B2" w:rsidRDefault="005C02B2" w:rsidP="0A095A35">
      <w:pPr>
        <w:jc w:val="center"/>
        <w:rPr>
          <w:rFonts w:ascii="Arial" w:eastAsia="Arial" w:hAnsi="Arial" w:cs="Arial"/>
          <w:color w:val="074F6A" w:themeColor="accent4" w:themeShade="80"/>
          <w:sz w:val="32"/>
          <w:szCs w:val="32"/>
        </w:rPr>
      </w:pPr>
    </w:p>
    <w:p w14:paraId="3603A7D7" w14:textId="30FBBE40" w:rsidR="005C02B2" w:rsidRDefault="1076C980" w:rsidP="0A095A35">
      <w:pPr>
        <w:jc w:val="center"/>
        <w:rPr>
          <w:rFonts w:ascii="Arial" w:eastAsia="Arial" w:hAnsi="Arial" w:cs="Arial"/>
          <w:b/>
          <w:bCs/>
          <w:sz w:val="28"/>
          <w:szCs w:val="28"/>
        </w:rPr>
      </w:pPr>
      <w:r w:rsidRPr="0A095A35">
        <w:rPr>
          <w:rFonts w:ascii="Arial" w:eastAsia="Arial" w:hAnsi="Arial" w:cs="Arial"/>
          <w:b/>
          <w:bCs/>
          <w:sz w:val="28"/>
          <w:szCs w:val="28"/>
        </w:rPr>
        <w:lastRenderedPageBreak/>
        <w:t>Table of Contents</w:t>
      </w:r>
    </w:p>
    <w:p w14:paraId="6E18BE23" w14:textId="430B55CB" w:rsidR="005C02B2" w:rsidRDefault="005C02B2" w:rsidP="00407A62">
      <w:pPr>
        <w:spacing w:line="360" w:lineRule="auto"/>
        <w:rPr>
          <w:rFonts w:ascii="Arial" w:eastAsia="Arial" w:hAnsi="Arial" w:cs="Arial"/>
          <w:sz w:val="22"/>
          <w:szCs w:val="22"/>
        </w:rPr>
      </w:pPr>
    </w:p>
    <w:p w14:paraId="501DB0BB" w14:textId="0CA188CB" w:rsidR="005C02B2" w:rsidRDefault="00407A62" w:rsidP="00407A62">
      <w:pPr>
        <w:pStyle w:val="ListParagraph"/>
        <w:numPr>
          <w:ilvl w:val="0"/>
          <w:numId w:val="4"/>
        </w:numPr>
        <w:spacing w:line="360" w:lineRule="auto"/>
        <w:rPr>
          <w:rFonts w:ascii="Arial" w:eastAsia="Arial" w:hAnsi="Arial" w:cs="Arial"/>
          <w:sz w:val="22"/>
          <w:szCs w:val="22"/>
        </w:rPr>
      </w:pPr>
      <w:r>
        <w:rPr>
          <w:rFonts w:ascii="Arial" w:eastAsia="Arial" w:hAnsi="Arial" w:cs="Arial"/>
          <w:sz w:val="22"/>
          <w:szCs w:val="22"/>
        </w:rPr>
        <w:t>Introduction</w:t>
      </w:r>
      <w:r w:rsidR="1076C980" w:rsidRPr="0A095A35">
        <w:rPr>
          <w:rFonts w:ascii="Arial" w:eastAsia="Arial" w:hAnsi="Arial" w:cs="Arial"/>
          <w:sz w:val="22"/>
          <w:szCs w:val="22"/>
        </w:rPr>
        <w:t>..............................................................</w:t>
      </w:r>
      <w:r>
        <w:rPr>
          <w:rFonts w:ascii="Arial" w:eastAsia="Arial" w:hAnsi="Arial" w:cs="Arial"/>
          <w:sz w:val="22"/>
          <w:szCs w:val="22"/>
        </w:rPr>
        <w:t>......................page 3</w:t>
      </w:r>
    </w:p>
    <w:p w14:paraId="5B021970" w14:textId="19D27532" w:rsidR="005C02B2" w:rsidRDefault="00407A62" w:rsidP="00407A62">
      <w:pPr>
        <w:pStyle w:val="ListParagraph"/>
        <w:numPr>
          <w:ilvl w:val="0"/>
          <w:numId w:val="4"/>
        </w:numPr>
        <w:spacing w:line="360" w:lineRule="auto"/>
        <w:rPr>
          <w:rFonts w:ascii="Arial" w:eastAsia="Arial" w:hAnsi="Arial" w:cs="Arial"/>
          <w:sz w:val="22"/>
          <w:szCs w:val="22"/>
        </w:rPr>
      </w:pPr>
      <w:r w:rsidRPr="00407A62">
        <w:rPr>
          <w:rFonts w:ascii="Arial" w:eastAsia="Arial" w:hAnsi="Arial" w:cs="Arial"/>
          <w:sz w:val="22"/>
          <w:szCs w:val="22"/>
        </w:rPr>
        <w:t>Regulation of Blood Glucose and Maintenance of Homeostasis</w:t>
      </w:r>
      <w:r w:rsidR="1076C980" w:rsidRPr="0A095A35">
        <w:rPr>
          <w:rFonts w:ascii="Arial" w:eastAsia="Arial" w:hAnsi="Arial" w:cs="Arial"/>
          <w:sz w:val="22"/>
          <w:szCs w:val="22"/>
        </w:rPr>
        <w:t>............................................................</w:t>
      </w:r>
      <w:r>
        <w:rPr>
          <w:rFonts w:ascii="Arial" w:eastAsia="Arial" w:hAnsi="Arial" w:cs="Arial"/>
          <w:sz w:val="22"/>
          <w:szCs w:val="22"/>
        </w:rPr>
        <w:t>....................</w:t>
      </w:r>
      <w:r w:rsidR="1076C980" w:rsidRPr="0A095A35">
        <w:rPr>
          <w:rFonts w:ascii="Arial" w:eastAsia="Arial" w:hAnsi="Arial" w:cs="Arial"/>
          <w:sz w:val="22"/>
          <w:szCs w:val="22"/>
        </w:rPr>
        <w:t>..</w:t>
      </w:r>
      <w:r>
        <w:rPr>
          <w:rFonts w:ascii="Arial" w:eastAsia="Arial" w:hAnsi="Arial" w:cs="Arial"/>
          <w:sz w:val="22"/>
          <w:szCs w:val="22"/>
        </w:rPr>
        <w:t>page 4</w:t>
      </w:r>
    </w:p>
    <w:p w14:paraId="350640D4" w14:textId="05763947" w:rsidR="005C02B2" w:rsidRDefault="00407A62" w:rsidP="00407A62">
      <w:pPr>
        <w:pStyle w:val="ListParagraph"/>
        <w:numPr>
          <w:ilvl w:val="0"/>
          <w:numId w:val="4"/>
        </w:numPr>
        <w:spacing w:line="360" w:lineRule="auto"/>
        <w:rPr>
          <w:rFonts w:ascii="Arial" w:eastAsia="Arial" w:hAnsi="Arial" w:cs="Arial"/>
          <w:sz w:val="22"/>
          <w:szCs w:val="22"/>
        </w:rPr>
      </w:pPr>
      <w:r w:rsidRPr="00407A62">
        <w:rPr>
          <w:rFonts w:ascii="Arial" w:eastAsia="Arial" w:hAnsi="Arial" w:cs="Arial"/>
          <w:sz w:val="22"/>
          <w:szCs w:val="22"/>
        </w:rPr>
        <w:t>Cellular Metabolism: Oxygen and Glucose in Energy Production</w:t>
      </w:r>
      <w:r w:rsidR="1076C980" w:rsidRPr="0A095A35">
        <w:rPr>
          <w:rFonts w:ascii="Arial" w:eastAsia="Arial" w:hAnsi="Arial" w:cs="Arial"/>
          <w:sz w:val="22"/>
          <w:szCs w:val="22"/>
        </w:rPr>
        <w:t>..................................................................</w:t>
      </w:r>
      <w:r>
        <w:rPr>
          <w:rFonts w:ascii="Arial" w:eastAsia="Arial" w:hAnsi="Arial" w:cs="Arial"/>
          <w:sz w:val="22"/>
          <w:szCs w:val="22"/>
        </w:rPr>
        <w:t>....................page 5-6</w:t>
      </w:r>
    </w:p>
    <w:p w14:paraId="4E046BA2" w14:textId="6E38DE9C" w:rsidR="00407A62" w:rsidRPr="00407A62" w:rsidRDefault="00407A62" w:rsidP="00407A62">
      <w:pPr>
        <w:pStyle w:val="ListParagraph"/>
        <w:numPr>
          <w:ilvl w:val="0"/>
          <w:numId w:val="4"/>
        </w:numPr>
        <w:spacing w:line="360" w:lineRule="auto"/>
        <w:rPr>
          <w:rFonts w:ascii="Arial" w:eastAsia="Arial" w:hAnsi="Arial" w:cs="Arial"/>
          <w:sz w:val="22"/>
          <w:szCs w:val="22"/>
        </w:rPr>
      </w:pPr>
      <w:r w:rsidRPr="00407A62">
        <w:rPr>
          <w:rFonts w:ascii="Arial" w:eastAsia="Arial" w:hAnsi="Arial" w:cs="Arial"/>
          <w:sz w:val="22"/>
          <w:szCs w:val="22"/>
        </w:rPr>
        <w:t>The Importance of Recording and Tracking Blood Glucose</w:t>
      </w:r>
      <w:r>
        <w:rPr>
          <w:rFonts w:ascii="Arial" w:eastAsia="Arial" w:hAnsi="Arial" w:cs="Arial"/>
          <w:sz w:val="22"/>
          <w:szCs w:val="22"/>
        </w:rPr>
        <w:t>………page 6-7</w:t>
      </w:r>
    </w:p>
    <w:p w14:paraId="4AE5E8B4" w14:textId="1F9FAD23" w:rsidR="005C02B2" w:rsidRDefault="00407A62" w:rsidP="00407A62">
      <w:pPr>
        <w:pStyle w:val="ListParagraph"/>
        <w:numPr>
          <w:ilvl w:val="0"/>
          <w:numId w:val="4"/>
        </w:numPr>
        <w:spacing w:line="360" w:lineRule="auto"/>
        <w:rPr>
          <w:rFonts w:ascii="Arial" w:eastAsia="Arial" w:hAnsi="Arial" w:cs="Arial"/>
          <w:sz w:val="22"/>
          <w:szCs w:val="22"/>
        </w:rPr>
      </w:pPr>
      <w:r w:rsidRPr="00407A62">
        <w:rPr>
          <w:rFonts w:ascii="Arial" w:eastAsia="Arial" w:hAnsi="Arial" w:cs="Arial"/>
          <w:sz w:val="22"/>
          <w:szCs w:val="22"/>
        </w:rPr>
        <w:t>Evidence-Based Lifestyle Interventions</w:t>
      </w:r>
      <w:r w:rsidR="1076C980" w:rsidRPr="0A095A35">
        <w:rPr>
          <w:rFonts w:ascii="Arial" w:eastAsia="Arial" w:hAnsi="Arial" w:cs="Arial"/>
          <w:sz w:val="22"/>
          <w:szCs w:val="22"/>
        </w:rPr>
        <w:t>.........................................</w:t>
      </w:r>
      <w:r>
        <w:rPr>
          <w:rFonts w:ascii="Arial" w:eastAsia="Arial" w:hAnsi="Arial" w:cs="Arial"/>
          <w:sz w:val="22"/>
          <w:szCs w:val="22"/>
        </w:rPr>
        <w:t>page 7-9</w:t>
      </w:r>
    </w:p>
    <w:p w14:paraId="710DDC40" w14:textId="5E313A4C" w:rsidR="005C02B2" w:rsidRDefault="00407A62" w:rsidP="00407A62">
      <w:pPr>
        <w:pStyle w:val="ListParagraph"/>
        <w:numPr>
          <w:ilvl w:val="0"/>
          <w:numId w:val="4"/>
        </w:numPr>
        <w:spacing w:line="360" w:lineRule="auto"/>
        <w:rPr>
          <w:rFonts w:ascii="Arial" w:eastAsia="Arial" w:hAnsi="Arial" w:cs="Arial"/>
          <w:sz w:val="22"/>
          <w:szCs w:val="22"/>
        </w:rPr>
      </w:pPr>
      <w:r w:rsidRPr="00407A62">
        <w:rPr>
          <w:rFonts w:ascii="Arial" w:eastAsia="Arial" w:hAnsi="Arial" w:cs="Arial"/>
          <w:sz w:val="22"/>
          <w:szCs w:val="22"/>
        </w:rPr>
        <w:t xml:space="preserve">Enhancing Self-Management Through Structured Education and </w:t>
      </w:r>
      <w:r w:rsidRPr="00407A62">
        <w:rPr>
          <w:rFonts w:ascii="Arial" w:eastAsia="Arial" w:hAnsi="Arial" w:cs="Arial"/>
          <w:sz w:val="22"/>
          <w:szCs w:val="22"/>
        </w:rPr>
        <w:t>Behavioral</w:t>
      </w:r>
      <w:r w:rsidRPr="00407A62">
        <w:rPr>
          <w:rFonts w:ascii="Arial" w:eastAsia="Arial" w:hAnsi="Arial" w:cs="Arial"/>
          <w:sz w:val="22"/>
          <w:szCs w:val="22"/>
        </w:rPr>
        <w:t xml:space="preserve"> Support</w:t>
      </w:r>
      <w:r w:rsidR="1076C980" w:rsidRPr="0A095A35">
        <w:rPr>
          <w:rFonts w:ascii="Arial" w:eastAsia="Arial" w:hAnsi="Arial" w:cs="Arial"/>
          <w:sz w:val="22"/>
          <w:szCs w:val="22"/>
        </w:rPr>
        <w:t>..........................................................................</w:t>
      </w:r>
      <w:r>
        <w:rPr>
          <w:rFonts w:ascii="Arial" w:eastAsia="Arial" w:hAnsi="Arial" w:cs="Arial"/>
          <w:sz w:val="22"/>
          <w:szCs w:val="22"/>
        </w:rPr>
        <w:t>.................page 9-11</w:t>
      </w:r>
    </w:p>
    <w:p w14:paraId="283F4250" w14:textId="2FEFF6B6" w:rsidR="005C02B2" w:rsidRDefault="00407A62" w:rsidP="00407A62">
      <w:pPr>
        <w:pStyle w:val="ListParagraph"/>
        <w:numPr>
          <w:ilvl w:val="0"/>
          <w:numId w:val="4"/>
        </w:numPr>
        <w:spacing w:line="360" w:lineRule="auto"/>
        <w:rPr>
          <w:rFonts w:ascii="Arial" w:eastAsia="Arial" w:hAnsi="Arial" w:cs="Arial"/>
          <w:sz w:val="22"/>
          <w:szCs w:val="22"/>
        </w:rPr>
      </w:pPr>
      <w:r>
        <w:rPr>
          <w:rFonts w:ascii="Arial" w:eastAsia="Arial" w:hAnsi="Arial" w:cs="Arial"/>
          <w:sz w:val="22"/>
          <w:szCs w:val="22"/>
        </w:rPr>
        <w:t>Conclusion………………………………………………………………page 11</w:t>
      </w:r>
    </w:p>
    <w:p w14:paraId="215269D9" w14:textId="15534407" w:rsidR="005C02B2" w:rsidRDefault="00407A62" w:rsidP="00407A62">
      <w:pPr>
        <w:pStyle w:val="ListParagraph"/>
        <w:numPr>
          <w:ilvl w:val="0"/>
          <w:numId w:val="4"/>
        </w:numPr>
        <w:spacing w:line="360" w:lineRule="auto"/>
        <w:rPr>
          <w:rFonts w:ascii="Arial" w:eastAsia="Arial" w:hAnsi="Arial" w:cs="Arial"/>
          <w:sz w:val="22"/>
          <w:szCs w:val="22"/>
        </w:rPr>
      </w:pPr>
      <w:r>
        <w:rPr>
          <w:rFonts w:ascii="Arial" w:eastAsia="Arial" w:hAnsi="Arial" w:cs="Arial"/>
          <w:sz w:val="22"/>
          <w:szCs w:val="22"/>
        </w:rPr>
        <w:t>References………………………………………………………………page12-14</w:t>
      </w:r>
    </w:p>
    <w:p w14:paraId="40BBCF82" w14:textId="1E9D73BC" w:rsidR="005C02B2" w:rsidRDefault="005C02B2" w:rsidP="0A095A35">
      <w:pPr>
        <w:jc w:val="both"/>
        <w:rPr>
          <w:rFonts w:ascii="Arial" w:eastAsia="Arial" w:hAnsi="Arial" w:cs="Arial"/>
          <w:sz w:val="22"/>
          <w:szCs w:val="22"/>
        </w:rPr>
      </w:pPr>
    </w:p>
    <w:p w14:paraId="459D9B49" w14:textId="25F7788E" w:rsidR="005C02B2" w:rsidRDefault="005C02B2" w:rsidP="0A095A35">
      <w:pPr>
        <w:jc w:val="both"/>
        <w:rPr>
          <w:rFonts w:ascii="Arial" w:eastAsia="Arial" w:hAnsi="Arial" w:cs="Arial"/>
          <w:sz w:val="22"/>
          <w:szCs w:val="22"/>
        </w:rPr>
      </w:pPr>
    </w:p>
    <w:p w14:paraId="303C88DF" w14:textId="2E687725" w:rsidR="005C02B2" w:rsidRDefault="005C02B2" w:rsidP="0A095A35">
      <w:pPr>
        <w:jc w:val="both"/>
        <w:rPr>
          <w:rFonts w:ascii="Arial" w:eastAsia="Arial" w:hAnsi="Arial" w:cs="Arial"/>
          <w:sz w:val="22"/>
          <w:szCs w:val="22"/>
        </w:rPr>
      </w:pPr>
    </w:p>
    <w:p w14:paraId="50356894" w14:textId="4262D82A" w:rsidR="005C02B2" w:rsidRDefault="005C02B2" w:rsidP="0A095A35">
      <w:pPr>
        <w:jc w:val="both"/>
        <w:rPr>
          <w:rFonts w:ascii="Arial" w:eastAsia="Arial" w:hAnsi="Arial" w:cs="Arial"/>
          <w:sz w:val="22"/>
          <w:szCs w:val="22"/>
        </w:rPr>
      </w:pPr>
    </w:p>
    <w:p w14:paraId="20207B79" w14:textId="0DCE1073" w:rsidR="005C02B2" w:rsidRDefault="005C02B2" w:rsidP="0A095A35">
      <w:pPr>
        <w:jc w:val="both"/>
        <w:rPr>
          <w:rFonts w:ascii="Arial" w:eastAsia="Arial" w:hAnsi="Arial" w:cs="Arial"/>
          <w:sz w:val="22"/>
          <w:szCs w:val="22"/>
        </w:rPr>
      </w:pPr>
    </w:p>
    <w:p w14:paraId="482D32DA" w14:textId="08204D40" w:rsidR="005C02B2" w:rsidRDefault="005C02B2" w:rsidP="0A095A35">
      <w:pPr>
        <w:jc w:val="both"/>
        <w:rPr>
          <w:rFonts w:ascii="Arial" w:eastAsia="Arial" w:hAnsi="Arial" w:cs="Arial"/>
          <w:sz w:val="22"/>
          <w:szCs w:val="22"/>
        </w:rPr>
      </w:pPr>
    </w:p>
    <w:p w14:paraId="6FD03066" w14:textId="23D21AC5" w:rsidR="005C02B2" w:rsidRDefault="005C02B2" w:rsidP="0A095A35">
      <w:pPr>
        <w:jc w:val="both"/>
        <w:rPr>
          <w:rFonts w:ascii="Arial" w:eastAsia="Arial" w:hAnsi="Arial" w:cs="Arial"/>
          <w:sz w:val="22"/>
          <w:szCs w:val="22"/>
        </w:rPr>
      </w:pPr>
    </w:p>
    <w:p w14:paraId="5A541EE1" w14:textId="59D592FA" w:rsidR="005C02B2" w:rsidRDefault="005C02B2" w:rsidP="0A095A35">
      <w:pPr>
        <w:jc w:val="both"/>
        <w:rPr>
          <w:rFonts w:ascii="Arial" w:eastAsia="Arial" w:hAnsi="Arial" w:cs="Arial"/>
          <w:sz w:val="22"/>
          <w:szCs w:val="22"/>
        </w:rPr>
      </w:pPr>
    </w:p>
    <w:p w14:paraId="6CCDD85A" w14:textId="3CA969E8" w:rsidR="005C02B2" w:rsidRDefault="005C02B2" w:rsidP="0A095A35">
      <w:pPr>
        <w:jc w:val="both"/>
        <w:rPr>
          <w:rFonts w:ascii="Arial" w:eastAsia="Arial" w:hAnsi="Arial" w:cs="Arial"/>
          <w:sz w:val="22"/>
          <w:szCs w:val="22"/>
        </w:rPr>
      </w:pPr>
    </w:p>
    <w:p w14:paraId="03D14877" w14:textId="2586EC13" w:rsidR="005C02B2" w:rsidRDefault="005C02B2" w:rsidP="0A095A35">
      <w:pPr>
        <w:jc w:val="both"/>
        <w:rPr>
          <w:rFonts w:ascii="Arial" w:eastAsia="Arial" w:hAnsi="Arial" w:cs="Arial"/>
          <w:sz w:val="22"/>
          <w:szCs w:val="22"/>
        </w:rPr>
      </w:pPr>
    </w:p>
    <w:p w14:paraId="022697DA" w14:textId="26EF712A" w:rsidR="005C02B2" w:rsidRDefault="005C02B2" w:rsidP="0A095A35">
      <w:pPr>
        <w:jc w:val="both"/>
        <w:rPr>
          <w:rFonts w:ascii="Arial" w:eastAsia="Arial" w:hAnsi="Arial" w:cs="Arial"/>
          <w:sz w:val="22"/>
          <w:szCs w:val="22"/>
        </w:rPr>
      </w:pPr>
    </w:p>
    <w:p w14:paraId="37554DA7" w14:textId="785B200C" w:rsidR="005C02B2" w:rsidRDefault="005C02B2" w:rsidP="0A095A35">
      <w:pPr>
        <w:jc w:val="both"/>
        <w:rPr>
          <w:rFonts w:ascii="Arial" w:eastAsia="Arial" w:hAnsi="Arial" w:cs="Arial"/>
          <w:sz w:val="22"/>
          <w:szCs w:val="22"/>
        </w:rPr>
      </w:pPr>
    </w:p>
    <w:p w14:paraId="462828A3" w14:textId="76E9FE5D" w:rsidR="005C02B2" w:rsidRDefault="005C02B2" w:rsidP="0A095A35">
      <w:pPr>
        <w:jc w:val="both"/>
        <w:rPr>
          <w:rFonts w:ascii="Arial" w:eastAsia="Arial" w:hAnsi="Arial" w:cs="Arial"/>
          <w:sz w:val="22"/>
          <w:szCs w:val="22"/>
        </w:rPr>
      </w:pPr>
    </w:p>
    <w:p w14:paraId="2A5D80C5" w14:textId="6A9D8E97" w:rsidR="005C02B2" w:rsidRDefault="005C02B2" w:rsidP="0A095A35">
      <w:pPr>
        <w:jc w:val="both"/>
        <w:rPr>
          <w:rFonts w:ascii="Arial" w:eastAsia="Arial" w:hAnsi="Arial" w:cs="Arial"/>
          <w:sz w:val="22"/>
          <w:szCs w:val="22"/>
        </w:rPr>
      </w:pPr>
    </w:p>
    <w:p w14:paraId="0C263918" w14:textId="53744F6A" w:rsidR="005C02B2" w:rsidRDefault="005C02B2" w:rsidP="0A095A35">
      <w:pPr>
        <w:jc w:val="both"/>
        <w:rPr>
          <w:rFonts w:ascii="Arial" w:eastAsia="Arial" w:hAnsi="Arial" w:cs="Arial"/>
          <w:sz w:val="22"/>
          <w:szCs w:val="22"/>
        </w:rPr>
      </w:pPr>
    </w:p>
    <w:p w14:paraId="4763337A" w14:textId="77280B91" w:rsidR="005C02B2" w:rsidRDefault="005C02B2" w:rsidP="0A095A35">
      <w:pPr>
        <w:jc w:val="both"/>
        <w:rPr>
          <w:rFonts w:ascii="Arial" w:eastAsia="Arial" w:hAnsi="Arial" w:cs="Arial"/>
          <w:sz w:val="22"/>
          <w:szCs w:val="22"/>
        </w:rPr>
      </w:pPr>
    </w:p>
    <w:p w14:paraId="1DD9FBF0" w14:textId="77777777" w:rsidR="00EF0EBA" w:rsidRDefault="00EF0EBA" w:rsidP="0A095A35">
      <w:pPr>
        <w:jc w:val="both"/>
        <w:rPr>
          <w:rFonts w:ascii="Arial" w:eastAsia="Arial" w:hAnsi="Arial" w:cs="Arial"/>
          <w:sz w:val="22"/>
          <w:szCs w:val="22"/>
        </w:rPr>
      </w:pPr>
    </w:p>
    <w:p w14:paraId="06118241" w14:textId="50019C19" w:rsidR="005C02B2" w:rsidRDefault="1076C980" w:rsidP="0A095A35">
      <w:pPr>
        <w:jc w:val="center"/>
        <w:rPr>
          <w:rFonts w:ascii="Arial" w:eastAsia="Arial" w:hAnsi="Arial" w:cs="Arial"/>
          <w:b/>
          <w:bCs/>
          <w:sz w:val="28"/>
          <w:szCs w:val="28"/>
        </w:rPr>
      </w:pPr>
      <w:r w:rsidRPr="0A095A35">
        <w:rPr>
          <w:rFonts w:ascii="Arial" w:eastAsia="Arial" w:hAnsi="Arial" w:cs="Arial"/>
          <w:b/>
          <w:bCs/>
          <w:sz w:val="28"/>
          <w:szCs w:val="28"/>
        </w:rPr>
        <w:lastRenderedPageBreak/>
        <w:t>Introduction</w:t>
      </w:r>
    </w:p>
    <w:p w14:paraId="4E7C6CFB" w14:textId="366AC330" w:rsidR="005C02B2" w:rsidRDefault="005C02B2" w:rsidP="00B2008A">
      <w:pPr>
        <w:spacing w:line="360" w:lineRule="auto"/>
        <w:jc w:val="center"/>
        <w:rPr>
          <w:rFonts w:ascii="Arial" w:eastAsia="Arial" w:hAnsi="Arial" w:cs="Arial"/>
          <w:b/>
          <w:bCs/>
          <w:sz w:val="28"/>
          <w:szCs w:val="28"/>
        </w:rPr>
      </w:pPr>
    </w:p>
    <w:p w14:paraId="023842E1" w14:textId="049BDAA2" w:rsidR="005C02B2" w:rsidRDefault="5A611792" w:rsidP="00B2008A">
      <w:pPr>
        <w:spacing w:line="360" w:lineRule="auto"/>
        <w:ind w:firstLine="720"/>
        <w:jc w:val="both"/>
      </w:pPr>
      <w:r w:rsidRPr="0A095A35">
        <w:rPr>
          <w:rFonts w:ascii="Arial" w:eastAsia="Arial" w:hAnsi="Arial" w:cs="Arial"/>
          <w:sz w:val="22"/>
          <w:szCs w:val="22"/>
        </w:rPr>
        <w:t xml:space="preserve">Diabetes mellitus is a chronic metabolic condition defined by persistent hyperglycemia caused by impaired insulin production, insulin action, or both (American Diabetes Association (ADA), 2023). Type 2 diabetes (T2D) is responsible for 90% of diabetes cases globally and is caused by insulin resistance and pancreatic β-cell failure (International Diabetes Federation, 2023). Diabetes affects 537 million </w:t>
      </w:r>
      <w:r w:rsidR="00B2008A" w:rsidRPr="0A095A35">
        <w:rPr>
          <w:rFonts w:ascii="Arial" w:eastAsia="Arial" w:hAnsi="Arial" w:cs="Arial"/>
          <w:sz w:val="22"/>
          <w:szCs w:val="22"/>
        </w:rPr>
        <w:t>people</w:t>
      </w:r>
      <w:r w:rsidRPr="0A095A35">
        <w:rPr>
          <w:rFonts w:ascii="Arial" w:eastAsia="Arial" w:hAnsi="Arial" w:cs="Arial"/>
          <w:sz w:val="22"/>
          <w:szCs w:val="22"/>
        </w:rPr>
        <w:t xml:space="preserve"> worldwide, with that number expected to rise to 783 million by 2045 (IDF, 2023). Diabetes affects more than 4 million people in the United Kingdom, and its incidence is strongly linked to socioeconomic hardship and obesity.</w:t>
      </w:r>
    </w:p>
    <w:p w14:paraId="5A900105" w14:textId="52264AF6" w:rsidR="005C02B2" w:rsidRDefault="3F2A2A53" w:rsidP="00B2008A">
      <w:pPr>
        <w:spacing w:line="360" w:lineRule="auto"/>
        <w:ind w:firstLine="720"/>
        <w:jc w:val="both"/>
        <w:rPr>
          <w:rFonts w:ascii="Arial" w:eastAsia="Arial" w:hAnsi="Arial" w:cs="Arial"/>
          <w:sz w:val="22"/>
          <w:szCs w:val="22"/>
        </w:rPr>
      </w:pPr>
      <w:r w:rsidRPr="0A095A35">
        <w:rPr>
          <w:rFonts w:ascii="Arial" w:eastAsia="Arial" w:hAnsi="Arial" w:cs="Arial"/>
          <w:sz w:val="22"/>
          <w:szCs w:val="22"/>
        </w:rPr>
        <w:t>Risk factors for T2D include both non-modifiable and modifiable determinants. Growing older, ethnicity, and family history are examples of non-modifiable characteristics. Obesity, sedentary lifestyle, smoking, poor diet, hypertension, and dyslipidemia are among the modifiable risk factors (NICE, 2022). Approximately 80–85% of people with type 2 diabetes are overweight or obese, indicating that obesity is the strongest modifiable predictor (Diabetes UK, 2023).</w:t>
      </w:r>
    </w:p>
    <w:p w14:paraId="556B9AD2" w14:textId="37E2B0B1" w:rsidR="005C02B2" w:rsidRDefault="42B06126" w:rsidP="00B2008A">
      <w:pPr>
        <w:spacing w:line="360" w:lineRule="auto"/>
        <w:ind w:firstLine="720"/>
        <w:jc w:val="both"/>
      </w:pPr>
      <w:r w:rsidRPr="0A095A35">
        <w:rPr>
          <w:rFonts w:ascii="Arial" w:eastAsia="Arial" w:hAnsi="Arial" w:cs="Arial"/>
          <w:sz w:val="22"/>
          <w:szCs w:val="22"/>
        </w:rPr>
        <w:t>T2D can cause both microvascular (retinopathy, nephropathy, neuropathy) and macrovascular (cardiovascular disease and stroke) problems if not handled properly. Structured education, glucose monitoring, and lifestyle modifications, all supported by primary care specialists, are required for effective management.</w:t>
      </w:r>
    </w:p>
    <w:p w14:paraId="0B5C9716" w14:textId="1002311E" w:rsidR="005C02B2" w:rsidRDefault="005C02B2" w:rsidP="0A095A35">
      <w:pPr>
        <w:spacing w:line="360" w:lineRule="auto"/>
        <w:ind w:firstLine="720"/>
        <w:jc w:val="both"/>
        <w:rPr>
          <w:rFonts w:ascii="Arial" w:eastAsia="Arial" w:hAnsi="Arial" w:cs="Arial"/>
          <w:sz w:val="22"/>
          <w:szCs w:val="22"/>
        </w:rPr>
      </w:pPr>
    </w:p>
    <w:p w14:paraId="0AE77518" w14:textId="282EA328" w:rsidR="005C02B2" w:rsidRDefault="005C02B2" w:rsidP="0A095A35">
      <w:pPr>
        <w:spacing w:line="360" w:lineRule="auto"/>
        <w:ind w:firstLine="720"/>
        <w:jc w:val="both"/>
        <w:rPr>
          <w:rFonts w:ascii="Arial" w:eastAsia="Arial" w:hAnsi="Arial" w:cs="Arial"/>
          <w:sz w:val="22"/>
          <w:szCs w:val="22"/>
        </w:rPr>
      </w:pPr>
    </w:p>
    <w:p w14:paraId="02DA9335" w14:textId="6862538F" w:rsidR="005C02B2" w:rsidRDefault="005C02B2" w:rsidP="0A095A35">
      <w:pPr>
        <w:spacing w:line="360" w:lineRule="auto"/>
        <w:ind w:firstLine="720"/>
        <w:jc w:val="both"/>
        <w:rPr>
          <w:rFonts w:ascii="Arial" w:eastAsia="Arial" w:hAnsi="Arial" w:cs="Arial"/>
          <w:sz w:val="22"/>
          <w:szCs w:val="22"/>
        </w:rPr>
      </w:pPr>
    </w:p>
    <w:p w14:paraId="24C75084" w14:textId="461C60FF" w:rsidR="005C02B2" w:rsidRDefault="005C02B2" w:rsidP="0A095A35">
      <w:pPr>
        <w:spacing w:line="360" w:lineRule="auto"/>
        <w:ind w:firstLine="720"/>
        <w:jc w:val="both"/>
        <w:rPr>
          <w:rFonts w:ascii="Arial" w:eastAsia="Arial" w:hAnsi="Arial" w:cs="Arial"/>
          <w:sz w:val="22"/>
          <w:szCs w:val="22"/>
        </w:rPr>
      </w:pPr>
    </w:p>
    <w:p w14:paraId="29C9D4CD" w14:textId="2F21CA54" w:rsidR="005C02B2" w:rsidRDefault="005C02B2" w:rsidP="0A095A35">
      <w:pPr>
        <w:spacing w:line="360" w:lineRule="auto"/>
        <w:ind w:firstLine="720"/>
        <w:jc w:val="both"/>
        <w:rPr>
          <w:rFonts w:ascii="Arial" w:eastAsia="Arial" w:hAnsi="Arial" w:cs="Arial"/>
          <w:sz w:val="22"/>
          <w:szCs w:val="22"/>
        </w:rPr>
      </w:pPr>
    </w:p>
    <w:p w14:paraId="10BDD4B6" w14:textId="47962280" w:rsidR="005C02B2" w:rsidRDefault="005C02B2" w:rsidP="0A095A35">
      <w:pPr>
        <w:spacing w:line="360" w:lineRule="auto"/>
        <w:ind w:firstLine="720"/>
        <w:jc w:val="both"/>
        <w:rPr>
          <w:rFonts w:ascii="Arial" w:eastAsia="Arial" w:hAnsi="Arial" w:cs="Arial"/>
          <w:sz w:val="22"/>
          <w:szCs w:val="22"/>
        </w:rPr>
      </w:pPr>
    </w:p>
    <w:p w14:paraId="63939590" w14:textId="11DDCF7C" w:rsidR="005C02B2" w:rsidRDefault="005C02B2" w:rsidP="0A095A35">
      <w:pPr>
        <w:spacing w:line="360" w:lineRule="auto"/>
        <w:ind w:firstLine="720"/>
        <w:jc w:val="both"/>
        <w:rPr>
          <w:rFonts w:ascii="Arial" w:eastAsia="Arial" w:hAnsi="Arial" w:cs="Arial"/>
          <w:sz w:val="22"/>
          <w:szCs w:val="22"/>
        </w:rPr>
      </w:pPr>
    </w:p>
    <w:p w14:paraId="336B9985" w14:textId="5ADECB3F" w:rsidR="005C02B2" w:rsidRDefault="005C02B2" w:rsidP="0A095A35">
      <w:pPr>
        <w:spacing w:line="360" w:lineRule="auto"/>
        <w:ind w:firstLine="720"/>
        <w:jc w:val="both"/>
        <w:rPr>
          <w:rFonts w:ascii="Arial" w:eastAsia="Arial" w:hAnsi="Arial" w:cs="Arial"/>
          <w:sz w:val="22"/>
          <w:szCs w:val="22"/>
        </w:rPr>
      </w:pPr>
    </w:p>
    <w:p w14:paraId="6BFC7168" w14:textId="77777777" w:rsidR="00EF0EBA" w:rsidRDefault="00EF0EBA" w:rsidP="0A095A35">
      <w:pPr>
        <w:spacing w:line="360" w:lineRule="auto"/>
        <w:ind w:firstLine="720"/>
        <w:jc w:val="both"/>
        <w:rPr>
          <w:rFonts w:ascii="Arial" w:eastAsia="Arial" w:hAnsi="Arial" w:cs="Arial"/>
          <w:sz w:val="22"/>
          <w:szCs w:val="22"/>
        </w:rPr>
      </w:pPr>
    </w:p>
    <w:p w14:paraId="27019593" w14:textId="77777777" w:rsidR="00EF0EBA" w:rsidRDefault="00EF0EBA" w:rsidP="0A095A35">
      <w:pPr>
        <w:spacing w:line="360" w:lineRule="auto"/>
        <w:ind w:firstLine="720"/>
        <w:jc w:val="both"/>
        <w:rPr>
          <w:rFonts w:ascii="Arial" w:eastAsia="Arial" w:hAnsi="Arial" w:cs="Arial"/>
          <w:sz w:val="22"/>
          <w:szCs w:val="22"/>
        </w:rPr>
      </w:pPr>
    </w:p>
    <w:p w14:paraId="4B60F723" w14:textId="52F0A9A3" w:rsidR="005C02B2" w:rsidRDefault="42B06126" w:rsidP="0A095A35">
      <w:pPr>
        <w:spacing w:line="360" w:lineRule="auto"/>
        <w:ind w:firstLine="720"/>
        <w:jc w:val="center"/>
        <w:rPr>
          <w:rFonts w:ascii="Arial" w:eastAsia="Arial" w:hAnsi="Arial" w:cs="Arial"/>
          <w:b/>
          <w:bCs/>
          <w:sz w:val="28"/>
          <w:szCs w:val="28"/>
          <w:u w:val="single"/>
        </w:rPr>
      </w:pPr>
      <w:r w:rsidRPr="0A095A35">
        <w:rPr>
          <w:rFonts w:ascii="Arial" w:eastAsia="Arial" w:hAnsi="Arial" w:cs="Arial"/>
          <w:b/>
          <w:bCs/>
          <w:sz w:val="28"/>
          <w:szCs w:val="28"/>
          <w:u w:val="single"/>
        </w:rPr>
        <w:lastRenderedPageBreak/>
        <w:t>Regulation of Blood Glucose and Maintenance of Homeostasis</w:t>
      </w:r>
    </w:p>
    <w:p w14:paraId="023C00DD" w14:textId="31110D14" w:rsidR="005C02B2" w:rsidRDefault="005C02B2" w:rsidP="0A095A35">
      <w:pPr>
        <w:spacing w:line="360" w:lineRule="auto"/>
        <w:ind w:firstLine="720"/>
        <w:jc w:val="both"/>
        <w:rPr>
          <w:rFonts w:ascii="Arial" w:eastAsia="Arial" w:hAnsi="Arial" w:cs="Arial"/>
          <w:sz w:val="22"/>
          <w:szCs w:val="22"/>
        </w:rPr>
      </w:pPr>
    </w:p>
    <w:p w14:paraId="10361460" w14:textId="7EDBE960" w:rsidR="005C02B2" w:rsidRDefault="0004774F" w:rsidP="0A095A35">
      <w:pPr>
        <w:spacing w:line="360" w:lineRule="auto"/>
        <w:ind w:firstLine="720"/>
        <w:jc w:val="both"/>
      </w:pPr>
      <w:r w:rsidRPr="0A095A35">
        <w:rPr>
          <w:rFonts w:ascii="Arial" w:eastAsia="Arial" w:hAnsi="Arial" w:cs="Arial"/>
          <w:sz w:val="22"/>
          <w:szCs w:val="22"/>
        </w:rPr>
        <w:t>Glucose is the body's main energy source. Maintaining blood glucose levels within a small physiological range is critical for ensuring enough cellular energy supply while avoiding the negative effects of hyperglycemia or hypoglycemia.</w:t>
      </w:r>
    </w:p>
    <w:p w14:paraId="6AEC9B14" w14:textId="0F643277" w:rsidR="005C02B2" w:rsidRDefault="0004774F" w:rsidP="0A095A35">
      <w:pPr>
        <w:spacing w:line="360" w:lineRule="auto"/>
        <w:ind w:firstLine="720"/>
        <w:jc w:val="both"/>
      </w:pPr>
      <w:r w:rsidRPr="0A095A35">
        <w:rPr>
          <w:rFonts w:ascii="Arial" w:eastAsia="Arial" w:hAnsi="Arial" w:cs="Arial"/>
          <w:sz w:val="22"/>
          <w:szCs w:val="22"/>
        </w:rPr>
        <w:t>Insulin is created by β-cells in the pancreas in response to elevated blood glucose levels after eating. It promotes glucose absorption into skeletal muscle and adipose tissue via GLUT-4 transporters and increases glycogen storage in the liver (Saltiel and Kahn, 2001). Insulin also reduces hepatic glucose production.</w:t>
      </w:r>
    </w:p>
    <w:p w14:paraId="2DC160BB" w14:textId="09AFA84B" w:rsidR="005C02B2" w:rsidRDefault="0004774F" w:rsidP="0A095A35">
      <w:pPr>
        <w:spacing w:line="360" w:lineRule="auto"/>
        <w:ind w:firstLine="720"/>
        <w:jc w:val="both"/>
      </w:pPr>
      <w:r w:rsidRPr="0A095A35">
        <w:rPr>
          <w:rFonts w:ascii="Arial" w:eastAsia="Arial" w:hAnsi="Arial" w:cs="Arial"/>
          <w:sz w:val="22"/>
          <w:szCs w:val="22"/>
        </w:rPr>
        <w:t>Glucagon is released by pancreatic α-cells when blood glucose levels decrease. It increases glycogenolysis and gluconeogenesis in the liver, which raises circulatory glucose levels (Unger and Cherrington, 2012).</w:t>
      </w:r>
    </w:p>
    <w:p w14:paraId="5245CECB" w14:textId="17061476" w:rsidR="005C02B2" w:rsidRDefault="0004774F" w:rsidP="0A095A35">
      <w:pPr>
        <w:spacing w:line="360" w:lineRule="auto"/>
        <w:ind w:firstLine="720"/>
        <w:jc w:val="both"/>
      </w:pPr>
      <w:r w:rsidRPr="0A095A35">
        <w:rPr>
          <w:rFonts w:ascii="Arial" w:eastAsia="Arial" w:hAnsi="Arial" w:cs="Arial"/>
          <w:sz w:val="22"/>
          <w:szCs w:val="22"/>
        </w:rPr>
        <w:t>Individuals without diabetes often maintain fasting plasma glucose levels between 4-6 mmol/L (ADA, 2023). Insulin resistance in type 2 diabetes lowers insulin response in tissues. Initially, the pancreas adapts by boosting insulin secretion, but with time, β-cell failure occurs, resulting in chronic hyperglycemia (DeFronzo et al., 2015).</w:t>
      </w:r>
    </w:p>
    <w:p w14:paraId="3D706335" w14:textId="656BC481" w:rsidR="005C02B2" w:rsidRDefault="0004774F" w:rsidP="0A095A35">
      <w:pPr>
        <w:spacing w:line="360" w:lineRule="auto"/>
        <w:ind w:firstLine="720"/>
        <w:jc w:val="both"/>
      </w:pPr>
      <w:r w:rsidRPr="0A095A35">
        <w:rPr>
          <w:rFonts w:ascii="Arial" w:eastAsia="Arial" w:hAnsi="Arial" w:cs="Arial"/>
          <w:sz w:val="22"/>
          <w:szCs w:val="22"/>
        </w:rPr>
        <w:t>Chronic hyperglycemia causes oxidative stress, inflammation, and endothelial dysfunction, which all contribute to long-term vascular problems.</w:t>
      </w:r>
    </w:p>
    <w:p w14:paraId="301D0DFD" w14:textId="4AB7FE2D" w:rsidR="005C02B2" w:rsidRDefault="005C02B2" w:rsidP="0A095A35">
      <w:pPr>
        <w:spacing w:line="360" w:lineRule="auto"/>
        <w:ind w:firstLine="720"/>
        <w:jc w:val="both"/>
        <w:rPr>
          <w:rFonts w:ascii="Arial" w:eastAsia="Arial" w:hAnsi="Arial" w:cs="Arial"/>
          <w:b/>
          <w:bCs/>
          <w:sz w:val="28"/>
          <w:szCs w:val="28"/>
          <w:u w:val="single"/>
        </w:rPr>
      </w:pPr>
    </w:p>
    <w:p w14:paraId="4D37F770" w14:textId="400432AC" w:rsidR="005C02B2" w:rsidRDefault="005C02B2" w:rsidP="0A095A35">
      <w:pPr>
        <w:spacing w:line="360" w:lineRule="auto"/>
        <w:ind w:firstLine="720"/>
        <w:jc w:val="both"/>
        <w:rPr>
          <w:rFonts w:ascii="Arial" w:eastAsia="Arial" w:hAnsi="Arial" w:cs="Arial"/>
          <w:b/>
          <w:bCs/>
          <w:sz w:val="28"/>
          <w:szCs w:val="28"/>
          <w:u w:val="single"/>
        </w:rPr>
      </w:pPr>
    </w:p>
    <w:p w14:paraId="50FDD704" w14:textId="60628C1E" w:rsidR="005C02B2" w:rsidRDefault="005C02B2" w:rsidP="0A095A35">
      <w:pPr>
        <w:spacing w:line="360" w:lineRule="auto"/>
        <w:ind w:firstLine="720"/>
        <w:jc w:val="both"/>
        <w:rPr>
          <w:rFonts w:ascii="Arial" w:eastAsia="Arial" w:hAnsi="Arial" w:cs="Arial"/>
          <w:b/>
          <w:bCs/>
          <w:sz w:val="28"/>
          <w:szCs w:val="28"/>
          <w:u w:val="single"/>
        </w:rPr>
      </w:pPr>
    </w:p>
    <w:p w14:paraId="53204608" w14:textId="53686D0B" w:rsidR="005C02B2" w:rsidRDefault="005C02B2" w:rsidP="0A095A35">
      <w:pPr>
        <w:spacing w:line="360" w:lineRule="auto"/>
        <w:ind w:firstLine="720"/>
        <w:jc w:val="both"/>
        <w:rPr>
          <w:rFonts w:ascii="Arial" w:eastAsia="Arial" w:hAnsi="Arial" w:cs="Arial"/>
          <w:b/>
          <w:bCs/>
          <w:sz w:val="28"/>
          <w:szCs w:val="28"/>
          <w:u w:val="single"/>
        </w:rPr>
      </w:pPr>
    </w:p>
    <w:p w14:paraId="5BAF5BE1" w14:textId="791334C9" w:rsidR="005C02B2" w:rsidRDefault="005C02B2" w:rsidP="0A095A35">
      <w:pPr>
        <w:spacing w:line="360" w:lineRule="auto"/>
        <w:ind w:firstLine="720"/>
        <w:jc w:val="both"/>
        <w:rPr>
          <w:rFonts w:ascii="Arial" w:eastAsia="Arial" w:hAnsi="Arial" w:cs="Arial"/>
          <w:b/>
          <w:bCs/>
          <w:sz w:val="28"/>
          <w:szCs w:val="28"/>
          <w:u w:val="single"/>
        </w:rPr>
      </w:pPr>
    </w:p>
    <w:p w14:paraId="696C821B" w14:textId="56535924" w:rsidR="005C02B2" w:rsidRDefault="005C02B2" w:rsidP="0A095A35">
      <w:pPr>
        <w:spacing w:line="360" w:lineRule="auto"/>
        <w:ind w:firstLine="720"/>
        <w:jc w:val="both"/>
        <w:rPr>
          <w:rFonts w:ascii="Arial" w:eastAsia="Arial" w:hAnsi="Arial" w:cs="Arial"/>
          <w:b/>
          <w:bCs/>
          <w:sz w:val="28"/>
          <w:szCs w:val="28"/>
          <w:u w:val="single"/>
        </w:rPr>
      </w:pPr>
    </w:p>
    <w:p w14:paraId="35ECCABC" w14:textId="6464AAA0" w:rsidR="005C02B2" w:rsidRDefault="005C02B2" w:rsidP="0A095A35">
      <w:pPr>
        <w:spacing w:line="360" w:lineRule="auto"/>
        <w:ind w:firstLine="720"/>
        <w:jc w:val="both"/>
        <w:rPr>
          <w:rFonts w:ascii="Arial" w:eastAsia="Arial" w:hAnsi="Arial" w:cs="Arial"/>
          <w:b/>
          <w:bCs/>
          <w:sz w:val="28"/>
          <w:szCs w:val="28"/>
          <w:u w:val="single"/>
        </w:rPr>
      </w:pPr>
    </w:p>
    <w:p w14:paraId="1A35F865" w14:textId="77777777" w:rsidR="00EF0EBA" w:rsidRDefault="00EF0EBA" w:rsidP="0A095A35">
      <w:pPr>
        <w:spacing w:line="360" w:lineRule="auto"/>
        <w:ind w:firstLine="720"/>
        <w:jc w:val="both"/>
        <w:rPr>
          <w:rFonts w:ascii="Arial" w:eastAsia="Arial" w:hAnsi="Arial" w:cs="Arial"/>
          <w:b/>
          <w:bCs/>
          <w:sz w:val="28"/>
          <w:szCs w:val="28"/>
          <w:u w:val="single"/>
        </w:rPr>
      </w:pPr>
    </w:p>
    <w:p w14:paraId="1116B49A" w14:textId="74A71940" w:rsidR="005C02B2" w:rsidRDefault="0004774F" w:rsidP="0A095A35">
      <w:pPr>
        <w:spacing w:line="360" w:lineRule="auto"/>
        <w:ind w:firstLine="720"/>
        <w:jc w:val="center"/>
        <w:rPr>
          <w:rFonts w:ascii="Arial" w:eastAsia="Arial" w:hAnsi="Arial" w:cs="Arial"/>
          <w:b/>
          <w:bCs/>
          <w:sz w:val="28"/>
          <w:szCs w:val="28"/>
          <w:u w:val="single"/>
        </w:rPr>
      </w:pPr>
      <w:r w:rsidRPr="0A095A35">
        <w:rPr>
          <w:rFonts w:ascii="Arial" w:eastAsia="Arial" w:hAnsi="Arial" w:cs="Arial"/>
          <w:b/>
          <w:bCs/>
          <w:sz w:val="28"/>
          <w:szCs w:val="28"/>
          <w:u w:val="single"/>
        </w:rPr>
        <w:lastRenderedPageBreak/>
        <w:t>Cellular Metabolism: Oxygen and Glucose in Energy Production</w:t>
      </w:r>
    </w:p>
    <w:p w14:paraId="6878DEFF" w14:textId="250F351A" w:rsidR="005C02B2" w:rsidRPr="00EF0EBA" w:rsidRDefault="00EF0EBA" w:rsidP="00EF0EBA">
      <w:pPr>
        <w:spacing w:line="360" w:lineRule="auto"/>
        <w:ind w:firstLine="720"/>
        <w:jc w:val="both"/>
      </w:pPr>
      <w:r>
        <w:rPr>
          <w:noProof/>
        </w:rPr>
        <mc:AlternateContent>
          <mc:Choice Requires="wps">
            <w:drawing>
              <wp:anchor distT="0" distB="0" distL="114300" distR="114300" simplePos="0" relativeHeight="251660288" behindDoc="0" locked="0" layoutInCell="1" allowOverlap="1" wp14:anchorId="75B1E322" wp14:editId="7030A118">
                <wp:simplePos x="0" y="0"/>
                <wp:positionH relativeFrom="column">
                  <wp:posOffset>0</wp:posOffset>
                </wp:positionH>
                <wp:positionV relativeFrom="paragraph">
                  <wp:posOffset>4575175</wp:posOffset>
                </wp:positionV>
                <wp:extent cx="5943600" cy="635"/>
                <wp:effectExtent l="0" t="0" r="0" b="0"/>
                <wp:wrapSquare wrapText="bothSides"/>
                <wp:docPr id="169188243"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1BFD3A72" w14:textId="461C4E74" w:rsidR="00EF0EBA" w:rsidRPr="003610D8" w:rsidRDefault="00EF0EBA" w:rsidP="00EF0EBA">
                            <w:pPr>
                              <w:pStyle w:val="Caption"/>
                              <w:rPr>
                                <w:noProof/>
                              </w:rPr>
                            </w:pPr>
                            <w:r>
                              <w:t xml:space="preserve">Figure </w:t>
                            </w:r>
                            <w:fldSimple w:instr=" SEQ Figure \* ARABIC ">
                              <w:r>
                                <w:rPr>
                                  <w:noProof/>
                                </w:rPr>
                                <w:t>1</w:t>
                              </w:r>
                            </w:fldSimple>
                            <w:r>
                              <w:t>:Overview of cellular respiration, including glycolysis, the Krebs cycle and the electron transports chain (Source: OpenStax,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5B1E322" id="_x0000_t202" coordsize="21600,21600" o:spt="202" path="m,l,21600r21600,l21600,xe">
                <v:stroke joinstyle="miter"/>
                <v:path gradientshapeok="t" o:connecttype="rect"/>
              </v:shapetype>
              <v:shape id="Text Box 1" o:spid="_x0000_s1026" type="#_x0000_t202" style="position:absolute;left:0;text-align:left;margin-left:0;margin-top:360.25pt;width:46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" stroked="f">
                <v:textbox style="mso-fit-shape-to-text:t" inset="0,0,0,0">
                  <w:txbxContent>
                    <w:p w14:paraId="1BFD3A72" w14:textId="461C4E74" w:rsidR="00EF0EBA" w:rsidRPr="003610D8" w:rsidRDefault="00EF0EBA" w:rsidP="00EF0EBA">
                      <w:pPr>
                        <w:pStyle w:val="Caption"/>
                        <w:rPr>
                          <w:noProof/>
                        </w:rPr>
                      </w:pPr>
                      <w:r>
                        <w:t xml:space="preserve">Figure </w:t>
                      </w:r>
                      <w:fldSimple w:instr=" SEQ Figure \* ARABIC ">
                        <w:r>
                          <w:rPr>
                            <w:noProof/>
                          </w:rPr>
                          <w:t>1</w:t>
                        </w:r>
                      </w:fldSimple>
                      <w:r>
                        <w:t>:Overview of cellular respiration, including glycolysis, the Krebs cycle and the electron transports chain (Source: OpenStax, 2020)</w:t>
                      </w:r>
                    </w:p>
                  </w:txbxContent>
                </v:textbox>
                <w10:wrap type="square"/>
              </v:shape>
            </w:pict>
          </mc:Fallback>
        </mc:AlternateContent>
      </w:r>
      <w:r>
        <w:rPr>
          <w:noProof/>
        </w:rPr>
        <w:drawing>
          <wp:anchor distT="0" distB="0" distL="114300" distR="114300" simplePos="0" relativeHeight="251658240" behindDoc="0" locked="0" layoutInCell="1" allowOverlap="1" wp14:anchorId="3E2E5C17" wp14:editId="50911FB2">
            <wp:simplePos x="0" y="0"/>
            <wp:positionH relativeFrom="margin">
              <wp:align>right</wp:align>
            </wp:positionH>
            <wp:positionV relativeFrom="page">
              <wp:posOffset>1859280</wp:posOffset>
            </wp:positionV>
            <wp:extent cx="5943600" cy="3981450"/>
            <wp:effectExtent l="0" t="0" r="0" b="0"/>
            <wp:wrapSquare wrapText="bothSides"/>
            <wp:docPr id="3915114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511401" name="Picture 391511401"/>
                    <pic:cNvPicPr/>
                  </pic:nvPicPr>
                  <pic:blipFill>
                    <a:blip r:embed="rId8">
                      <a:extLst>
                        <a:ext uri="{28A0092B-C50C-407E-A947-70E740481C1C}">
                          <a14:useLocalDpi xmlns:a14="http://schemas.microsoft.com/office/drawing/2010/main"/>
                        </a:ext>
                      </a:extLst>
                    </a:blip>
                    <a:stretch>
                      <a:fillRect/>
                    </a:stretch>
                  </pic:blipFill>
                  <pic:spPr>
                    <a:xfrm>
                      <a:off x="0" y="0"/>
                      <a:ext cx="5943600" cy="3981450"/>
                    </a:xfrm>
                    <a:prstGeom prst="rect">
                      <a:avLst/>
                    </a:prstGeom>
                  </pic:spPr>
                </pic:pic>
              </a:graphicData>
            </a:graphic>
            <wp14:sizeRelH relativeFrom="page">
              <wp14:pctWidth>0</wp14:pctWidth>
            </wp14:sizeRelH>
            <wp14:sizeRelV relativeFrom="page">
              <wp14:pctHeight>0</wp14:pctHeight>
            </wp14:sizeRelV>
          </wp:anchor>
        </w:drawing>
      </w:r>
      <w:r w:rsidR="704A53E3" w:rsidRPr="431CEA14">
        <w:rPr>
          <w:rFonts w:ascii="Arial" w:eastAsia="Arial" w:hAnsi="Arial" w:cs="Arial"/>
          <w:sz w:val="22"/>
          <w:szCs w:val="22"/>
        </w:rPr>
        <w:t>Glucose must enter cells to be processed and turned into useful energy. This activity, known as cellular respiration, takes place predominantly within mitochondria.</w:t>
      </w:r>
    </w:p>
    <w:p w14:paraId="51D56B27" w14:textId="2822DB89" w:rsidR="005C02B2" w:rsidRDefault="0426416A" w:rsidP="431CEA14">
      <w:pPr>
        <w:spacing w:before="240" w:after="240" w:line="360" w:lineRule="auto"/>
        <w:jc w:val="both"/>
      </w:pPr>
      <w:r w:rsidRPr="431CEA14">
        <w:rPr>
          <w:rFonts w:ascii="Arial" w:eastAsia="Arial" w:hAnsi="Arial" w:cs="Arial"/>
          <w:sz w:val="22"/>
          <w:szCs w:val="22"/>
        </w:rPr>
        <w:t>Cellular respiration consists of three key stages:</w:t>
      </w:r>
    </w:p>
    <w:p w14:paraId="24A1374F" w14:textId="745E5011" w:rsidR="005C02B2" w:rsidRDefault="0426416A" w:rsidP="431CEA14">
      <w:pPr>
        <w:pStyle w:val="ListParagraph"/>
        <w:numPr>
          <w:ilvl w:val="0"/>
          <w:numId w:val="3"/>
        </w:numPr>
        <w:spacing w:before="240" w:after="240" w:line="360" w:lineRule="auto"/>
        <w:jc w:val="both"/>
        <w:rPr>
          <w:rFonts w:ascii="Arial" w:eastAsia="Arial" w:hAnsi="Arial" w:cs="Arial"/>
          <w:sz w:val="22"/>
          <w:szCs w:val="22"/>
        </w:rPr>
      </w:pPr>
      <w:r w:rsidRPr="431CEA14">
        <w:rPr>
          <w:rFonts w:ascii="Arial" w:eastAsia="Arial" w:hAnsi="Arial" w:cs="Arial"/>
          <w:b/>
          <w:bCs/>
          <w:sz w:val="22"/>
          <w:szCs w:val="22"/>
        </w:rPr>
        <w:t>Glycolysis</w:t>
      </w:r>
      <w:r w:rsidRPr="431CEA14">
        <w:rPr>
          <w:rFonts w:ascii="Arial" w:eastAsia="Arial" w:hAnsi="Arial" w:cs="Arial"/>
          <w:sz w:val="22"/>
          <w:szCs w:val="22"/>
        </w:rPr>
        <w:t xml:space="preserve"> occurs in the cytoplasm, where glucose is converted into pyruvate, generating a small amount of ATP.</w:t>
      </w:r>
    </w:p>
    <w:p w14:paraId="00B7FB37" w14:textId="09E4645D" w:rsidR="005C02B2" w:rsidRDefault="0426416A" w:rsidP="431CEA14">
      <w:pPr>
        <w:pStyle w:val="ListParagraph"/>
        <w:numPr>
          <w:ilvl w:val="0"/>
          <w:numId w:val="3"/>
        </w:numPr>
        <w:spacing w:before="240" w:after="240" w:line="360" w:lineRule="auto"/>
        <w:jc w:val="both"/>
        <w:rPr>
          <w:rFonts w:ascii="Arial" w:eastAsia="Arial" w:hAnsi="Arial" w:cs="Arial"/>
          <w:sz w:val="22"/>
          <w:szCs w:val="22"/>
        </w:rPr>
      </w:pPr>
      <w:r w:rsidRPr="431CEA14">
        <w:rPr>
          <w:rFonts w:ascii="Arial" w:eastAsia="Arial" w:hAnsi="Arial" w:cs="Arial"/>
          <w:b/>
          <w:bCs/>
          <w:sz w:val="22"/>
          <w:szCs w:val="22"/>
        </w:rPr>
        <w:t>The Krebs cycle</w:t>
      </w:r>
      <w:r w:rsidRPr="431CEA14">
        <w:rPr>
          <w:rFonts w:ascii="Arial" w:eastAsia="Arial" w:hAnsi="Arial" w:cs="Arial"/>
          <w:sz w:val="22"/>
          <w:szCs w:val="22"/>
        </w:rPr>
        <w:t xml:space="preserve"> occurs in the mitochondrial matrix and produces electron carriers (NADH and FADH₂).</w:t>
      </w:r>
    </w:p>
    <w:p w14:paraId="4651FE1B" w14:textId="0FD53155" w:rsidR="005C02B2" w:rsidRDefault="0426416A" w:rsidP="431CEA14">
      <w:pPr>
        <w:pStyle w:val="ListParagraph"/>
        <w:numPr>
          <w:ilvl w:val="0"/>
          <w:numId w:val="3"/>
        </w:numPr>
        <w:spacing w:before="240" w:after="240" w:line="360" w:lineRule="auto"/>
        <w:jc w:val="both"/>
        <w:rPr>
          <w:rFonts w:ascii="Arial" w:eastAsia="Arial" w:hAnsi="Arial" w:cs="Arial"/>
          <w:sz w:val="22"/>
          <w:szCs w:val="22"/>
        </w:rPr>
      </w:pPr>
      <w:r w:rsidRPr="431CEA14">
        <w:rPr>
          <w:rFonts w:ascii="Arial" w:eastAsia="Arial" w:hAnsi="Arial" w:cs="Arial"/>
          <w:b/>
          <w:bCs/>
          <w:sz w:val="22"/>
          <w:szCs w:val="22"/>
        </w:rPr>
        <w:t>The electron transport chain</w:t>
      </w:r>
      <w:r w:rsidRPr="431CEA14">
        <w:rPr>
          <w:rFonts w:ascii="Arial" w:eastAsia="Arial" w:hAnsi="Arial" w:cs="Arial"/>
          <w:sz w:val="22"/>
          <w:szCs w:val="22"/>
        </w:rPr>
        <w:t xml:space="preserve"> requires oxygen as the final electron acceptor and generates the majority of ATP.</w:t>
      </w:r>
    </w:p>
    <w:p w14:paraId="00EB5DC9" w14:textId="56B115AD" w:rsidR="005C02B2" w:rsidRDefault="0426416A" w:rsidP="431CEA14">
      <w:pPr>
        <w:spacing w:before="240" w:after="240" w:line="360" w:lineRule="auto"/>
        <w:jc w:val="both"/>
      </w:pPr>
      <w:r w:rsidRPr="431CEA14">
        <w:rPr>
          <w:rFonts w:ascii="Arial" w:eastAsia="Arial" w:hAnsi="Arial" w:cs="Arial"/>
          <w:sz w:val="22"/>
          <w:szCs w:val="22"/>
        </w:rPr>
        <w:t>The overall reaction is:</w:t>
      </w:r>
    </w:p>
    <w:p w14:paraId="1C9056BA" w14:textId="29C0056F" w:rsidR="005C02B2" w:rsidRDefault="0426416A" w:rsidP="431CEA14">
      <w:pPr>
        <w:spacing w:before="240" w:after="240" w:line="360" w:lineRule="auto"/>
        <w:jc w:val="both"/>
      </w:pPr>
      <w:r w:rsidRPr="431CEA14">
        <w:rPr>
          <w:rFonts w:ascii="Arial" w:eastAsia="Arial" w:hAnsi="Arial" w:cs="Arial"/>
          <w:sz w:val="22"/>
          <w:szCs w:val="22"/>
        </w:rPr>
        <w:t>C₆H₁₂O₆ + 6O₂ → 6CO₂ + 6H₂O + ATP</w:t>
      </w:r>
    </w:p>
    <w:p w14:paraId="3137FF96" w14:textId="0B0B4DA5" w:rsidR="005C02B2" w:rsidRDefault="0426416A" w:rsidP="431CEA14">
      <w:pPr>
        <w:spacing w:before="240" w:after="240" w:line="360" w:lineRule="auto"/>
        <w:jc w:val="both"/>
      </w:pPr>
      <w:r w:rsidRPr="431CEA14">
        <w:rPr>
          <w:rFonts w:ascii="Arial" w:eastAsia="Arial" w:hAnsi="Arial" w:cs="Arial"/>
          <w:sz w:val="22"/>
          <w:szCs w:val="22"/>
        </w:rPr>
        <w:lastRenderedPageBreak/>
        <w:t>ATP fuels essential physiological processes including muscle contraction, nerve conduction and cellular repair.</w:t>
      </w:r>
    </w:p>
    <w:p w14:paraId="72AB3D1F" w14:textId="53CD35E3" w:rsidR="005C02B2" w:rsidRDefault="0426416A" w:rsidP="431CEA14">
      <w:pPr>
        <w:spacing w:before="240" w:after="240" w:line="360" w:lineRule="auto"/>
        <w:jc w:val="both"/>
      </w:pPr>
      <w:r w:rsidRPr="431CEA14">
        <w:rPr>
          <w:rFonts w:ascii="Arial" w:eastAsia="Arial" w:hAnsi="Arial" w:cs="Arial"/>
          <w:sz w:val="22"/>
          <w:szCs w:val="22"/>
        </w:rPr>
        <w:t>In type 2 diabetes, poor insulin signaling limits effective glucose entry into cells, lowering substrate availability for ATP generation despite elevated circulating glucose levels. This leads to tiredness and metabolic dysregulation (DeFronzo et al., 2015). Persistent hyperglycemia causes protein glycation and vascular damage.</w:t>
      </w:r>
    </w:p>
    <w:p w14:paraId="33B83858" w14:textId="107507F4" w:rsidR="005C02B2" w:rsidRDefault="005C02B2" w:rsidP="431CEA14">
      <w:pPr>
        <w:spacing w:before="240" w:after="240" w:line="360" w:lineRule="auto"/>
        <w:jc w:val="both"/>
        <w:rPr>
          <w:rFonts w:ascii="Arial" w:eastAsia="Arial" w:hAnsi="Arial" w:cs="Arial"/>
          <w:sz w:val="22"/>
          <w:szCs w:val="22"/>
        </w:rPr>
      </w:pPr>
    </w:p>
    <w:p w14:paraId="34F17C55" w14:textId="6A02B405" w:rsidR="005C02B2" w:rsidRDefault="5930399D" w:rsidP="431CEA14">
      <w:pPr>
        <w:spacing w:before="240" w:after="240" w:line="360" w:lineRule="auto"/>
        <w:jc w:val="center"/>
        <w:rPr>
          <w:rFonts w:ascii="Arial" w:eastAsia="Arial" w:hAnsi="Arial" w:cs="Arial"/>
          <w:b/>
          <w:bCs/>
          <w:sz w:val="28"/>
          <w:szCs w:val="28"/>
          <w:u w:val="single"/>
        </w:rPr>
      </w:pPr>
      <w:r w:rsidRPr="431CEA14">
        <w:rPr>
          <w:rFonts w:ascii="Arial" w:eastAsia="Arial" w:hAnsi="Arial" w:cs="Arial"/>
          <w:b/>
          <w:bCs/>
          <w:sz w:val="28"/>
          <w:szCs w:val="28"/>
          <w:u w:val="single"/>
        </w:rPr>
        <w:t>The Importance of Recording and Tracking Blood Glucose</w:t>
      </w:r>
    </w:p>
    <w:p w14:paraId="1A52A235" w14:textId="7AEF27CE" w:rsidR="005C02B2" w:rsidRDefault="5930399D" w:rsidP="431CEA14">
      <w:pPr>
        <w:spacing w:before="240" w:after="240" w:line="360" w:lineRule="auto"/>
        <w:ind w:firstLine="720"/>
        <w:jc w:val="both"/>
      </w:pPr>
      <w:r w:rsidRPr="431CEA14">
        <w:rPr>
          <w:rFonts w:ascii="Arial" w:eastAsia="Arial" w:hAnsi="Arial" w:cs="Arial"/>
          <w:sz w:val="22"/>
          <w:szCs w:val="22"/>
        </w:rPr>
        <w:t>Self-monitoring of blood glucose (SMBG) and glycated hemoglobin (HbA1c) measurements are critical components of T2D therapy. HbA1c measures average blood glucose levels over the previous 8-12 weeks and is used to monitor long-term glycemic control (ADA, 2023).</w:t>
      </w:r>
    </w:p>
    <w:p w14:paraId="4711AB18" w14:textId="2FDE1950" w:rsidR="005C02B2" w:rsidRDefault="2C2D3F8B" w:rsidP="431CEA14">
      <w:pPr>
        <w:spacing w:before="240" w:after="240" w:line="360" w:lineRule="auto"/>
        <w:ind w:firstLine="720"/>
        <w:jc w:val="both"/>
        <w:rPr>
          <w:rFonts w:ascii="Arial" w:eastAsia="Arial" w:hAnsi="Arial" w:cs="Arial"/>
          <w:b/>
          <w:bCs/>
          <w:sz w:val="22"/>
          <w:szCs w:val="22"/>
          <w:u w:val="single"/>
        </w:rPr>
      </w:pPr>
      <w:r w:rsidRPr="431CEA14">
        <w:rPr>
          <w:rFonts w:ascii="Arial" w:eastAsia="Arial" w:hAnsi="Arial" w:cs="Arial"/>
          <w:b/>
          <w:bCs/>
          <w:sz w:val="22"/>
          <w:szCs w:val="22"/>
          <w:u w:val="single"/>
        </w:rPr>
        <w:t>Evidence Supporting Glucose Monitoring</w:t>
      </w:r>
    </w:p>
    <w:p w14:paraId="094DA9E2" w14:textId="44FB82DB" w:rsidR="005C02B2" w:rsidRDefault="5930399D" w:rsidP="431CEA14">
      <w:pPr>
        <w:spacing w:before="240" w:after="240" w:line="360" w:lineRule="auto"/>
        <w:ind w:firstLine="720"/>
        <w:jc w:val="both"/>
      </w:pPr>
      <w:r w:rsidRPr="431CEA14">
        <w:rPr>
          <w:rFonts w:ascii="Arial" w:eastAsia="Arial" w:hAnsi="Arial" w:cs="Arial"/>
          <w:sz w:val="22"/>
          <w:szCs w:val="22"/>
        </w:rPr>
        <w:t xml:space="preserve">The UK Prospective Diabetes Study (UKPDS, 1998) found that each 1% reduction in HbA1c was related </w:t>
      </w:r>
      <w:r w:rsidR="00EF0EBA" w:rsidRPr="431CEA14">
        <w:rPr>
          <w:rFonts w:ascii="Arial" w:eastAsia="Arial" w:hAnsi="Arial" w:cs="Arial"/>
          <w:sz w:val="22"/>
          <w:szCs w:val="22"/>
        </w:rPr>
        <w:t>to</w:t>
      </w:r>
      <w:r w:rsidRPr="431CEA14">
        <w:rPr>
          <w:rFonts w:ascii="Arial" w:eastAsia="Arial" w:hAnsi="Arial" w:cs="Arial"/>
          <w:sz w:val="22"/>
          <w:szCs w:val="22"/>
        </w:rPr>
        <w:t xml:space="preserve"> a 37% reduction in microvascular complications and a 14% reduction in myocardial infarction. This important study demonstrated the significance of strict glycemic control.</w:t>
      </w:r>
    </w:p>
    <w:p w14:paraId="79487939" w14:textId="4BB12584" w:rsidR="005C02B2" w:rsidRDefault="5930399D" w:rsidP="431CEA14">
      <w:pPr>
        <w:spacing w:before="240" w:after="240" w:line="360" w:lineRule="auto"/>
        <w:ind w:firstLine="720"/>
        <w:jc w:val="both"/>
      </w:pPr>
      <w:r w:rsidRPr="431CEA14">
        <w:rPr>
          <w:rFonts w:ascii="Arial" w:eastAsia="Arial" w:hAnsi="Arial" w:cs="Arial"/>
          <w:sz w:val="22"/>
          <w:szCs w:val="22"/>
        </w:rPr>
        <w:t xml:space="preserve">Structured SMBG has been demonstrated to increase outcomes when combined with education. Greenwood et al. (2014) found that patients who routinely checked and evaluated glucose readings had significantly lower HbA1c levels than those who received conventional treatment. Similarly, Polonsky et al. (2011) found that organized glucose monitoring allowed for </w:t>
      </w:r>
      <w:r w:rsidR="146F1840" w:rsidRPr="431CEA14">
        <w:rPr>
          <w:rFonts w:ascii="Arial" w:eastAsia="Arial" w:hAnsi="Arial" w:cs="Arial"/>
          <w:sz w:val="22"/>
          <w:szCs w:val="22"/>
        </w:rPr>
        <w:t>behavioral</w:t>
      </w:r>
      <w:r w:rsidRPr="431CEA14">
        <w:rPr>
          <w:rFonts w:ascii="Arial" w:eastAsia="Arial" w:hAnsi="Arial" w:cs="Arial"/>
          <w:sz w:val="22"/>
          <w:szCs w:val="22"/>
        </w:rPr>
        <w:t xml:space="preserve"> changes that improved glycemic control in non-insulin-treated T2D.</w:t>
      </w:r>
    </w:p>
    <w:p w14:paraId="082A1935" w14:textId="000F16D5" w:rsidR="005C02B2" w:rsidRDefault="3D35043F" w:rsidP="431CEA14">
      <w:pPr>
        <w:spacing w:before="240" w:after="240" w:line="360" w:lineRule="auto"/>
        <w:ind w:firstLine="720"/>
        <w:jc w:val="both"/>
        <w:rPr>
          <w:rFonts w:ascii="Arial" w:eastAsia="Arial" w:hAnsi="Arial" w:cs="Arial"/>
          <w:b/>
          <w:bCs/>
          <w:sz w:val="22"/>
          <w:szCs w:val="22"/>
          <w:u w:val="single"/>
        </w:rPr>
      </w:pPr>
      <w:r w:rsidRPr="431CEA14">
        <w:rPr>
          <w:rFonts w:ascii="Arial" w:eastAsia="Arial" w:hAnsi="Arial" w:cs="Arial"/>
          <w:b/>
          <w:bCs/>
          <w:sz w:val="22"/>
          <w:szCs w:val="22"/>
          <w:u w:val="single"/>
        </w:rPr>
        <w:t xml:space="preserve">Clinical and </w:t>
      </w:r>
      <w:r w:rsidR="40544E81" w:rsidRPr="431CEA14">
        <w:rPr>
          <w:rFonts w:ascii="Arial" w:eastAsia="Arial" w:hAnsi="Arial" w:cs="Arial"/>
          <w:b/>
          <w:bCs/>
          <w:sz w:val="22"/>
          <w:szCs w:val="22"/>
          <w:u w:val="single"/>
        </w:rPr>
        <w:t>Behavioral</w:t>
      </w:r>
      <w:r w:rsidRPr="431CEA14">
        <w:rPr>
          <w:rFonts w:ascii="Arial" w:eastAsia="Arial" w:hAnsi="Arial" w:cs="Arial"/>
          <w:b/>
          <w:bCs/>
          <w:sz w:val="22"/>
          <w:szCs w:val="22"/>
          <w:u w:val="single"/>
        </w:rPr>
        <w:t xml:space="preserve"> Benefits</w:t>
      </w:r>
    </w:p>
    <w:p w14:paraId="545E4AF1" w14:textId="40EFA03D" w:rsidR="005C02B2" w:rsidRDefault="3305EF48" w:rsidP="431CEA14">
      <w:pPr>
        <w:spacing w:before="240" w:after="240" w:line="360" w:lineRule="auto"/>
        <w:jc w:val="both"/>
        <w:rPr>
          <w:rFonts w:ascii="Arial" w:eastAsia="Arial" w:hAnsi="Arial" w:cs="Arial"/>
          <w:sz w:val="22"/>
          <w:szCs w:val="22"/>
        </w:rPr>
      </w:pPr>
      <w:r w:rsidRPr="431CEA14">
        <w:rPr>
          <w:rFonts w:ascii="Arial" w:eastAsia="Arial" w:hAnsi="Arial" w:cs="Arial"/>
          <w:sz w:val="22"/>
          <w:szCs w:val="22"/>
        </w:rPr>
        <w:t>Recording blood glucose:</w:t>
      </w:r>
    </w:p>
    <w:p w14:paraId="64B19564" w14:textId="365009A7" w:rsidR="005C02B2" w:rsidRDefault="3305EF48" w:rsidP="431CEA14">
      <w:pPr>
        <w:pStyle w:val="ListParagraph"/>
        <w:numPr>
          <w:ilvl w:val="0"/>
          <w:numId w:val="2"/>
        </w:numPr>
        <w:spacing w:before="240" w:after="240" w:line="360" w:lineRule="auto"/>
        <w:jc w:val="both"/>
        <w:rPr>
          <w:rFonts w:ascii="Arial" w:eastAsia="Arial" w:hAnsi="Arial" w:cs="Arial"/>
          <w:sz w:val="22"/>
          <w:szCs w:val="22"/>
        </w:rPr>
      </w:pPr>
      <w:r w:rsidRPr="431CEA14">
        <w:rPr>
          <w:rFonts w:ascii="Arial" w:eastAsia="Arial" w:hAnsi="Arial" w:cs="Arial"/>
          <w:sz w:val="22"/>
          <w:szCs w:val="22"/>
        </w:rPr>
        <w:t>Identifies patterns related to meals, exercise and stress</w:t>
      </w:r>
    </w:p>
    <w:p w14:paraId="0100137E" w14:textId="2F1B5D11" w:rsidR="005C02B2" w:rsidRDefault="3305EF48" w:rsidP="431CEA14">
      <w:pPr>
        <w:pStyle w:val="ListParagraph"/>
        <w:numPr>
          <w:ilvl w:val="0"/>
          <w:numId w:val="2"/>
        </w:numPr>
        <w:spacing w:before="240" w:after="240" w:line="360" w:lineRule="auto"/>
        <w:jc w:val="both"/>
        <w:rPr>
          <w:rFonts w:ascii="Arial" w:eastAsia="Arial" w:hAnsi="Arial" w:cs="Arial"/>
          <w:sz w:val="22"/>
          <w:szCs w:val="22"/>
        </w:rPr>
      </w:pPr>
      <w:r w:rsidRPr="431CEA14">
        <w:rPr>
          <w:rFonts w:ascii="Arial" w:eastAsia="Arial" w:hAnsi="Arial" w:cs="Arial"/>
          <w:sz w:val="22"/>
          <w:szCs w:val="22"/>
        </w:rPr>
        <w:t>Enables early detection of hyperglycemia and hypoglycemia</w:t>
      </w:r>
    </w:p>
    <w:p w14:paraId="7D3E4B97" w14:textId="4586D522" w:rsidR="005C02B2" w:rsidRDefault="3305EF48" w:rsidP="431CEA14">
      <w:pPr>
        <w:pStyle w:val="ListParagraph"/>
        <w:numPr>
          <w:ilvl w:val="0"/>
          <w:numId w:val="2"/>
        </w:numPr>
        <w:spacing w:before="240" w:after="240" w:line="360" w:lineRule="auto"/>
        <w:jc w:val="both"/>
        <w:rPr>
          <w:rFonts w:ascii="Arial" w:eastAsia="Arial" w:hAnsi="Arial" w:cs="Arial"/>
          <w:sz w:val="22"/>
          <w:szCs w:val="22"/>
        </w:rPr>
      </w:pPr>
      <w:r w:rsidRPr="431CEA14">
        <w:rPr>
          <w:rFonts w:ascii="Arial" w:eastAsia="Arial" w:hAnsi="Arial" w:cs="Arial"/>
          <w:sz w:val="22"/>
          <w:szCs w:val="22"/>
        </w:rPr>
        <w:t>Supports medication titration</w:t>
      </w:r>
    </w:p>
    <w:p w14:paraId="15DCFFB9" w14:textId="75723244" w:rsidR="005C02B2" w:rsidRDefault="3305EF48" w:rsidP="431CEA14">
      <w:pPr>
        <w:pStyle w:val="ListParagraph"/>
        <w:numPr>
          <w:ilvl w:val="0"/>
          <w:numId w:val="2"/>
        </w:numPr>
        <w:spacing w:before="240" w:after="240" w:line="360" w:lineRule="auto"/>
        <w:jc w:val="both"/>
        <w:rPr>
          <w:rFonts w:ascii="Arial" w:eastAsia="Arial" w:hAnsi="Arial" w:cs="Arial"/>
          <w:sz w:val="22"/>
          <w:szCs w:val="22"/>
        </w:rPr>
      </w:pPr>
      <w:r w:rsidRPr="431CEA14">
        <w:rPr>
          <w:rFonts w:ascii="Arial" w:eastAsia="Arial" w:hAnsi="Arial" w:cs="Arial"/>
          <w:sz w:val="22"/>
          <w:szCs w:val="22"/>
        </w:rPr>
        <w:t>Encourages patient engagement and accountability</w:t>
      </w:r>
    </w:p>
    <w:p w14:paraId="379EE181" w14:textId="222CFF4D" w:rsidR="005C02B2" w:rsidRDefault="3305EF48" w:rsidP="431CEA14">
      <w:pPr>
        <w:spacing w:before="240" w:after="240" w:line="360" w:lineRule="auto"/>
        <w:jc w:val="both"/>
      </w:pPr>
      <w:r w:rsidRPr="431CEA14">
        <w:rPr>
          <w:rFonts w:ascii="Arial" w:eastAsia="Arial" w:hAnsi="Arial" w:cs="Arial"/>
          <w:sz w:val="22"/>
          <w:szCs w:val="22"/>
        </w:rPr>
        <w:lastRenderedPageBreak/>
        <w:t>NICE (2022) advocates collaborative goal development and personalized glycemic objectives. When patients understand their glucose trends, they can make more informed decisions about their nutrition, physical activity, and medication adherence.</w:t>
      </w:r>
    </w:p>
    <w:p w14:paraId="7D57CECA" w14:textId="164FD2AF" w:rsidR="005C02B2" w:rsidRDefault="3305EF48" w:rsidP="431CEA14">
      <w:pPr>
        <w:spacing w:before="240" w:after="240" w:line="360" w:lineRule="auto"/>
        <w:jc w:val="center"/>
        <w:rPr>
          <w:rFonts w:ascii="Arial" w:eastAsia="Arial" w:hAnsi="Arial" w:cs="Arial"/>
          <w:b/>
          <w:bCs/>
          <w:sz w:val="28"/>
          <w:szCs w:val="28"/>
          <w:u w:val="single"/>
        </w:rPr>
      </w:pPr>
      <w:r w:rsidRPr="431CEA14">
        <w:rPr>
          <w:rFonts w:ascii="Arial" w:eastAsia="Arial" w:hAnsi="Arial" w:cs="Arial"/>
          <w:b/>
          <w:bCs/>
          <w:sz w:val="28"/>
          <w:szCs w:val="28"/>
          <w:u w:val="single"/>
        </w:rPr>
        <w:t>Evidence-Based Lifestyle Interventions</w:t>
      </w:r>
    </w:p>
    <w:p w14:paraId="63D948DE" w14:textId="68F23433" w:rsidR="005C02B2" w:rsidRDefault="3305EF48" w:rsidP="431CEA14">
      <w:pPr>
        <w:spacing w:before="240" w:after="240" w:line="360" w:lineRule="auto"/>
        <w:jc w:val="both"/>
      </w:pPr>
      <w:r w:rsidRPr="431CEA14">
        <w:rPr>
          <w:rFonts w:ascii="Arial" w:eastAsia="Arial" w:hAnsi="Arial" w:cs="Arial"/>
          <w:sz w:val="22"/>
          <w:szCs w:val="22"/>
        </w:rPr>
        <w:t>Lifestyle modification remains the cornerstone of T2D management and prevention of complications.</w:t>
      </w:r>
    </w:p>
    <w:p w14:paraId="4B6C259B" w14:textId="13070A7B" w:rsidR="005C02B2" w:rsidRDefault="3305EF48" w:rsidP="431CEA14">
      <w:pPr>
        <w:spacing w:before="240" w:after="240" w:line="360" w:lineRule="auto"/>
        <w:jc w:val="both"/>
        <w:rPr>
          <w:rFonts w:ascii="Arial" w:eastAsia="Arial" w:hAnsi="Arial" w:cs="Arial"/>
          <w:b/>
          <w:bCs/>
          <w:sz w:val="22"/>
          <w:szCs w:val="22"/>
          <w:u w:val="single"/>
        </w:rPr>
      </w:pPr>
      <w:r w:rsidRPr="431CEA14">
        <w:rPr>
          <w:rFonts w:ascii="Arial" w:eastAsia="Arial" w:hAnsi="Arial" w:cs="Arial"/>
          <w:b/>
          <w:bCs/>
          <w:sz w:val="22"/>
          <w:szCs w:val="22"/>
          <w:u w:val="single"/>
        </w:rPr>
        <w:t>Smoking Cessation</w:t>
      </w:r>
    </w:p>
    <w:p w14:paraId="37AFD727" w14:textId="008D13AA" w:rsidR="005C02B2" w:rsidRDefault="3305EF48" w:rsidP="431CEA14">
      <w:pPr>
        <w:spacing w:before="240" w:after="240" w:line="360" w:lineRule="auto"/>
        <w:jc w:val="both"/>
      </w:pPr>
      <w:r w:rsidRPr="431CEA14">
        <w:rPr>
          <w:rFonts w:ascii="Arial" w:eastAsia="Arial" w:hAnsi="Arial" w:cs="Arial"/>
          <w:sz w:val="22"/>
          <w:szCs w:val="22"/>
        </w:rPr>
        <w:t>Smoking causes insulin resistance and promotes systemic inflammation. According to a meta-analysis conducted by Willi et al. (2007), active smokers have a 44% higher chance of having T2D than nonsmokers. Smoking considerably increases cardiovascular mortality among diabetics (Critchley and Capewell, 2003).</w:t>
      </w:r>
    </w:p>
    <w:p w14:paraId="44997E4E" w14:textId="2098D458" w:rsidR="005C02B2" w:rsidRDefault="3305EF48" w:rsidP="431CEA14">
      <w:pPr>
        <w:spacing w:before="240" w:after="240" w:line="360" w:lineRule="auto"/>
        <w:jc w:val="both"/>
      </w:pPr>
      <w:r w:rsidRPr="431CEA14">
        <w:rPr>
          <w:rFonts w:ascii="Arial" w:eastAsia="Arial" w:hAnsi="Arial" w:cs="Arial"/>
          <w:sz w:val="22"/>
          <w:szCs w:val="22"/>
        </w:rPr>
        <w:t>Quitting smoking lowers cardiovascular risk, improves endothelial function, and increases insulin sensitivity. To increase quit rates, NICE (2021) suggests combining behavioral assistance with pharmaceutical therapies such nicotine replacement therapy or varenicline.</w:t>
      </w:r>
    </w:p>
    <w:p w14:paraId="2986B017" w14:textId="641540E8" w:rsidR="005C02B2" w:rsidRDefault="3305EF48" w:rsidP="431CEA14">
      <w:pPr>
        <w:spacing w:before="240" w:after="240" w:line="360" w:lineRule="auto"/>
        <w:jc w:val="both"/>
        <w:rPr>
          <w:rFonts w:ascii="Arial" w:eastAsia="Arial" w:hAnsi="Arial" w:cs="Arial"/>
          <w:b/>
          <w:bCs/>
          <w:sz w:val="22"/>
          <w:szCs w:val="22"/>
          <w:u w:val="single"/>
        </w:rPr>
      </w:pPr>
      <w:r w:rsidRPr="431CEA14">
        <w:rPr>
          <w:rFonts w:ascii="Arial" w:eastAsia="Arial" w:hAnsi="Arial" w:cs="Arial"/>
          <w:b/>
          <w:bCs/>
          <w:sz w:val="22"/>
          <w:szCs w:val="22"/>
          <w:u w:val="single"/>
        </w:rPr>
        <w:t>Nutrition and Dietary Modification</w:t>
      </w:r>
    </w:p>
    <w:p w14:paraId="6F55F22E" w14:textId="4877E332" w:rsidR="00EF0EBA" w:rsidRPr="00EF0EBA" w:rsidRDefault="00EF0EBA" w:rsidP="431CEA14">
      <w:pPr>
        <w:spacing w:before="240" w:after="240" w:line="360" w:lineRule="auto"/>
        <w:jc w:val="both"/>
      </w:pPr>
      <w:r>
        <w:rPr>
          <w:noProof/>
        </w:rPr>
        <mc:AlternateContent>
          <mc:Choice Requires="wps">
            <w:drawing>
              <wp:anchor distT="0" distB="0" distL="114300" distR="114300" simplePos="0" relativeHeight="251663360" behindDoc="0" locked="0" layoutInCell="1" allowOverlap="1" wp14:anchorId="037AC4A0" wp14:editId="5AE82EEC">
                <wp:simplePos x="0" y="0"/>
                <wp:positionH relativeFrom="column">
                  <wp:posOffset>1005840</wp:posOffset>
                </wp:positionH>
                <wp:positionV relativeFrom="paragraph">
                  <wp:posOffset>3162300</wp:posOffset>
                </wp:positionV>
                <wp:extent cx="4328160" cy="268605"/>
                <wp:effectExtent l="0" t="0" r="0" b="0"/>
                <wp:wrapTopAndBottom/>
                <wp:docPr id="1654133434" name="Text Box 1"/>
                <wp:cNvGraphicFramePr/>
                <a:graphic xmlns:a="http://schemas.openxmlformats.org/drawingml/2006/main">
                  <a:graphicData uri="http://schemas.microsoft.com/office/word/2010/wordprocessingShape">
                    <wps:wsp>
                      <wps:cNvSpPr txBox="1"/>
                      <wps:spPr>
                        <a:xfrm>
                          <a:off x="0" y="0"/>
                          <a:ext cx="4328160" cy="268605"/>
                        </a:xfrm>
                        <a:prstGeom prst="rect">
                          <a:avLst/>
                        </a:prstGeom>
                        <a:solidFill>
                          <a:prstClr val="white"/>
                        </a:solidFill>
                        <a:ln>
                          <a:noFill/>
                        </a:ln>
                      </wps:spPr>
                      <wps:txbx>
                        <w:txbxContent>
                          <w:p w14:paraId="2282DB3A" w14:textId="1CEFFE80" w:rsidR="00EF0EBA" w:rsidRPr="00880768" w:rsidRDefault="00EF0EBA" w:rsidP="00EF0EBA">
                            <w:pPr>
                              <w:pStyle w:val="Caption"/>
                              <w:rPr>
                                <w:noProof/>
                              </w:rPr>
                            </w:pPr>
                            <w:r>
                              <w:t xml:space="preserve">Figure </w:t>
                            </w:r>
                            <w:fldSimple w:instr=" SEQ Figure \* ARABIC ">
                              <w:r>
                                <w:rPr>
                                  <w:noProof/>
                                </w:rPr>
                                <w:t>2</w:t>
                              </w:r>
                            </w:fldSimple>
                            <w:r>
                              <w:t>:The Diabetes Plate Model for balanced meals in Type 2 diabetes (Source: Diabetes UK,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7AC4A0" id="_x0000_s1027" type="#_x0000_t202" style="position:absolute;left:0;text-align:left;margin-left:79.2pt;margin-top:249pt;width:340.8pt;height:21.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" stroked="f">
                <v:textbox inset="0,0,0,0">
                  <w:txbxContent>
                    <w:p w14:paraId="2282DB3A" w14:textId="1CEFFE80" w:rsidR="00EF0EBA" w:rsidRPr="00880768" w:rsidRDefault="00EF0EBA" w:rsidP="00EF0EBA">
                      <w:pPr>
                        <w:pStyle w:val="Caption"/>
                        <w:rPr>
                          <w:noProof/>
                        </w:rPr>
                      </w:pPr>
                      <w:r>
                        <w:t xml:space="preserve">Figure </w:t>
                      </w:r>
                      <w:fldSimple w:instr=" SEQ Figure \* ARABIC ">
                        <w:r>
                          <w:rPr>
                            <w:noProof/>
                          </w:rPr>
                          <w:t>2</w:t>
                        </w:r>
                      </w:fldSimple>
                      <w:r>
                        <w:t>:The Diabetes Plate Model for balanced meals in Type 2 diabetes (Source: Diabetes UK, 2023)</w:t>
                      </w:r>
                    </w:p>
                  </w:txbxContent>
                </v:textbox>
                <w10:wrap type="topAndBottom"/>
              </v:shape>
            </w:pict>
          </mc:Fallback>
        </mc:AlternateContent>
      </w:r>
      <w:r>
        <w:rPr>
          <w:noProof/>
        </w:rPr>
        <w:drawing>
          <wp:anchor distT="0" distB="0" distL="114300" distR="114300" simplePos="0" relativeHeight="251661312" behindDoc="1" locked="0" layoutInCell="1" allowOverlap="1" wp14:anchorId="62C21D45" wp14:editId="74452DCB">
            <wp:simplePos x="0" y="0"/>
            <wp:positionH relativeFrom="margin">
              <wp:posOffset>1043940</wp:posOffset>
            </wp:positionH>
            <wp:positionV relativeFrom="page">
              <wp:posOffset>5902960</wp:posOffset>
            </wp:positionV>
            <wp:extent cx="4053840" cy="2889885"/>
            <wp:effectExtent l="0" t="0" r="3810" b="5715"/>
            <wp:wrapTopAndBottom/>
            <wp:docPr id="3884803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480320" name="Picture 388480320"/>
                    <pic:cNvPicPr/>
                  </pic:nvPicPr>
                  <pic:blipFill>
                    <a:blip r:embed="rId9">
                      <a:extLst>
                        <a:ext uri="{28A0092B-C50C-407E-A947-70E740481C1C}">
                          <a14:useLocalDpi xmlns:a14="http://schemas.microsoft.com/office/drawing/2010/main" val="0"/>
                        </a:ext>
                      </a:extLst>
                    </a:blip>
                    <a:stretch>
                      <a:fillRect/>
                    </a:stretch>
                  </pic:blipFill>
                  <pic:spPr>
                    <a:xfrm>
                      <a:off x="0" y="0"/>
                      <a:ext cx="4053840" cy="2889885"/>
                    </a:xfrm>
                    <a:prstGeom prst="rect">
                      <a:avLst/>
                    </a:prstGeom>
                  </pic:spPr>
                </pic:pic>
              </a:graphicData>
            </a:graphic>
            <wp14:sizeRelH relativeFrom="margin">
              <wp14:pctWidth>0</wp14:pctWidth>
            </wp14:sizeRelH>
            <wp14:sizeRelV relativeFrom="margin">
              <wp14:pctHeight>0</wp14:pctHeight>
            </wp14:sizeRelV>
          </wp:anchor>
        </w:drawing>
      </w:r>
      <w:r w:rsidR="3305EF48" w:rsidRPr="431CEA14">
        <w:rPr>
          <w:rFonts w:ascii="Arial" w:eastAsia="Arial" w:hAnsi="Arial" w:cs="Arial"/>
          <w:sz w:val="22"/>
          <w:szCs w:val="22"/>
        </w:rPr>
        <w:t>Dietary management plays a central role in glycemic control.</w:t>
      </w:r>
    </w:p>
    <w:p w14:paraId="18A621D1" w14:textId="313A2CEE" w:rsidR="005C02B2" w:rsidRDefault="4C60D2CA" w:rsidP="431CEA14">
      <w:pPr>
        <w:spacing w:before="240" w:after="240" w:line="360" w:lineRule="auto"/>
        <w:jc w:val="both"/>
        <w:rPr>
          <w:rFonts w:ascii="Arial" w:eastAsia="Arial" w:hAnsi="Arial" w:cs="Arial"/>
          <w:sz w:val="22"/>
          <w:szCs w:val="22"/>
        </w:rPr>
      </w:pPr>
      <w:r w:rsidRPr="431CEA14">
        <w:rPr>
          <w:rFonts w:ascii="Arial" w:eastAsia="Arial" w:hAnsi="Arial" w:cs="Arial"/>
          <w:sz w:val="22"/>
          <w:szCs w:val="22"/>
        </w:rPr>
        <w:lastRenderedPageBreak/>
        <w:t>The Diabetes Plate Model promotes:</w:t>
      </w:r>
    </w:p>
    <w:p w14:paraId="62681C66" w14:textId="56B86555" w:rsidR="005C02B2" w:rsidRDefault="4C60D2CA" w:rsidP="431CEA14">
      <w:pPr>
        <w:pStyle w:val="ListParagraph"/>
        <w:numPr>
          <w:ilvl w:val="0"/>
          <w:numId w:val="1"/>
        </w:numPr>
        <w:spacing w:before="240" w:after="240" w:line="360" w:lineRule="auto"/>
        <w:jc w:val="both"/>
        <w:rPr>
          <w:rFonts w:ascii="Arial" w:eastAsia="Arial" w:hAnsi="Arial" w:cs="Arial"/>
          <w:sz w:val="22"/>
          <w:szCs w:val="22"/>
        </w:rPr>
      </w:pPr>
      <w:r w:rsidRPr="431CEA14">
        <w:rPr>
          <w:rFonts w:ascii="Arial" w:eastAsia="Arial" w:hAnsi="Arial" w:cs="Arial"/>
          <w:sz w:val="22"/>
          <w:szCs w:val="22"/>
        </w:rPr>
        <w:t>Half the plate consisting of non-starchy vegetables</w:t>
      </w:r>
    </w:p>
    <w:p w14:paraId="4086E8DA" w14:textId="4DA8C750" w:rsidR="005C02B2" w:rsidRDefault="4C60D2CA" w:rsidP="431CEA14">
      <w:pPr>
        <w:pStyle w:val="ListParagraph"/>
        <w:numPr>
          <w:ilvl w:val="0"/>
          <w:numId w:val="1"/>
        </w:numPr>
        <w:spacing w:before="240" w:after="240" w:line="360" w:lineRule="auto"/>
        <w:jc w:val="both"/>
        <w:rPr>
          <w:rFonts w:ascii="Arial" w:eastAsia="Arial" w:hAnsi="Arial" w:cs="Arial"/>
          <w:sz w:val="22"/>
          <w:szCs w:val="22"/>
        </w:rPr>
      </w:pPr>
      <w:r w:rsidRPr="431CEA14">
        <w:rPr>
          <w:rFonts w:ascii="Arial" w:eastAsia="Arial" w:hAnsi="Arial" w:cs="Arial"/>
          <w:sz w:val="22"/>
          <w:szCs w:val="22"/>
        </w:rPr>
        <w:t>One quarter lean protein</w:t>
      </w:r>
    </w:p>
    <w:p w14:paraId="08321720" w14:textId="697244CC" w:rsidR="005C02B2" w:rsidRDefault="4C60D2CA" w:rsidP="431CEA14">
      <w:pPr>
        <w:pStyle w:val="ListParagraph"/>
        <w:numPr>
          <w:ilvl w:val="0"/>
          <w:numId w:val="1"/>
        </w:numPr>
        <w:spacing w:before="240" w:after="240" w:line="360" w:lineRule="auto"/>
        <w:jc w:val="both"/>
        <w:rPr>
          <w:rFonts w:ascii="Arial" w:eastAsia="Arial" w:hAnsi="Arial" w:cs="Arial"/>
          <w:sz w:val="22"/>
          <w:szCs w:val="22"/>
        </w:rPr>
      </w:pPr>
      <w:r w:rsidRPr="431CEA14">
        <w:rPr>
          <w:rFonts w:ascii="Arial" w:eastAsia="Arial" w:hAnsi="Arial" w:cs="Arial"/>
          <w:sz w:val="22"/>
          <w:szCs w:val="22"/>
        </w:rPr>
        <w:t xml:space="preserve">One </w:t>
      </w:r>
      <w:r w:rsidR="00EF0EBA" w:rsidRPr="431CEA14">
        <w:rPr>
          <w:rFonts w:ascii="Arial" w:eastAsia="Arial" w:hAnsi="Arial" w:cs="Arial"/>
          <w:sz w:val="22"/>
          <w:szCs w:val="22"/>
        </w:rPr>
        <w:t>quarter of</w:t>
      </w:r>
      <w:r w:rsidRPr="431CEA14">
        <w:rPr>
          <w:rFonts w:ascii="Arial" w:eastAsia="Arial" w:hAnsi="Arial" w:cs="Arial"/>
          <w:sz w:val="22"/>
          <w:szCs w:val="22"/>
        </w:rPr>
        <w:t xml:space="preserve"> whole grains or starchy carbohydrates</w:t>
      </w:r>
    </w:p>
    <w:p w14:paraId="3F770A68" w14:textId="2478FADF" w:rsidR="005C02B2" w:rsidRDefault="4C60D2CA" w:rsidP="431CEA14">
      <w:pPr>
        <w:spacing w:before="240" w:after="240" w:line="360" w:lineRule="auto"/>
        <w:ind w:firstLine="720"/>
        <w:jc w:val="both"/>
      </w:pPr>
      <w:r w:rsidRPr="431CEA14">
        <w:rPr>
          <w:rFonts w:ascii="Arial" w:eastAsia="Arial" w:hAnsi="Arial" w:cs="Arial"/>
          <w:sz w:val="22"/>
          <w:szCs w:val="22"/>
        </w:rPr>
        <w:t>The Mediterranean diet has shown considerable benefits in glycemic management and cardiovascular risk factors. Esposito et al. (2018) found 0.3-0.4% decreases in HbA1c when compared to low-fat diets. Increased dietary fibre intake enhances insulin sensitivity and postprandial glucose control (Anderson et al., 2004).</w:t>
      </w:r>
    </w:p>
    <w:p w14:paraId="5A7FAF56" w14:textId="38DF596B" w:rsidR="005C02B2" w:rsidRDefault="4C60D2CA" w:rsidP="431CEA14">
      <w:pPr>
        <w:spacing w:before="240" w:after="240" w:line="360" w:lineRule="auto"/>
        <w:ind w:firstLine="720"/>
        <w:jc w:val="both"/>
      </w:pPr>
      <w:r w:rsidRPr="431CEA14">
        <w:rPr>
          <w:rFonts w:ascii="Arial" w:eastAsia="Arial" w:hAnsi="Arial" w:cs="Arial"/>
          <w:sz w:val="22"/>
          <w:szCs w:val="22"/>
        </w:rPr>
        <w:t>Weight loss is especially effective. The Direct trial found that aggressive weight management in primary care resulted in T2D remission in 46% of individuals after 12 months (Lean et al., 2018). Even a small weight decreases 5-10% improves glycemic control and blood pressure.</w:t>
      </w:r>
    </w:p>
    <w:p w14:paraId="1F06A599" w14:textId="73C72AE2" w:rsidR="005C02B2" w:rsidRDefault="1C8B31FD" w:rsidP="431CEA14">
      <w:pPr>
        <w:spacing w:line="360" w:lineRule="auto"/>
        <w:ind w:firstLine="720"/>
        <w:jc w:val="both"/>
        <w:rPr>
          <w:rFonts w:ascii="Arial" w:eastAsia="Arial" w:hAnsi="Arial" w:cs="Arial"/>
          <w:b/>
          <w:bCs/>
          <w:sz w:val="22"/>
          <w:szCs w:val="22"/>
          <w:u w:val="single"/>
        </w:rPr>
      </w:pPr>
      <w:r w:rsidRPr="431CEA14">
        <w:rPr>
          <w:rFonts w:ascii="Arial" w:eastAsia="Arial" w:hAnsi="Arial" w:cs="Arial"/>
          <w:b/>
          <w:bCs/>
          <w:sz w:val="22"/>
          <w:szCs w:val="22"/>
          <w:u w:val="single"/>
        </w:rPr>
        <w:t>Physical Activity</w:t>
      </w:r>
    </w:p>
    <w:p w14:paraId="46A269B3" w14:textId="016CAD4E" w:rsidR="005C02B2" w:rsidRDefault="055DFDB2" w:rsidP="431CEA14">
      <w:pPr>
        <w:spacing w:line="360" w:lineRule="auto"/>
        <w:ind w:firstLine="720"/>
        <w:jc w:val="both"/>
      </w:pPr>
      <w:r w:rsidRPr="431CEA14">
        <w:rPr>
          <w:rFonts w:ascii="Arial" w:eastAsia="Arial" w:hAnsi="Arial" w:cs="Arial"/>
          <w:sz w:val="22"/>
          <w:szCs w:val="22"/>
        </w:rPr>
        <w:t>Regular physical activity increases glucose absorption via insulin-independent mechanisms and improves insulin sensitivity (Colberg et al., 2016).</w:t>
      </w:r>
    </w:p>
    <w:p w14:paraId="69CC89B8" w14:textId="4E82B76C" w:rsidR="005C02B2" w:rsidRDefault="055DFDB2" w:rsidP="431CEA14">
      <w:pPr>
        <w:spacing w:line="360" w:lineRule="auto"/>
        <w:ind w:firstLine="720"/>
        <w:jc w:val="both"/>
      </w:pPr>
      <w:r w:rsidRPr="431CEA14">
        <w:rPr>
          <w:rFonts w:ascii="Arial" w:eastAsia="Arial" w:hAnsi="Arial" w:cs="Arial"/>
          <w:sz w:val="22"/>
          <w:szCs w:val="22"/>
        </w:rPr>
        <w:t>The World Health Organization and NICE recommend at least 150 minutes of moderate-intensity aerobic activity each week, along with resistance training twice a week. Umpierre et al. (2011) conducted a meta-analysis and discovered that structured exercise reduced HbA1c by roughly 0.6% regardless of weight loss.</w:t>
      </w:r>
    </w:p>
    <w:p w14:paraId="475ED37C" w14:textId="71B93EB7" w:rsidR="005C02B2" w:rsidRDefault="055DFDB2" w:rsidP="431CEA14">
      <w:pPr>
        <w:spacing w:line="360" w:lineRule="auto"/>
        <w:ind w:firstLine="720"/>
        <w:jc w:val="both"/>
      </w:pPr>
      <w:r w:rsidRPr="431CEA14">
        <w:rPr>
          <w:rFonts w:ascii="Arial" w:eastAsia="Arial" w:hAnsi="Arial" w:cs="Arial"/>
          <w:sz w:val="22"/>
          <w:szCs w:val="22"/>
        </w:rPr>
        <w:t>Exercise also improves lipid profiles, decreases blood pressure, and reduces the risk of cardiovascular death. Encourage realistic, achievable exercises like brisk walking to enhance adherence.</w:t>
      </w:r>
    </w:p>
    <w:p w14:paraId="59682EE2" w14:textId="5CCC44D1" w:rsidR="005C02B2" w:rsidRDefault="055DFDB2" w:rsidP="431CEA14">
      <w:pPr>
        <w:spacing w:line="360" w:lineRule="auto"/>
        <w:ind w:firstLine="720"/>
        <w:jc w:val="both"/>
        <w:rPr>
          <w:rFonts w:ascii="Arial" w:eastAsia="Arial" w:hAnsi="Arial" w:cs="Arial"/>
          <w:b/>
          <w:bCs/>
          <w:sz w:val="22"/>
          <w:szCs w:val="22"/>
          <w:u w:val="single"/>
        </w:rPr>
      </w:pPr>
      <w:r w:rsidRPr="431CEA14">
        <w:rPr>
          <w:rFonts w:ascii="Arial" w:eastAsia="Arial" w:hAnsi="Arial" w:cs="Arial"/>
          <w:b/>
          <w:bCs/>
          <w:sz w:val="22"/>
          <w:szCs w:val="22"/>
          <w:u w:val="single"/>
        </w:rPr>
        <w:t>Weight Management and Metabolic Improvement</w:t>
      </w:r>
    </w:p>
    <w:p w14:paraId="5A5C7D2D" w14:textId="6C9F0208" w:rsidR="005C02B2" w:rsidRDefault="055DFDB2" w:rsidP="431CEA14">
      <w:pPr>
        <w:spacing w:line="360" w:lineRule="auto"/>
        <w:ind w:firstLine="720"/>
        <w:jc w:val="both"/>
      </w:pPr>
      <w:r w:rsidRPr="431CEA14">
        <w:rPr>
          <w:rFonts w:ascii="Arial" w:eastAsia="Arial" w:hAnsi="Arial" w:cs="Arial"/>
          <w:sz w:val="22"/>
          <w:szCs w:val="22"/>
        </w:rPr>
        <w:t>Excess adiposity contributes to chronic low-grade inflammation and insulin resistance. Sustained weight reduction improves metabolic markers and may reduce medication requirements. Primary care-led programmes integrating dietary counselling, behavioral strategies and physical activity support are associated with improved long-term outcomes (Lean et al., 2018).</w:t>
      </w:r>
    </w:p>
    <w:p w14:paraId="3DF996DC" w14:textId="77777777" w:rsidR="00EF0EBA" w:rsidRDefault="00EF0EBA" w:rsidP="431CEA14">
      <w:pPr>
        <w:spacing w:line="360" w:lineRule="auto"/>
        <w:ind w:firstLine="720"/>
        <w:jc w:val="both"/>
        <w:rPr>
          <w:rFonts w:ascii="Arial" w:eastAsia="Arial" w:hAnsi="Arial" w:cs="Arial"/>
          <w:b/>
          <w:bCs/>
          <w:sz w:val="22"/>
          <w:szCs w:val="22"/>
          <w:u w:val="single"/>
        </w:rPr>
      </w:pPr>
    </w:p>
    <w:p w14:paraId="3F77B0D7" w14:textId="3A53DAB1" w:rsidR="005C02B2" w:rsidRDefault="055DFDB2" w:rsidP="431CEA14">
      <w:pPr>
        <w:spacing w:line="360" w:lineRule="auto"/>
        <w:ind w:firstLine="720"/>
        <w:jc w:val="both"/>
        <w:rPr>
          <w:rFonts w:ascii="Arial" w:eastAsia="Arial" w:hAnsi="Arial" w:cs="Arial"/>
          <w:b/>
          <w:bCs/>
          <w:sz w:val="22"/>
          <w:szCs w:val="22"/>
          <w:u w:val="single"/>
        </w:rPr>
      </w:pPr>
      <w:r w:rsidRPr="431CEA14">
        <w:rPr>
          <w:rFonts w:ascii="Arial" w:eastAsia="Arial" w:hAnsi="Arial" w:cs="Arial"/>
          <w:b/>
          <w:bCs/>
          <w:sz w:val="22"/>
          <w:szCs w:val="22"/>
          <w:u w:val="single"/>
        </w:rPr>
        <w:lastRenderedPageBreak/>
        <w:t>Psychosocial Wellbeing and Sleep</w:t>
      </w:r>
    </w:p>
    <w:p w14:paraId="212CEF1E" w14:textId="740F1CB3" w:rsidR="005C02B2" w:rsidRDefault="055DFDB2" w:rsidP="431CEA14">
      <w:pPr>
        <w:spacing w:line="360" w:lineRule="auto"/>
        <w:ind w:firstLine="720"/>
        <w:jc w:val="both"/>
      </w:pPr>
      <w:r w:rsidRPr="431CEA14">
        <w:rPr>
          <w:rFonts w:ascii="Arial" w:eastAsia="Arial" w:hAnsi="Arial" w:cs="Arial"/>
          <w:sz w:val="22"/>
          <w:szCs w:val="22"/>
        </w:rPr>
        <w:t>Psychological stress and sleep deprivation impair glycemic control by increasing cortisol levels and sympathetic nervous system activity (Broussard and Van Cauter, 2016). Addressing mental health concerns and encouraging sleep hygiene should be part of comprehensive diabetes management.</w:t>
      </w:r>
    </w:p>
    <w:p w14:paraId="3D26185F" w14:textId="3C89E723" w:rsidR="005C02B2" w:rsidRDefault="675D2F4D" w:rsidP="431CEA14">
      <w:pPr>
        <w:spacing w:line="360" w:lineRule="auto"/>
        <w:ind w:firstLine="720"/>
        <w:jc w:val="center"/>
        <w:rPr>
          <w:rFonts w:ascii="Arial" w:eastAsia="Arial" w:hAnsi="Arial" w:cs="Arial"/>
          <w:b/>
          <w:bCs/>
          <w:sz w:val="28"/>
          <w:szCs w:val="28"/>
          <w:u w:val="single"/>
        </w:rPr>
      </w:pPr>
      <w:r w:rsidRPr="431CEA14">
        <w:rPr>
          <w:rFonts w:ascii="Arial" w:eastAsia="Arial" w:hAnsi="Arial" w:cs="Arial"/>
          <w:b/>
          <w:bCs/>
          <w:sz w:val="28"/>
          <w:szCs w:val="28"/>
          <w:u w:val="single"/>
        </w:rPr>
        <w:t>Enhancing Self-Management Through Structured Education and Behavioural Support</w:t>
      </w:r>
    </w:p>
    <w:p w14:paraId="67A07D92" w14:textId="16EF9F4D" w:rsidR="005C02B2" w:rsidRDefault="005C02B2" w:rsidP="431CEA14">
      <w:pPr>
        <w:spacing w:line="360" w:lineRule="auto"/>
        <w:ind w:firstLine="720"/>
        <w:jc w:val="both"/>
        <w:rPr>
          <w:rFonts w:ascii="Arial" w:eastAsia="Arial" w:hAnsi="Arial" w:cs="Arial"/>
          <w:sz w:val="22"/>
          <w:szCs w:val="22"/>
        </w:rPr>
      </w:pPr>
    </w:p>
    <w:p w14:paraId="7A717C24" w14:textId="377CA67F" w:rsidR="005C02B2" w:rsidRDefault="675D2F4D" w:rsidP="431CEA14">
      <w:pPr>
        <w:spacing w:line="360" w:lineRule="auto"/>
        <w:ind w:firstLine="720"/>
        <w:jc w:val="both"/>
      </w:pPr>
      <w:r w:rsidRPr="431CEA14">
        <w:rPr>
          <w:rFonts w:ascii="Arial" w:eastAsia="Arial" w:hAnsi="Arial" w:cs="Arial"/>
          <w:sz w:val="22"/>
          <w:szCs w:val="22"/>
        </w:rPr>
        <w:t xml:space="preserve">While pharmacological therapy is still crucial in T2D, research repeatedly shows that structured education and behavioral interventions dramatically enhance long-term outcomes. NICE (2022) advises that </w:t>
      </w:r>
      <w:r w:rsidR="00407A62" w:rsidRPr="431CEA14">
        <w:rPr>
          <w:rFonts w:ascii="Arial" w:eastAsia="Arial" w:hAnsi="Arial" w:cs="Arial"/>
          <w:sz w:val="22"/>
          <w:szCs w:val="22"/>
        </w:rPr>
        <w:t>all</w:t>
      </w:r>
      <w:r w:rsidRPr="431CEA14">
        <w:rPr>
          <w:rFonts w:ascii="Arial" w:eastAsia="Arial" w:hAnsi="Arial" w:cs="Arial"/>
          <w:sz w:val="22"/>
          <w:szCs w:val="22"/>
        </w:rPr>
        <w:t xml:space="preserve"> newly diagnosed with T2D get organized education programs that are evidence-based, quality-assured, and delivered by qualified educators. DESMOND (Diabetes Education and Self-Management for Ongoing and Newly Diagnosed) and X-PERT </w:t>
      </w:r>
      <w:r w:rsidR="33BB5B87" w:rsidRPr="431CEA14">
        <w:rPr>
          <w:rFonts w:ascii="Arial" w:eastAsia="Arial" w:hAnsi="Arial" w:cs="Arial"/>
          <w:sz w:val="22"/>
          <w:szCs w:val="22"/>
        </w:rPr>
        <w:t>programs</w:t>
      </w:r>
      <w:r w:rsidRPr="431CEA14">
        <w:rPr>
          <w:rFonts w:ascii="Arial" w:eastAsia="Arial" w:hAnsi="Arial" w:cs="Arial"/>
          <w:sz w:val="22"/>
          <w:szCs w:val="22"/>
        </w:rPr>
        <w:t xml:space="preserve"> are two examples in the United Kingdom that have shown benefits in weight, smoking cessation rates, and sickness beliefs (Davies et al., 2008).</w:t>
      </w:r>
    </w:p>
    <w:p w14:paraId="70B5D7A2" w14:textId="0E8F2907" w:rsidR="005C02B2" w:rsidRDefault="675D2F4D" w:rsidP="431CEA14">
      <w:pPr>
        <w:spacing w:line="360" w:lineRule="auto"/>
        <w:ind w:firstLine="720"/>
        <w:jc w:val="both"/>
      </w:pPr>
      <w:r w:rsidRPr="431CEA14">
        <w:rPr>
          <w:rFonts w:ascii="Arial" w:eastAsia="Arial" w:hAnsi="Arial" w:cs="Arial"/>
          <w:sz w:val="22"/>
          <w:szCs w:val="22"/>
        </w:rPr>
        <w:t xml:space="preserve">Structured education helps patients understand glucose monitoring, medication adherence, and lifestyle adjustment. Importantly, it increases self-efficacy, which is defined as an individual's belief in their ability to conduct the </w:t>
      </w:r>
      <w:r w:rsidR="4759290B" w:rsidRPr="431CEA14">
        <w:rPr>
          <w:rFonts w:ascii="Arial" w:eastAsia="Arial" w:hAnsi="Arial" w:cs="Arial"/>
          <w:sz w:val="22"/>
          <w:szCs w:val="22"/>
        </w:rPr>
        <w:t>behavio</w:t>
      </w:r>
      <w:r w:rsidR="268842B7" w:rsidRPr="431CEA14">
        <w:rPr>
          <w:rFonts w:ascii="Arial" w:eastAsia="Arial" w:hAnsi="Arial" w:cs="Arial"/>
          <w:sz w:val="22"/>
          <w:szCs w:val="22"/>
        </w:rPr>
        <w:t>u</w:t>
      </w:r>
      <w:r w:rsidR="4759290B" w:rsidRPr="431CEA14">
        <w:rPr>
          <w:rFonts w:ascii="Arial" w:eastAsia="Arial" w:hAnsi="Arial" w:cs="Arial"/>
          <w:sz w:val="22"/>
          <w:szCs w:val="22"/>
        </w:rPr>
        <w:t>rs</w:t>
      </w:r>
      <w:r w:rsidRPr="431CEA14">
        <w:rPr>
          <w:rFonts w:ascii="Arial" w:eastAsia="Arial" w:hAnsi="Arial" w:cs="Arial"/>
          <w:sz w:val="22"/>
          <w:szCs w:val="22"/>
        </w:rPr>
        <w:t xml:space="preserve"> required to attain health goals. Higher self-efficacy is closely linked to better glycemic results and sustained </w:t>
      </w:r>
      <w:r w:rsidR="5D4355F6" w:rsidRPr="431CEA14">
        <w:rPr>
          <w:rFonts w:ascii="Arial" w:eastAsia="Arial" w:hAnsi="Arial" w:cs="Arial"/>
          <w:sz w:val="22"/>
          <w:szCs w:val="22"/>
        </w:rPr>
        <w:t>behavioural</w:t>
      </w:r>
      <w:r w:rsidRPr="431CEA14">
        <w:rPr>
          <w:rFonts w:ascii="Arial" w:eastAsia="Arial" w:hAnsi="Arial" w:cs="Arial"/>
          <w:sz w:val="22"/>
          <w:szCs w:val="22"/>
        </w:rPr>
        <w:t xml:space="preserve"> change (Norris et al., 2002). Reinforcing education throughout routine evaluations helps </w:t>
      </w:r>
      <w:proofErr w:type="gramStart"/>
      <w:r w:rsidR="00EF0EBA">
        <w:rPr>
          <w:rFonts w:ascii="Arial" w:eastAsia="Arial" w:hAnsi="Arial" w:cs="Arial"/>
          <w:sz w:val="22"/>
          <w:szCs w:val="22"/>
        </w:rPr>
        <w:t>practice nurses</w:t>
      </w:r>
      <w:proofErr w:type="gramEnd"/>
      <w:r w:rsidRPr="431CEA14">
        <w:rPr>
          <w:rFonts w:ascii="Arial" w:eastAsia="Arial" w:hAnsi="Arial" w:cs="Arial"/>
          <w:sz w:val="22"/>
          <w:szCs w:val="22"/>
        </w:rPr>
        <w:t xml:space="preserve"> retain knowledge and develop tailored goals.</w:t>
      </w:r>
    </w:p>
    <w:p w14:paraId="480442FB" w14:textId="30C27C48" w:rsidR="005C02B2" w:rsidRDefault="675D2F4D" w:rsidP="431CEA14">
      <w:pPr>
        <w:spacing w:line="360" w:lineRule="auto"/>
        <w:ind w:firstLine="720"/>
        <w:jc w:val="both"/>
      </w:pPr>
      <w:r w:rsidRPr="431CEA14">
        <w:rPr>
          <w:rFonts w:ascii="Arial" w:eastAsia="Arial" w:hAnsi="Arial" w:cs="Arial"/>
          <w:sz w:val="22"/>
          <w:szCs w:val="22"/>
        </w:rPr>
        <w:t>Behavior change theory is especially useful in diabetes management. According to the Health Belief Model and the COM-B (Capability, Opportunity, Motivation-</w:t>
      </w:r>
      <w:r w:rsidR="03613662" w:rsidRPr="431CEA14">
        <w:rPr>
          <w:rFonts w:ascii="Arial" w:eastAsia="Arial" w:hAnsi="Arial" w:cs="Arial"/>
          <w:sz w:val="22"/>
          <w:szCs w:val="22"/>
        </w:rPr>
        <w:t>Behavior</w:t>
      </w:r>
      <w:r w:rsidRPr="431CEA14">
        <w:rPr>
          <w:rFonts w:ascii="Arial" w:eastAsia="Arial" w:hAnsi="Arial" w:cs="Arial"/>
          <w:sz w:val="22"/>
          <w:szCs w:val="22"/>
        </w:rPr>
        <w:t xml:space="preserve">) paradigm, people are more likely to engage in self-management when they grasp the severity of their disease, see the benefits of change, and feel supported to act (Michie et al., 2011). As a result, simply delivering information is </w:t>
      </w:r>
      <w:r w:rsidR="00EF0EBA" w:rsidRPr="431CEA14">
        <w:rPr>
          <w:rFonts w:ascii="Arial" w:eastAsia="Arial" w:hAnsi="Arial" w:cs="Arial"/>
          <w:sz w:val="22"/>
          <w:szCs w:val="22"/>
        </w:rPr>
        <w:t>insufficient,</w:t>
      </w:r>
      <w:r w:rsidRPr="431CEA14">
        <w:rPr>
          <w:rFonts w:ascii="Arial" w:eastAsia="Arial" w:hAnsi="Arial" w:cs="Arial"/>
          <w:sz w:val="22"/>
          <w:szCs w:val="22"/>
        </w:rPr>
        <w:t xml:space="preserve"> motivational interviewing and collaborative </w:t>
      </w:r>
      <w:r w:rsidR="00EF0EBA" w:rsidRPr="431CEA14">
        <w:rPr>
          <w:rFonts w:ascii="Arial" w:eastAsia="Arial" w:hAnsi="Arial" w:cs="Arial"/>
          <w:sz w:val="22"/>
          <w:szCs w:val="22"/>
        </w:rPr>
        <w:t>care</w:t>
      </w:r>
      <w:r w:rsidRPr="431CEA14">
        <w:rPr>
          <w:rFonts w:ascii="Arial" w:eastAsia="Arial" w:hAnsi="Arial" w:cs="Arial"/>
          <w:sz w:val="22"/>
          <w:szCs w:val="22"/>
        </w:rPr>
        <w:t xml:space="preserve"> increase adherence and patient participation.</w:t>
      </w:r>
    </w:p>
    <w:p w14:paraId="50D5BD93" w14:textId="56ED1CB1" w:rsidR="005C02B2" w:rsidRDefault="57E9A34B" w:rsidP="431CEA14">
      <w:pPr>
        <w:spacing w:line="360" w:lineRule="auto"/>
        <w:ind w:firstLine="720"/>
        <w:jc w:val="both"/>
        <w:rPr>
          <w:rFonts w:ascii="Arial" w:eastAsia="Arial" w:hAnsi="Arial" w:cs="Arial"/>
          <w:b/>
          <w:bCs/>
          <w:sz w:val="22"/>
          <w:szCs w:val="22"/>
          <w:u w:val="single"/>
        </w:rPr>
      </w:pPr>
      <w:r w:rsidRPr="431CEA14">
        <w:rPr>
          <w:rFonts w:ascii="Arial" w:eastAsia="Arial" w:hAnsi="Arial" w:cs="Arial"/>
          <w:b/>
          <w:bCs/>
          <w:sz w:val="22"/>
          <w:szCs w:val="22"/>
          <w:u w:val="single"/>
        </w:rPr>
        <w:t>Glycemic Variability and Long-Term Complication Risk</w:t>
      </w:r>
    </w:p>
    <w:p w14:paraId="46893973" w14:textId="30FF5D9B" w:rsidR="005C02B2" w:rsidRDefault="57E9A34B" w:rsidP="431CEA14">
      <w:pPr>
        <w:spacing w:line="360" w:lineRule="auto"/>
        <w:ind w:firstLine="720"/>
        <w:jc w:val="both"/>
      </w:pPr>
      <w:r w:rsidRPr="431CEA14">
        <w:rPr>
          <w:rFonts w:ascii="Arial" w:eastAsia="Arial" w:hAnsi="Arial" w:cs="Arial"/>
          <w:sz w:val="22"/>
          <w:szCs w:val="22"/>
        </w:rPr>
        <w:t xml:space="preserve">Beyond average HbA1c levels, new data suggests that glycemic variability — oscillations between high and low glucose levels – contributes to vascular damage. Oscillating glucose levels </w:t>
      </w:r>
      <w:r w:rsidRPr="431CEA14">
        <w:rPr>
          <w:rFonts w:ascii="Arial" w:eastAsia="Arial" w:hAnsi="Arial" w:cs="Arial"/>
          <w:sz w:val="22"/>
          <w:szCs w:val="22"/>
        </w:rPr>
        <w:lastRenderedPageBreak/>
        <w:t>may cause more oxidative stress than prolonged hyperglycemia alone (Monnier et al., 2006). Continuous glucose monitoring (CGM) enables patients and clinicians to identify patterns of fluctuation and adopt tailored therapies.</w:t>
      </w:r>
    </w:p>
    <w:p w14:paraId="5E507BDA" w14:textId="79CF7F3E" w:rsidR="005C02B2" w:rsidRDefault="57E9A34B" w:rsidP="431CEA14">
      <w:pPr>
        <w:spacing w:line="360" w:lineRule="auto"/>
        <w:ind w:firstLine="720"/>
        <w:jc w:val="both"/>
      </w:pPr>
      <w:r w:rsidRPr="431CEA14">
        <w:rPr>
          <w:rFonts w:ascii="Arial" w:eastAsia="Arial" w:hAnsi="Arial" w:cs="Arial"/>
          <w:sz w:val="22"/>
          <w:szCs w:val="22"/>
        </w:rPr>
        <w:t>Reducing glycemic fluctuation is linked to better endothelial function and fewer inflammatory markers. This is therapeutically relevant because cardiovascular disease remains the major cause of death in people with T2D (IDF, 2023). Practice nurses can help patients by reviewing glucose patterns, identifying reasons for excursions (such as high-glycemic index foods or prolonged sedentary times), and advocating preventive practices.</w:t>
      </w:r>
    </w:p>
    <w:p w14:paraId="3E2778E9" w14:textId="634AE7DC" w:rsidR="005C02B2" w:rsidRDefault="57E9A34B" w:rsidP="431CEA14">
      <w:pPr>
        <w:spacing w:line="360" w:lineRule="auto"/>
        <w:ind w:firstLine="720"/>
        <w:jc w:val="both"/>
        <w:rPr>
          <w:rFonts w:ascii="Arial" w:eastAsia="Arial" w:hAnsi="Arial" w:cs="Arial"/>
          <w:b/>
          <w:bCs/>
          <w:sz w:val="22"/>
          <w:szCs w:val="22"/>
          <w:u w:val="single"/>
        </w:rPr>
      </w:pPr>
      <w:r w:rsidRPr="431CEA14">
        <w:rPr>
          <w:rFonts w:ascii="Arial" w:eastAsia="Arial" w:hAnsi="Arial" w:cs="Arial"/>
          <w:b/>
          <w:bCs/>
          <w:sz w:val="22"/>
          <w:szCs w:val="22"/>
          <w:u w:val="single"/>
        </w:rPr>
        <w:t>Cardiovascular Risk Reduction in Type 2 Diabetes</w:t>
      </w:r>
    </w:p>
    <w:p w14:paraId="4D589E33" w14:textId="26D25D0F" w:rsidR="005C02B2" w:rsidRDefault="57E9A34B" w:rsidP="431CEA14">
      <w:pPr>
        <w:spacing w:line="360" w:lineRule="auto"/>
        <w:ind w:firstLine="720"/>
        <w:jc w:val="both"/>
      </w:pPr>
      <w:r w:rsidRPr="431CEA14">
        <w:rPr>
          <w:rFonts w:ascii="Arial" w:eastAsia="Arial" w:hAnsi="Arial" w:cs="Arial"/>
          <w:sz w:val="22"/>
          <w:szCs w:val="22"/>
        </w:rPr>
        <w:t>T2D is usually regarded as a significant cardiovascular risk factor. Diabetes patients are about two to three times more likely to develop cardiovascular disease than non-diabetics (Emerging Risk Factors Collaboration, 2010). Hyperglycemia promotes endothelial dysfunction, atherosclerosis, and pro-inflammatory states.</w:t>
      </w:r>
    </w:p>
    <w:p w14:paraId="64105AD8" w14:textId="2B1EB7BC" w:rsidR="005C02B2" w:rsidRDefault="57E9A34B" w:rsidP="431CEA14">
      <w:pPr>
        <w:spacing w:line="360" w:lineRule="auto"/>
        <w:ind w:firstLine="720"/>
        <w:jc w:val="both"/>
      </w:pPr>
      <w:r w:rsidRPr="431CEA14">
        <w:rPr>
          <w:rFonts w:ascii="Arial" w:eastAsia="Arial" w:hAnsi="Arial" w:cs="Arial"/>
          <w:sz w:val="22"/>
          <w:szCs w:val="22"/>
        </w:rPr>
        <w:t>Lifestyle changes can greatly reduce cardiovascular risk. The Look AHEAD study found that rigorous lifestyle interventions resulted in sustained weight loss as well as improvements in blood pressure, lipid profiles, and physical fitness, while the reduction in cardiovascular events was small (Look AHEAD Research Group, 2013). Nonetheless, improvements in cardiometabolic risk indicators suggest lifestyle change as a primary treatment method.</w:t>
      </w:r>
    </w:p>
    <w:p w14:paraId="70459D46" w14:textId="4F0292EF" w:rsidR="005C02B2" w:rsidRDefault="57E9A34B" w:rsidP="431CEA14">
      <w:pPr>
        <w:spacing w:line="360" w:lineRule="auto"/>
        <w:ind w:firstLine="720"/>
        <w:jc w:val="both"/>
      </w:pPr>
      <w:r w:rsidRPr="431CEA14">
        <w:rPr>
          <w:rFonts w:ascii="Arial" w:eastAsia="Arial" w:hAnsi="Arial" w:cs="Arial"/>
          <w:sz w:val="22"/>
          <w:szCs w:val="22"/>
        </w:rPr>
        <w:t>Quitting smoking, controlling blood pressure, managing lipids, and modifying one's diet all help to prevent cardiovascular mortality. Encourage patients to follow a Mediterranean-style diet high in unsaturated fats and omega-3 fatty acids to improve vascular outcomes (Esposito et al., 2018).</w:t>
      </w:r>
    </w:p>
    <w:p w14:paraId="42587955" w14:textId="23E780B4" w:rsidR="005C02B2" w:rsidRDefault="005C02B2" w:rsidP="431CEA14">
      <w:pPr>
        <w:spacing w:line="360" w:lineRule="auto"/>
        <w:ind w:firstLine="720"/>
        <w:jc w:val="both"/>
        <w:rPr>
          <w:rFonts w:ascii="Arial" w:eastAsia="Arial" w:hAnsi="Arial" w:cs="Arial"/>
          <w:sz w:val="22"/>
          <w:szCs w:val="22"/>
        </w:rPr>
      </w:pPr>
    </w:p>
    <w:p w14:paraId="7552CAB5" w14:textId="081E5F2D" w:rsidR="005C02B2" w:rsidRDefault="57E9A34B" w:rsidP="431CEA14">
      <w:pPr>
        <w:spacing w:line="360" w:lineRule="auto"/>
        <w:ind w:firstLine="720"/>
        <w:jc w:val="both"/>
        <w:rPr>
          <w:rFonts w:ascii="Arial" w:eastAsia="Arial" w:hAnsi="Arial" w:cs="Arial"/>
          <w:b/>
          <w:bCs/>
          <w:sz w:val="22"/>
          <w:szCs w:val="22"/>
          <w:u w:val="single"/>
        </w:rPr>
      </w:pPr>
      <w:r w:rsidRPr="431CEA14">
        <w:rPr>
          <w:rFonts w:ascii="Arial" w:eastAsia="Arial" w:hAnsi="Arial" w:cs="Arial"/>
          <w:b/>
          <w:bCs/>
          <w:sz w:val="22"/>
          <w:szCs w:val="22"/>
          <w:u w:val="single"/>
        </w:rPr>
        <w:t>The Role of Weight Loss in Disease Modification and Remission</w:t>
      </w:r>
    </w:p>
    <w:p w14:paraId="3AA21A41" w14:textId="5932595C" w:rsidR="005C02B2" w:rsidRDefault="57E9A34B" w:rsidP="431CEA14">
      <w:pPr>
        <w:spacing w:line="360" w:lineRule="auto"/>
        <w:ind w:firstLine="720"/>
        <w:jc w:val="both"/>
      </w:pPr>
      <w:r w:rsidRPr="431CEA14">
        <w:rPr>
          <w:rFonts w:ascii="Arial" w:eastAsia="Arial" w:hAnsi="Arial" w:cs="Arial"/>
          <w:sz w:val="22"/>
          <w:szCs w:val="22"/>
        </w:rPr>
        <w:t>Recent research has moved perceptions from considering T2D as inherently progressing to realizing the possibility of remission. The DiRECT experiment found that significant weight loss achieved with total food replacement in primary care resulted in remission for nearly half of individuals after one year (Lean et al., 2018). 36% of individuals maintained their remission after two years (Lean et al., 2019).</w:t>
      </w:r>
    </w:p>
    <w:p w14:paraId="68553935" w14:textId="501089CB" w:rsidR="005C02B2" w:rsidRDefault="57E9A34B" w:rsidP="431CEA14">
      <w:pPr>
        <w:spacing w:line="360" w:lineRule="auto"/>
        <w:ind w:firstLine="720"/>
        <w:jc w:val="both"/>
      </w:pPr>
      <w:r w:rsidRPr="431CEA14">
        <w:rPr>
          <w:rFonts w:ascii="Arial" w:eastAsia="Arial" w:hAnsi="Arial" w:cs="Arial"/>
          <w:sz w:val="22"/>
          <w:szCs w:val="22"/>
        </w:rPr>
        <w:lastRenderedPageBreak/>
        <w:t>Remission is closely associated with the amount of weight lost, particularly visceral and hepatic fat. This supports the "twin cycle hypothesis," which suggests that excess liver fat increases hepatic insulin resistance while pancreatic fat affects β-cell function. As a result, early intervention and vigorous weight management may reverse underlying pathology in certain individuals.</w:t>
      </w:r>
    </w:p>
    <w:p w14:paraId="1EEFDB90" w14:textId="3026A98D" w:rsidR="005C02B2" w:rsidRPr="00EF0EBA" w:rsidRDefault="57E9A34B" w:rsidP="00EF0EBA">
      <w:pPr>
        <w:spacing w:line="360" w:lineRule="auto"/>
        <w:ind w:firstLine="720"/>
        <w:jc w:val="both"/>
      </w:pPr>
      <w:r w:rsidRPr="431CEA14">
        <w:rPr>
          <w:rFonts w:ascii="Arial" w:eastAsia="Arial" w:hAnsi="Arial" w:cs="Arial"/>
          <w:sz w:val="22"/>
          <w:szCs w:val="22"/>
        </w:rPr>
        <w:t xml:space="preserve">For practice nurses, identifying patients motivated for intensive lifestyle change and referring them to structured weight management </w:t>
      </w:r>
      <w:r w:rsidR="151D1682" w:rsidRPr="431CEA14">
        <w:rPr>
          <w:rFonts w:ascii="Arial" w:eastAsia="Arial" w:hAnsi="Arial" w:cs="Arial"/>
          <w:sz w:val="22"/>
          <w:szCs w:val="22"/>
        </w:rPr>
        <w:t>programs</w:t>
      </w:r>
      <w:r w:rsidRPr="431CEA14">
        <w:rPr>
          <w:rFonts w:ascii="Arial" w:eastAsia="Arial" w:hAnsi="Arial" w:cs="Arial"/>
          <w:sz w:val="22"/>
          <w:szCs w:val="22"/>
        </w:rPr>
        <w:t xml:space="preserve"> can have transformative outcomes.</w:t>
      </w:r>
    </w:p>
    <w:p w14:paraId="7BC29FA7" w14:textId="1649BEB9" w:rsidR="005C02B2" w:rsidRDefault="005C02B2" w:rsidP="431CEA14">
      <w:pPr>
        <w:spacing w:line="360" w:lineRule="auto"/>
        <w:ind w:firstLine="720"/>
        <w:jc w:val="both"/>
        <w:rPr>
          <w:rFonts w:ascii="Arial" w:eastAsia="Arial" w:hAnsi="Arial" w:cs="Arial"/>
          <w:b/>
          <w:bCs/>
          <w:sz w:val="22"/>
          <w:szCs w:val="22"/>
          <w:u w:val="single"/>
        </w:rPr>
      </w:pPr>
    </w:p>
    <w:p w14:paraId="62DAE7C9" w14:textId="1CBCA212" w:rsidR="005C02B2" w:rsidRDefault="7D8F5269" w:rsidP="431CEA14">
      <w:pPr>
        <w:spacing w:line="360" w:lineRule="auto"/>
        <w:ind w:firstLine="720"/>
        <w:jc w:val="center"/>
        <w:rPr>
          <w:rFonts w:ascii="Arial" w:eastAsia="Arial" w:hAnsi="Arial" w:cs="Arial"/>
          <w:b/>
          <w:bCs/>
          <w:sz w:val="28"/>
          <w:szCs w:val="28"/>
          <w:u w:val="single"/>
        </w:rPr>
      </w:pPr>
      <w:r w:rsidRPr="431CEA14">
        <w:rPr>
          <w:rFonts w:ascii="Arial" w:eastAsia="Arial" w:hAnsi="Arial" w:cs="Arial"/>
          <w:b/>
          <w:bCs/>
          <w:sz w:val="28"/>
          <w:szCs w:val="28"/>
          <w:u w:val="single"/>
        </w:rPr>
        <w:t>Conclusion</w:t>
      </w:r>
    </w:p>
    <w:p w14:paraId="3739684E" w14:textId="5AB3D6D9" w:rsidR="005C02B2" w:rsidRDefault="142D44BB" w:rsidP="431CEA14">
      <w:pPr>
        <w:spacing w:line="360" w:lineRule="auto"/>
        <w:ind w:firstLine="720"/>
        <w:jc w:val="both"/>
      </w:pPr>
      <w:r w:rsidRPr="431CEA14">
        <w:rPr>
          <w:rFonts w:ascii="Arial" w:eastAsia="Arial" w:hAnsi="Arial" w:cs="Arial"/>
          <w:sz w:val="22"/>
          <w:szCs w:val="22"/>
        </w:rPr>
        <w:t>Type 2 diabetes is a progressive metabolic disorder with serious health consequences if not well managed. Understanding the physiological regulation of blood glucose and the principles of cellular energy production helps patients recognize the significance of glycemic control.</w:t>
      </w:r>
    </w:p>
    <w:p w14:paraId="7477D3E6" w14:textId="02E2CF13" w:rsidR="005C02B2" w:rsidRDefault="142D44BB" w:rsidP="431CEA14">
      <w:pPr>
        <w:spacing w:line="360" w:lineRule="auto"/>
        <w:ind w:firstLine="720"/>
        <w:jc w:val="both"/>
      </w:pPr>
      <w:r w:rsidRPr="431CEA14">
        <w:rPr>
          <w:rFonts w:ascii="Arial" w:eastAsia="Arial" w:hAnsi="Arial" w:cs="Arial"/>
          <w:sz w:val="22"/>
          <w:szCs w:val="22"/>
        </w:rPr>
        <w:t>Evidence clearly shows that organized blood glucose monitoring, when paired with patient education, improves HbA1c and lowers the risk of complications. Clinical research firmly supports lifestyle therapies such as smoking cessation, food modification, physical activity, and weight management, which continue to be essential for long-term illness management.</w:t>
      </w:r>
    </w:p>
    <w:p w14:paraId="0C1564DA" w14:textId="61B7DF08" w:rsidR="005C02B2" w:rsidRDefault="142D44BB" w:rsidP="431CEA14">
      <w:pPr>
        <w:spacing w:line="360" w:lineRule="auto"/>
        <w:ind w:firstLine="720"/>
        <w:jc w:val="both"/>
      </w:pPr>
      <w:r w:rsidRPr="431CEA14">
        <w:rPr>
          <w:rFonts w:ascii="Arial" w:eastAsia="Arial" w:hAnsi="Arial" w:cs="Arial"/>
          <w:sz w:val="22"/>
          <w:szCs w:val="22"/>
        </w:rPr>
        <w:t>Practice nurses are critical in providing patient-centered education, promoting behavioral change, and facilitating systematic monitoring. Primary care teams can reduce morbidity and enhance quality of life for Type 2 diabetics by incorporating evidence-based lifestyle guidelines into routine care.</w:t>
      </w:r>
    </w:p>
    <w:p w14:paraId="404B0DC2" w14:textId="37718464" w:rsidR="005C02B2" w:rsidRDefault="2138B5E2" w:rsidP="431CEA14">
      <w:pPr>
        <w:spacing w:before="240" w:after="240" w:line="360" w:lineRule="auto"/>
        <w:ind w:firstLine="720"/>
        <w:jc w:val="both"/>
        <w:rPr>
          <w:rFonts w:ascii="Arial" w:eastAsia="Arial" w:hAnsi="Arial" w:cs="Arial"/>
          <w:sz w:val="22"/>
          <w:szCs w:val="22"/>
        </w:rPr>
      </w:pPr>
      <w:r w:rsidRPr="431CEA14">
        <w:rPr>
          <w:rFonts w:ascii="Arial" w:eastAsia="Arial" w:hAnsi="Arial" w:cs="Arial"/>
          <w:sz w:val="22"/>
          <w:szCs w:val="22"/>
        </w:rPr>
        <w:t>The management of T2D extends beyond glycemic control alone. Addressing glycemic variability, cardiovascular risk, psychosocial well-being, and social determinants of health provides a comprehensive, patient-centred approach. Evidence supports structured education, behavioural counselling, weight management and technology-enabled care as effective strategies to improve outcomes.</w:t>
      </w:r>
    </w:p>
    <w:p w14:paraId="12407C93" w14:textId="022AE704" w:rsidR="005C02B2" w:rsidRDefault="2138B5E2" w:rsidP="431CEA14">
      <w:pPr>
        <w:spacing w:before="240" w:after="240" w:line="360" w:lineRule="auto"/>
        <w:jc w:val="both"/>
        <w:rPr>
          <w:rFonts w:ascii="Arial" w:eastAsia="Arial" w:hAnsi="Arial" w:cs="Arial"/>
          <w:sz w:val="22"/>
          <w:szCs w:val="22"/>
        </w:rPr>
      </w:pPr>
      <w:r w:rsidRPr="431CEA14">
        <w:rPr>
          <w:rFonts w:ascii="Arial" w:eastAsia="Arial" w:hAnsi="Arial" w:cs="Arial"/>
          <w:sz w:val="22"/>
          <w:szCs w:val="22"/>
        </w:rPr>
        <w:t>By integrating these components into routine primary care practice, nurses can enhance patient empowerment, reduce complication risk, and support long-term metabolic health.</w:t>
      </w:r>
    </w:p>
    <w:p w14:paraId="2FDBC443" w14:textId="1C4442A2" w:rsidR="005C02B2" w:rsidRDefault="005C02B2" w:rsidP="431CEA14">
      <w:pPr>
        <w:spacing w:before="240" w:after="240" w:line="360" w:lineRule="auto"/>
        <w:jc w:val="center"/>
        <w:rPr>
          <w:rFonts w:ascii="Arial" w:eastAsia="Arial" w:hAnsi="Arial" w:cs="Arial"/>
          <w:sz w:val="22"/>
          <w:szCs w:val="22"/>
        </w:rPr>
      </w:pPr>
    </w:p>
    <w:p w14:paraId="1839CDC7" w14:textId="4B318A68" w:rsidR="005C02B2" w:rsidRDefault="005C02B2" w:rsidP="00EF0EBA">
      <w:pPr>
        <w:spacing w:line="360" w:lineRule="auto"/>
        <w:jc w:val="both"/>
        <w:rPr>
          <w:rFonts w:ascii="Arial" w:eastAsia="Arial" w:hAnsi="Arial" w:cs="Arial"/>
          <w:sz w:val="22"/>
          <w:szCs w:val="22"/>
        </w:rPr>
      </w:pPr>
    </w:p>
    <w:p w14:paraId="6FBB8875" w14:textId="4460D94D" w:rsidR="005C02B2" w:rsidRDefault="5891EBB6" w:rsidP="431CEA14">
      <w:pPr>
        <w:spacing w:line="360" w:lineRule="auto"/>
        <w:jc w:val="center"/>
        <w:rPr>
          <w:rFonts w:ascii="Arial" w:eastAsia="Arial" w:hAnsi="Arial" w:cs="Arial"/>
          <w:b/>
          <w:bCs/>
          <w:sz w:val="28"/>
          <w:szCs w:val="28"/>
          <w:u w:val="single"/>
        </w:rPr>
      </w:pPr>
      <w:r w:rsidRPr="431CEA14">
        <w:rPr>
          <w:rFonts w:ascii="Arial" w:eastAsia="Arial" w:hAnsi="Arial" w:cs="Arial"/>
          <w:b/>
          <w:bCs/>
          <w:sz w:val="28"/>
          <w:szCs w:val="28"/>
          <w:u w:val="single"/>
        </w:rPr>
        <w:lastRenderedPageBreak/>
        <w:t>References</w:t>
      </w:r>
    </w:p>
    <w:p w14:paraId="6A846660" w14:textId="61AC84A2" w:rsidR="6EFBA50D" w:rsidRDefault="6EFBA50D" w:rsidP="431CEA14">
      <w:pPr>
        <w:spacing w:before="240" w:after="240" w:line="360" w:lineRule="auto"/>
        <w:jc w:val="both"/>
      </w:pPr>
      <w:r w:rsidRPr="431CEA14">
        <w:rPr>
          <w:rFonts w:ascii="Arial" w:eastAsia="Arial" w:hAnsi="Arial" w:cs="Arial"/>
          <w:sz w:val="22"/>
          <w:szCs w:val="22"/>
        </w:rPr>
        <w:t xml:space="preserve">American Diabetes Association 2023, ‘Standards of care in diabetes—2023’, </w:t>
      </w:r>
      <w:r w:rsidRPr="431CEA14">
        <w:rPr>
          <w:rFonts w:ascii="Arial" w:eastAsia="Arial" w:hAnsi="Arial" w:cs="Arial"/>
          <w:i/>
          <w:iCs/>
          <w:sz w:val="22"/>
          <w:szCs w:val="22"/>
        </w:rPr>
        <w:t>Diabetes Care</w:t>
      </w:r>
      <w:r w:rsidRPr="431CEA14">
        <w:rPr>
          <w:rFonts w:ascii="Arial" w:eastAsia="Arial" w:hAnsi="Arial" w:cs="Arial"/>
          <w:sz w:val="22"/>
          <w:szCs w:val="22"/>
        </w:rPr>
        <w:t>, vol. 46, suppl. 1, pp. S1–S291.</w:t>
      </w:r>
    </w:p>
    <w:p w14:paraId="579CE770" w14:textId="1FFE4E82" w:rsidR="6EFBA50D" w:rsidRDefault="6EFBA50D" w:rsidP="431CEA14">
      <w:pPr>
        <w:spacing w:before="240" w:after="240" w:line="360" w:lineRule="auto"/>
        <w:jc w:val="both"/>
      </w:pPr>
      <w:r w:rsidRPr="431CEA14">
        <w:rPr>
          <w:rFonts w:ascii="Arial" w:eastAsia="Arial" w:hAnsi="Arial" w:cs="Arial"/>
          <w:sz w:val="22"/>
          <w:szCs w:val="22"/>
        </w:rPr>
        <w:t xml:space="preserve">Anderson, JW, Baird, P, Davis, RH, Ferreri, S, Knudtson, M, Koraym, A, Waters, V &amp; Williams, CL 2004, ‘Health benefits of dietary fibre’, </w:t>
      </w:r>
      <w:r w:rsidRPr="431CEA14">
        <w:rPr>
          <w:rFonts w:ascii="Arial" w:eastAsia="Arial" w:hAnsi="Arial" w:cs="Arial"/>
          <w:i/>
          <w:iCs/>
          <w:sz w:val="22"/>
          <w:szCs w:val="22"/>
        </w:rPr>
        <w:t>Nutrition Reviews</w:t>
      </w:r>
      <w:r w:rsidRPr="431CEA14">
        <w:rPr>
          <w:rFonts w:ascii="Arial" w:eastAsia="Arial" w:hAnsi="Arial" w:cs="Arial"/>
          <w:sz w:val="22"/>
          <w:szCs w:val="22"/>
        </w:rPr>
        <w:t>, vol. 62, no. 5, pp. 1–9.</w:t>
      </w:r>
    </w:p>
    <w:p w14:paraId="423AC48E" w14:textId="000BE18E" w:rsidR="6EFBA50D" w:rsidRDefault="6EFBA50D" w:rsidP="431CEA14">
      <w:pPr>
        <w:spacing w:before="240" w:after="240" w:line="360" w:lineRule="auto"/>
        <w:jc w:val="both"/>
      </w:pPr>
      <w:r w:rsidRPr="431CEA14">
        <w:rPr>
          <w:rFonts w:ascii="Arial" w:eastAsia="Arial" w:hAnsi="Arial" w:cs="Arial"/>
          <w:sz w:val="22"/>
          <w:szCs w:val="22"/>
        </w:rPr>
        <w:t xml:space="preserve">Bonoto, BC, de Araújo, VE, Godói, IP, Lemos, LL, Godman, B, Bennie, M, Diniz, LM &amp; Junior, AAG 2017, ‘Efficacy of mobile health applications in improving glycemic control in patients with type 2 diabetes: a systematic review and meta-analysis’, </w:t>
      </w:r>
      <w:r w:rsidRPr="431CEA14">
        <w:rPr>
          <w:rFonts w:ascii="Arial" w:eastAsia="Arial" w:hAnsi="Arial" w:cs="Arial"/>
          <w:i/>
          <w:iCs/>
          <w:sz w:val="22"/>
          <w:szCs w:val="22"/>
        </w:rPr>
        <w:t>JMIR mHealth and uHealth</w:t>
      </w:r>
      <w:r w:rsidRPr="431CEA14">
        <w:rPr>
          <w:rFonts w:ascii="Arial" w:eastAsia="Arial" w:hAnsi="Arial" w:cs="Arial"/>
          <w:sz w:val="22"/>
          <w:szCs w:val="22"/>
        </w:rPr>
        <w:t>, vol. 5, no. 3, e4.</w:t>
      </w:r>
    </w:p>
    <w:p w14:paraId="3B8F0932" w14:textId="7FD90C3F" w:rsidR="6EFBA50D" w:rsidRDefault="6EFBA50D" w:rsidP="431CEA14">
      <w:pPr>
        <w:spacing w:before="240" w:after="240" w:line="360" w:lineRule="auto"/>
        <w:jc w:val="both"/>
      </w:pPr>
      <w:r w:rsidRPr="431CEA14">
        <w:rPr>
          <w:rFonts w:ascii="Arial" w:eastAsia="Arial" w:hAnsi="Arial" w:cs="Arial"/>
          <w:sz w:val="22"/>
          <w:szCs w:val="22"/>
        </w:rPr>
        <w:t xml:space="preserve">Broussard, JL &amp; Van Cauter, E 2016, ‘Disturbances of sleep and circadian rhythms: novel risk factors for obesity and diabetes’, </w:t>
      </w:r>
      <w:r w:rsidRPr="431CEA14">
        <w:rPr>
          <w:rFonts w:ascii="Arial" w:eastAsia="Arial" w:hAnsi="Arial" w:cs="Arial"/>
          <w:i/>
          <w:iCs/>
          <w:sz w:val="22"/>
          <w:szCs w:val="22"/>
        </w:rPr>
        <w:t>Current Opinion in Endocrinology, Diabetes and Obesity</w:t>
      </w:r>
      <w:r w:rsidRPr="431CEA14">
        <w:rPr>
          <w:rFonts w:ascii="Arial" w:eastAsia="Arial" w:hAnsi="Arial" w:cs="Arial"/>
          <w:sz w:val="22"/>
          <w:szCs w:val="22"/>
        </w:rPr>
        <w:t>, vol. 23, no. 5, pp. 353–359.</w:t>
      </w:r>
    </w:p>
    <w:p w14:paraId="03FDD2EA" w14:textId="60914C86" w:rsidR="6EFBA50D" w:rsidRDefault="6EFBA50D" w:rsidP="431CEA14">
      <w:pPr>
        <w:spacing w:before="240" w:after="240" w:line="360" w:lineRule="auto"/>
        <w:jc w:val="both"/>
      </w:pPr>
      <w:r w:rsidRPr="431CEA14">
        <w:rPr>
          <w:rFonts w:ascii="Arial" w:eastAsia="Arial" w:hAnsi="Arial" w:cs="Arial"/>
          <w:sz w:val="22"/>
          <w:szCs w:val="22"/>
        </w:rPr>
        <w:t xml:space="preserve">Colberg, SR, Sigal, RJ, Yardley, JE, Riddell, MC, Dunstan, DW, Dempsey, PC, Horton, ES, Castorino, K &amp; Tate, DF 2016, ‘Physical activity/exercise and diabetes: a position statement of the American Diabetes Association’, </w:t>
      </w:r>
      <w:r w:rsidRPr="431CEA14">
        <w:rPr>
          <w:rFonts w:ascii="Arial" w:eastAsia="Arial" w:hAnsi="Arial" w:cs="Arial"/>
          <w:i/>
          <w:iCs/>
          <w:sz w:val="22"/>
          <w:szCs w:val="22"/>
        </w:rPr>
        <w:t>Diabetes Care</w:t>
      </w:r>
      <w:r w:rsidRPr="431CEA14">
        <w:rPr>
          <w:rFonts w:ascii="Arial" w:eastAsia="Arial" w:hAnsi="Arial" w:cs="Arial"/>
          <w:sz w:val="22"/>
          <w:szCs w:val="22"/>
        </w:rPr>
        <w:t>, vol. 39, no. 11, pp. 2065–2079.</w:t>
      </w:r>
    </w:p>
    <w:p w14:paraId="4688ACE3" w14:textId="58412310" w:rsidR="6EFBA50D" w:rsidRDefault="6EFBA50D" w:rsidP="431CEA14">
      <w:pPr>
        <w:spacing w:before="240" w:after="240" w:line="360" w:lineRule="auto"/>
        <w:jc w:val="both"/>
      </w:pPr>
      <w:r w:rsidRPr="431CEA14">
        <w:rPr>
          <w:rFonts w:ascii="Arial" w:eastAsia="Arial" w:hAnsi="Arial" w:cs="Arial"/>
          <w:sz w:val="22"/>
          <w:szCs w:val="22"/>
        </w:rPr>
        <w:t xml:space="preserve">Critchley, JA &amp; Capewell, S 2003, ‘Mortality risk reduction associated with smoking cessation in patients with coronary heart disease: a systematic review’, </w:t>
      </w:r>
      <w:r w:rsidRPr="431CEA14">
        <w:rPr>
          <w:rFonts w:ascii="Arial" w:eastAsia="Arial" w:hAnsi="Arial" w:cs="Arial"/>
          <w:i/>
          <w:iCs/>
          <w:sz w:val="22"/>
          <w:szCs w:val="22"/>
        </w:rPr>
        <w:t>Journal of the American Medical Association</w:t>
      </w:r>
      <w:r w:rsidRPr="431CEA14">
        <w:rPr>
          <w:rFonts w:ascii="Arial" w:eastAsia="Arial" w:hAnsi="Arial" w:cs="Arial"/>
          <w:sz w:val="22"/>
          <w:szCs w:val="22"/>
        </w:rPr>
        <w:t>, vol. 290, no. 1, pp. 86–97.</w:t>
      </w:r>
    </w:p>
    <w:p w14:paraId="24C239CF" w14:textId="3995FC49" w:rsidR="6EFBA50D" w:rsidRDefault="6EFBA50D" w:rsidP="431CEA14">
      <w:pPr>
        <w:spacing w:before="240" w:after="240" w:line="360" w:lineRule="auto"/>
        <w:jc w:val="both"/>
      </w:pPr>
      <w:r w:rsidRPr="431CEA14">
        <w:rPr>
          <w:rFonts w:ascii="Arial" w:eastAsia="Arial" w:hAnsi="Arial" w:cs="Arial"/>
          <w:sz w:val="22"/>
          <w:szCs w:val="22"/>
        </w:rPr>
        <w:t xml:space="preserve">Davies, MJ, Heller, S, Skinner, TC, Campbell, MJ, Carey, ME, Cradock, S, Dallosso, HM, Daly, H, Doherty, Y, Eaton, S, Fox, C, Oliver, L, Rantell, K &amp; Khunti, K 2008, ‘Effectiveness of the diabetes education and self management for ongoing and newly diagnosed (DESMOND) programme for people with newly diagnosed type 2 diabetes: cluster randomised controlled trial’, </w:t>
      </w:r>
      <w:r w:rsidRPr="431CEA14">
        <w:rPr>
          <w:rFonts w:ascii="Arial" w:eastAsia="Arial" w:hAnsi="Arial" w:cs="Arial"/>
          <w:i/>
          <w:iCs/>
          <w:sz w:val="22"/>
          <w:szCs w:val="22"/>
        </w:rPr>
        <w:t>BMJ</w:t>
      </w:r>
      <w:r w:rsidRPr="431CEA14">
        <w:rPr>
          <w:rFonts w:ascii="Arial" w:eastAsia="Arial" w:hAnsi="Arial" w:cs="Arial"/>
          <w:sz w:val="22"/>
          <w:szCs w:val="22"/>
        </w:rPr>
        <w:t>, vol. 336, no. 7642, pp. 491–495.</w:t>
      </w:r>
    </w:p>
    <w:p w14:paraId="2EA97356" w14:textId="6D693129" w:rsidR="6EFBA50D" w:rsidRDefault="6EFBA50D" w:rsidP="431CEA14">
      <w:pPr>
        <w:spacing w:before="240" w:after="240" w:line="360" w:lineRule="auto"/>
        <w:jc w:val="both"/>
      </w:pPr>
      <w:r w:rsidRPr="431CEA14">
        <w:rPr>
          <w:rFonts w:ascii="Arial" w:eastAsia="Arial" w:hAnsi="Arial" w:cs="Arial"/>
          <w:sz w:val="22"/>
          <w:szCs w:val="22"/>
        </w:rPr>
        <w:t xml:space="preserve">DeFronzo, RA, Ferrannini, E, Zimmet, P &amp; Alberti, G 2015, </w:t>
      </w:r>
      <w:r w:rsidRPr="431CEA14">
        <w:rPr>
          <w:rFonts w:ascii="Arial" w:eastAsia="Arial" w:hAnsi="Arial" w:cs="Arial"/>
          <w:i/>
          <w:iCs/>
          <w:sz w:val="22"/>
          <w:szCs w:val="22"/>
        </w:rPr>
        <w:t>International textbook of diabetes mellitus</w:t>
      </w:r>
      <w:r w:rsidRPr="431CEA14">
        <w:rPr>
          <w:rFonts w:ascii="Arial" w:eastAsia="Arial" w:hAnsi="Arial" w:cs="Arial"/>
          <w:sz w:val="22"/>
          <w:szCs w:val="22"/>
        </w:rPr>
        <w:t xml:space="preserve">, 4th </w:t>
      </w:r>
      <w:proofErr w:type="gramStart"/>
      <w:r w:rsidRPr="431CEA14">
        <w:rPr>
          <w:rFonts w:ascii="Arial" w:eastAsia="Arial" w:hAnsi="Arial" w:cs="Arial"/>
          <w:sz w:val="22"/>
          <w:szCs w:val="22"/>
        </w:rPr>
        <w:t>edn</w:t>
      </w:r>
      <w:proofErr w:type="gramEnd"/>
      <w:r w:rsidRPr="431CEA14">
        <w:rPr>
          <w:rFonts w:ascii="Arial" w:eastAsia="Arial" w:hAnsi="Arial" w:cs="Arial"/>
          <w:sz w:val="22"/>
          <w:szCs w:val="22"/>
        </w:rPr>
        <w:t>, Wiley Blackwell, Chichester.</w:t>
      </w:r>
    </w:p>
    <w:p w14:paraId="35CDD87F" w14:textId="58E90D39" w:rsidR="6EFBA50D" w:rsidRDefault="6EFBA50D" w:rsidP="431CEA14">
      <w:pPr>
        <w:spacing w:before="240" w:after="240" w:line="360" w:lineRule="auto"/>
        <w:jc w:val="both"/>
      </w:pPr>
      <w:r w:rsidRPr="431CEA14">
        <w:rPr>
          <w:rFonts w:ascii="Arial" w:eastAsia="Arial" w:hAnsi="Arial" w:cs="Arial"/>
          <w:sz w:val="22"/>
          <w:szCs w:val="22"/>
        </w:rPr>
        <w:t xml:space="preserve">Diabetes UK 2023, </w:t>
      </w:r>
      <w:r w:rsidRPr="431CEA14">
        <w:rPr>
          <w:rFonts w:ascii="Arial" w:eastAsia="Arial" w:hAnsi="Arial" w:cs="Arial"/>
          <w:i/>
          <w:iCs/>
          <w:sz w:val="22"/>
          <w:szCs w:val="22"/>
        </w:rPr>
        <w:t>Diabetes prevalence 2023</w:t>
      </w:r>
      <w:r w:rsidRPr="431CEA14">
        <w:rPr>
          <w:rFonts w:ascii="Arial" w:eastAsia="Arial" w:hAnsi="Arial" w:cs="Arial"/>
          <w:sz w:val="22"/>
          <w:szCs w:val="22"/>
        </w:rPr>
        <w:t xml:space="preserve">, Diabetes UK, viewed 20 February 2026, </w:t>
      </w:r>
      <w:hyperlink r:id="rId10">
        <w:r w:rsidRPr="431CEA14">
          <w:rPr>
            <w:rStyle w:val="Hyperlink"/>
            <w:rFonts w:ascii="Arial" w:eastAsia="Arial" w:hAnsi="Arial" w:cs="Arial"/>
            <w:sz w:val="22"/>
            <w:szCs w:val="22"/>
          </w:rPr>
          <w:t>https://www.diabetes.org.uk</w:t>
        </w:r>
      </w:hyperlink>
      <w:r w:rsidRPr="431CEA14">
        <w:rPr>
          <w:rFonts w:ascii="Arial" w:eastAsia="Arial" w:hAnsi="Arial" w:cs="Arial"/>
          <w:sz w:val="22"/>
          <w:szCs w:val="22"/>
        </w:rPr>
        <w:t>.</w:t>
      </w:r>
    </w:p>
    <w:p w14:paraId="49A9EB73" w14:textId="04A537CC" w:rsidR="6EFBA50D" w:rsidRDefault="6EFBA50D" w:rsidP="431CEA14">
      <w:pPr>
        <w:spacing w:before="240" w:after="240" w:line="360" w:lineRule="auto"/>
        <w:jc w:val="both"/>
      </w:pPr>
      <w:r w:rsidRPr="431CEA14">
        <w:rPr>
          <w:rFonts w:ascii="Arial" w:eastAsia="Arial" w:hAnsi="Arial" w:cs="Arial"/>
          <w:sz w:val="22"/>
          <w:szCs w:val="22"/>
        </w:rPr>
        <w:lastRenderedPageBreak/>
        <w:t xml:space="preserve">Emerging Risk Factors Collaboration 2010, ‘Diabetes mellitus, fasting blood glucose concentration, and risk of vascular disease: a collaborative meta-analysis’, </w:t>
      </w:r>
      <w:r w:rsidRPr="431CEA14">
        <w:rPr>
          <w:rFonts w:ascii="Arial" w:eastAsia="Arial" w:hAnsi="Arial" w:cs="Arial"/>
          <w:i/>
          <w:iCs/>
          <w:sz w:val="22"/>
          <w:szCs w:val="22"/>
        </w:rPr>
        <w:t>The Lancet</w:t>
      </w:r>
      <w:r w:rsidRPr="431CEA14">
        <w:rPr>
          <w:rFonts w:ascii="Arial" w:eastAsia="Arial" w:hAnsi="Arial" w:cs="Arial"/>
          <w:sz w:val="22"/>
          <w:szCs w:val="22"/>
        </w:rPr>
        <w:t>, vol. 375, no. 9733, pp. 2215–2222.</w:t>
      </w:r>
    </w:p>
    <w:p w14:paraId="00CF9349" w14:textId="4C9CCCF6" w:rsidR="6EFBA50D" w:rsidRDefault="6EFBA50D" w:rsidP="431CEA14">
      <w:pPr>
        <w:spacing w:before="240" w:after="240" w:line="360" w:lineRule="auto"/>
        <w:jc w:val="both"/>
      </w:pPr>
      <w:r w:rsidRPr="431CEA14">
        <w:rPr>
          <w:rFonts w:ascii="Arial" w:eastAsia="Arial" w:hAnsi="Arial" w:cs="Arial"/>
          <w:sz w:val="22"/>
          <w:szCs w:val="22"/>
        </w:rPr>
        <w:t xml:space="preserve">Esposito, K, Chiodini, P, Maiorino, MI, Bellastella, G, Panagiotakos, D &amp; Giugliano, D </w:t>
      </w:r>
      <w:proofErr w:type="gramStart"/>
      <w:r w:rsidRPr="431CEA14">
        <w:rPr>
          <w:rFonts w:ascii="Arial" w:eastAsia="Arial" w:hAnsi="Arial" w:cs="Arial"/>
          <w:sz w:val="22"/>
          <w:szCs w:val="22"/>
        </w:rPr>
        <w:t>2018, ‘</w:t>
      </w:r>
      <w:proofErr w:type="gramEnd"/>
      <w:r w:rsidRPr="431CEA14">
        <w:rPr>
          <w:rFonts w:ascii="Arial" w:eastAsia="Arial" w:hAnsi="Arial" w:cs="Arial"/>
          <w:sz w:val="22"/>
          <w:szCs w:val="22"/>
        </w:rPr>
        <w:t xml:space="preserve">Mediterranean diet and glycaemic control in type 2 diabetes: a systematic review’, </w:t>
      </w:r>
      <w:r w:rsidRPr="431CEA14">
        <w:rPr>
          <w:rFonts w:ascii="Arial" w:eastAsia="Arial" w:hAnsi="Arial" w:cs="Arial"/>
          <w:i/>
          <w:iCs/>
          <w:sz w:val="22"/>
          <w:szCs w:val="22"/>
        </w:rPr>
        <w:t>BMJ</w:t>
      </w:r>
      <w:r w:rsidRPr="431CEA14">
        <w:rPr>
          <w:rFonts w:ascii="Arial" w:eastAsia="Arial" w:hAnsi="Arial" w:cs="Arial"/>
          <w:sz w:val="22"/>
          <w:szCs w:val="22"/>
        </w:rPr>
        <w:t>, vol. 361, k1419.</w:t>
      </w:r>
    </w:p>
    <w:p w14:paraId="3EDF71C7" w14:textId="595663A3" w:rsidR="6EFBA50D" w:rsidRDefault="6EFBA50D" w:rsidP="431CEA14">
      <w:pPr>
        <w:spacing w:before="240" w:after="240" w:line="360" w:lineRule="auto"/>
        <w:jc w:val="both"/>
      </w:pPr>
      <w:r w:rsidRPr="431CEA14">
        <w:rPr>
          <w:rFonts w:ascii="Arial" w:eastAsia="Arial" w:hAnsi="Arial" w:cs="Arial"/>
          <w:sz w:val="22"/>
          <w:szCs w:val="22"/>
        </w:rPr>
        <w:t xml:space="preserve">Greenwood, DA, Gee, PM, Fatkin, KJ &amp; Peeples, M 2014, ‘A systematic review of reviews evaluating technology-enabled diabetes self-management education and support’, </w:t>
      </w:r>
      <w:r w:rsidRPr="431CEA14">
        <w:rPr>
          <w:rFonts w:ascii="Arial" w:eastAsia="Arial" w:hAnsi="Arial" w:cs="Arial"/>
          <w:i/>
          <w:iCs/>
          <w:sz w:val="22"/>
          <w:szCs w:val="22"/>
        </w:rPr>
        <w:t>Journal of Diabetes Science and Technology</w:t>
      </w:r>
      <w:r w:rsidRPr="431CEA14">
        <w:rPr>
          <w:rFonts w:ascii="Arial" w:eastAsia="Arial" w:hAnsi="Arial" w:cs="Arial"/>
          <w:sz w:val="22"/>
          <w:szCs w:val="22"/>
        </w:rPr>
        <w:t>, vol. 8, no. 4, pp. 820–834.</w:t>
      </w:r>
    </w:p>
    <w:p w14:paraId="2E2E79CE" w14:textId="26E5500A" w:rsidR="6EFBA50D" w:rsidRDefault="6EFBA50D" w:rsidP="431CEA14">
      <w:pPr>
        <w:spacing w:before="240" w:after="240" w:line="360" w:lineRule="auto"/>
        <w:jc w:val="both"/>
      </w:pPr>
      <w:r w:rsidRPr="431CEA14">
        <w:rPr>
          <w:rFonts w:ascii="Arial" w:eastAsia="Arial" w:hAnsi="Arial" w:cs="Arial"/>
          <w:sz w:val="22"/>
          <w:szCs w:val="22"/>
        </w:rPr>
        <w:t xml:space="preserve">International Diabetes Federation 2023, </w:t>
      </w:r>
      <w:r w:rsidRPr="431CEA14">
        <w:rPr>
          <w:rFonts w:ascii="Arial" w:eastAsia="Arial" w:hAnsi="Arial" w:cs="Arial"/>
          <w:i/>
          <w:iCs/>
          <w:sz w:val="22"/>
          <w:szCs w:val="22"/>
        </w:rPr>
        <w:t>IDF diabetes atlas</w:t>
      </w:r>
      <w:r w:rsidRPr="431CEA14">
        <w:rPr>
          <w:rFonts w:ascii="Arial" w:eastAsia="Arial" w:hAnsi="Arial" w:cs="Arial"/>
          <w:sz w:val="22"/>
          <w:szCs w:val="22"/>
        </w:rPr>
        <w:t xml:space="preserve">, 10th </w:t>
      </w:r>
      <w:proofErr w:type="gramStart"/>
      <w:r w:rsidRPr="431CEA14">
        <w:rPr>
          <w:rFonts w:ascii="Arial" w:eastAsia="Arial" w:hAnsi="Arial" w:cs="Arial"/>
          <w:sz w:val="22"/>
          <w:szCs w:val="22"/>
        </w:rPr>
        <w:t>edn</w:t>
      </w:r>
      <w:proofErr w:type="gramEnd"/>
      <w:r w:rsidRPr="431CEA14">
        <w:rPr>
          <w:rFonts w:ascii="Arial" w:eastAsia="Arial" w:hAnsi="Arial" w:cs="Arial"/>
          <w:sz w:val="22"/>
          <w:szCs w:val="22"/>
        </w:rPr>
        <w:t>, International Diabetes Federation, Brussels.</w:t>
      </w:r>
    </w:p>
    <w:p w14:paraId="5AA4FBCB" w14:textId="0072A832" w:rsidR="6EFBA50D" w:rsidRDefault="6EFBA50D" w:rsidP="431CEA14">
      <w:pPr>
        <w:spacing w:before="240" w:after="240" w:line="360" w:lineRule="auto"/>
        <w:jc w:val="both"/>
      </w:pPr>
      <w:r w:rsidRPr="431CEA14">
        <w:rPr>
          <w:rFonts w:ascii="Arial" w:eastAsia="Arial" w:hAnsi="Arial" w:cs="Arial"/>
          <w:sz w:val="22"/>
          <w:szCs w:val="22"/>
        </w:rPr>
        <w:t xml:space="preserve">Lean, MEJ, Leslie, WS, Barnes, AC, Brosnahan, N, Thom, G, McCombie, L, Peters, C, Zhyzhneuskaya, S, Al-Mrabeh, A, Hollingsworth, KG, Rodrigues, AM, Rehackova, L, Adamson, AJ, Sniehotta, FF, Mathers, JC, Ross, H, McIlvenna, Y, Stefanetti, R, Trenell, M &amp; Taylor, R 2018, ‘Primary care-led weight management for remission of type 2 diabetes (DiRECT): an open-label, cluster-randomised trial’, </w:t>
      </w:r>
      <w:r w:rsidRPr="431CEA14">
        <w:rPr>
          <w:rFonts w:ascii="Arial" w:eastAsia="Arial" w:hAnsi="Arial" w:cs="Arial"/>
          <w:i/>
          <w:iCs/>
          <w:sz w:val="22"/>
          <w:szCs w:val="22"/>
        </w:rPr>
        <w:t>The Lancet</w:t>
      </w:r>
      <w:r w:rsidRPr="431CEA14">
        <w:rPr>
          <w:rFonts w:ascii="Arial" w:eastAsia="Arial" w:hAnsi="Arial" w:cs="Arial"/>
          <w:sz w:val="22"/>
          <w:szCs w:val="22"/>
        </w:rPr>
        <w:t>, vol. 391, no. 10120, pp. 541–551.</w:t>
      </w:r>
    </w:p>
    <w:p w14:paraId="36B0AA03" w14:textId="264DC931" w:rsidR="6EFBA50D" w:rsidRDefault="6EFBA50D" w:rsidP="431CEA14">
      <w:pPr>
        <w:spacing w:before="240" w:after="240" w:line="360" w:lineRule="auto"/>
        <w:jc w:val="both"/>
      </w:pPr>
      <w:r w:rsidRPr="431CEA14">
        <w:rPr>
          <w:rFonts w:ascii="Arial" w:eastAsia="Arial" w:hAnsi="Arial" w:cs="Arial"/>
          <w:sz w:val="22"/>
          <w:szCs w:val="22"/>
        </w:rPr>
        <w:t xml:space="preserve">Lean, MEJ, Leslie, WS, Barnes, AC, Brosnahan, N, Thom, G, McCombie, L, Peters, C, Zhyzhneuskaya, S, Al-Mrabeh, A, Hollingsworth, KG, Rodrigues, AM, Rehackova, L, Adamson, AJ, Sniehotta, FF, Mathers, JC, Ross, H, McIlvenna, Y, Stefanetti, R, Trenell, M &amp; Taylor, R 2019, ‘Durability of a primary care-led weight-management intervention for remission of type 2 diabetes at 2 years’, </w:t>
      </w:r>
      <w:r w:rsidRPr="431CEA14">
        <w:rPr>
          <w:rFonts w:ascii="Arial" w:eastAsia="Arial" w:hAnsi="Arial" w:cs="Arial"/>
          <w:i/>
          <w:iCs/>
          <w:sz w:val="22"/>
          <w:szCs w:val="22"/>
        </w:rPr>
        <w:t>The Lancet Diabetes &amp; Endocrinology</w:t>
      </w:r>
      <w:r w:rsidRPr="431CEA14">
        <w:rPr>
          <w:rFonts w:ascii="Arial" w:eastAsia="Arial" w:hAnsi="Arial" w:cs="Arial"/>
          <w:sz w:val="22"/>
          <w:szCs w:val="22"/>
        </w:rPr>
        <w:t>, vol. 7, no. 5, pp. 344–355.</w:t>
      </w:r>
    </w:p>
    <w:p w14:paraId="565F4140" w14:textId="1C8B9C5A" w:rsidR="6EFBA50D" w:rsidRDefault="6EFBA50D" w:rsidP="431CEA14">
      <w:pPr>
        <w:spacing w:before="240" w:after="240" w:line="360" w:lineRule="auto"/>
        <w:jc w:val="both"/>
      </w:pPr>
      <w:r w:rsidRPr="431CEA14">
        <w:rPr>
          <w:rFonts w:ascii="Arial" w:eastAsia="Arial" w:hAnsi="Arial" w:cs="Arial"/>
          <w:sz w:val="22"/>
          <w:szCs w:val="22"/>
        </w:rPr>
        <w:t xml:space="preserve">Look AHEAD Research Group 2013, ‘Cardiovascular effects of intensive lifestyle intervention in type 2 diabetes’, </w:t>
      </w:r>
      <w:r w:rsidRPr="431CEA14">
        <w:rPr>
          <w:rFonts w:ascii="Arial" w:eastAsia="Arial" w:hAnsi="Arial" w:cs="Arial"/>
          <w:i/>
          <w:iCs/>
          <w:sz w:val="22"/>
          <w:szCs w:val="22"/>
        </w:rPr>
        <w:t>New England Journal of Medicine</w:t>
      </w:r>
      <w:r w:rsidRPr="431CEA14">
        <w:rPr>
          <w:rFonts w:ascii="Arial" w:eastAsia="Arial" w:hAnsi="Arial" w:cs="Arial"/>
          <w:sz w:val="22"/>
          <w:szCs w:val="22"/>
        </w:rPr>
        <w:t>, vol. 369, no. 2, pp. 145–154.</w:t>
      </w:r>
    </w:p>
    <w:p w14:paraId="0230B822" w14:textId="56B0F43F" w:rsidR="6EFBA50D" w:rsidRDefault="6EFBA50D" w:rsidP="431CEA14">
      <w:pPr>
        <w:spacing w:before="240" w:after="240" w:line="360" w:lineRule="auto"/>
        <w:jc w:val="both"/>
      </w:pPr>
      <w:r w:rsidRPr="431CEA14">
        <w:rPr>
          <w:rFonts w:ascii="Arial" w:eastAsia="Arial" w:hAnsi="Arial" w:cs="Arial"/>
          <w:sz w:val="22"/>
          <w:szCs w:val="22"/>
        </w:rPr>
        <w:t xml:space="preserve">Michie, S, van Stralen, MM &amp; West, R </w:t>
      </w:r>
      <w:proofErr w:type="gramStart"/>
      <w:r w:rsidRPr="431CEA14">
        <w:rPr>
          <w:rFonts w:ascii="Arial" w:eastAsia="Arial" w:hAnsi="Arial" w:cs="Arial"/>
          <w:sz w:val="22"/>
          <w:szCs w:val="22"/>
        </w:rPr>
        <w:t>2011, ‘</w:t>
      </w:r>
      <w:proofErr w:type="gramEnd"/>
      <w:r w:rsidRPr="431CEA14">
        <w:rPr>
          <w:rFonts w:ascii="Arial" w:eastAsia="Arial" w:hAnsi="Arial" w:cs="Arial"/>
          <w:sz w:val="22"/>
          <w:szCs w:val="22"/>
        </w:rPr>
        <w:t xml:space="preserve">The behaviour change wheel: a new method for characterising and designing behaviour change interventions’, </w:t>
      </w:r>
      <w:r w:rsidRPr="431CEA14">
        <w:rPr>
          <w:rFonts w:ascii="Arial" w:eastAsia="Arial" w:hAnsi="Arial" w:cs="Arial"/>
          <w:i/>
          <w:iCs/>
          <w:sz w:val="22"/>
          <w:szCs w:val="22"/>
        </w:rPr>
        <w:t>Implementation Science</w:t>
      </w:r>
      <w:r w:rsidRPr="431CEA14">
        <w:rPr>
          <w:rFonts w:ascii="Arial" w:eastAsia="Arial" w:hAnsi="Arial" w:cs="Arial"/>
          <w:sz w:val="22"/>
          <w:szCs w:val="22"/>
        </w:rPr>
        <w:t>, vol. 6, no. 42.</w:t>
      </w:r>
    </w:p>
    <w:p w14:paraId="7C76EFB7" w14:textId="72A89D95" w:rsidR="6EFBA50D" w:rsidRDefault="6EFBA50D" w:rsidP="431CEA14">
      <w:pPr>
        <w:spacing w:before="240" w:after="240" w:line="360" w:lineRule="auto"/>
        <w:jc w:val="both"/>
      </w:pPr>
      <w:r w:rsidRPr="431CEA14">
        <w:rPr>
          <w:rFonts w:ascii="Arial" w:eastAsia="Arial" w:hAnsi="Arial" w:cs="Arial"/>
          <w:sz w:val="22"/>
          <w:szCs w:val="22"/>
        </w:rPr>
        <w:t xml:space="preserve">Monnier, L, Mas, E, Ginet, C, Michel, F, Villon, L, Cristol, JP &amp; Colette, C 2006, ‘Activation of oxidative stress by acute glucose fluctuations compared with sustained chronic hyperglycemia in patients with type 2 diabetes’, </w:t>
      </w:r>
      <w:r w:rsidRPr="431CEA14">
        <w:rPr>
          <w:rFonts w:ascii="Arial" w:eastAsia="Arial" w:hAnsi="Arial" w:cs="Arial"/>
          <w:i/>
          <w:iCs/>
          <w:sz w:val="22"/>
          <w:szCs w:val="22"/>
        </w:rPr>
        <w:t>JAMA</w:t>
      </w:r>
      <w:r w:rsidRPr="431CEA14">
        <w:rPr>
          <w:rFonts w:ascii="Arial" w:eastAsia="Arial" w:hAnsi="Arial" w:cs="Arial"/>
          <w:sz w:val="22"/>
          <w:szCs w:val="22"/>
        </w:rPr>
        <w:t>, vol. 295, no. 14, pp. 1681–1687.</w:t>
      </w:r>
    </w:p>
    <w:p w14:paraId="1DEC6327" w14:textId="1ECB6A31" w:rsidR="6EFBA50D" w:rsidRDefault="6EFBA50D" w:rsidP="431CEA14">
      <w:pPr>
        <w:spacing w:before="240" w:after="240" w:line="360" w:lineRule="auto"/>
        <w:jc w:val="both"/>
      </w:pPr>
      <w:r w:rsidRPr="431CEA14">
        <w:rPr>
          <w:rFonts w:ascii="Arial" w:eastAsia="Arial" w:hAnsi="Arial" w:cs="Arial"/>
          <w:sz w:val="22"/>
          <w:szCs w:val="22"/>
        </w:rPr>
        <w:lastRenderedPageBreak/>
        <w:t xml:space="preserve">National Institute for Health and Care Excellence 2021, </w:t>
      </w:r>
      <w:r w:rsidRPr="431CEA14">
        <w:rPr>
          <w:rFonts w:ascii="Arial" w:eastAsia="Arial" w:hAnsi="Arial" w:cs="Arial"/>
          <w:i/>
          <w:iCs/>
          <w:sz w:val="22"/>
          <w:szCs w:val="22"/>
        </w:rPr>
        <w:t>Smoking: cessation interventions and services</w:t>
      </w:r>
      <w:r w:rsidRPr="431CEA14">
        <w:rPr>
          <w:rFonts w:ascii="Arial" w:eastAsia="Arial" w:hAnsi="Arial" w:cs="Arial"/>
          <w:sz w:val="22"/>
          <w:szCs w:val="22"/>
        </w:rPr>
        <w:t>, NICE guideline PH48, NICE, London.</w:t>
      </w:r>
    </w:p>
    <w:p w14:paraId="4E4E5D03" w14:textId="6884EA3F" w:rsidR="6EFBA50D" w:rsidRDefault="6EFBA50D" w:rsidP="431CEA14">
      <w:pPr>
        <w:spacing w:before="240" w:after="240" w:line="360" w:lineRule="auto"/>
        <w:jc w:val="both"/>
      </w:pPr>
      <w:r w:rsidRPr="431CEA14">
        <w:rPr>
          <w:rFonts w:ascii="Arial" w:eastAsia="Arial" w:hAnsi="Arial" w:cs="Arial"/>
          <w:sz w:val="22"/>
          <w:szCs w:val="22"/>
        </w:rPr>
        <w:t xml:space="preserve">National Institute for Health and Care Excellence 2022, </w:t>
      </w:r>
      <w:r w:rsidRPr="431CEA14">
        <w:rPr>
          <w:rFonts w:ascii="Arial" w:eastAsia="Arial" w:hAnsi="Arial" w:cs="Arial"/>
          <w:i/>
          <w:iCs/>
          <w:sz w:val="22"/>
          <w:szCs w:val="22"/>
        </w:rPr>
        <w:t>Type 2 diabetes in adults: management</w:t>
      </w:r>
      <w:r w:rsidRPr="431CEA14">
        <w:rPr>
          <w:rFonts w:ascii="Arial" w:eastAsia="Arial" w:hAnsi="Arial" w:cs="Arial"/>
          <w:sz w:val="22"/>
          <w:szCs w:val="22"/>
        </w:rPr>
        <w:t>, NICE guideline NG28, NICE, London.</w:t>
      </w:r>
    </w:p>
    <w:p w14:paraId="5A161634" w14:textId="48C71B5B" w:rsidR="6EFBA50D" w:rsidRDefault="6EFBA50D" w:rsidP="431CEA14">
      <w:pPr>
        <w:spacing w:before="240" w:after="240" w:line="360" w:lineRule="auto"/>
        <w:jc w:val="both"/>
      </w:pPr>
      <w:r w:rsidRPr="431CEA14">
        <w:rPr>
          <w:rFonts w:ascii="Arial" w:eastAsia="Arial" w:hAnsi="Arial" w:cs="Arial"/>
          <w:sz w:val="22"/>
          <w:szCs w:val="22"/>
        </w:rPr>
        <w:t xml:space="preserve">Norris, SL, Engelgau, MM &amp; Narayan, KMV 2001, ‘Effectiveness of self-management training in type 2 diabetes: a systematic review’, </w:t>
      </w:r>
      <w:r w:rsidRPr="431CEA14">
        <w:rPr>
          <w:rFonts w:ascii="Arial" w:eastAsia="Arial" w:hAnsi="Arial" w:cs="Arial"/>
          <w:i/>
          <w:iCs/>
          <w:sz w:val="22"/>
          <w:szCs w:val="22"/>
        </w:rPr>
        <w:t>Diabetes Care</w:t>
      </w:r>
      <w:r w:rsidRPr="431CEA14">
        <w:rPr>
          <w:rFonts w:ascii="Arial" w:eastAsia="Arial" w:hAnsi="Arial" w:cs="Arial"/>
          <w:sz w:val="22"/>
          <w:szCs w:val="22"/>
        </w:rPr>
        <w:t>, vol. 24, no. 3, pp. 561–587.</w:t>
      </w:r>
    </w:p>
    <w:p w14:paraId="08D27DB0" w14:textId="3554AB84" w:rsidR="6EFBA50D" w:rsidRDefault="6EFBA50D" w:rsidP="431CEA14">
      <w:pPr>
        <w:spacing w:before="240" w:after="240" w:line="360" w:lineRule="auto"/>
        <w:jc w:val="both"/>
      </w:pPr>
      <w:r w:rsidRPr="431CEA14">
        <w:rPr>
          <w:rFonts w:ascii="Arial" w:eastAsia="Arial" w:hAnsi="Arial" w:cs="Arial"/>
          <w:sz w:val="22"/>
          <w:szCs w:val="22"/>
        </w:rPr>
        <w:t xml:space="preserve">OpenStax 2020, </w:t>
      </w:r>
      <w:r w:rsidRPr="431CEA14">
        <w:rPr>
          <w:rFonts w:ascii="Arial" w:eastAsia="Arial" w:hAnsi="Arial" w:cs="Arial"/>
          <w:i/>
          <w:iCs/>
          <w:sz w:val="22"/>
          <w:szCs w:val="22"/>
        </w:rPr>
        <w:t>Biology 2e</w:t>
      </w:r>
      <w:r w:rsidRPr="431CEA14">
        <w:rPr>
          <w:rFonts w:ascii="Arial" w:eastAsia="Arial" w:hAnsi="Arial" w:cs="Arial"/>
          <w:sz w:val="22"/>
          <w:szCs w:val="22"/>
        </w:rPr>
        <w:t xml:space="preserve">, OpenStax, Rice University, viewed 20 February 2026, </w:t>
      </w:r>
      <w:hyperlink r:id="rId11">
        <w:r w:rsidRPr="431CEA14">
          <w:rPr>
            <w:rStyle w:val="Hyperlink"/>
            <w:rFonts w:ascii="Arial" w:eastAsia="Arial" w:hAnsi="Arial" w:cs="Arial"/>
            <w:sz w:val="22"/>
            <w:szCs w:val="22"/>
          </w:rPr>
          <w:t>https://openstax.org/details/books/biology-2e</w:t>
        </w:r>
      </w:hyperlink>
      <w:r w:rsidRPr="431CEA14">
        <w:rPr>
          <w:rFonts w:ascii="Arial" w:eastAsia="Arial" w:hAnsi="Arial" w:cs="Arial"/>
          <w:sz w:val="22"/>
          <w:szCs w:val="22"/>
        </w:rPr>
        <w:t>.</w:t>
      </w:r>
    </w:p>
    <w:p w14:paraId="56AE9596" w14:textId="7BDBEDD4" w:rsidR="6EFBA50D" w:rsidRDefault="6EFBA50D" w:rsidP="431CEA14">
      <w:pPr>
        <w:spacing w:before="240" w:after="240" w:line="360" w:lineRule="auto"/>
        <w:jc w:val="both"/>
      </w:pPr>
      <w:r w:rsidRPr="431CEA14">
        <w:rPr>
          <w:rFonts w:ascii="Arial" w:eastAsia="Arial" w:hAnsi="Arial" w:cs="Arial"/>
          <w:sz w:val="22"/>
          <w:szCs w:val="22"/>
        </w:rPr>
        <w:t xml:space="preserve">Polonsky, WH, Fisher, L, Schikman, CH, Hinnen, DA, Parkin, CG, Jelsovsky, Z, Petersen, B &amp; Schweitzer, M 2011, ‘Structured self-monitoring of blood glucose significantly reduces A1C levels in poorly controlled, noninsulin-treated type 2 diabetes’, </w:t>
      </w:r>
      <w:r w:rsidRPr="431CEA14">
        <w:rPr>
          <w:rFonts w:ascii="Arial" w:eastAsia="Arial" w:hAnsi="Arial" w:cs="Arial"/>
          <w:i/>
          <w:iCs/>
          <w:sz w:val="22"/>
          <w:szCs w:val="22"/>
        </w:rPr>
        <w:t>Diabetes Care</w:t>
      </w:r>
      <w:r w:rsidRPr="431CEA14">
        <w:rPr>
          <w:rFonts w:ascii="Arial" w:eastAsia="Arial" w:hAnsi="Arial" w:cs="Arial"/>
          <w:sz w:val="22"/>
          <w:szCs w:val="22"/>
        </w:rPr>
        <w:t>, vol. 34, no. 2, pp. 262–267.</w:t>
      </w:r>
    </w:p>
    <w:p w14:paraId="3CA155D2" w14:textId="1709BCCE" w:rsidR="6EFBA50D" w:rsidRDefault="6EFBA50D" w:rsidP="431CEA14">
      <w:pPr>
        <w:spacing w:before="240" w:after="240" w:line="360" w:lineRule="auto"/>
        <w:jc w:val="both"/>
      </w:pPr>
      <w:r w:rsidRPr="431CEA14">
        <w:rPr>
          <w:rFonts w:ascii="Arial" w:eastAsia="Arial" w:hAnsi="Arial" w:cs="Arial"/>
          <w:sz w:val="22"/>
          <w:szCs w:val="22"/>
        </w:rPr>
        <w:t xml:space="preserve">Saltiel, AR &amp; Kahn, CR 2001, ‘Insulin signalling and the reation of glucose and lipid metabolism’, </w:t>
      </w:r>
      <w:r w:rsidRPr="431CEA14">
        <w:rPr>
          <w:rFonts w:ascii="Arial" w:eastAsia="Arial" w:hAnsi="Arial" w:cs="Arial"/>
          <w:i/>
          <w:iCs/>
          <w:sz w:val="22"/>
          <w:szCs w:val="22"/>
        </w:rPr>
        <w:t>Nature</w:t>
      </w:r>
      <w:r w:rsidRPr="431CEA14">
        <w:rPr>
          <w:rFonts w:ascii="Arial" w:eastAsia="Arial" w:hAnsi="Arial" w:cs="Arial"/>
          <w:sz w:val="22"/>
          <w:szCs w:val="22"/>
        </w:rPr>
        <w:t>, vol. 414, no. 6865, pp. 799–806.</w:t>
      </w:r>
    </w:p>
    <w:p w14:paraId="1B908134" w14:textId="3C70421D" w:rsidR="6EFBA50D" w:rsidRDefault="6EFBA50D" w:rsidP="431CEA14">
      <w:pPr>
        <w:spacing w:before="240" w:after="240" w:line="360" w:lineRule="auto"/>
        <w:jc w:val="both"/>
      </w:pPr>
      <w:r w:rsidRPr="431CEA14">
        <w:rPr>
          <w:rFonts w:ascii="Arial" w:eastAsia="Arial" w:hAnsi="Arial" w:cs="Arial"/>
          <w:sz w:val="22"/>
          <w:szCs w:val="22"/>
        </w:rPr>
        <w:t xml:space="preserve">Taylor, R 2013, ‘Type 2 diabetes: etiology and reversibility’, </w:t>
      </w:r>
      <w:r w:rsidRPr="431CEA14">
        <w:rPr>
          <w:rFonts w:ascii="Arial" w:eastAsia="Arial" w:hAnsi="Arial" w:cs="Arial"/>
          <w:i/>
          <w:iCs/>
          <w:sz w:val="22"/>
          <w:szCs w:val="22"/>
        </w:rPr>
        <w:t>Diabetes Care</w:t>
      </w:r>
      <w:r w:rsidRPr="431CEA14">
        <w:rPr>
          <w:rFonts w:ascii="Arial" w:eastAsia="Arial" w:hAnsi="Arial" w:cs="Arial"/>
          <w:sz w:val="22"/>
          <w:szCs w:val="22"/>
        </w:rPr>
        <w:t>, vol. 36, no. 4, pp. 1047–1055.</w:t>
      </w:r>
    </w:p>
    <w:p w14:paraId="2E341AD9" w14:textId="00C8B0B8" w:rsidR="6EFBA50D" w:rsidRDefault="6EFBA50D" w:rsidP="431CEA14">
      <w:pPr>
        <w:spacing w:before="240" w:after="240" w:line="360" w:lineRule="auto"/>
        <w:jc w:val="both"/>
      </w:pPr>
      <w:r w:rsidRPr="431CEA14">
        <w:rPr>
          <w:rFonts w:ascii="Arial" w:eastAsia="Arial" w:hAnsi="Arial" w:cs="Arial"/>
          <w:sz w:val="22"/>
          <w:szCs w:val="22"/>
        </w:rPr>
        <w:t xml:space="preserve">Umpierre, D, Ribeiro, PAB, Kramer, CK, Leitão, CB, Zucatti, ATN, Azevedo, MJ, Gross, JL, Ribeiro, JP &amp; Schaan, BD 2011, ‘Physical activity advice or structured exercise training and association with HbA1c levels in type 2 diabetes’, </w:t>
      </w:r>
      <w:r w:rsidRPr="431CEA14">
        <w:rPr>
          <w:rFonts w:ascii="Arial" w:eastAsia="Arial" w:hAnsi="Arial" w:cs="Arial"/>
          <w:i/>
          <w:iCs/>
          <w:sz w:val="22"/>
          <w:szCs w:val="22"/>
        </w:rPr>
        <w:t>JAMA</w:t>
      </w:r>
      <w:r w:rsidRPr="431CEA14">
        <w:rPr>
          <w:rFonts w:ascii="Arial" w:eastAsia="Arial" w:hAnsi="Arial" w:cs="Arial"/>
          <w:sz w:val="22"/>
          <w:szCs w:val="22"/>
        </w:rPr>
        <w:t>, vol. 305, no. 17, pp. 1790–1799.</w:t>
      </w:r>
    </w:p>
    <w:p w14:paraId="65E51E27" w14:textId="42BE270B" w:rsidR="6EFBA50D" w:rsidRDefault="6EFBA50D" w:rsidP="431CEA14">
      <w:pPr>
        <w:spacing w:before="240" w:after="240" w:line="360" w:lineRule="auto"/>
        <w:jc w:val="both"/>
      </w:pPr>
      <w:r w:rsidRPr="431CEA14">
        <w:rPr>
          <w:rFonts w:ascii="Arial" w:eastAsia="Arial" w:hAnsi="Arial" w:cs="Arial"/>
          <w:sz w:val="22"/>
          <w:szCs w:val="22"/>
        </w:rPr>
        <w:t xml:space="preserve">Unger, RH &amp; Cherrington, AD 2012, ‘Glucagonocentric restructuring of diabetes’, </w:t>
      </w:r>
      <w:r w:rsidRPr="431CEA14">
        <w:rPr>
          <w:rFonts w:ascii="Arial" w:eastAsia="Arial" w:hAnsi="Arial" w:cs="Arial"/>
          <w:i/>
          <w:iCs/>
          <w:sz w:val="22"/>
          <w:szCs w:val="22"/>
        </w:rPr>
        <w:t>Journal of Clinical Investigation</w:t>
      </w:r>
      <w:r w:rsidRPr="431CEA14">
        <w:rPr>
          <w:rFonts w:ascii="Arial" w:eastAsia="Arial" w:hAnsi="Arial" w:cs="Arial"/>
          <w:sz w:val="22"/>
          <w:szCs w:val="22"/>
        </w:rPr>
        <w:t>, vol. 122, no. 1, pp. 4–12.</w:t>
      </w:r>
    </w:p>
    <w:p w14:paraId="733EE4EB" w14:textId="7B740B72" w:rsidR="6EFBA50D" w:rsidRDefault="6EFBA50D" w:rsidP="431CEA14">
      <w:pPr>
        <w:spacing w:before="240" w:after="240" w:line="360" w:lineRule="auto"/>
        <w:jc w:val="both"/>
      </w:pPr>
      <w:r w:rsidRPr="431CEA14">
        <w:rPr>
          <w:rFonts w:ascii="Arial" w:eastAsia="Arial" w:hAnsi="Arial" w:cs="Arial"/>
          <w:sz w:val="22"/>
          <w:szCs w:val="22"/>
        </w:rPr>
        <w:t xml:space="preserve">UK Prospective Diabetes Study (UKPDS) Group 1998, ‘Intensive blood-glucose control with sulphonylureas or insulin compared with conventional treatment and risk of complications in patients with type 2 diabetes’, </w:t>
      </w:r>
      <w:r w:rsidRPr="431CEA14">
        <w:rPr>
          <w:rFonts w:ascii="Arial" w:eastAsia="Arial" w:hAnsi="Arial" w:cs="Arial"/>
          <w:i/>
          <w:iCs/>
          <w:sz w:val="22"/>
          <w:szCs w:val="22"/>
        </w:rPr>
        <w:t>New England Journal of Medicine</w:t>
      </w:r>
      <w:r w:rsidRPr="431CEA14">
        <w:rPr>
          <w:rFonts w:ascii="Arial" w:eastAsia="Arial" w:hAnsi="Arial" w:cs="Arial"/>
          <w:sz w:val="22"/>
          <w:szCs w:val="22"/>
        </w:rPr>
        <w:t>, vol. 338, no. 13, pp. 837–853.</w:t>
      </w:r>
    </w:p>
    <w:p w14:paraId="454A2159" w14:textId="72BD6C7D" w:rsidR="0A095A35" w:rsidRDefault="6EFBA50D" w:rsidP="00EF0EBA">
      <w:pPr>
        <w:spacing w:before="240" w:after="240" w:line="360" w:lineRule="auto"/>
        <w:jc w:val="both"/>
      </w:pPr>
      <w:r w:rsidRPr="431CEA14">
        <w:rPr>
          <w:rFonts w:ascii="Arial" w:eastAsia="Arial" w:hAnsi="Arial" w:cs="Arial"/>
          <w:sz w:val="22"/>
          <w:szCs w:val="22"/>
        </w:rPr>
        <w:t xml:space="preserve">Willi, C, Bodenmann, P, Ghali, WA, Faris, PD &amp; Cornuz, J 2007, ‘Active smoking and the risk of type 2 diabetes: a systematic review and meta-analysis’, </w:t>
      </w:r>
      <w:r w:rsidRPr="431CEA14">
        <w:rPr>
          <w:rFonts w:ascii="Arial" w:eastAsia="Arial" w:hAnsi="Arial" w:cs="Arial"/>
          <w:i/>
          <w:iCs/>
          <w:sz w:val="22"/>
          <w:szCs w:val="22"/>
        </w:rPr>
        <w:t>JAMA</w:t>
      </w:r>
      <w:r w:rsidRPr="431CEA14">
        <w:rPr>
          <w:rFonts w:ascii="Arial" w:eastAsia="Arial" w:hAnsi="Arial" w:cs="Arial"/>
          <w:sz w:val="22"/>
          <w:szCs w:val="22"/>
        </w:rPr>
        <w:t>, vol. 298, no. 22, pp. 2654–2664.</w:t>
      </w:r>
    </w:p>
    <w:sectPr w:rsidR="0A095A35">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CE8E11" w14:textId="77777777" w:rsidR="009E4943" w:rsidRDefault="009E4943">
      <w:pPr>
        <w:spacing w:after="0" w:line="240" w:lineRule="auto"/>
      </w:pPr>
      <w:r>
        <w:separator/>
      </w:r>
    </w:p>
  </w:endnote>
  <w:endnote w:type="continuationSeparator" w:id="0">
    <w:p w14:paraId="0B814C6F" w14:textId="77777777" w:rsidR="009E4943" w:rsidRDefault="009E4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31CEA14" w14:paraId="7732809E" w14:textId="77777777" w:rsidTr="431CEA14">
      <w:trPr>
        <w:trHeight w:val="300"/>
      </w:trPr>
      <w:tc>
        <w:tcPr>
          <w:tcW w:w="3120" w:type="dxa"/>
        </w:tcPr>
        <w:p w14:paraId="1D336D5C" w14:textId="76337960" w:rsidR="431CEA14" w:rsidRDefault="431CEA14" w:rsidP="431CEA14">
          <w:pPr>
            <w:pStyle w:val="Header"/>
            <w:ind w:left="-115"/>
          </w:pPr>
        </w:p>
      </w:tc>
      <w:tc>
        <w:tcPr>
          <w:tcW w:w="3120" w:type="dxa"/>
        </w:tcPr>
        <w:p w14:paraId="05696950" w14:textId="155867C5" w:rsidR="431CEA14" w:rsidRDefault="431CEA14" w:rsidP="431CEA14">
          <w:pPr>
            <w:pStyle w:val="Header"/>
            <w:jc w:val="center"/>
          </w:pPr>
          <w:r>
            <w:fldChar w:fldCharType="begin"/>
          </w:r>
          <w:r>
            <w:instrText>PAGE</w:instrText>
          </w:r>
          <w:r>
            <w:fldChar w:fldCharType="separate"/>
          </w:r>
          <w:r w:rsidR="00EF0EBA">
            <w:rPr>
              <w:noProof/>
            </w:rPr>
            <w:t>1</w:t>
          </w:r>
          <w:r>
            <w:fldChar w:fldCharType="end"/>
          </w:r>
        </w:p>
      </w:tc>
      <w:tc>
        <w:tcPr>
          <w:tcW w:w="3120" w:type="dxa"/>
        </w:tcPr>
        <w:p w14:paraId="2E8E2952" w14:textId="2E13774D" w:rsidR="431CEA14" w:rsidRDefault="431CEA14" w:rsidP="431CEA14">
          <w:pPr>
            <w:pStyle w:val="Header"/>
            <w:ind w:right="-115"/>
            <w:jc w:val="right"/>
          </w:pPr>
        </w:p>
      </w:tc>
    </w:tr>
  </w:tbl>
  <w:p w14:paraId="6E64EE34" w14:textId="5535803B" w:rsidR="431CEA14" w:rsidRDefault="431CEA14" w:rsidP="431CE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BDC63" w14:textId="77777777" w:rsidR="009E4943" w:rsidRDefault="009E4943">
      <w:pPr>
        <w:spacing w:after="0" w:line="240" w:lineRule="auto"/>
      </w:pPr>
      <w:r>
        <w:separator/>
      </w:r>
    </w:p>
  </w:footnote>
  <w:footnote w:type="continuationSeparator" w:id="0">
    <w:p w14:paraId="43111960" w14:textId="77777777" w:rsidR="009E4943" w:rsidRDefault="009E49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31CEA14" w14:paraId="2F32FEFD" w14:textId="77777777" w:rsidTr="431CEA14">
      <w:trPr>
        <w:trHeight w:val="300"/>
      </w:trPr>
      <w:tc>
        <w:tcPr>
          <w:tcW w:w="3120" w:type="dxa"/>
        </w:tcPr>
        <w:p w14:paraId="7EE2ADB1" w14:textId="5F1E48E1" w:rsidR="431CEA14" w:rsidRDefault="431CEA14" w:rsidP="431CEA14">
          <w:pPr>
            <w:pStyle w:val="Header"/>
            <w:ind w:left="-115"/>
          </w:pPr>
        </w:p>
      </w:tc>
      <w:tc>
        <w:tcPr>
          <w:tcW w:w="3120" w:type="dxa"/>
        </w:tcPr>
        <w:p w14:paraId="3750DE51" w14:textId="6DA050D8" w:rsidR="431CEA14" w:rsidRDefault="431CEA14" w:rsidP="431CEA14">
          <w:pPr>
            <w:pStyle w:val="Header"/>
            <w:jc w:val="center"/>
          </w:pPr>
        </w:p>
      </w:tc>
      <w:tc>
        <w:tcPr>
          <w:tcW w:w="3120" w:type="dxa"/>
        </w:tcPr>
        <w:p w14:paraId="550FC9A7" w14:textId="66FBF4C0" w:rsidR="431CEA14" w:rsidRDefault="431CEA14" w:rsidP="431CEA14">
          <w:pPr>
            <w:pStyle w:val="Header"/>
            <w:ind w:right="-115"/>
            <w:jc w:val="right"/>
          </w:pPr>
        </w:p>
      </w:tc>
    </w:tr>
  </w:tbl>
  <w:p w14:paraId="7E182EF5" w14:textId="7A442438" w:rsidR="431CEA14" w:rsidRDefault="431CEA14" w:rsidP="431CEA14">
    <w:pPr>
      <w:pStyle w:val="Header"/>
    </w:pPr>
  </w:p>
</w:hdr>
</file>

<file path=word/intelligence2.xml><?xml version="1.0" encoding="utf-8"?>
<int2:intelligence xmlns:int2="http://schemas.microsoft.com/office/intelligence/2020/intelligence" xmlns:oel="http://schemas.microsoft.com/office/2019/extlst">
  <int2:observations>
    <int2:textHash int2:hashCode="PLZtS9B8ew8ND3" int2:id="4lvtt1Sf">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54C109"/>
    <w:multiLevelType w:val="hybridMultilevel"/>
    <w:tmpl w:val="3AFE91D0"/>
    <w:lvl w:ilvl="0" w:tplc="5052C8E8">
      <w:start w:val="1"/>
      <w:numFmt w:val="decimal"/>
      <w:lvlText w:val="%1."/>
      <w:lvlJc w:val="left"/>
      <w:pPr>
        <w:ind w:left="720" w:hanging="360"/>
      </w:pPr>
    </w:lvl>
    <w:lvl w:ilvl="1" w:tplc="074EB6C2">
      <w:start w:val="1"/>
      <w:numFmt w:val="lowerLetter"/>
      <w:lvlText w:val="%2."/>
      <w:lvlJc w:val="left"/>
      <w:pPr>
        <w:ind w:left="1440" w:hanging="360"/>
      </w:pPr>
    </w:lvl>
    <w:lvl w:ilvl="2" w:tplc="E4D699BE">
      <w:start w:val="1"/>
      <w:numFmt w:val="lowerRoman"/>
      <w:lvlText w:val="%3."/>
      <w:lvlJc w:val="right"/>
      <w:pPr>
        <w:ind w:left="2160" w:hanging="180"/>
      </w:pPr>
    </w:lvl>
    <w:lvl w:ilvl="3" w:tplc="7B62FABE">
      <w:start w:val="1"/>
      <w:numFmt w:val="decimal"/>
      <w:lvlText w:val="%4."/>
      <w:lvlJc w:val="left"/>
      <w:pPr>
        <w:ind w:left="2880" w:hanging="360"/>
      </w:pPr>
    </w:lvl>
    <w:lvl w:ilvl="4" w:tplc="0F3E0BDE">
      <w:start w:val="1"/>
      <w:numFmt w:val="lowerLetter"/>
      <w:lvlText w:val="%5."/>
      <w:lvlJc w:val="left"/>
      <w:pPr>
        <w:ind w:left="3600" w:hanging="360"/>
      </w:pPr>
    </w:lvl>
    <w:lvl w:ilvl="5" w:tplc="B248101C">
      <w:start w:val="1"/>
      <w:numFmt w:val="lowerRoman"/>
      <w:lvlText w:val="%6."/>
      <w:lvlJc w:val="right"/>
      <w:pPr>
        <w:ind w:left="4320" w:hanging="180"/>
      </w:pPr>
    </w:lvl>
    <w:lvl w:ilvl="6" w:tplc="568A52A4">
      <w:start w:val="1"/>
      <w:numFmt w:val="decimal"/>
      <w:lvlText w:val="%7."/>
      <w:lvlJc w:val="left"/>
      <w:pPr>
        <w:ind w:left="5040" w:hanging="360"/>
      </w:pPr>
    </w:lvl>
    <w:lvl w:ilvl="7" w:tplc="EB5CDB0E">
      <w:start w:val="1"/>
      <w:numFmt w:val="lowerLetter"/>
      <w:lvlText w:val="%8."/>
      <w:lvlJc w:val="left"/>
      <w:pPr>
        <w:ind w:left="5760" w:hanging="360"/>
      </w:pPr>
    </w:lvl>
    <w:lvl w:ilvl="8" w:tplc="6B6A49C2">
      <w:start w:val="1"/>
      <w:numFmt w:val="lowerRoman"/>
      <w:lvlText w:val="%9."/>
      <w:lvlJc w:val="right"/>
      <w:pPr>
        <w:ind w:left="6480" w:hanging="180"/>
      </w:pPr>
    </w:lvl>
  </w:abstractNum>
  <w:abstractNum w:abstractNumId="1" w15:restartNumberingAfterBreak="0">
    <w:nsid w:val="34372100"/>
    <w:multiLevelType w:val="hybridMultilevel"/>
    <w:tmpl w:val="EE1C59FA"/>
    <w:lvl w:ilvl="0" w:tplc="368C26C8">
      <w:start w:val="1"/>
      <w:numFmt w:val="bullet"/>
      <w:lvlText w:val=""/>
      <w:lvlJc w:val="left"/>
      <w:pPr>
        <w:ind w:left="720" w:hanging="360"/>
      </w:pPr>
      <w:rPr>
        <w:rFonts w:ascii="Symbol" w:hAnsi="Symbol" w:hint="default"/>
      </w:rPr>
    </w:lvl>
    <w:lvl w:ilvl="1" w:tplc="164A8486">
      <w:start w:val="1"/>
      <w:numFmt w:val="bullet"/>
      <w:lvlText w:val="o"/>
      <w:lvlJc w:val="left"/>
      <w:pPr>
        <w:ind w:left="1440" w:hanging="360"/>
      </w:pPr>
      <w:rPr>
        <w:rFonts w:ascii="Courier New" w:hAnsi="Courier New" w:hint="default"/>
      </w:rPr>
    </w:lvl>
    <w:lvl w:ilvl="2" w:tplc="B30EC2DC">
      <w:start w:val="1"/>
      <w:numFmt w:val="bullet"/>
      <w:lvlText w:val=""/>
      <w:lvlJc w:val="left"/>
      <w:pPr>
        <w:ind w:left="2160" w:hanging="360"/>
      </w:pPr>
      <w:rPr>
        <w:rFonts w:ascii="Wingdings" w:hAnsi="Wingdings" w:hint="default"/>
      </w:rPr>
    </w:lvl>
    <w:lvl w:ilvl="3" w:tplc="28E6485E">
      <w:start w:val="1"/>
      <w:numFmt w:val="bullet"/>
      <w:lvlText w:val=""/>
      <w:lvlJc w:val="left"/>
      <w:pPr>
        <w:ind w:left="2880" w:hanging="360"/>
      </w:pPr>
      <w:rPr>
        <w:rFonts w:ascii="Symbol" w:hAnsi="Symbol" w:hint="default"/>
      </w:rPr>
    </w:lvl>
    <w:lvl w:ilvl="4" w:tplc="94B68CD6">
      <w:start w:val="1"/>
      <w:numFmt w:val="bullet"/>
      <w:lvlText w:val="o"/>
      <w:lvlJc w:val="left"/>
      <w:pPr>
        <w:ind w:left="3600" w:hanging="360"/>
      </w:pPr>
      <w:rPr>
        <w:rFonts w:ascii="Courier New" w:hAnsi="Courier New" w:hint="default"/>
      </w:rPr>
    </w:lvl>
    <w:lvl w:ilvl="5" w:tplc="8D9C1E36">
      <w:start w:val="1"/>
      <w:numFmt w:val="bullet"/>
      <w:lvlText w:val=""/>
      <w:lvlJc w:val="left"/>
      <w:pPr>
        <w:ind w:left="4320" w:hanging="360"/>
      </w:pPr>
      <w:rPr>
        <w:rFonts w:ascii="Wingdings" w:hAnsi="Wingdings" w:hint="default"/>
      </w:rPr>
    </w:lvl>
    <w:lvl w:ilvl="6" w:tplc="861687B2">
      <w:start w:val="1"/>
      <w:numFmt w:val="bullet"/>
      <w:lvlText w:val=""/>
      <w:lvlJc w:val="left"/>
      <w:pPr>
        <w:ind w:left="5040" w:hanging="360"/>
      </w:pPr>
      <w:rPr>
        <w:rFonts w:ascii="Symbol" w:hAnsi="Symbol" w:hint="default"/>
      </w:rPr>
    </w:lvl>
    <w:lvl w:ilvl="7" w:tplc="38741478">
      <w:start w:val="1"/>
      <w:numFmt w:val="bullet"/>
      <w:lvlText w:val="o"/>
      <w:lvlJc w:val="left"/>
      <w:pPr>
        <w:ind w:left="5760" w:hanging="360"/>
      </w:pPr>
      <w:rPr>
        <w:rFonts w:ascii="Courier New" w:hAnsi="Courier New" w:hint="default"/>
      </w:rPr>
    </w:lvl>
    <w:lvl w:ilvl="8" w:tplc="9E8E3A40">
      <w:start w:val="1"/>
      <w:numFmt w:val="bullet"/>
      <w:lvlText w:val=""/>
      <w:lvlJc w:val="left"/>
      <w:pPr>
        <w:ind w:left="6480" w:hanging="360"/>
      </w:pPr>
      <w:rPr>
        <w:rFonts w:ascii="Wingdings" w:hAnsi="Wingdings" w:hint="default"/>
      </w:rPr>
    </w:lvl>
  </w:abstractNum>
  <w:abstractNum w:abstractNumId="2" w15:restartNumberingAfterBreak="0">
    <w:nsid w:val="3609A027"/>
    <w:multiLevelType w:val="hybridMultilevel"/>
    <w:tmpl w:val="FF16A260"/>
    <w:lvl w:ilvl="0" w:tplc="AE44F4FA">
      <w:start w:val="1"/>
      <w:numFmt w:val="decimal"/>
      <w:lvlText w:val="%1."/>
      <w:lvlJc w:val="left"/>
      <w:pPr>
        <w:ind w:left="720" w:hanging="360"/>
      </w:pPr>
    </w:lvl>
    <w:lvl w:ilvl="1" w:tplc="A18AA1C2">
      <w:start w:val="1"/>
      <w:numFmt w:val="lowerLetter"/>
      <w:lvlText w:val="%2."/>
      <w:lvlJc w:val="left"/>
      <w:pPr>
        <w:ind w:left="1440" w:hanging="360"/>
      </w:pPr>
    </w:lvl>
    <w:lvl w:ilvl="2" w:tplc="2E5E2964">
      <w:start w:val="1"/>
      <w:numFmt w:val="lowerRoman"/>
      <w:lvlText w:val="%3."/>
      <w:lvlJc w:val="right"/>
      <w:pPr>
        <w:ind w:left="2160" w:hanging="180"/>
      </w:pPr>
    </w:lvl>
    <w:lvl w:ilvl="3" w:tplc="574449F0">
      <w:start w:val="1"/>
      <w:numFmt w:val="decimal"/>
      <w:lvlText w:val="%4."/>
      <w:lvlJc w:val="left"/>
      <w:pPr>
        <w:ind w:left="2880" w:hanging="360"/>
      </w:pPr>
    </w:lvl>
    <w:lvl w:ilvl="4" w:tplc="D9368C02">
      <w:start w:val="1"/>
      <w:numFmt w:val="lowerLetter"/>
      <w:lvlText w:val="%5."/>
      <w:lvlJc w:val="left"/>
      <w:pPr>
        <w:ind w:left="3600" w:hanging="360"/>
      </w:pPr>
    </w:lvl>
    <w:lvl w:ilvl="5" w:tplc="9558B8C4">
      <w:start w:val="1"/>
      <w:numFmt w:val="lowerRoman"/>
      <w:lvlText w:val="%6."/>
      <w:lvlJc w:val="right"/>
      <w:pPr>
        <w:ind w:left="4320" w:hanging="180"/>
      </w:pPr>
    </w:lvl>
    <w:lvl w:ilvl="6" w:tplc="E056F39E">
      <w:start w:val="1"/>
      <w:numFmt w:val="decimal"/>
      <w:lvlText w:val="%7."/>
      <w:lvlJc w:val="left"/>
      <w:pPr>
        <w:ind w:left="5040" w:hanging="360"/>
      </w:pPr>
    </w:lvl>
    <w:lvl w:ilvl="7" w:tplc="7B9A27E6">
      <w:start w:val="1"/>
      <w:numFmt w:val="lowerLetter"/>
      <w:lvlText w:val="%8."/>
      <w:lvlJc w:val="left"/>
      <w:pPr>
        <w:ind w:left="5760" w:hanging="360"/>
      </w:pPr>
    </w:lvl>
    <w:lvl w:ilvl="8" w:tplc="FF24D402">
      <w:start w:val="1"/>
      <w:numFmt w:val="lowerRoman"/>
      <w:lvlText w:val="%9."/>
      <w:lvlJc w:val="right"/>
      <w:pPr>
        <w:ind w:left="6480" w:hanging="180"/>
      </w:pPr>
    </w:lvl>
  </w:abstractNum>
  <w:abstractNum w:abstractNumId="3" w15:restartNumberingAfterBreak="0">
    <w:nsid w:val="3C4E776A"/>
    <w:multiLevelType w:val="hybridMultilevel"/>
    <w:tmpl w:val="D64A8EA2"/>
    <w:lvl w:ilvl="0" w:tplc="6E60C376">
      <w:start w:val="1"/>
      <w:numFmt w:val="bullet"/>
      <w:lvlText w:val=""/>
      <w:lvlJc w:val="left"/>
      <w:pPr>
        <w:ind w:left="720" w:hanging="360"/>
      </w:pPr>
      <w:rPr>
        <w:rFonts w:ascii="Symbol" w:hAnsi="Symbol" w:hint="default"/>
      </w:rPr>
    </w:lvl>
    <w:lvl w:ilvl="1" w:tplc="FC04D344">
      <w:start w:val="1"/>
      <w:numFmt w:val="bullet"/>
      <w:lvlText w:val="o"/>
      <w:lvlJc w:val="left"/>
      <w:pPr>
        <w:ind w:left="1440" w:hanging="360"/>
      </w:pPr>
      <w:rPr>
        <w:rFonts w:ascii="Courier New" w:hAnsi="Courier New" w:hint="default"/>
      </w:rPr>
    </w:lvl>
    <w:lvl w:ilvl="2" w:tplc="57781216">
      <w:start w:val="1"/>
      <w:numFmt w:val="bullet"/>
      <w:lvlText w:val=""/>
      <w:lvlJc w:val="left"/>
      <w:pPr>
        <w:ind w:left="2160" w:hanging="360"/>
      </w:pPr>
      <w:rPr>
        <w:rFonts w:ascii="Wingdings" w:hAnsi="Wingdings" w:hint="default"/>
      </w:rPr>
    </w:lvl>
    <w:lvl w:ilvl="3" w:tplc="16FE53E4">
      <w:start w:val="1"/>
      <w:numFmt w:val="bullet"/>
      <w:lvlText w:val=""/>
      <w:lvlJc w:val="left"/>
      <w:pPr>
        <w:ind w:left="2880" w:hanging="360"/>
      </w:pPr>
      <w:rPr>
        <w:rFonts w:ascii="Symbol" w:hAnsi="Symbol" w:hint="default"/>
      </w:rPr>
    </w:lvl>
    <w:lvl w:ilvl="4" w:tplc="C17C50F8">
      <w:start w:val="1"/>
      <w:numFmt w:val="bullet"/>
      <w:lvlText w:val="o"/>
      <w:lvlJc w:val="left"/>
      <w:pPr>
        <w:ind w:left="3600" w:hanging="360"/>
      </w:pPr>
      <w:rPr>
        <w:rFonts w:ascii="Courier New" w:hAnsi="Courier New" w:hint="default"/>
      </w:rPr>
    </w:lvl>
    <w:lvl w:ilvl="5" w:tplc="B1325560">
      <w:start w:val="1"/>
      <w:numFmt w:val="bullet"/>
      <w:lvlText w:val=""/>
      <w:lvlJc w:val="left"/>
      <w:pPr>
        <w:ind w:left="4320" w:hanging="360"/>
      </w:pPr>
      <w:rPr>
        <w:rFonts w:ascii="Wingdings" w:hAnsi="Wingdings" w:hint="default"/>
      </w:rPr>
    </w:lvl>
    <w:lvl w:ilvl="6" w:tplc="D53E244E">
      <w:start w:val="1"/>
      <w:numFmt w:val="bullet"/>
      <w:lvlText w:val=""/>
      <w:lvlJc w:val="left"/>
      <w:pPr>
        <w:ind w:left="5040" w:hanging="360"/>
      </w:pPr>
      <w:rPr>
        <w:rFonts w:ascii="Symbol" w:hAnsi="Symbol" w:hint="default"/>
      </w:rPr>
    </w:lvl>
    <w:lvl w:ilvl="7" w:tplc="238623CE">
      <w:start w:val="1"/>
      <w:numFmt w:val="bullet"/>
      <w:lvlText w:val="o"/>
      <w:lvlJc w:val="left"/>
      <w:pPr>
        <w:ind w:left="5760" w:hanging="360"/>
      </w:pPr>
      <w:rPr>
        <w:rFonts w:ascii="Courier New" w:hAnsi="Courier New" w:hint="default"/>
      </w:rPr>
    </w:lvl>
    <w:lvl w:ilvl="8" w:tplc="1F6853F8">
      <w:start w:val="1"/>
      <w:numFmt w:val="bullet"/>
      <w:lvlText w:val=""/>
      <w:lvlJc w:val="left"/>
      <w:pPr>
        <w:ind w:left="6480" w:hanging="360"/>
      </w:pPr>
      <w:rPr>
        <w:rFonts w:ascii="Wingdings" w:hAnsi="Wingdings" w:hint="default"/>
      </w:rPr>
    </w:lvl>
  </w:abstractNum>
  <w:num w:numId="1" w16cid:durableId="51199096">
    <w:abstractNumId w:val="3"/>
  </w:num>
  <w:num w:numId="2" w16cid:durableId="1605112339">
    <w:abstractNumId w:val="1"/>
  </w:num>
  <w:num w:numId="3" w16cid:durableId="1766921491">
    <w:abstractNumId w:val="0"/>
  </w:num>
  <w:num w:numId="4" w16cid:durableId="10474919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7713DC"/>
    <w:rsid w:val="0004774F"/>
    <w:rsid w:val="0017246A"/>
    <w:rsid w:val="00407A62"/>
    <w:rsid w:val="005C02B2"/>
    <w:rsid w:val="007F41A8"/>
    <w:rsid w:val="00804B04"/>
    <w:rsid w:val="009E4943"/>
    <w:rsid w:val="00B2008A"/>
    <w:rsid w:val="00B76E03"/>
    <w:rsid w:val="00E4F474"/>
    <w:rsid w:val="00EF0EBA"/>
    <w:rsid w:val="014EAE71"/>
    <w:rsid w:val="03613662"/>
    <w:rsid w:val="03E4C0A8"/>
    <w:rsid w:val="0426416A"/>
    <w:rsid w:val="055DFDB2"/>
    <w:rsid w:val="05EAAF7C"/>
    <w:rsid w:val="06623033"/>
    <w:rsid w:val="07351110"/>
    <w:rsid w:val="07AF75EC"/>
    <w:rsid w:val="0A095A35"/>
    <w:rsid w:val="0A53962A"/>
    <w:rsid w:val="0C7713DC"/>
    <w:rsid w:val="0CCAED11"/>
    <w:rsid w:val="0CD61088"/>
    <w:rsid w:val="0CD660EE"/>
    <w:rsid w:val="0DFB3413"/>
    <w:rsid w:val="0EC467E0"/>
    <w:rsid w:val="1076C980"/>
    <w:rsid w:val="130F8C8D"/>
    <w:rsid w:val="13311E4E"/>
    <w:rsid w:val="13561C7C"/>
    <w:rsid w:val="1392E0A6"/>
    <w:rsid w:val="142D44BB"/>
    <w:rsid w:val="146F1840"/>
    <w:rsid w:val="1510809A"/>
    <w:rsid w:val="151D1682"/>
    <w:rsid w:val="151D2149"/>
    <w:rsid w:val="162B5D05"/>
    <w:rsid w:val="17F4F9F8"/>
    <w:rsid w:val="18D1478F"/>
    <w:rsid w:val="1C64735A"/>
    <w:rsid w:val="1C8B31FD"/>
    <w:rsid w:val="1E457786"/>
    <w:rsid w:val="1F62ED72"/>
    <w:rsid w:val="1F81A75E"/>
    <w:rsid w:val="205DBA18"/>
    <w:rsid w:val="2138B5E2"/>
    <w:rsid w:val="2214566A"/>
    <w:rsid w:val="22F3E5F8"/>
    <w:rsid w:val="2379BAAE"/>
    <w:rsid w:val="25A3F3D7"/>
    <w:rsid w:val="25C2F7CB"/>
    <w:rsid w:val="26004281"/>
    <w:rsid w:val="268842B7"/>
    <w:rsid w:val="27F3E08C"/>
    <w:rsid w:val="28F7FF27"/>
    <w:rsid w:val="2986F1A2"/>
    <w:rsid w:val="299E3C12"/>
    <w:rsid w:val="2A26307B"/>
    <w:rsid w:val="2A69949C"/>
    <w:rsid w:val="2A814D94"/>
    <w:rsid w:val="2B2387BD"/>
    <w:rsid w:val="2C13C810"/>
    <w:rsid w:val="2C2D3F8B"/>
    <w:rsid w:val="2DE970D7"/>
    <w:rsid w:val="2E1A428B"/>
    <w:rsid w:val="3021F6B2"/>
    <w:rsid w:val="322466D0"/>
    <w:rsid w:val="3305EF48"/>
    <w:rsid w:val="332C3FF6"/>
    <w:rsid w:val="33BB5B87"/>
    <w:rsid w:val="34B39C9A"/>
    <w:rsid w:val="356A11D2"/>
    <w:rsid w:val="38ED3483"/>
    <w:rsid w:val="3A4D3887"/>
    <w:rsid w:val="3B74BE59"/>
    <w:rsid w:val="3BED1C10"/>
    <w:rsid w:val="3C27F3E0"/>
    <w:rsid w:val="3C49B933"/>
    <w:rsid w:val="3CAF371A"/>
    <w:rsid w:val="3D35043F"/>
    <w:rsid w:val="3DBAC4D0"/>
    <w:rsid w:val="3DE3CFAF"/>
    <w:rsid w:val="3E13332D"/>
    <w:rsid w:val="3F2A2A53"/>
    <w:rsid w:val="401F31F9"/>
    <w:rsid w:val="40544E81"/>
    <w:rsid w:val="41766481"/>
    <w:rsid w:val="41D63BD3"/>
    <w:rsid w:val="422A3B8A"/>
    <w:rsid w:val="423E63B5"/>
    <w:rsid w:val="426FE0A1"/>
    <w:rsid w:val="42B06126"/>
    <w:rsid w:val="42DBA384"/>
    <w:rsid w:val="431CEA14"/>
    <w:rsid w:val="43DBD96B"/>
    <w:rsid w:val="44A35000"/>
    <w:rsid w:val="450B89F4"/>
    <w:rsid w:val="4759290B"/>
    <w:rsid w:val="48435700"/>
    <w:rsid w:val="49CD4686"/>
    <w:rsid w:val="4A109A37"/>
    <w:rsid w:val="4BF0E8B9"/>
    <w:rsid w:val="4BF1E6B6"/>
    <w:rsid w:val="4C45981D"/>
    <w:rsid w:val="4C60D2CA"/>
    <w:rsid w:val="4D16950E"/>
    <w:rsid w:val="4FE52DC1"/>
    <w:rsid w:val="57E9A34B"/>
    <w:rsid w:val="580FF7F6"/>
    <w:rsid w:val="5891EBB6"/>
    <w:rsid w:val="58D02018"/>
    <w:rsid w:val="5930399D"/>
    <w:rsid w:val="59B99CD2"/>
    <w:rsid w:val="59C55DC5"/>
    <w:rsid w:val="5A611792"/>
    <w:rsid w:val="5B945267"/>
    <w:rsid w:val="5B970A39"/>
    <w:rsid w:val="5D255FD1"/>
    <w:rsid w:val="5D4355F6"/>
    <w:rsid w:val="5EFC849D"/>
    <w:rsid w:val="6167D2C9"/>
    <w:rsid w:val="63C6C585"/>
    <w:rsid w:val="640D8969"/>
    <w:rsid w:val="643CE368"/>
    <w:rsid w:val="649625B1"/>
    <w:rsid w:val="65D50D75"/>
    <w:rsid w:val="65E8D5F6"/>
    <w:rsid w:val="663CDC0C"/>
    <w:rsid w:val="66A870CA"/>
    <w:rsid w:val="66E648EF"/>
    <w:rsid w:val="675D2F4D"/>
    <w:rsid w:val="67704877"/>
    <w:rsid w:val="69FBF86D"/>
    <w:rsid w:val="6A04D55A"/>
    <w:rsid w:val="6A43BA1A"/>
    <w:rsid w:val="6AF79372"/>
    <w:rsid w:val="6C17F9D5"/>
    <w:rsid w:val="6C41E615"/>
    <w:rsid w:val="6EF02FC9"/>
    <w:rsid w:val="6EFBA50D"/>
    <w:rsid w:val="6F1130DC"/>
    <w:rsid w:val="6FB3010B"/>
    <w:rsid w:val="704A53E3"/>
    <w:rsid w:val="71CD72D0"/>
    <w:rsid w:val="729502AF"/>
    <w:rsid w:val="74787877"/>
    <w:rsid w:val="7482D992"/>
    <w:rsid w:val="74E91F47"/>
    <w:rsid w:val="75B5FFAB"/>
    <w:rsid w:val="7A341A65"/>
    <w:rsid w:val="7A5C2AF4"/>
    <w:rsid w:val="7D0A9069"/>
    <w:rsid w:val="7D8F5269"/>
    <w:rsid w:val="7D9935ED"/>
    <w:rsid w:val="7F8031A6"/>
    <w:rsid w:val="7FC13D7D"/>
    <w:rsid w:val="7FF667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0B5E1"/>
  <w15:chartTrackingRefBased/>
  <w15:docId w15:val="{27F892B8-5D48-452A-84A9-79B50CB25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A095A35"/>
    <w:pPr>
      <w:ind w:left="720"/>
      <w:contextualSpacing/>
    </w:pPr>
  </w:style>
  <w:style w:type="paragraph" w:styleId="Header">
    <w:name w:val="header"/>
    <w:basedOn w:val="Normal"/>
    <w:uiPriority w:val="99"/>
    <w:unhideWhenUsed/>
    <w:rsid w:val="431CEA14"/>
    <w:pPr>
      <w:tabs>
        <w:tab w:val="center" w:pos="4680"/>
        <w:tab w:val="right" w:pos="9360"/>
      </w:tabs>
      <w:spacing w:after="0" w:line="240" w:lineRule="auto"/>
    </w:pPr>
  </w:style>
  <w:style w:type="paragraph" w:styleId="Footer">
    <w:name w:val="footer"/>
    <w:basedOn w:val="Normal"/>
    <w:uiPriority w:val="99"/>
    <w:unhideWhenUsed/>
    <w:rsid w:val="431CEA14"/>
    <w:pPr>
      <w:tabs>
        <w:tab w:val="center" w:pos="4680"/>
        <w:tab w:val="right" w:pos="9360"/>
      </w:tabs>
      <w:spacing w:after="0" w:line="240" w:lineRule="auto"/>
    </w:pPr>
  </w:style>
  <w:style w:type="character" w:styleId="Hyperlink">
    <w:name w:val="Hyperlink"/>
    <w:basedOn w:val="DefaultParagraphFont"/>
    <w:uiPriority w:val="99"/>
    <w:unhideWhenUsed/>
    <w:rsid w:val="431CEA14"/>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EF0EB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penstax.org/details/books/biology-2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diabetes.org.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14</Pages>
  <Words>3291</Words>
  <Characters>18763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Chistol</dc:creator>
  <cp:keywords/>
  <dc:description/>
  <cp:lastModifiedBy>alex chistol</cp:lastModifiedBy>
  <cp:revision>3</cp:revision>
  <dcterms:created xsi:type="dcterms:W3CDTF">2026-02-21T13:10:00Z</dcterms:created>
  <dcterms:modified xsi:type="dcterms:W3CDTF">2026-02-21T13:11:00Z</dcterms:modified>
</cp:coreProperties>
</file>