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4312" w:type="dxa"/>
        <w:tblInd w:w="324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1106"/>
        <w:gridCol w:w="2693"/>
        <w:gridCol w:w="2410"/>
        <w:gridCol w:w="8103"/>
      </w:tblGrid>
      <w:tr w:rsidR="00864741" w14:paraId="5A290538" w14:textId="77777777">
        <w:trPr>
          <w:trHeight w:val="263"/>
        </w:trPr>
        <w:tc>
          <w:tcPr>
            <w:tcW w:w="14312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FA0E2C8" w14:textId="77777777" w:rsidR="00864741" w:rsidRDefault="00000000">
            <w:pPr>
              <w:pStyle w:val="Heading3"/>
              <w:jc w:val="both"/>
            </w:pPr>
            <w:r>
              <w:rPr>
                <w:rFonts w:ascii="Arial" w:hAnsi="Arial"/>
                <w:b w:val="0"/>
                <w:bCs w:val="0"/>
                <w:sz w:val="22"/>
                <w:szCs w:val="22"/>
              </w:rPr>
              <w:t xml:space="preserve">Module: Employment Relationship Management </w:t>
            </w:r>
          </w:p>
        </w:tc>
      </w:tr>
      <w:tr w:rsidR="00864741" w14:paraId="6B185F60" w14:textId="77777777">
        <w:trPr>
          <w:trHeight w:val="263"/>
        </w:trPr>
        <w:tc>
          <w:tcPr>
            <w:tcW w:w="14312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2BA2B34" w14:textId="2708E335" w:rsidR="00864741" w:rsidRDefault="00000000">
            <w:pPr>
              <w:pStyle w:val="Heading3"/>
              <w:jc w:val="both"/>
            </w:pPr>
            <w:r>
              <w:rPr>
                <w:rFonts w:ascii="Arial" w:hAnsi="Arial"/>
                <w:b w:val="0"/>
                <w:bCs w:val="0"/>
                <w:sz w:val="22"/>
                <w:szCs w:val="22"/>
              </w:rPr>
              <w:t>Assignment due date:</w:t>
            </w:r>
            <w:r w:rsidR="0074461A">
              <w:rPr>
                <w:rFonts w:ascii="Arial" w:hAnsi="Arial"/>
                <w:b w:val="0"/>
                <w:bCs w:val="0"/>
                <w:sz w:val="22"/>
                <w:szCs w:val="22"/>
              </w:rPr>
              <w:t xml:space="preserve"> 26</w:t>
            </w:r>
            <w:r w:rsidR="0074461A" w:rsidRPr="0074461A">
              <w:rPr>
                <w:rFonts w:ascii="Arial" w:hAnsi="Arial"/>
                <w:b w:val="0"/>
                <w:bCs w:val="0"/>
                <w:sz w:val="22"/>
                <w:szCs w:val="22"/>
                <w:vertAlign w:val="superscript"/>
              </w:rPr>
              <w:t>th</w:t>
            </w:r>
            <w:r w:rsidR="0074461A">
              <w:rPr>
                <w:rFonts w:ascii="Arial" w:hAnsi="Arial"/>
                <w:b w:val="0"/>
                <w:bCs w:val="0"/>
                <w:sz w:val="22"/>
                <w:szCs w:val="22"/>
              </w:rPr>
              <w:t xml:space="preserve"> January 2026</w:t>
            </w:r>
          </w:p>
        </w:tc>
      </w:tr>
      <w:tr w:rsidR="00864741" w:rsidRPr="0074461A" w14:paraId="78E66B6D" w14:textId="77777777">
        <w:trPr>
          <w:trHeight w:val="263"/>
        </w:trPr>
        <w:tc>
          <w:tcPr>
            <w:tcW w:w="14312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10FDEE3" w14:textId="77777777" w:rsidR="00864741" w:rsidRPr="0074461A" w:rsidRDefault="00000000">
            <w:pPr>
              <w:pStyle w:val="Heading3"/>
              <w:jc w:val="both"/>
              <w:rPr>
                <w:lang w:val="fr-FR"/>
              </w:rPr>
            </w:pPr>
            <w:proofErr w:type="spellStart"/>
            <w:r>
              <w:rPr>
                <w:rFonts w:ascii="Arial" w:hAnsi="Arial"/>
                <w:b w:val="0"/>
                <w:bCs w:val="0"/>
                <w:sz w:val="22"/>
                <w:szCs w:val="22"/>
                <w:lang w:val="fr-FR"/>
              </w:rPr>
              <w:t>Lecturer</w:t>
            </w:r>
            <w:proofErr w:type="spellEnd"/>
            <w:r>
              <w:rPr>
                <w:rFonts w:ascii="Arial" w:hAnsi="Arial"/>
                <w:b w:val="0"/>
                <w:bCs w:val="0"/>
                <w:sz w:val="22"/>
                <w:szCs w:val="22"/>
                <w:lang w:val="fr-FR"/>
              </w:rPr>
              <w:t>: Rebecca Francis-Davies r.francis-davies@uwtsd.ac.uk</w:t>
            </w:r>
          </w:p>
        </w:tc>
      </w:tr>
      <w:tr w:rsidR="00864741" w14:paraId="722063E5" w14:textId="77777777">
        <w:trPr>
          <w:trHeight w:val="1105"/>
        </w:trPr>
        <w:tc>
          <w:tcPr>
            <w:tcW w:w="11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FDFDF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3AB420F2" w14:textId="77777777" w:rsidR="00864741" w:rsidRDefault="00000000">
            <w:pPr>
              <w:pStyle w:val="BodyA"/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Date </w:t>
            </w:r>
          </w:p>
        </w:tc>
        <w:tc>
          <w:tcPr>
            <w:tcW w:w="2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FDFD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B60B091" w14:textId="77777777" w:rsidR="00864741" w:rsidRDefault="00000000">
            <w:pPr>
              <w:pStyle w:val="BodyA"/>
              <w:jc w:val="both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Session content related to module standards:</w:t>
            </w:r>
          </w:p>
          <w:p w14:paraId="37627D8C" w14:textId="77777777" w:rsidR="00864741" w:rsidRDefault="00864741">
            <w:pPr>
              <w:pStyle w:val="BodyA"/>
              <w:jc w:val="both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</w:p>
          <w:p w14:paraId="587739A7" w14:textId="77777777" w:rsidR="00864741" w:rsidRDefault="00000000">
            <w:pPr>
              <w:pStyle w:val="BodyA"/>
              <w:jc w:val="both"/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Learning Outcomes</w:t>
            </w:r>
          </w:p>
        </w:tc>
        <w:tc>
          <w:tcPr>
            <w:tcW w:w="24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FDFD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0EB94AE" w14:textId="77777777" w:rsidR="00864741" w:rsidRDefault="00000000">
            <w:pPr>
              <w:pStyle w:val="BodyA"/>
              <w:jc w:val="both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GUIDED LEARNING - </w:t>
            </w:r>
          </w:p>
          <w:p w14:paraId="18B3CF53" w14:textId="77777777" w:rsidR="00864741" w:rsidRDefault="00000000">
            <w:pPr>
              <w:pStyle w:val="BodyA"/>
              <w:jc w:val="both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CLASS CENTRED</w:t>
            </w:r>
          </w:p>
          <w:p w14:paraId="45255D39" w14:textId="77777777" w:rsidR="00864741" w:rsidRDefault="00000000">
            <w:pPr>
              <w:pStyle w:val="BodyA"/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Topics covered in class to aid learning </w:t>
            </w:r>
          </w:p>
        </w:tc>
        <w:tc>
          <w:tcPr>
            <w:tcW w:w="81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FDFD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57624C8" w14:textId="77777777" w:rsidR="00864741" w:rsidRDefault="00000000">
            <w:pPr>
              <w:pStyle w:val="BodyA"/>
              <w:jc w:val="both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GUIDED LEARNING - </w:t>
            </w:r>
          </w:p>
          <w:p w14:paraId="606DD4A9" w14:textId="77777777" w:rsidR="00864741" w:rsidRDefault="00000000">
            <w:pPr>
              <w:pStyle w:val="BodyA"/>
              <w:jc w:val="both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 xml:space="preserve">HOME/WORK CENTRED </w:t>
            </w:r>
          </w:p>
          <w:p w14:paraId="70844696" w14:textId="77777777" w:rsidR="00864741" w:rsidRDefault="00000000">
            <w:pPr>
              <w:pStyle w:val="BodyA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Mandatory reading/tasks to aid learning.</w:t>
            </w:r>
          </w:p>
          <w:p w14:paraId="1D94D79D" w14:textId="77777777" w:rsidR="00864741" w:rsidRDefault="00000000">
            <w:pPr>
              <w:pStyle w:val="BodyA"/>
            </w:pPr>
            <w:r>
              <w:rPr>
                <w:rFonts w:ascii="Arial" w:hAnsi="Arial"/>
                <w:b/>
                <w:bCs/>
                <w:i/>
                <w:iCs/>
                <w:color w:val="FF0000"/>
                <w:sz w:val="16"/>
                <w:szCs w:val="16"/>
                <w:u w:color="FF0000"/>
              </w:rPr>
              <w:t xml:space="preserve">NB: You will also need to undertake your own self-directed learning in order to build on your knowledge and complete your assessments. Some recommended reading is also listed below. </w:t>
            </w:r>
          </w:p>
        </w:tc>
      </w:tr>
      <w:tr w:rsidR="00864741" w14:paraId="63A79CD3" w14:textId="77777777">
        <w:trPr>
          <w:trHeight w:val="7800"/>
        </w:trPr>
        <w:tc>
          <w:tcPr>
            <w:tcW w:w="11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FA53B6E" w14:textId="77777777" w:rsidR="00864741" w:rsidRDefault="00000000">
            <w:pPr>
              <w:pStyle w:val="BodyA"/>
            </w:pPr>
            <w:r>
              <w:rPr>
                <w:rFonts w:ascii="Arial" w:hAnsi="Arial"/>
                <w:sz w:val="22"/>
                <w:szCs w:val="22"/>
              </w:rPr>
              <w:lastRenderedPageBreak/>
              <w:t>19th March</w:t>
            </w:r>
          </w:p>
        </w:tc>
        <w:tc>
          <w:tcPr>
            <w:tcW w:w="2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0E5D2E3" w14:textId="77777777" w:rsidR="00864741" w:rsidRDefault="00000000">
            <w:pPr>
              <w:pStyle w:val="BodyB"/>
              <w:widowControl w:val="0"/>
              <w:spacing w:before="77"/>
            </w:pPr>
            <w:r>
              <w:rPr>
                <w:rFonts w:ascii="Arial" w:hAnsi="Arial"/>
                <w:b/>
                <w:bCs/>
                <w:sz w:val="20"/>
                <w:szCs w:val="20"/>
              </w:rPr>
              <w:t>1. Understand employee voice, engagement and practices to support better working lives.</w:t>
            </w:r>
          </w:p>
        </w:tc>
        <w:tc>
          <w:tcPr>
            <w:tcW w:w="24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BD825D4" w14:textId="77777777" w:rsidR="00864741" w:rsidRDefault="00864741">
            <w:pPr>
              <w:pStyle w:val="BodyB"/>
            </w:pPr>
          </w:p>
          <w:p w14:paraId="5E302E46" w14:textId="77777777" w:rsidR="00864741" w:rsidRDefault="00000000">
            <w:pPr>
              <w:pStyle w:val="BodyB"/>
            </w:pPr>
            <w:r>
              <w:rPr>
                <w:rFonts w:ascii="Arial" w:hAnsi="Arial"/>
                <w:sz w:val="20"/>
                <w:szCs w:val="20"/>
              </w:rPr>
              <w:t>1.1 Differentiate between employee involvement and employee participation</w:t>
            </w:r>
          </w:p>
          <w:p w14:paraId="796C21CC" w14:textId="77777777" w:rsidR="00864741" w:rsidRDefault="00864741">
            <w:pPr>
              <w:pStyle w:val="BodyB"/>
            </w:pPr>
          </w:p>
          <w:p w14:paraId="44597E4E" w14:textId="77777777" w:rsidR="00864741" w:rsidRDefault="00000000">
            <w:pPr>
              <w:pStyle w:val="BodyB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hAnsi="Arial"/>
                <w:sz w:val="20"/>
                <w:szCs w:val="20"/>
              </w:rPr>
              <w:t>1.2 Compare different forms of union and non-union employee representation</w:t>
            </w:r>
          </w:p>
          <w:p w14:paraId="384F3F18" w14:textId="77777777" w:rsidR="00864741" w:rsidRDefault="00864741">
            <w:pPr>
              <w:pStyle w:val="BodyB"/>
              <w:rPr>
                <w:rFonts w:ascii="Arial" w:eastAsia="Arial" w:hAnsi="Arial" w:cs="Arial"/>
                <w:sz w:val="20"/>
                <w:szCs w:val="20"/>
              </w:rPr>
            </w:pPr>
          </w:p>
          <w:p w14:paraId="53343D81" w14:textId="77777777" w:rsidR="00864741" w:rsidRDefault="00864741">
            <w:pPr>
              <w:pStyle w:val="BodyB"/>
              <w:rPr>
                <w:rFonts w:ascii="Arial" w:eastAsia="Arial" w:hAnsi="Arial" w:cs="Arial"/>
                <w:sz w:val="20"/>
                <w:szCs w:val="20"/>
              </w:rPr>
            </w:pPr>
          </w:p>
          <w:p w14:paraId="16286A23" w14:textId="77777777" w:rsidR="00864741" w:rsidRDefault="00864741">
            <w:pPr>
              <w:pStyle w:val="BodyB"/>
              <w:rPr>
                <w:rFonts w:ascii="Arial" w:eastAsia="Arial" w:hAnsi="Arial" w:cs="Arial"/>
                <w:sz w:val="20"/>
                <w:szCs w:val="20"/>
              </w:rPr>
            </w:pPr>
          </w:p>
          <w:p w14:paraId="277C8640" w14:textId="77777777" w:rsidR="00864741" w:rsidRDefault="00000000">
            <w:pPr>
              <w:pStyle w:val="BodyB"/>
            </w:pPr>
            <w:r>
              <w:rPr>
                <w:rFonts w:ascii="Arial" w:hAnsi="Arial"/>
                <w:sz w:val="20"/>
                <w:szCs w:val="20"/>
              </w:rPr>
              <w:t xml:space="preserve">1.3 Evaluate the relationship between employee voice and </w:t>
            </w:r>
            <w:proofErr w:type="spellStart"/>
            <w:r>
              <w:rPr>
                <w:rFonts w:ascii="Arial" w:hAnsi="Arial"/>
                <w:sz w:val="20"/>
                <w:szCs w:val="20"/>
              </w:rPr>
              <w:t>organisational</w:t>
            </w:r>
            <w:proofErr w:type="spellEnd"/>
            <w:r>
              <w:rPr>
                <w:rFonts w:ascii="Arial" w:hAnsi="Arial"/>
                <w:sz w:val="20"/>
                <w:szCs w:val="20"/>
              </w:rPr>
              <w:t xml:space="preserve"> performance</w:t>
            </w:r>
          </w:p>
          <w:p w14:paraId="6F370E4D" w14:textId="77777777" w:rsidR="00864741" w:rsidRDefault="00864741">
            <w:pPr>
              <w:pStyle w:val="BodyB"/>
            </w:pPr>
          </w:p>
          <w:p w14:paraId="2E2CA3FF" w14:textId="77777777" w:rsidR="00864741" w:rsidRDefault="00864741">
            <w:pPr>
              <w:pStyle w:val="BodyB"/>
            </w:pPr>
          </w:p>
          <w:p w14:paraId="019C4994" w14:textId="77777777" w:rsidR="00864741" w:rsidRDefault="00864741">
            <w:pPr>
              <w:pStyle w:val="BodyB"/>
            </w:pPr>
          </w:p>
          <w:p w14:paraId="63BF615F" w14:textId="77777777" w:rsidR="00864741" w:rsidRDefault="00864741">
            <w:pPr>
              <w:pStyle w:val="BodyB"/>
            </w:pPr>
          </w:p>
          <w:p w14:paraId="4007529A" w14:textId="77777777" w:rsidR="00864741" w:rsidRDefault="00864741">
            <w:pPr>
              <w:pStyle w:val="BodyB"/>
            </w:pPr>
          </w:p>
          <w:p w14:paraId="73F8C21F" w14:textId="77777777" w:rsidR="00864741" w:rsidRDefault="00000000">
            <w:pPr>
              <w:pStyle w:val="BodyB"/>
            </w:pPr>
            <w:r>
              <w:rPr>
                <w:rFonts w:ascii="Arial" w:hAnsi="Arial"/>
                <w:sz w:val="20"/>
                <w:szCs w:val="20"/>
              </w:rPr>
              <w:t>1.4 Explain the concept of better working lives and how this can be designed</w:t>
            </w:r>
          </w:p>
          <w:p w14:paraId="293C19D9" w14:textId="77777777" w:rsidR="00864741" w:rsidRDefault="00864741">
            <w:pPr>
              <w:pStyle w:val="BodyB"/>
            </w:pPr>
          </w:p>
          <w:p w14:paraId="01B8539B" w14:textId="77777777" w:rsidR="00864741" w:rsidRDefault="00864741">
            <w:pPr>
              <w:pStyle w:val="BodyB"/>
            </w:pPr>
          </w:p>
          <w:p w14:paraId="176C1683" w14:textId="77777777" w:rsidR="00864741" w:rsidRDefault="00864741">
            <w:pPr>
              <w:pStyle w:val="BodyB"/>
            </w:pPr>
          </w:p>
        </w:tc>
        <w:tc>
          <w:tcPr>
            <w:tcW w:w="81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8A851B9" w14:textId="77777777" w:rsidR="00864741" w:rsidRDefault="00864741">
            <w:pPr>
              <w:pStyle w:val="BodyB"/>
            </w:pPr>
          </w:p>
          <w:p w14:paraId="5C53DE2D" w14:textId="77777777" w:rsidR="00864741" w:rsidRDefault="00000000">
            <w:pPr>
              <w:pStyle w:val="BodyB"/>
            </w:pPr>
            <w:r>
              <w:t xml:space="preserve">Great article about both </w:t>
            </w:r>
          </w:p>
          <w:p w14:paraId="187F587D" w14:textId="77777777" w:rsidR="00864741" w:rsidRDefault="00000000">
            <w:pPr>
              <w:pStyle w:val="BodyB"/>
            </w:pPr>
            <w:r>
              <w:rPr>
                <w:rStyle w:val="Hyperlink0"/>
              </w:rPr>
              <w:fldChar w:fldCharType="begin"/>
            </w:r>
            <w:r>
              <w:rPr>
                <w:rStyle w:val="Hyperlink0"/>
              </w:rPr>
              <w:instrText xml:space="preserve"> HYPERLINK "https://www.ipa-involve.com/News/how-workplace-participation-increases-productivity-behavioural-evidence"</w:instrText>
            </w:r>
            <w:r>
              <w:rPr>
                <w:rStyle w:val="Hyperlink0"/>
              </w:rPr>
            </w:r>
            <w:r>
              <w:rPr>
                <w:rStyle w:val="Hyperlink0"/>
              </w:rPr>
              <w:fldChar w:fldCharType="separate"/>
            </w:r>
            <w:r>
              <w:rPr>
                <w:rStyle w:val="Hyperlink0"/>
              </w:rPr>
              <w:t>Involvement and participation</w:t>
            </w:r>
            <w:r>
              <w:fldChar w:fldCharType="end"/>
            </w:r>
          </w:p>
          <w:p w14:paraId="68727BB7" w14:textId="77777777" w:rsidR="00864741" w:rsidRDefault="00864741">
            <w:pPr>
              <w:pStyle w:val="BodyB"/>
            </w:pPr>
          </w:p>
          <w:p w14:paraId="0B010030" w14:textId="77777777" w:rsidR="00864741" w:rsidRDefault="00864741">
            <w:pPr>
              <w:pStyle w:val="BodyB"/>
            </w:pPr>
          </w:p>
          <w:p w14:paraId="4070E9B5" w14:textId="77777777" w:rsidR="00864741" w:rsidRDefault="00000000">
            <w:pPr>
              <w:pStyle w:val="BodyB"/>
            </w:pPr>
            <w:r>
              <w:t xml:space="preserve">This article discusses both TU and non TU forms of representation </w:t>
            </w:r>
          </w:p>
          <w:p w14:paraId="46C2AE67" w14:textId="77777777" w:rsidR="00864741" w:rsidRDefault="00000000">
            <w:pPr>
              <w:pStyle w:val="BodyB"/>
            </w:pPr>
            <w:hyperlink r:id="rId6" w:history="1">
              <w:r>
                <w:rPr>
                  <w:rStyle w:val="Hyperlink0"/>
                </w:rPr>
                <w:t>Worker rep</w:t>
              </w:r>
              <w:r>
                <w:rPr>
                  <w:rStyle w:val="Hyperlink0"/>
                </w:rPr>
                <w:t>resentation</w:t>
              </w:r>
            </w:hyperlink>
          </w:p>
          <w:p w14:paraId="35A9839B" w14:textId="77777777" w:rsidR="00864741" w:rsidRDefault="00864741">
            <w:pPr>
              <w:pStyle w:val="BodyB"/>
            </w:pPr>
          </w:p>
          <w:p w14:paraId="432A9126" w14:textId="77777777" w:rsidR="00864741" w:rsidRDefault="00864741">
            <w:pPr>
              <w:pStyle w:val="BodyB"/>
            </w:pPr>
          </w:p>
          <w:p w14:paraId="530F2F5A" w14:textId="77777777" w:rsidR="00864741" w:rsidRDefault="00000000">
            <w:pPr>
              <w:pStyle w:val="BodyB"/>
            </w:pPr>
            <w:r>
              <w:t xml:space="preserve">Read the CIPD’s viewpoint on the importance of Voice. </w:t>
            </w:r>
            <w:hyperlink r:id="rId7" w:history="1">
              <w:r>
                <w:rPr>
                  <w:rStyle w:val="Hyperlink0"/>
                </w:rPr>
                <w:t>Click here</w:t>
              </w:r>
            </w:hyperlink>
            <w:r>
              <w:t xml:space="preserve"> and find links to case studies and CIPD research, which will help you evaluate the link between voice and performance. </w:t>
            </w:r>
          </w:p>
          <w:p w14:paraId="089873A7" w14:textId="77777777" w:rsidR="00864741" w:rsidRDefault="00000000">
            <w:pPr>
              <w:pStyle w:val="BodyB"/>
            </w:pPr>
            <w:r>
              <w:t xml:space="preserve">Read what the Involvement and Participation Association have to say about the benefits of employee voice: </w:t>
            </w:r>
          </w:p>
          <w:p w14:paraId="5B998CFB" w14:textId="77777777" w:rsidR="00864741" w:rsidRDefault="00000000">
            <w:pPr>
              <w:pStyle w:val="BodyB"/>
            </w:pPr>
            <w:hyperlink r:id="rId8" w:history="1">
              <w:r>
                <w:rPr>
                  <w:rStyle w:val="Hyperlink0"/>
                </w:rPr>
                <w:t>Benefits</w:t>
              </w:r>
            </w:hyperlink>
          </w:p>
          <w:p w14:paraId="2CC265AE" w14:textId="77777777" w:rsidR="00864741" w:rsidRDefault="00000000">
            <w:pPr>
              <w:pStyle w:val="BodyB"/>
            </w:pPr>
            <w:r>
              <w:t xml:space="preserve">Lots of useful resources at Engage for Success: </w:t>
            </w:r>
            <w:hyperlink r:id="rId9" w:history="1">
              <w:r>
                <w:rPr>
                  <w:rStyle w:val="Hyperlink0"/>
                </w:rPr>
                <w:t xml:space="preserve">click here </w:t>
              </w:r>
            </w:hyperlink>
          </w:p>
          <w:p w14:paraId="38C39EA6" w14:textId="77777777" w:rsidR="00864741" w:rsidRDefault="00864741">
            <w:pPr>
              <w:pStyle w:val="BodyB"/>
            </w:pPr>
          </w:p>
          <w:p w14:paraId="43AA295C" w14:textId="77777777" w:rsidR="00864741" w:rsidRDefault="00864741">
            <w:pPr>
              <w:pStyle w:val="BodyB"/>
            </w:pPr>
          </w:p>
          <w:p w14:paraId="72018D34" w14:textId="77777777" w:rsidR="00864741" w:rsidRDefault="00864741">
            <w:pPr>
              <w:pStyle w:val="BodyB"/>
            </w:pPr>
          </w:p>
          <w:p w14:paraId="4092FB7A" w14:textId="77777777" w:rsidR="00864741" w:rsidRDefault="00000000">
            <w:pPr>
              <w:pStyle w:val="BodyB"/>
            </w:pPr>
            <w:r>
              <w:t xml:space="preserve">Read about the CIPD’s Good Work Index </w:t>
            </w:r>
            <w:hyperlink r:id="rId10" w:history="1">
              <w:r>
                <w:rPr>
                  <w:rStyle w:val="Hyperlink0"/>
                </w:rPr>
                <w:t>here</w:t>
              </w:r>
            </w:hyperlink>
          </w:p>
          <w:p w14:paraId="61C64D43" w14:textId="77777777" w:rsidR="00864741" w:rsidRDefault="00000000">
            <w:pPr>
              <w:pStyle w:val="BodyB"/>
            </w:pPr>
            <w:r>
              <w:t xml:space="preserve">Podcast: </w:t>
            </w:r>
            <w:hyperlink r:id="rId11" w:history="1">
              <w:r>
                <w:rPr>
                  <w:rStyle w:val="Hyperlink0"/>
                </w:rPr>
                <w:t>What is hampering good work?</w:t>
              </w:r>
            </w:hyperlink>
          </w:p>
          <w:p w14:paraId="0F8EEA4B" w14:textId="77777777" w:rsidR="00864741" w:rsidRDefault="00864741">
            <w:pPr>
              <w:pStyle w:val="BodyB"/>
            </w:pPr>
          </w:p>
          <w:p w14:paraId="78BF08BF" w14:textId="77777777" w:rsidR="00864741" w:rsidRDefault="00864741">
            <w:pPr>
              <w:pStyle w:val="BodyB"/>
            </w:pPr>
          </w:p>
          <w:p w14:paraId="53BF8EDB" w14:textId="77777777" w:rsidR="00864741" w:rsidRDefault="00864741">
            <w:pPr>
              <w:pStyle w:val="BodyB"/>
            </w:pPr>
          </w:p>
          <w:p w14:paraId="76D850FB" w14:textId="77777777" w:rsidR="00864741" w:rsidRDefault="00000000">
            <w:pPr>
              <w:pStyle w:val="BodyB"/>
            </w:pPr>
            <w:r>
              <w:t>The above links will provide you with background reading to supplement any good HR textbook such as Armstrong’s Handbook of HRM Practice, Kogan Page</w:t>
            </w:r>
          </w:p>
        </w:tc>
      </w:tr>
      <w:tr w:rsidR="00864741" w14:paraId="7862DC20" w14:textId="77777777">
        <w:trPr>
          <w:trHeight w:val="5110"/>
        </w:trPr>
        <w:tc>
          <w:tcPr>
            <w:tcW w:w="11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0383D5E" w14:textId="77777777" w:rsidR="00864741" w:rsidRDefault="00864741"/>
        </w:tc>
        <w:tc>
          <w:tcPr>
            <w:tcW w:w="2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8971C82" w14:textId="77777777" w:rsidR="00864741" w:rsidRDefault="00000000">
            <w:pPr>
              <w:pStyle w:val="BodyB"/>
              <w:widowControl w:val="0"/>
              <w:spacing w:before="77"/>
            </w:pPr>
            <w:r>
              <w:rPr>
                <w:rFonts w:ascii="Arial" w:hAnsi="Arial"/>
                <w:b/>
                <w:bCs/>
                <w:sz w:val="20"/>
                <w:szCs w:val="20"/>
              </w:rPr>
              <w:t xml:space="preserve">Understand different forms of conflict </w:t>
            </w:r>
            <w:proofErr w:type="spellStart"/>
            <w:r>
              <w:rPr>
                <w:rFonts w:ascii="Arial" w:hAnsi="Arial"/>
                <w:b/>
                <w:bCs/>
                <w:sz w:val="20"/>
                <w:szCs w:val="20"/>
              </w:rPr>
              <w:t>behaviour</w:t>
            </w:r>
            <w:proofErr w:type="spellEnd"/>
            <w:r>
              <w:rPr>
                <w:rFonts w:ascii="Arial" w:hAnsi="Arial"/>
                <w:b/>
                <w:bCs/>
                <w:sz w:val="20"/>
                <w:szCs w:val="20"/>
              </w:rPr>
              <w:t xml:space="preserve"> and dispute resolution</w:t>
            </w:r>
          </w:p>
        </w:tc>
        <w:tc>
          <w:tcPr>
            <w:tcW w:w="24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82D8D81" w14:textId="77777777" w:rsidR="00864741" w:rsidRDefault="00000000">
            <w:pPr>
              <w:pStyle w:val="BodyB"/>
              <w:rPr>
                <w:rFonts w:ascii="Arial" w:eastAsia="Arial" w:hAnsi="Arial" w:cs="Arial"/>
                <w:sz w:val="20"/>
                <w:szCs w:val="20"/>
              </w:rPr>
            </w:pPr>
            <w:r>
              <w:rPr>
                <w:rFonts w:ascii="Arial" w:hAnsi="Arial"/>
                <w:sz w:val="20"/>
                <w:szCs w:val="20"/>
              </w:rPr>
              <w:t xml:space="preserve">Distinguish between </w:t>
            </w:r>
            <w:proofErr w:type="spellStart"/>
            <w:r>
              <w:rPr>
                <w:rFonts w:ascii="Arial" w:hAnsi="Arial"/>
                <w:sz w:val="20"/>
                <w:szCs w:val="20"/>
              </w:rPr>
              <w:t>organisational</w:t>
            </w:r>
            <w:proofErr w:type="spellEnd"/>
            <w:r>
              <w:rPr>
                <w:rFonts w:ascii="Arial" w:hAnsi="Arial"/>
                <w:sz w:val="20"/>
                <w:szCs w:val="20"/>
              </w:rPr>
              <w:t xml:space="preserve"> conflict and </w:t>
            </w:r>
            <w:proofErr w:type="spellStart"/>
            <w:r>
              <w:rPr>
                <w:rFonts w:ascii="Arial" w:hAnsi="Arial"/>
                <w:sz w:val="20"/>
                <w:szCs w:val="20"/>
              </w:rPr>
              <w:t>misbehaviour</w:t>
            </w:r>
            <w:proofErr w:type="spellEnd"/>
          </w:p>
          <w:p w14:paraId="669A6574" w14:textId="77777777" w:rsidR="00864741" w:rsidRDefault="00864741">
            <w:pPr>
              <w:pStyle w:val="BodyB"/>
            </w:pPr>
          </w:p>
          <w:p w14:paraId="4C32F9F1" w14:textId="77777777" w:rsidR="00864741" w:rsidRDefault="00864741">
            <w:pPr>
              <w:pStyle w:val="BodyB"/>
            </w:pPr>
          </w:p>
          <w:p w14:paraId="5AAB747B" w14:textId="77777777" w:rsidR="00864741" w:rsidRDefault="00864741">
            <w:pPr>
              <w:pStyle w:val="BodyB"/>
            </w:pPr>
          </w:p>
          <w:p w14:paraId="7EA07C07" w14:textId="77777777" w:rsidR="00864741" w:rsidRDefault="00864741">
            <w:pPr>
              <w:pStyle w:val="BodyB"/>
            </w:pPr>
          </w:p>
          <w:p w14:paraId="6DC32794" w14:textId="77777777" w:rsidR="00864741" w:rsidRDefault="00000000">
            <w:pPr>
              <w:pStyle w:val="BodyB"/>
            </w:pPr>
            <w:r>
              <w:t>Assess e</w:t>
            </w:r>
            <w:r>
              <w:rPr>
                <w:rFonts w:ascii="Arial" w:hAnsi="Arial"/>
                <w:sz w:val="20"/>
                <w:szCs w:val="20"/>
              </w:rPr>
              <w:t>merging trends in the types of conflict and industrial sanctions</w:t>
            </w:r>
          </w:p>
          <w:p w14:paraId="72D24F86" w14:textId="77777777" w:rsidR="00864741" w:rsidRDefault="00864741">
            <w:pPr>
              <w:pStyle w:val="BodyB"/>
            </w:pPr>
          </w:p>
          <w:p w14:paraId="0941C424" w14:textId="77777777" w:rsidR="00864741" w:rsidRDefault="00864741">
            <w:pPr>
              <w:pStyle w:val="BodyB"/>
            </w:pPr>
          </w:p>
          <w:p w14:paraId="3B0E4151" w14:textId="77777777" w:rsidR="00864741" w:rsidRDefault="00864741">
            <w:pPr>
              <w:pStyle w:val="BodyB"/>
            </w:pPr>
          </w:p>
          <w:p w14:paraId="2CEC88A8" w14:textId="77777777" w:rsidR="00864741" w:rsidRDefault="00864741">
            <w:pPr>
              <w:pStyle w:val="BodyB"/>
            </w:pPr>
          </w:p>
          <w:p w14:paraId="094372C5" w14:textId="77777777" w:rsidR="00864741" w:rsidRDefault="00000000">
            <w:pPr>
              <w:pStyle w:val="BodyB"/>
            </w:pPr>
            <w:r>
              <w:rPr>
                <w:rFonts w:ascii="Arial" w:hAnsi="Arial"/>
                <w:sz w:val="20"/>
                <w:szCs w:val="20"/>
              </w:rPr>
              <w:t>Distinguish between third-party conciliation, mediation and arbitration</w:t>
            </w:r>
          </w:p>
        </w:tc>
        <w:tc>
          <w:tcPr>
            <w:tcW w:w="81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B96ABF5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5E4FBF47" w14:textId="77777777" w:rsidR="00864741" w:rsidRDefault="00000000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  <w:r>
              <w:rPr>
                <w:rFonts w:ascii="Arial" w:hAnsi="Arial"/>
                <w:sz w:val="18"/>
                <w:szCs w:val="18"/>
              </w:rPr>
              <w:t xml:space="preserve">You will need to read this </w:t>
            </w:r>
            <w:hyperlink r:id="rId12" w:history="1">
              <w:r>
                <w:rPr>
                  <w:rStyle w:val="Hyperlink0"/>
                  <w:rFonts w:ascii="Arial" w:hAnsi="Arial"/>
                  <w:sz w:val="18"/>
                  <w:szCs w:val="18"/>
                </w:rPr>
                <w:t>report</w:t>
              </w:r>
            </w:hyperlink>
            <w:r>
              <w:rPr>
                <w:rFonts w:ascii="Arial" w:hAnsi="Arial"/>
                <w:sz w:val="18"/>
                <w:szCs w:val="18"/>
              </w:rPr>
              <w:t xml:space="preserve"> from the CIPD to help you get a good overview of managing conflict in the modern workplace, to supplement what we discussed in class.</w:t>
            </w:r>
          </w:p>
          <w:p w14:paraId="3469E893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5E0C2AD0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13D35E7C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2EDC6442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57FF0E11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6ECB9710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136F2871" w14:textId="77777777" w:rsidR="00864741" w:rsidRDefault="00000000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  <w:r>
              <w:rPr>
                <w:rFonts w:ascii="Arial" w:hAnsi="Arial"/>
                <w:sz w:val="18"/>
                <w:szCs w:val="18"/>
              </w:rPr>
              <w:t xml:space="preserve">The Resolution Foundation comments on workplace trends in its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Labour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Market Outlook and </w:t>
            </w:r>
            <w:proofErr w:type="spellStart"/>
            <w:r>
              <w:rPr>
                <w:rFonts w:ascii="Arial" w:hAnsi="Arial"/>
                <w:sz w:val="18"/>
                <w:szCs w:val="18"/>
              </w:rPr>
              <w:t>Labour</w:t>
            </w:r>
            <w:proofErr w:type="spellEnd"/>
            <w:r>
              <w:rPr>
                <w:rFonts w:ascii="Arial" w:hAnsi="Arial"/>
                <w:sz w:val="18"/>
                <w:szCs w:val="18"/>
              </w:rPr>
              <w:t xml:space="preserve"> Market pages. Click </w:t>
            </w:r>
            <w:hyperlink r:id="rId13" w:history="1">
              <w:r>
                <w:rPr>
                  <w:rStyle w:val="Hyperlink0"/>
                  <w:rFonts w:ascii="Arial" w:hAnsi="Arial"/>
                  <w:sz w:val="18"/>
                  <w:szCs w:val="18"/>
                </w:rPr>
                <w:t>here</w:t>
              </w:r>
            </w:hyperlink>
            <w:r>
              <w:rPr>
                <w:rFonts w:ascii="Arial" w:hAnsi="Arial"/>
                <w:sz w:val="18"/>
                <w:szCs w:val="18"/>
              </w:rPr>
              <w:t xml:space="preserve"> to read more.  You should also look at CIPD reports (above) and access news articles </w:t>
            </w:r>
          </w:p>
          <w:p w14:paraId="2A6F329F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06F5C0C0" w14:textId="77777777" w:rsidR="00864741" w:rsidRDefault="00000000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  <w:hyperlink r:id="rId14" w:history="1">
              <w:r>
                <w:rPr>
                  <w:rStyle w:val="Hyperlink0"/>
                  <w:rFonts w:ascii="Arial" w:hAnsi="Arial"/>
                  <w:sz w:val="18"/>
                  <w:szCs w:val="18"/>
                </w:rPr>
                <w:t>CIPD video</w:t>
              </w:r>
            </w:hyperlink>
          </w:p>
          <w:p w14:paraId="1CF04810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49095E23" w14:textId="77777777" w:rsidR="00864741" w:rsidRDefault="00000000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  <w:r>
              <w:rPr>
                <w:rFonts w:ascii="Arial" w:hAnsi="Arial"/>
                <w:sz w:val="18"/>
                <w:szCs w:val="18"/>
              </w:rPr>
              <w:t xml:space="preserve">Podcast: </w:t>
            </w:r>
            <w:hyperlink r:id="rId15" w:history="1">
              <w:r>
                <w:rPr>
                  <w:rStyle w:val="Hyperlink0"/>
                  <w:rFonts w:ascii="Arial" w:hAnsi="Arial"/>
                  <w:sz w:val="18"/>
                  <w:szCs w:val="18"/>
                </w:rPr>
                <w:t>Can conflict be a force for good?</w:t>
              </w:r>
            </w:hyperlink>
          </w:p>
          <w:p w14:paraId="076D33C5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0367B1E2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3C1FF01C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304B472D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52F65D7E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506D83F0" w14:textId="77777777" w:rsidR="00864741" w:rsidRDefault="00864741">
            <w:pPr>
              <w:pStyle w:val="BodyB"/>
              <w:rPr>
                <w:rFonts w:ascii="Arial" w:eastAsia="Arial" w:hAnsi="Arial" w:cs="Arial"/>
                <w:sz w:val="18"/>
                <w:szCs w:val="18"/>
              </w:rPr>
            </w:pPr>
          </w:p>
          <w:p w14:paraId="146B6DE0" w14:textId="77777777" w:rsidR="00864741" w:rsidRDefault="00000000">
            <w:pPr>
              <w:pStyle w:val="BodyB"/>
            </w:pPr>
            <w:r>
              <w:rPr>
                <w:rFonts w:ascii="Arial" w:hAnsi="Arial"/>
                <w:sz w:val="18"/>
                <w:szCs w:val="18"/>
              </w:rPr>
              <w:t xml:space="preserve">Read the appropriate chapter in the Kathy Daniels textbook, and also check out the section on dispute resolution at </w:t>
            </w:r>
            <w:hyperlink r:id="rId16" w:history="1">
              <w:r>
                <w:rPr>
                  <w:rStyle w:val="Hyperlink0"/>
                  <w:rFonts w:ascii="Arial" w:hAnsi="Arial"/>
                  <w:sz w:val="18"/>
                  <w:szCs w:val="18"/>
                </w:rPr>
                <w:t>ACAS</w:t>
              </w:r>
            </w:hyperlink>
          </w:p>
        </w:tc>
      </w:tr>
      <w:tr w:rsidR="00864741" w14:paraId="03105AC7" w14:textId="77777777">
        <w:trPr>
          <w:trHeight w:val="4605"/>
        </w:trPr>
        <w:tc>
          <w:tcPr>
            <w:tcW w:w="11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3A3A8D8" w14:textId="77777777" w:rsidR="00864741" w:rsidRDefault="00864741"/>
        </w:tc>
        <w:tc>
          <w:tcPr>
            <w:tcW w:w="2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8912BA1" w14:textId="77777777" w:rsidR="00864741" w:rsidRDefault="00000000">
            <w:pPr>
              <w:pStyle w:val="BodyB"/>
              <w:widowControl w:val="0"/>
              <w:spacing w:before="77"/>
            </w:pPr>
            <w:r>
              <w:rPr>
                <w:rFonts w:ascii="Arial" w:hAnsi="Arial"/>
                <w:b/>
                <w:bCs/>
                <w:sz w:val="20"/>
                <w:szCs w:val="20"/>
              </w:rPr>
              <w:t>Understand how to manage performance, disciplinary and grievance matters lawfully.</w:t>
            </w:r>
          </w:p>
        </w:tc>
        <w:tc>
          <w:tcPr>
            <w:tcW w:w="24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4438C11" w14:textId="77777777" w:rsidR="00864741" w:rsidRDefault="00000000">
            <w:pPr>
              <w:pStyle w:val="BodyB"/>
            </w:pPr>
            <w:r>
              <w:rPr>
                <w:rFonts w:ascii="Arial" w:hAnsi="Arial"/>
                <w:sz w:val="20"/>
                <w:szCs w:val="20"/>
              </w:rPr>
              <w:t>Explain the principles of legislation relating to UFD in respect of capability and misconduct issues</w:t>
            </w:r>
          </w:p>
          <w:p w14:paraId="1E613415" w14:textId="77777777" w:rsidR="00864741" w:rsidRDefault="00864741">
            <w:pPr>
              <w:pStyle w:val="BodyB"/>
            </w:pPr>
          </w:p>
          <w:p w14:paraId="1217BD2F" w14:textId="77777777" w:rsidR="00864741" w:rsidRDefault="00000000">
            <w:pPr>
              <w:pStyle w:val="BodyB"/>
            </w:pPr>
            <w:r>
              <w:rPr>
                <w:rFonts w:ascii="Arial" w:hAnsi="Arial"/>
                <w:sz w:val="20"/>
                <w:szCs w:val="20"/>
              </w:rPr>
              <w:t>Key causes of grievances</w:t>
            </w:r>
          </w:p>
          <w:p w14:paraId="33C1665A" w14:textId="77777777" w:rsidR="00864741" w:rsidRDefault="00864741">
            <w:pPr>
              <w:pStyle w:val="BodyB"/>
            </w:pPr>
          </w:p>
          <w:p w14:paraId="1D805FF7" w14:textId="77777777" w:rsidR="00864741" w:rsidRDefault="00000000">
            <w:pPr>
              <w:pStyle w:val="BodyB"/>
            </w:pPr>
            <w:r>
              <w:rPr>
                <w:rFonts w:ascii="Arial" w:hAnsi="Arial"/>
                <w:sz w:val="20"/>
                <w:szCs w:val="20"/>
              </w:rPr>
              <w:t>Skills required for effective grievance and disciplinary handling</w:t>
            </w:r>
          </w:p>
          <w:p w14:paraId="60EE5554" w14:textId="77777777" w:rsidR="00864741" w:rsidRDefault="00864741">
            <w:pPr>
              <w:pStyle w:val="BodyB"/>
            </w:pPr>
          </w:p>
          <w:p w14:paraId="324C661C" w14:textId="77777777" w:rsidR="00864741" w:rsidRDefault="00000000">
            <w:pPr>
              <w:pStyle w:val="BodyB"/>
            </w:pPr>
            <w:r>
              <w:rPr>
                <w:rFonts w:ascii="Arial" w:hAnsi="Arial"/>
                <w:sz w:val="20"/>
                <w:szCs w:val="20"/>
              </w:rPr>
              <w:t xml:space="preserve">Importance of handling grievances effectively </w:t>
            </w:r>
          </w:p>
        </w:tc>
        <w:tc>
          <w:tcPr>
            <w:tcW w:w="81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7F61DE8" w14:textId="77777777" w:rsidR="00864741" w:rsidRDefault="00000000">
            <w:pPr>
              <w:pStyle w:val="Body"/>
              <w:rPr>
                <w:lang w:val="en-US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lang w:val="en-US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Read the appropriate chapter in the Kathy Daniels textbook</w:t>
            </w:r>
          </w:p>
          <w:p w14:paraId="77E63009" w14:textId="77777777" w:rsidR="00864741" w:rsidRDefault="00864741">
            <w:pPr>
              <w:pStyle w:val="Body"/>
              <w:rPr>
                <w:lang w:val="en-US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54CDB28B" w14:textId="77777777" w:rsidR="00864741" w:rsidRDefault="00864741">
            <w:pPr>
              <w:pStyle w:val="Body"/>
              <w:rPr>
                <w:lang w:val="en-US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72476046" w14:textId="77777777" w:rsidR="00864741" w:rsidRDefault="00864741">
            <w:pPr>
              <w:pStyle w:val="Body"/>
              <w:rPr>
                <w:lang w:val="en-US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37455F35" w14:textId="77777777" w:rsidR="00864741" w:rsidRDefault="00864741">
            <w:pPr>
              <w:pStyle w:val="Body"/>
              <w:rPr>
                <w:lang w:val="en-US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7B623ECE" w14:textId="77777777" w:rsidR="00864741" w:rsidRDefault="00000000">
            <w:pPr>
              <w:pStyle w:val="Body"/>
            </w:pPr>
            <w:r>
              <w:rPr>
                <w:lang w:val="en-US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Read the CIPD guidance </w:t>
            </w:r>
            <w:hyperlink r:id="rId17" w:history="1">
              <w:r>
                <w:rPr>
                  <w:rStyle w:val="Hyperlink0"/>
                  <w:lang w:val="en-US"/>
                  <w14:textOutline w14:w="12700" w14:cap="flat" w14:cmpd="sng" w14:algn="ctr">
                    <w14:noFill/>
                    <w14:prstDash w14:val="solid"/>
                    <w14:miter w14:lim="400000"/>
                  </w14:textOutline>
                </w:rPr>
                <w:t>click here</w:t>
              </w:r>
            </w:hyperlink>
            <w:r>
              <w:rPr>
                <w:lang w:val="en-US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and </w:t>
            </w:r>
            <w:hyperlink r:id="rId18" w:history="1">
              <w:r>
                <w:rPr>
                  <w:rStyle w:val="Hyperlink0"/>
                  <w:lang w:val="en-US"/>
                  <w14:textOutline w14:w="12700" w14:cap="flat" w14:cmpd="sng" w14:algn="ctr">
                    <w14:noFill/>
                    <w14:prstDash w14:val="solid"/>
                    <w14:miter w14:lim="400000"/>
                  </w14:textOutline>
                </w:rPr>
                <w:t>here</w:t>
              </w:r>
            </w:hyperlink>
            <w:r>
              <w:rPr>
                <w:lang w:val="en-US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</w:t>
            </w:r>
          </w:p>
        </w:tc>
      </w:tr>
      <w:tr w:rsidR="00864741" w14:paraId="0181B441" w14:textId="77777777">
        <w:trPr>
          <w:trHeight w:val="4605"/>
        </w:trPr>
        <w:tc>
          <w:tcPr>
            <w:tcW w:w="11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577342D" w14:textId="77777777" w:rsidR="00864741" w:rsidRDefault="00864741"/>
        </w:tc>
        <w:tc>
          <w:tcPr>
            <w:tcW w:w="26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9195872" w14:textId="77777777" w:rsidR="00864741" w:rsidRDefault="00864741"/>
        </w:tc>
        <w:tc>
          <w:tcPr>
            <w:tcW w:w="24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C6303CE" w14:textId="77777777" w:rsidR="00864741" w:rsidRDefault="00864741"/>
        </w:tc>
        <w:tc>
          <w:tcPr>
            <w:tcW w:w="81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D95A903" w14:textId="77777777" w:rsidR="00864741" w:rsidRDefault="00864741"/>
        </w:tc>
      </w:tr>
    </w:tbl>
    <w:p w14:paraId="67ECE51F" w14:textId="77777777" w:rsidR="00864741" w:rsidRDefault="00864741">
      <w:pPr>
        <w:pStyle w:val="Body"/>
        <w:widowControl w:val="0"/>
        <w:ind w:left="216" w:hanging="216"/>
      </w:pPr>
    </w:p>
    <w:p w14:paraId="061EC95B" w14:textId="77777777" w:rsidR="00864741" w:rsidRDefault="00864741">
      <w:pPr>
        <w:pStyle w:val="BodyB"/>
        <w:widowControl w:val="0"/>
        <w:ind w:left="108" w:hanging="108"/>
      </w:pPr>
    </w:p>
    <w:p w14:paraId="661F66FF" w14:textId="77777777" w:rsidR="00864741" w:rsidRDefault="00864741">
      <w:pPr>
        <w:pStyle w:val="BodyA"/>
      </w:pPr>
    </w:p>
    <w:p w14:paraId="5DBF34A7" w14:textId="77777777" w:rsidR="00864741" w:rsidRDefault="00864741">
      <w:pPr>
        <w:pStyle w:val="BodyA"/>
        <w:rPr>
          <w:rFonts w:ascii="Arial" w:eastAsia="Arial" w:hAnsi="Arial" w:cs="Arial"/>
          <w:b/>
          <w:bCs/>
          <w:sz w:val="22"/>
          <w:szCs w:val="22"/>
        </w:rPr>
      </w:pPr>
    </w:p>
    <w:p w14:paraId="0B53D9B7" w14:textId="77777777" w:rsidR="00864741" w:rsidRDefault="00864741">
      <w:pPr>
        <w:pStyle w:val="BodyA"/>
        <w:rPr>
          <w:rFonts w:ascii="Arial" w:eastAsia="Arial" w:hAnsi="Arial" w:cs="Arial"/>
          <w:b/>
          <w:bCs/>
          <w:sz w:val="22"/>
          <w:szCs w:val="22"/>
        </w:rPr>
      </w:pPr>
    </w:p>
    <w:p w14:paraId="2AD3FC4D" w14:textId="77777777" w:rsidR="00864741" w:rsidRDefault="00864741">
      <w:pPr>
        <w:pStyle w:val="BodyA"/>
        <w:rPr>
          <w:rFonts w:ascii="Arial" w:eastAsia="Arial" w:hAnsi="Arial" w:cs="Arial"/>
          <w:b/>
          <w:bCs/>
          <w:sz w:val="22"/>
          <w:szCs w:val="22"/>
        </w:rPr>
      </w:pPr>
    </w:p>
    <w:p w14:paraId="2182E001" w14:textId="77777777" w:rsidR="00864741" w:rsidRDefault="00000000">
      <w:pPr>
        <w:pStyle w:val="Heading2"/>
        <w:shd w:val="clear" w:color="auto" w:fill="FFFFFF"/>
        <w:spacing w:after="150" w:line="336" w:lineRule="atLeast"/>
        <w:rPr>
          <w:rFonts w:ascii="Arial" w:eastAsia="Arial" w:hAnsi="Arial" w:cs="Arial"/>
          <w:b/>
          <w:bCs/>
          <w:color w:val="000000"/>
          <w:sz w:val="22"/>
          <w:szCs w:val="22"/>
          <w:u w:color="000000"/>
        </w:rPr>
      </w:pPr>
      <w:r>
        <w:rPr>
          <w:rFonts w:ascii="Arial" w:hAnsi="Arial"/>
          <w:b/>
          <w:bCs/>
          <w:color w:val="000000"/>
          <w:sz w:val="22"/>
          <w:szCs w:val="22"/>
          <w:u w:color="000000"/>
        </w:rPr>
        <w:t>Mandatory reading (Textbooks)</w:t>
      </w:r>
    </w:p>
    <w:p w14:paraId="34D84B86" w14:textId="77777777" w:rsidR="00864741" w:rsidRDefault="00000000">
      <w:pPr>
        <w:pStyle w:val="Heading2"/>
        <w:shd w:val="clear" w:color="auto" w:fill="FFFFFF"/>
        <w:spacing w:after="150" w:line="336" w:lineRule="atLeast"/>
        <w:rPr>
          <w:rFonts w:ascii="Arial" w:eastAsia="Arial" w:hAnsi="Arial" w:cs="Arial"/>
          <w:color w:val="000000"/>
          <w:sz w:val="22"/>
          <w:szCs w:val="22"/>
          <w:u w:color="000000"/>
        </w:rPr>
      </w:pPr>
      <w:r>
        <w:rPr>
          <w:rFonts w:ascii="Arial" w:hAnsi="Arial"/>
          <w:color w:val="000000"/>
          <w:sz w:val="22"/>
          <w:szCs w:val="22"/>
          <w:u w:color="000000"/>
        </w:rPr>
        <w:t>Daniels, K. (2022)</w:t>
      </w:r>
      <w:r>
        <w:rPr>
          <w:color w:val="000000"/>
          <w:u w:color="000000"/>
        </w:rPr>
        <w:t xml:space="preserve"> </w:t>
      </w:r>
      <w:r>
        <w:rPr>
          <w:rFonts w:ascii="Arial" w:hAnsi="Arial"/>
          <w:i/>
          <w:iCs/>
          <w:color w:val="000000"/>
          <w:sz w:val="22"/>
          <w:szCs w:val="22"/>
          <w:u w:color="000000"/>
        </w:rPr>
        <w:t>Introduction to Employment Law. Fundamentals for HR and Business Students</w:t>
      </w:r>
      <w:r>
        <w:rPr>
          <w:rFonts w:ascii="Open Sans" w:eastAsia="Open Sans" w:hAnsi="Open Sans" w:cs="Open Sans"/>
          <w:color w:val="333333"/>
          <w:u w:color="333333"/>
        </w:rPr>
        <w:t xml:space="preserve"> </w:t>
      </w:r>
      <w:r>
        <w:rPr>
          <w:rFonts w:ascii="Arial" w:hAnsi="Arial"/>
          <w:color w:val="000000"/>
          <w:sz w:val="22"/>
          <w:szCs w:val="22"/>
          <w:u w:color="000000"/>
        </w:rPr>
        <w:t>(6 ed.). London: CIPD – Specifically chapters 8 and 10</w:t>
      </w:r>
    </w:p>
    <w:p w14:paraId="68D62041" w14:textId="77777777" w:rsidR="00864741" w:rsidRDefault="00000000">
      <w:pPr>
        <w:pStyle w:val="BodyB"/>
      </w:pPr>
      <w:r>
        <w:rPr>
          <w:rFonts w:ascii="Arial" w:hAnsi="Arial"/>
          <w:sz w:val="22"/>
          <w:szCs w:val="22"/>
        </w:rPr>
        <w:t>Armstrong’s Book of HRM Practice Armstrong and Taylor 16th ed</w:t>
      </w:r>
    </w:p>
    <w:p w14:paraId="79A04FE0" w14:textId="77777777" w:rsidR="00864741" w:rsidRDefault="00864741">
      <w:pPr>
        <w:pStyle w:val="BodyA"/>
        <w:rPr>
          <w:rFonts w:ascii="Arial" w:eastAsia="Arial" w:hAnsi="Arial" w:cs="Arial"/>
          <w:sz w:val="22"/>
          <w:szCs w:val="22"/>
        </w:rPr>
      </w:pPr>
    </w:p>
    <w:p w14:paraId="162544A8" w14:textId="77777777" w:rsidR="00864741" w:rsidRDefault="00000000">
      <w:pPr>
        <w:pStyle w:val="BodyA"/>
        <w:rPr>
          <w:rFonts w:ascii="Arial" w:eastAsia="Arial" w:hAnsi="Arial" w:cs="Arial"/>
          <w:b/>
          <w:bCs/>
          <w:sz w:val="22"/>
          <w:szCs w:val="22"/>
        </w:rPr>
      </w:pPr>
      <w:r>
        <w:rPr>
          <w:rFonts w:ascii="Arial" w:hAnsi="Arial"/>
          <w:b/>
          <w:bCs/>
          <w:sz w:val="22"/>
          <w:szCs w:val="22"/>
        </w:rPr>
        <w:t>Mandatory tasks:</w:t>
      </w:r>
    </w:p>
    <w:p w14:paraId="2EC7934F" w14:textId="77777777" w:rsidR="00864741" w:rsidRDefault="00864741">
      <w:pPr>
        <w:pStyle w:val="BodyA"/>
        <w:rPr>
          <w:rFonts w:ascii="Arial" w:eastAsia="Arial" w:hAnsi="Arial" w:cs="Arial"/>
          <w:b/>
          <w:bCs/>
          <w:sz w:val="22"/>
          <w:szCs w:val="22"/>
        </w:rPr>
      </w:pPr>
    </w:p>
    <w:p w14:paraId="396B12F8" w14:textId="77777777" w:rsidR="00864741" w:rsidRDefault="00864741">
      <w:pPr>
        <w:pStyle w:val="BodyA"/>
        <w:rPr>
          <w:rFonts w:ascii="Arial" w:eastAsia="Arial" w:hAnsi="Arial" w:cs="Arial"/>
          <w:sz w:val="22"/>
          <w:szCs w:val="22"/>
        </w:rPr>
      </w:pPr>
    </w:p>
    <w:p w14:paraId="5BC382B1" w14:textId="77777777" w:rsidR="00864741" w:rsidRDefault="00864741">
      <w:pPr>
        <w:pStyle w:val="BodyA"/>
        <w:rPr>
          <w:rFonts w:ascii="Arial" w:eastAsia="Arial" w:hAnsi="Arial" w:cs="Arial"/>
          <w:sz w:val="22"/>
          <w:szCs w:val="22"/>
        </w:rPr>
      </w:pPr>
    </w:p>
    <w:p w14:paraId="7679AEE4" w14:textId="77777777" w:rsidR="00864741" w:rsidRDefault="00000000">
      <w:pPr>
        <w:pStyle w:val="BodyA"/>
        <w:rPr>
          <w:rStyle w:val="Hyperlink1"/>
        </w:rPr>
      </w:pPr>
      <w:r>
        <w:rPr>
          <w:rFonts w:ascii="Arial" w:hAnsi="Arial"/>
          <w:sz w:val="22"/>
          <w:szCs w:val="22"/>
        </w:rPr>
        <w:t xml:space="preserve">Complete the ACAS online learning modules in Managing Conflict, Working with Representatives, and Discipline and Grievances 2023  (create account first)  </w:t>
      </w:r>
      <w:hyperlink r:id="rId19" w:history="1">
        <w:r>
          <w:rPr>
            <w:rStyle w:val="Hyperlink1"/>
          </w:rPr>
          <w:t>https://elearning.acas.org.uk/course/view.php?id=7</w:t>
        </w:r>
      </w:hyperlink>
    </w:p>
    <w:p w14:paraId="353764ED" w14:textId="77777777" w:rsidR="00864741" w:rsidRDefault="00864741">
      <w:pPr>
        <w:pStyle w:val="BodyA"/>
        <w:rPr>
          <w:rStyle w:val="None"/>
          <w:rFonts w:ascii="Arial" w:eastAsia="Arial" w:hAnsi="Arial" w:cs="Arial"/>
          <w:sz w:val="22"/>
          <w:szCs w:val="22"/>
        </w:rPr>
      </w:pPr>
    </w:p>
    <w:p w14:paraId="2927BAEE" w14:textId="77777777" w:rsidR="00864741" w:rsidRDefault="00000000">
      <w:pPr>
        <w:pStyle w:val="BodyA"/>
        <w:rPr>
          <w:rStyle w:val="None"/>
          <w:rFonts w:ascii="Arial" w:eastAsia="Arial" w:hAnsi="Arial" w:cs="Arial"/>
          <w:b/>
          <w:bCs/>
          <w:sz w:val="22"/>
          <w:szCs w:val="22"/>
        </w:rPr>
      </w:pPr>
      <w:r>
        <w:rPr>
          <w:rStyle w:val="None"/>
          <w:rFonts w:ascii="Arial" w:hAnsi="Arial"/>
          <w:b/>
          <w:bCs/>
          <w:sz w:val="22"/>
          <w:szCs w:val="22"/>
        </w:rPr>
        <w:t>Other Sources of Information for Self-directed Learning:</w:t>
      </w:r>
    </w:p>
    <w:p w14:paraId="743B0656" w14:textId="77777777" w:rsidR="00864741" w:rsidRDefault="00864741">
      <w:pPr>
        <w:pStyle w:val="BodyA"/>
        <w:rPr>
          <w:rStyle w:val="None"/>
          <w:rFonts w:ascii="Arial" w:eastAsia="Arial" w:hAnsi="Arial" w:cs="Arial"/>
          <w:sz w:val="22"/>
          <w:szCs w:val="22"/>
        </w:rPr>
      </w:pPr>
    </w:p>
    <w:p w14:paraId="176F1532" w14:textId="77777777" w:rsidR="00864741" w:rsidRDefault="00000000">
      <w:pPr>
        <w:pStyle w:val="BodyA"/>
        <w:spacing w:line="480" w:lineRule="auto"/>
        <w:rPr>
          <w:rStyle w:val="None"/>
          <w:rFonts w:ascii="Arial" w:eastAsia="Arial" w:hAnsi="Arial" w:cs="Arial"/>
          <w:sz w:val="22"/>
          <w:szCs w:val="22"/>
        </w:rPr>
      </w:pPr>
      <w:hyperlink r:id="rId20" w:history="1">
        <w:r>
          <w:rPr>
            <w:rStyle w:val="Hyperlink1"/>
          </w:rPr>
          <w:t>www.cipd.co.uk</w:t>
        </w:r>
      </w:hyperlink>
      <w:r>
        <w:rPr>
          <w:rStyle w:val="None"/>
          <w:rFonts w:ascii="Arial" w:hAnsi="Arial"/>
          <w:sz w:val="22"/>
          <w:szCs w:val="22"/>
        </w:rPr>
        <w:t xml:space="preserve"> – factsheets, </w:t>
      </w:r>
      <w:proofErr w:type="spellStart"/>
      <w:r>
        <w:rPr>
          <w:rStyle w:val="None"/>
          <w:rFonts w:ascii="Arial" w:hAnsi="Arial"/>
          <w:sz w:val="22"/>
          <w:szCs w:val="22"/>
        </w:rPr>
        <w:t>q&amp;a’s</w:t>
      </w:r>
      <w:proofErr w:type="spellEnd"/>
      <w:r>
        <w:rPr>
          <w:rStyle w:val="None"/>
          <w:rFonts w:ascii="Arial" w:hAnsi="Arial"/>
          <w:sz w:val="22"/>
          <w:szCs w:val="22"/>
        </w:rPr>
        <w:t xml:space="preserve">, case law and podcasts </w:t>
      </w:r>
      <w:hyperlink r:id="rId21" w:history="1">
        <w:r>
          <w:rPr>
            <w:rStyle w:val="Hyperlink1"/>
          </w:rPr>
          <w:t>https://www.cipd.co.uk/knowledge/fundamentals/emp-law</w:t>
        </w:r>
      </w:hyperlink>
      <w:r>
        <w:rPr>
          <w:rStyle w:val="None"/>
          <w:rFonts w:ascii="Arial" w:hAnsi="Arial"/>
          <w:sz w:val="22"/>
          <w:szCs w:val="22"/>
        </w:rPr>
        <w:t xml:space="preserve"> </w:t>
      </w:r>
    </w:p>
    <w:p w14:paraId="1B8CCDB2" w14:textId="77777777" w:rsidR="00864741" w:rsidRDefault="00000000">
      <w:pPr>
        <w:pStyle w:val="BodyA"/>
        <w:spacing w:line="480" w:lineRule="auto"/>
        <w:rPr>
          <w:rStyle w:val="None"/>
          <w:rFonts w:ascii="Arial" w:eastAsia="Arial" w:hAnsi="Arial" w:cs="Arial"/>
          <w:sz w:val="22"/>
          <w:szCs w:val="22"/>
        </w:rPr>
      </w:pPr>
      <w:r>
        <w:rPr>
          <w:rStyle w:val="None"/>
          <w:rFonts w:ascii="Arial" w:hAnsi="Arial"/>
          <w:sz w:val="22"/>
          <w:szCs w:val="22"/>
        </w:rPr>
        <w:t xml:space="preserve">People Management. Available at: </w:t>
      </w:r>
      <w:hyperlink r:id="rId22" w:history="1">
        <w:r>
          <w:rPr>
            <w:rStyle w:val="Hyperlink1"/>
          </w:rPr>
          <w:t>People Management homepage</w:t>
        </w:r>
      </w:hyperlink>
    </w:p>
    <w:p w14:paraId="03BBF7CA" w14:textId="77777777" w:rsidR="00864741" w:rsidRDefault="00000000">
      <w:pPr>
        <w:pStyle w:val="BodyA"/>
        <w:spacing w:line="480" w:lineRule="auto"/>
        <w:rPr>
          <w:rStyle w:val="None"/>
          <w:rFonts w:ascii="Arial" w:eastAsia="Arial" w:hAnsi="Arial" w:cs="Arial"/>
          <w:sz w:val="22"/>
          <w:szCs w:val="22"/>
        </w:rPr>
      </w:pPr>
      <w:r>
        <w:rPr>
          <w:rStyle w:val="None"/>
          <w:rFonts w:ascii="Arial" w:hAnsi="Arial"/>
          <w:sz w:val="22"/>
          <w:szCs w:val="22"/>
        </w:rPr>
        <w:t xml:space="preserve">Personnel Today. Available at: </w:t>
      </w:r>
      <w:hyperlink r:id="rId23" w:history="1">
        <w:r>
          <w:rPr>
            <w:rStyle w:val="Hyperlink1"/>
          </w:rPr>
          <w:t>http://www.personneltoday.com/</w:t>
        </w:r>
      </w:hyperlink>
      <w:r>
        <w:rPr>
          <w:rStyle w:val="None"/>
          <w:rFonts w:ascii="Arial" w:hAnsi="Arial"/>
          <w:sz w:val="22"/>
          <w:szCs w:val="22"/>
        </w:rPr>
        <w:t xml:space="preserve"> and HR Magazine. Available at </w:t>
      </w:r>
      <w:hyperlink r:id="rId24" w:history="1">
        <w:r>
          <w:rPr>
            <w:rStyle w:val="Hyperlink1"/>
          </w:rPr>
          <w:t>http://www.hrmagazine.co.uk</w:t>
        </w:r>
      </w:hyperlink>
    </w:p>
    <w:p w14:paraId="5D1DB6DB" w14:textId="77777777" w:rsidR="00864741" w:rsidRDefault="00000000">
      <w:pPr>
        <w:pStyle w:val="BodyA"/>
        <w:spacing w:line="480" w:lineRule="auto"/>
        <w:rPr>
          <w:rStyle w:val="None"/>
          <w:rFonts w:ascii="Arial" w:eastAsia="Arial" w:hAnsi="Arial" w:cs="Arial"/>
          <w:sz w:val="22"/>
          <w:szCs w:val="22"/>
        </w:rPr>
      </w:pPr>
      <w:r>
        <w:rPr>
          <w:rStyle w:val="None"/>
          <w:rFonts w:ascii="Arial" w:hAnsi="Arial"/>
          <w:sz w:val="22"/>
          <w:szCs w:val="22"/>
        </w:rPr>
        <w:t xml:space="preserve">UWTSD Library and Learning Resources. Available at: </w:t>
      </w:r>
      <w:hyperlink r:id="rId25" w:history="1">
        <w:r>
          <w:rPr>
            <w:rStyle w:val="Hyperlink1"/>
          </w:rPr>
          <w:t>http://www.uwtsd.ac.uk/library/</w:t>
        </w:r>
      </w:hyperlink>
    </w:p>
    <w:p w14:paraId="57FCCB6B" w14:textId="77777777" w:rsidR="00864741" w:rsidRDefault="00000000">
      <w:pPr>
        <w:pStyle w:val="BodyA"/>
        <w:spacing w:line="480" w:lineRule="auto"/>
        <w:rPr>
          <w:rStyle w:val="None"/>
          <w:rFonts w:ascii="Arial" w:eastAsia="Arial" w:hAnsi="Arial" w:cs="Arial"/>
          <w:sz w:val="22"/>
          <w:szCs w:val="22"/>
        </w:rPr>
      </w:pPr>
      <w:r>
        <w:rPr>
          <w:rStyle w:val="None"/>
          <w:rFonts w:ascii="Arial" w:hAnsi="Arial"/>
          <w:sz w:val="22"/>
          <w:szCs w:val="22"/>
        </w:rPr>
        <w:t>Follow Daniel Barnett on social media for frequent employment law updates - I’ve been following him for over 25 years!</w:t>
      </w:r>
    </w:p>
    <w:p w14:paraId="1814BC3D" w14:textId="77777777" w:rsidR="00864741" w:rsidRDefault="00000000">
      <w:pPr>
        <w:pStyle w:val="BodyA"/>
        <w:spacing w:line="480" w:lineRule="auto"/>
      </w:pPr>
      <w:r>
        <w:rPr>
          <w:rStyle w:val="None"/>
          <w:rFonts w:ascii="Arial" w:hAnsi="Arial"/>
          <w:sz w:val="22"/>
          <w:szCs w:val="22"/>
        </w:rPr>
        <w:t xml:space="preserve"> </w:t>
      </w:r>
    </w:p>
    <w:sectPr w:rsidR="00864741">
      <w:headerReference w:type="default" r:id="rId26"/>
      <w:footerReference w:type="default" r:id="rId27"/>
      <w:pgSz w:w="16840" w:h="11900" w:orient="landscape"/>
      <w:pgMar w:top="1919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F3C898" w14:textId="77777777" w:rsidR="008F428D" w:rsidRDefault="008F428D">
      <w:r>
        <w:separator/>
      </w:r>
    </w:p>
  </w:endnote>
  <w:endnote w:type="continuationSeparator" w:id="0">
    <w:p w14:paraId="6D978EF4" w14:textId="77777777" w:rsidR="008F428D" w:rsidRDefault="008F42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 Neue">
    <w:altName w:val="Arial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6D51AA" w14:textId="77777777" w:rsidR="00864741" w:rsidRDefault="00864741">
    <w:pPr>
      <w:pStyle w:val="Header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DB882D" w14:textId="77777777" w:rsidR="008F428D" w:rsidRDefault="008F428D">
      <w:r>
        <w:separator/>
      </w:r>
    </w:p>
  </w:footnote>
  <w:footnote w:type="continuationSeparator" w:id="0">
    <w:p w14:paraId="4E4283D5" w14:textId="77777777" w:rsidR="008F428D" w:rsidRDefault="008F428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BA2194" w14:textId="77777777" w:rsidR="00864741" w:rsidRDefault="00000000">
    <w:pPr>
      <w:pStyle w:val="Header"/>
      <w:jc w:val="center"/>
    </w:pPr>
    <w:r>
      <w:rPr>
        <w:rFonts w:ascii="Arial" w:hAnsi="Arial"/>
        <w:sz w:val="32"/>
        <w:szCs w:val="32"/>
      </w:rPr>
      <w:t xml:space="preserve"> CIPD Associate Diploma in People Management: Learning Plan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4741"/>
    <w:rsid w:val="000B3C2A"/>
    <w:rsid w:val="0074461A"/>
    <w:rsid w:val="00864741"/>
    <w:rsid w:val="008F4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B84895"/>
  <w15:docId w15:val="{D9718A4B-19D6-4119-9F0A-A565AAABF3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Arial Unicode MS" w:hAnsi="Times New Roman" w:cs="Times New Roman"/>
        <w:bdr w:val="nil"/>
        <w:lang w:val="en-GB" w:eastAsia="zh-CN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2">
    <w:name w:val="heading 2"/>
    <w:next w:val="BodyA"/>
    <w:uiPriority w:val="9"/>
    <w:unhideWhenUsed/>
    <w:qFormat/>
    <w:pPr>
      <w:keepNext/>
      <w:keepLines/>
      <w:spacing w:before="40"/>
      <w:outlineLvl w:val="1"/>
    </w:pPr>
    <w:rPr>
      <w:rFonts w:ascii="Calibri Light" w:hAnsi="Calibri Light" w:cs="Arial Unicode MS"/>
      <w:color w:val="2F5496"/>
      <w:sz w:val="26"/>
      <w:szCs w:val="26"/>
      <w:u w:color="2F5496"/>
      <w:lang w:val="en-US"/>
      <w14:textOutline w14:w="12700" w14:cap="flat" w14:cmpd="sng" w14:algn="ctr">
        <w14:noFill/>
        <w14:prstDash w14:val="solid"/>
        <w14:miter w14:lim="400000"/>
      </w14:textOutline>
    </w:rPr>
  </w:style>
  <w:style w:type="paragraph" w:styleId="Heading3">
    <w:name w:val="heading 3"/>
    <w:next w:val="BodyA"/>
    <w:uiPriority w:val="9"/>
    <w:unhideWhenUsed/>
    <w:qFormat/>
    <w:pPr>
      <w:keepNext/>
      <w:outlineLvl w:val="2"/>
    </w:pPr>
    <w:rPr>
      <w:rFonts w:cs="Arial Unicode MS"/>
      <w:b/>
      <w:bCs/>
      <w:color w:val="000000"/>
      <w:u w:color="000000"/>
      <w:lang w:val="en-US"/>
      <w14:textOutline w14:w="12700" w14:cap="flat" w14:cmpd="sng" w14:algn="ctr">
        <w14:noFill/>
        <w14:prstDash w14:val="solid"/>
        <w14:miter w14:lim="400000"/>
      </w14:textOutline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styleId="Header">
    <w:name w:val="header"/>
    <w:pPr>
      <w:tabs>
        <w:tab w:val="center" w:pos="4513"/>
        <w:tab w:val="right" w:pos="9026"/>
      </w:tabs>
    </w:pPr>
    <w:rPr>
      <w:rFonts w:cs="Arial Unicode MS"/>
      <w:color w:val="000000"/>
      <w:u w:color="000000"/>
      <w:lang w:val="en-US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eastAsia="Helvetica Neue" w:hAnsi="Helvetica Neue" w:cs="Helvetica Neue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">
    <w:name w:val="Body"/>
    <w:rPr>
      <w:rFonts w:eastAsia="Times New Roman"/>
      <w:color w:val="000000"/>
      <w:sz w:val="24"/>
      <w:szCs w:val="24"/>
      <w:u w:color="000000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A">
    <w:name w:val="Body A"/>
    <w:rPr>
      <w:rFonts w:cs="Arial Unicode MS"/>
      <w:color w:val="000000"/>
      <w:u w:color="000000"/>
      <w:lang w:val="en-US"/>
      <w14:textOutline w14:w="12700" w14:cap="flat" w14:cmpd="sng" w14:algn="ctr">
        <w14:noFill/>
        <w14:prstDash w14:val="solid"/>
        <w14:miter w14:lim="400000"/>
      </w14:textOutline>
    </w:rPr>
  </w:style>
  <w:style w:type="paragraph" w:customStyle="1" w:styleId="BodyB">
    <w:name w:val="Body B"/>
    <w:rPr>
      <w:rFonts w:cs="Arial Unicode MS"/>
      <w:color w:val="000000"/>
      <w:sz w:val="24"/>
      <w:szCs w:val="24"/>
      <w:u w:color="000000"/>
      <w:lang w:val="en-US"/>
      <w14:textOutline w14:w="12700" w14:cap="flat" w14:cmpd="sng" w14:algn="ctr">
        <w14:noFill/>
        <w14:prstDash w14:val="solid"/>
        <w14:miter w14:lim="400000"/>
      </w14:textOutline>
    </w:rPr>
  </w:style>
  <w:style w:type="character" w:customStyle="1" w:styleId="Hyperlink0">
    <w:name w:val="Hyperlink.0"/>
    <w:basedOn w:val="Hyperlink"/>
    <w:rPr>
      <w:outline w:val="0"/>
      <w:color w:val="0000FF"/>
      <w:u w:val="single" w:color="0000FF"/>
    </w:rPr>
  </w:style>
  <w:style w:type="character" w:customStyle="1" w:styleId="None">
    <w:name w:val="None"/>
  </w:style>
  <w:style w:type="character" w:customStyle="1" w:styleId="Hyperlink1">
    <w:name w:val="Hyperlink.1"/>
    <w:basedOn w:val="None"/>
    <w:rPr>
      <w:rFonts w:ascii="Arial" w:eastAsia="Arial" w:hAnsi="Arial" w:cs="Arial"/>
      <w:outline w:val="0"/>
      <w:color w:val="0000FF"/>
      <w:sz w:val="22"/>
      <w:szCs w:val="22"/>
      <w:u w:val="single" w:color="0000F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pa-involve.com/employee-voice" TargetMode="External"/><Relationship Id="rId13" Type="http://schemas.openxmlformats.org/officeDocument/2006/relationships/hyperlink" Target="https://www.resolutionfoundation.org/our-work/labour-market/" TargetMode="External"/><Relationship Id="rId18" Type="http://schemas.openxmlformats.org/officeDocument/2006/relationships/hyperlink" Target="https://www.cipd.org/uk/knowledge/guides/discipline-and-grievance/#:~:text=This%20guide%20helps%20you%20handle%20such%20cases%20in,may%20arise%20as%20part%20of%20the%20working%20relationship" TargetMode="External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www.cipd.co.uk/knowledge/fundamentals/emp-law" TargetMode="External"/><Relationship Id="rId7" Type="http://schemas.openxmlformats.org/officeDocument/2006/relationships/hyperlink" Target="https://www.cipd.org/uk/views-and-insights/cipd-viewpoint/employee-voice/" TargetMode="External"/><Relationship Id="rId12" Type="http://schemas.openxmlformats.org/officeDocument/2006/relationships/hyperlink" Target="https://www.cipd.org/uk/knowledge/reports/managing-workplace-conflict-report/" TargetMode="External"/><Relationship Id="rId17" Type="http://schemas.openxmlformats.org/officeDocument/2006/relationships/hyperlink" Target="https://www.cipd.org/uk/knowledge/guides/disciplinary-and-grievance-procedures-guidance-for-managers/" TargetMode="External"/><Relationship Id="rId25" Type="http://schemas.openxmlformats.org/officeDocument/2006/relationships/hyperlink" Target="http://www.uwtsd.ac.uk/library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acas.org.uk/dispute-resolution" TargetMode="External"/><Relationship Id="rId20" Type="http://schemas.openxmlformats.org/officeDocument/2006/relationships/hyperlink" Target="http://www.cipd.co.uk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ipa-involve.com/News/workplace-representation-what-next-for-trade-s-and-staff-forums" TargetMode="External"/><Relationship Id="rId11" Type="http://schemas.openxmlformats.org/officeDocument/2006/relationships/hyperlink" Target="https://www.cipd.org/uk/knowledge/podcasts/whats-hampering-good-work/" TargetMode="External"/><Relationship Id="rId24" Type="http://schemas.openxmlformats.org/officeDocument/2006/relationships/hyperlink" Target="http://www.hrmagazine.co.uk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cipd.org/uk/knowledge/podcasts/shifting-perception-conflict/" TargetMode="External"/><Relationship Id="rId23" Type="http://schemas.openxmlformats.org/officeDocument/2006/relationships/hyperlink" Target="http://www.personneltoday.com/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cipd.org/uk/knowledge/reports/goodwork/" TargetMode="External"/><Relationship Id="rId19" Type="http://schemas.openxmlformats.org/officeDocument/2006/relationships/hyperlink" Target="https://elearning.acas.org.uk/course/view.php?id=7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engageforsuccess.org/category/employee-voice/" TargetMode="External"/><Relationship Id="rId14" Type="http://schemas.openxmlformats.org/officeDocument/2006/relationships/hyperlink" Target="https://www.youtube.com/watch?v=iszerIqTpG8&amp;t=57s" TargetMode="External"/><Relationship Id="rId22" Type="http://schemas.openxmlformats.org/officeDocument/2006/relationships/hyperlink" Target="https://www.peoplemanagement.co.uk/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854</Words>
  <Characters>4874</Characters>
  <Application>Microsoft Office Word</Application>
  <DocSecurity>0</DocSecurity>
  <Lines>40</Lines>
  <Paragraphs>11</Paragraphs>
  <ScaleCrop>false</ScaleCrop>
  <Company>University of Wales Trinity Saint David</Company>
  <LinksUpToDate>false</LinksUpToDate>
  <CharactersWithSpaces>5717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Rebecca Francis-Davies</cp:lastModifiedBy>
  <cp:revision>3</cp:revision>
  <dcterms:created xsi:type="dcterms:W3CDTF">2025-11-11T16:55:00Z</dcterms:created>
  <dcterms:modified xsi:type="dcterms:W3CDTF">2025-11-11T16:59:00Z</dcterms:modified>
</cp:coreProperties>
</file>