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rPr>
          <w:rFonts w:ascii="Garamond" w:hAnsi="Garamond" w:cs="Arial"/>
          <w:b/>
          <w:bCs/>
          <w:sz w:val="32"/>
          <w:szCs w:val="32"/>
          <w:lang w:eastAsia="zh-CN"/>
        </w:rPr>
      </w:pPr>
    </w:p>
    <w:p>
      <w:pPr>
        <w:spacing w:line="360" w:lineRule="auto"/>
        <w:rPr>
          <w:rFonts w:ascii="Garamond" w:hAnsi="Garamond" w:cs="Arial"/>
          <w:b/>
          <w:bCs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56"/>
          <w:szCs w:val="56"/>
        </w:rPr>
      </w:pPr>
      <w:r>
        <w:rPr>
          <w:rFonts w:ascii="Garamond" w:hAnsi="Garamond" w:cs="Arial"/>
          <w:b/>
          <w:bCs/>
          <w:sz w:val="56"/>
          <w:szCs w:val="56"/>
        </w:rPr>
        <w:t>BMMB7025</w:t>
      </w:r>
    </w:p>
    <w:p>
      <w:pPr>
        <w:spacing w:line="360" w:lineRule="auto"/>
        <w:jc w:val="center"/>
        <w:rPr>
          <w:rFonts w:ascii="Garamond" w:hAnsi="Garamond" w:cs="Arial"/>
          <w:b/>
          <w:bCs/>
          <w:sz w:val="56"/>
          <w:szCs w:val="56"/>
        </w:rPr>
      </w:pPr>
      <w:r>
        <w:rPr>
          <w:rFonts w:ascii="Garamond" w:hAnsi="Garamond" w:cs="Arial"/>
          <w:b/>
          <w:bCs/>
          <w:sz w:val="56"/>
          <w:szCs w:val="56"/>
        </w:rPr>
        <w:t>Managing People in Organisations</w:t>
      </w:r>
    </w:p>
    <w:p>
      <w:pPr>
        <w:spacing w:line="360" w:lineRule="auto"/>
        <w:jc w:val="both"/>
        <w:rPr>
          <w:rFonts w:ascii="Garamond" w:hAnsi="Garamond" w:cs="Arial"/>
          <w:b/>
          <w:bCs/>
          <w:sz w:val="56"/>
          <w:szCs w:val="56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6"/>
          <w:szCs w:val="36"/>
          <w:lang w:eastAsia="zh-CN"/>
        </w:rPr>
      </w:pPr>
      <w:r>
        <w:rPr>
          <w:rFonts w:ascii="Garamond" w:hAnsi="Garamond" w:cs="Arial"/>
          <w:b/>
          <w:bCs/>
          <w:sz w:val="36"/>
          <w:szCs w:val="36"/>
          <w:lang w:eastAsia="zh-CN"/>
        </w:rPr>
        <w:t>Assignment title: The presentation of managing people in Huawei</w:t>
      </w:r>
    </w:p>
    <w:p>
      <w:pPr>
        <w:spacing w:line="360" w:lineRule="auto"/>
        <w:jc w:val="center"/>
        <w:rPr>
          <w:rFonts w:ascii="Garamond" w:hAnsi="Garamond" w:cs="Arial"/>
          <w:b/>
          <w:bCs/>
          <w:sz w:val="36"/>
          <w:szCs w:val="36"/>
          <w:lang w:eastAsia="zh-CN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  <w:r>
        <w:rPr>
          <w:rFonts w:ascii="Garamond" w:hAnsi="Garamond" w:cs="Arial"/>
          <w:b/>
          <w:bCs/>
          <w:sz w:val="32"/>
          <w:szCs w:val="32"/>
        </w:rPr>
        <w:t>February-April 2024</w:t>
      </w: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Garamond" w:hAnsi="Garamond" w:cs="Arial"/>
          <w:b/>
          <w:bCs/>
          <w:sz w:val="32"/>
          <w:szCs w:val="32"/>
        </w:rPr>
      </w:pPr>
    </w:p>
    <w:p>
      <w:pPr>
        <w:spacing w:before="156" w:beforeLines="50" w:after="312" w:afterLines="100" w:line="360" w:lineRule="auto"/>
        <w:jc w:val="center"/>
        <w:rPr>
          <w:rFonts w:hint="default" w:ascii="Garamond" w:hAnsi="Garamond" w:cs="Garamond"/>
          <w:sz w:val="32"/>
          <w:szCs w:val="32"/>
          <w:lang w:val="en-US" w:eastAsia="zh-CN"/>
        </w:rPr>
      </w:pPr>
      <w:r>
        <w:rPr>
          <w:rFonts w:hint="default" w:ascii="Garamond" w:hAnsi="Garamond" w:cs="Garamond"/>
          <w:b/>
          <w:bCs/>
          <w:sz w:val="32"/>
          <w:szCs w:val="32"/>
          <w:lang w:val="en-US" w:eastAsia="zh-CN"/>
        </w:rPr>
        <w:t>Student Name:</w:t>
      </w:r>
      <w:r>
        <w:rPr>
          <w:rFonts w:hint="default" w:ascii="Garamond" w:hAnsi="Garamond" w:cs="Garamond"/>
          <w:sz w:val="32"/>
          <w:szCs w:val="32"/>
          <w:lang w:val="en-US" w:eastAsia="zh-CN"/>
        </w:rPr>
        <w:t>Huiwen Qi</w:t>
      </w:r>
    </w:p>
    <w:p>
      <w:pPr>
        <w:spacing w:before="163" w:beforeLines="50" w:after="326" w:afterLines="100" w:line="360" w:lineRule="auto"/>
        <w:jc w:val="center"/>
        <w:rPr>
          <w:rFonts w:hint="default" w:ascii="Garamond" w:hAnsi="Garamond" w:cs="Garamond"/>
          <w:b/>
          <w:bCs/>
          <w:sz w:val="44"/>
          <w:szCs w:val="44"/>
        </w:rPr>
      </w:pPr>
      <w:r>
        <w:rPr>
          <w:rFonts w:hint="default" w:ascii="Garamond" w:hAnsi="Garamond" w:cs="Garamond"/>
          <w:b/>
          <w:bCs/>
          <w:sz w:val="32"/>
          <w:szCs w:val="32"/>
        </w:rPr>
        <w:t>Student ID</w:t>
      </w:r>
      <w:r>
        <w:rPr>
          <w:rFonts w:hint="default" w:ascii="Garamond" w:hAnsi="Garamond" w:cs="Garamond"/>
          <w:b/>
          <w:bCs/>
          <w:sz w:val="32"/>
          <w:szCs w:val="32"/>
          <w:lang w:val="en-US" w:eastAsia="zh-CN"/>
        </w:rPr>
        <w:t>:</w:t>
      </w:r>
      <w:r>
        <w:rPr>
          <w:rFonts w:hint="default" w:ascii="Garamond" w:hAnsi="Garamond" w:cs="Garamond"/>
          <w:sz w:val="32"/>
          <w:szCs w:val="32"/>
          <w:lang w:val="en-US" w:eastAsia="zh-CN"/>
        </w:rPr>
        <w:t>2200154</w:t>
      </w:r>
    </w:p>
    <w:p>
      <w:pPr>
        <w:spacing w:line="360" w:lineRule="auto"/>
        <w:rPr>
          <w:rFonts w:ascii="Garamond" w:hAnsi="Garamond" w:cs="Arial"/>
          <w:b/>
          <w:bCs/>
          <w:szCs w:val="24"/>
        </w:rPr>
      </w:pPr>
    </w:p>
    <w:p>
      <w:pPr>
        <w:spacing w:line="360" w:lineRule="auto"/>
        <w:rPr>
          <w:rFonts w:hint="eastAsia" w:ascii="Garamond" w:hAnsi="Garamond" w:cs="Arial"/>
          <w:b/>
          <w:bCs/>
          <w:szCs w:val="24"/>
          <w:lang w:eastAsia="zh-CN"/>
        </w:rPr>
      </w:pPr>
    </w:p>
    <w:p>
      <w:pPr>
        <w:spacing w:line="360" w:lineRule="auto"/>
        <w:rPr>
          <w:rFonts w:hint="eastAsia" w:ascii="Garamond" w:hAnsi="Garamond" w:cs="Garamond"/>
          <w:sz w:val="24"/>
          <w:szCs w:val="24"/>
          <w:lang w:val="en-US" w:eastAsia="zh-CN"/>
        </w:rPr>
      </w:pPr>
      <w:r>
        <w:rPr>
          <w:rFonts w:hint="eastAsia" w:ascii="Garamond" w:hAnsi="Garamond" w:cs="Arial"/>
          <w:b/>
          <w:bCs/>
          <w:szCs w:val="24"/>
          <w:lang w:eastAsia="zh-CN"/>
        </w:rPr>
        <w:t>Presentation</w:t>
      </w:r>
      <w:r>
        <w:rPr>
          <w:rFonts w:hint="eastAsia" w:ascii="Garamond" w:hAnsi="Garamond" w:cs="Arial"/>
          <w:b/>
          <w:bCs/>
          <w:szCs w:val="24"/>
          <w:lang w:val="en-US" w:eastAsia="zh-CN"/>
        </w:rPr>
        <w:t xml:space="preserve"> </w:t>
      </w:r>
      <w:r>
        <w:rPr>
          <w:rFonts w:hint="eastAsia" w:ascii="Garamond" w:hAnsi="Garamond" w:cs="Arial"/>
          <w:b/>
          <w:bCs/>
          <w:szCs w:val="24"/>
          <w:lang w:eastAsia="zh-CN"/>
        </w:rPr>
        <w:t>Link:</w:t>
      </w:r>
      <w:r>
        <w:rPr>
          <w:rFonts w:hint="eastAsia" w:ascii="Garamond" w:hAnsi="Garamond" w:cs="Arial"/>
          <w:b/>
          <w:bCs/>
          <w:szCs w:val="24"/>
          <w:lang w:val="en-US" w:eastAsia="zh-CN"/>
        </w:rPr>
        <w:t xml:space="preserve"> </w:t>
      </w:r>
      <w:r>
        <w:rPr>
          <w:rFonts w:hint="eastAsia" w:ascii="Garamond" w:hAnsi="Garamond" w:cs="Garamond"/>
          <w:sz w:val="24"/>
          <w:szCs w:val="24"/>
          <w:lang w:val="en-US" w:eastAsia="zh-CN"/>
        </w:rPr>
        <w:t>https://uowtsd-my.sharepoint.com/personal/2200154_student_uwtsd_ac_uk/_layouts/15/stream.aspx?id=%2Fpersonal%2F2200154%5Fstudent%5Fuwtsd%5Fac%5Fuk%2FDocuments%2FAssignment%202%20Huiwen%20Qi%202200154%2Emp4&amp;referrer=StreamWebApp%2EWeb&amp;referrerScenario=AddressBarCopied%2Eview</w:t>
      </w:r>
      <w:bookmarkStart w:id="0" w:name="_GoBack"/>
      <w:bookmarkEnd w:id="0"/>
    </w:p>
    <w:p>
      <w:pPr>
        <w:spacing w:line="360" w:lineRule="auto"/>
        <w:rPr>
          <w:rFonts w:hint="eastAsia" w:ascii="Garamond" w:hAnsi="Garamond" w:cs="Garamond"/>
          <w:sz w:val="24"/>
          <w:szCs w:val="24"/>
          <w:lang w:val="en-US" w:eastAsia="zh-CN"/>
        </w:rPr>
      </w:pPr>
    </w:p>
    <w:p>
      <w:pPr>
        <w:spacing w:line="360" w:lineRule="auto"/>
        <w:rPr>
          <w:rFonts w:ascii="Garamond" w:hAnsi="Garamond" w:cs="Arial"/>
          <w:b/>
          <w:bCs/>
          <w:szCs w:val="24"/>
          <w:lang w:eastAsia="zh-CN"/>
        </w:rPr>
      </w:pPr>
      <w:r>
        <w:rPr>
          <w:rFonts w:hint="eastAsia" w:ascii="Garamond" w:hAnsi="Garamond" w:cs="Arial"/>
          <w:b/>
          <w:bCs/>
          <w:szCs w:val="24"/>
          <w:lang w:eastAsia="zh-CN"/>
        </w:rPr>
        <w:t xml:space="preserve">Reference List: 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  <w:lang w:eastAsia="zh-CN"/>
        </w:rPr>
        <w:fldChar w:fldCharType="begin"/>
      </w:r>
      <w:r>
        <w:rPr>
          <w:rFonts w:ascii="Garamond" w:hAnsi="Garamond"/>
          <w:szCs w:val="24"/>
          <w:lang w:eastAsia="zh-CN"/>
        </w:rPr>
        <w:instrText xml:space="preserve"> ADDIN ZOTERO_BIBL {"uncited":[],"omitted":[],"custom":[]} CSL_BIBLIOGRAPHY </w:instrText>
      </w:r>
      <w:r>
        <w:rPr>
          <w:rFonts w:ascii="Garamond" w:hAnsi="Garamond"/>
          <w:szCs w:val="24"/>
          <w:lang w:eastAsia="zh-CN"/>
        </w:rPr>
        <w:fldChar w:fldCharType="separate"/>
      </w:r>
      <w:r>
        <w:rPr>
          <w:rFonts w:ascii="Garamond" w:hAnsi="Garamond"/>
          <w:szCs w:val="24"/>
        </w:rPr>
        <w:t xml:space="preserve">Abas, M.K.M., Yahaya, R.A. and Din, M.S.F. (2019) ‘Digital Literacy and its Relationship with Employee Performance in the 4IR’, </w:t>
      </w:r>
      <w:r>
        <w:rPr>
          <w:rFonts w:ascii="Garamond" w:hAnsi="Garamond"/>
          <w:i/>
          <w:iCs/>
          <w:szCs w:val="24"/>
        </w:rPr>
        <w:t>Journal of International Business, Economics and Entrepreneurship</w:t>
      </w:r>
      <w:r>
        <w:rPr>
          <w:rFonts w:ascii="Garamond" w:hAnsi="Garamond"/>
          <w:szCs w:val="24"/>
        </w:rPr>
        <w:t>, 4(2), pp. 29–29.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Cooke, F.L. (2014) ‘The changing face of human resource management in China’, in </w:t>
      </w:r>
      <w:r>
        <w:rPr>
          <w:rFonts w:ascii="Garamond" w:hAnsi="Garamond"/>
          <w:i/>
          <w:iCs/>
          <w:szCs w:val="24"/>
        </w:rPr>
        <w:t>The Changing Face of Management in China</w:t>
      </w:r>
      <w:r>
        <w:rPr>
          <w:rFonts w:ascii="Garamond" w:hAnsi="Garamond"/>
          <w:szCs w:val="24"/>
        </w:rPr>
        <w:t>. Routledge, pp. 28–51.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Devinney, T.M., Midgley, D.F. and Venaik, S. (2000) ‘The optimal performance of the global firm: Formalizing and extending the integration-responsiveness framework’, </w:t>
      </w:r>
      <w:r>
        <w:rPr>
          <w:rFonts w:ascii="Garamond" w:hAnsi="Garamond"/>
          <w:i/>
          <w:iCs/>
          <w:szCs w:val="24"/>
        </w:rPr>
        <w:t>Organization Science</w:t>
      </w:r>
      <w:r>
        <w:rPr>
          <w:rFonts w:ascii="Garamond" w:hAnsi="Garamond"/>
          <w:szCs w:val="24"/>
        </w:rPr>
        <w:t>, 11(6), pp. 674–695.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Harmoko, D.D. (2021) ‘Digital Literacy As A Solution To Improve The Quality Of Indonesia’s Human Resources’, </w:t>
      </w:r>
      <w:r>
        <w:rPr>
          <w:rFonts w:ascii="Garamond" w:hAnsi="Garamond"/>
          <w:i/>
          <w:iCs/>
          <w:szCs w:val="24"/>
        </w:rPr>
        <w:t>Research and Development Journal of Education</w:t>
      </w:r>
      <w:r>
        <w:rPr>
          <w:rFonts w:ascii="Garamond" w:hAnsi="Garamond"/>
          <w:szCs w:val="24"/>
        </w:rPr>
        <w:t>, 7(2), pp. 413–423.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Huawei (2024) </w:t>
      </w:r>
      <w:r>
        <w:rPr>
          <w:rFonts w:ascii="Garamond" w:hAnsi="Garamond"/>
          <w:i/>
          <w:iCs/>
          <w:szCs w:val="24"/>
        </w:rPr>
        <w:t>Corporate Information</w:t>
      </w:r>
      <w:r>
        <w:rPr>
          <w:rFonts w:ascii="Garamond" w:hAnsi="Garamond"/>
          <w:szCs w:val="24"/>
        </w:rPr>
        <w:t xml:space="preserve">, </w:t>
      </w:r>
      <w:r>
        <w:rPr>
          <w:rFonts w:ascii="Garamond" w:hAnsi="Garamond"/>
          <w:i/>
          <w:iCs/>
          <w:szCs w:val="24"/>
        </w:rPr>
        <w:t>huawei</w:t>
      </w:r>
      <w:r>
        <w:rPr>
          <w:rFonts w:ascii="Garamond" w:hAnsi="Garamond"/>
          <w:szCs w:val="24"/>
        </w:rPr>
        <w:t>. Available at: https://www.huawei.com/en/corporate-information (Accessed: 28 April 2024).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Kwan, C.H. (2020) ‘The China–US trade war: Deep</w:t>
      </w:r>
      <w:r>
        <w:rPr>
          <w:rFonts w:hint="eastAsia" w:ascii="宋体" w:hAnsi="宋体" w:eastAsia="宋体" w:cs="宋体"/>
          <w:szCs w:val="24"/>
        </w:rPr>
        <w:t>‐</w:t>
      </w:r>
      <w:r>
        <w:rPr>
          <w:rFonts w:ascii="Garamond" w:hAnsi="Garamond"/>
          <w:szCs w:val="24"/>
        </w:rPr>
        <w:t>rooted causes, shifting focus and uncertain prospects</w:t>
      </w:r>
      <w:r>
        <w:rPr>
          <w:rFonts w:ascii="Garamond" w:hAnsi="Garamond" w:cs="Arial"/>
          <w:szCs w:val="24"/>
        </w:rPr>
        <w:t>’</w:t>
      </w:r>
      <w:r>
        <w:rPr>
          <w:rFonts w:ascii="Garamond" w:hAnsi="Garamond"/>
          <w:szCs w:val="24"/>
        </w:rPr>
        <w:t xml:space="preserve">, </w:t>
      </w:r>
      <w:r>
        <w:rPr>
          <w:rFonts w:ascii="Garamond" w:hAnsi="Garamond"/>
          <w:i/>
          <w:iCs/>
          <w:szCs w:val="24"/>
        </w:rPr>
        <w:t>Asian Economic Policy Review</w:t>
      </w:r>
      <w:r>
        <w:rPr>
          <w:rFonts w:ascii="Garamond" w:hAnsi="Garamond"/>
          <w:szCs w:val="24"/>
        </w:rPr>
        <w:t>, 15(1), pp. 55–72.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Li, L., Qian, G. and Qian, Z. (2015) ‘Speed of internationalization: Mutual effects of individual</w:t>
      </w:r>
      <w:r>
        <w:rPr>
          <w:rFonts w:hint="eastAsia" w:ascii="宋体" w:hAnsi="宋体" w:eastAsia="宋体" w:cs="宋体"/>
          <w:szCs w:val="24"/>
        </w:rPr>
        <w:t>‐</w:t>
      </w:r>
      <w:r>
        <w:rPr>
          <w:rFonts w:ascii="Garamond" w:hAnsi="Garamond"/>
          <w:szCs w:val="24"/>
        </w:rPr>
        <w:t>and company</w:t>
      </w:r>
      <w:r>
        <w:rPr>
          <w:rFonts w:hint="eastAsia" w:ascii="宋体" w:hAnsi="宋体" w:eastAsia="宋体" w:cs="宋体"/>
          <w:szCs w:val="24"/>
        </w:rPr>
        <w:t>‐</w:t>
      </w:r>
      <w:r>
        <w:rPr>
          <w:rFonts w:ascii="Garamond" w:hAnsi="Garamond"/>
          <w:szCs w:val="24"/>
        </w:rPr>
        <w:t>level antecedents</w:t>
      </w:r>
      <w:r>
        <w:rPr>
          <w:rFonts w:ascii="Garamond" w:hAnsi="Garamond" w:cs="Arial"/>
          <w:szCs w:val="24"/>
        </w:rPr>
        <w:t>’</w:t>
      </w:r>
      <w:r>
        <w:rPr>
          <w:rFonts w:ascii="Garamond" w:hAnsi="Garamond"/>
          <w:szCs w:val="24"/>
        </w:rPr>
        <w:t xml:space="preserve">, </w:t>
      </w:r>
      <w:r>
        <w:rPr>
          <w:rFonts w:ascii="Garamond" w:hAnsi="Garamond"/>
          <w:i/>
          <w:iCs/>
          <w:szCs w:val="24"/>
        </w:rPr>
        <w:t>Global Strategy Journal</w:t>
      </w:r>
      <w:r>
        <w:rPr>
          <w:rFonts w:ascii="Garamond" w:hAnsi="Garamond"/>
          <w:szCs w:val="24"/>
        </w:rPr>
        <w:t>, 5(4), pp. 303–320.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Lindvall, N. (2019) ‘Huawei Faces Average 21.8 Percent Resignation Rate From PhD Employees Leaving’, </w:t>
      </w:r>
      <w:r>
        <w:rPr>
          <w:rFonts w:ascii="Garamond" w:hAnsi="Garamond"/>
          <w:i/>
          <w:iCs/>
          <w:szCs w:val="24"/>
        </w:rPr>
        <w:t>Pandaily</w:t>
      </w:r>
      <w:r>
        <w:rPr>
          <w:rFonts w:ascii="Garamond" w:hAnsi="Garamond"/>
          <w:szCs w:val="24"/>
        </w:rPr>
        <w:t>, 18 February. Available at: https://pandaily.com/huawei-faces-average-21-8-percent-resignation-rate-from-phd-employees-leaving/ (Accessed: 28 April 2024).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Lu, L. and Sun, Y. (2022) ‘Fault Tolerance and Respect: Corporate Culture that Can Improve Employees’ Execution’, in. </w:t>
      </w:r>
      <w:r>
        <w:rPr>
          <w:rFonts w:ascii="Garamond" w:hAnsi="Garamond"/>
          <w:i/>
          <w:iCs/>
          <w:szCs w:val="24"/>
        </w:rPr>
        <w:t>2022 6th International Seminar on Education, Management and Social Sciences (ISEMSS 2022)</w:t>
      </w:r>
      <w:r>
        <w:rPr>
          <w:rFonts w:ascii="Garamond" w:hAnsi="Garamond"/>
          <w:szCs w:val="24"/>
        </w:rPr>
        <w:t>, Atlantis Press, pp. 1923–1931.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Niedenführ, M. (2020) ‘Image of Ren Zhengfei: model entrepreneur or an agent of state power?’, </w:t>
      </w:r>
      <w:r>
        <w:rPr>
          <w:rFonts w:ascii="Garamond" w:hAnsi="Garamond"/>
          <w:i/>
          <w:iCs/>
          <w:szCs w:val="24"/>
        </w:rPr>
        <w:t>Huawei Goes Global: Volume II: Regional, Geopolitical Perspectives and Crisis Management</w:t>
      </w:r>
      <w:r>
        <w:rPr>
          <w:rFonts w:ascii="Garamond" w:hAnsi="Garamond"/>
          <w:szCs w:val="24"/>
        </w:rPr>
        <w:t>, pp. 341–363.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Park, H. </w:t>
      </w:r>
      <w:r>
        <w:rPr>
          <w:rFonts w:ascii="Garamond" w:hAnsi="Garamond"/>
          <w:i/>
          <w:iCs/>
          <w:szCs w:val="24"/>
        </w:rPr>
        <w:t>et al.</w:t>
      </w:r>
      <w:r>
        <w:rPr>
          <w:rFonts w:ascii="Garamond" w:hAnsi="Garamond"/>
          <w:szCs w:val="24"/>
        </w:rPr>
        <w:t xml:space="preserve"> (2021) ‘Human-AI interaction in human resource management: Understanding why employees resist algorithmic evaluation at workplaces and how to mitigate burdens’, in. </w:t>
      </w:r>
      <w:r>
        <w:rPr>
          <w:rFonts w:ascii="Garamond" w:hAnsi="Garamond"/>
          <w:i/>
          <w:iCs/>
          <w:szCs w:val="24"/>
        </w:rPr>
        <w:t>Proceedings of the 2021 CHI conference on human factors in computing systems</w:t>
      </w:r>
      <w:r>
        <w:rPr>
          <w:rFonts w:ascii="Garamond" w:hAnsi="Garamond"/>
          <w:szCs w:val="24"/>
        </w:rPr>
        <w:t>, pp. 1–15.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Vrontis, D. </w:t>
      </w:r>
      <w:r>
        <w:rPr>
          <w:rFonts w:ascii="Garamond" w:hAnsi="Garamond"/>
          <w:i/>
          <w:iCs/>
          <w:szCs w:val="24"/>
        </w:rPr>
        <w:t>et al.</w:t>
      </w:r>
      <w:r>
        <w:rPr>
          <w:rFonts w:ascii="Garamond" w:hAnsi="Garamond"/>
          <w:szCs w:val="24"/>
        </w:rPr>
        <w:t xml:space="preserve"> (2022) ‘Artificial intelligence, robotics, advanced technologies and human resource management: a systematic review’, </w:t>
      </w:r>
      <w:r>
        <w:rPr>
          <w:rFonts w:ascii="Garamond" w:hAnsi="Garamond"/>
          <w:i/>
          <w:iCs/>
          <w:szCs w:val="24"/>
        </w:rPr>
        <w:t>The international journal of human resource management</w:t>
      </w:r>
      <w:r>
        <w:rPr>
          <w:rFonts w:ascii="Garamond" w:hAnsi="Garamond"/>
          <w:szCs w:val="24"/>
        </w:rPr>
        <w:t>, 33(6), pp. 1237–1266.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Warner, M. and Nankervis, A. (2012) ‘HRM practices in Chinese MNCs: rhetoric and reality’, </w:t>
      </w:r>
      <w:r>
        <w:rPr>
          <w:rFonts w:ascii="Garamond" w:hAnsi="Garamond"/>
          <w:i/>
          <w:iCs/>
          <w:szCs w:val="24"/>
        </w:rPr>
        <w:t>Journal of General Management</w:t>
      </w:r>
      <w:r>
        <w:rPr>
          <w:rFonts w:ascii="Garamond" w:hAnsi="Garamond"/>
          <w:szCs w:val="24"/>
        </w:rPr>
        <w:t>, 37(3), pp. 61–80.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Yawalkar, M.V.V. (2019) ‘A study of artificial intelligence and its role in human resource management’, </w:t>
      </w:r>
      <w:r>
        <w:rPr>
          <w:rFonts w:ascii="Garamond" w:hAnsi="Garamond"/>
          <w:i/>
          <w:iCs/>
          <w:szCs w:val="24"/>
        </w:rPr>
        <w:t>International Journal of Research and Analytical Reviews (IJRAR)</w:t>
      </w:r>
      <w:r>
        <w:rPr>
          <w:rFonts w:ascii="Garamond" w:hAnsi="Garamond"/>
          <w:szCs w:val="24"/>
        </w:rPr>
        <w:t>, 6(1), pp. 20–24.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YiCai (2019) </w:t>
      </w:r>
      <w:r>
        <w:rPr>
          <w:rFonts w:ascii="Garamond" w:hAnsi="Garamond"/>
          <w:i/>
          <w:iCs/>
          <w:szCs w:val="24"/>
        </w:rPr>
        <w:t>Huawei to Entice Global PhD Grads With USD290,000 Salaries</w:t>
      </w:r>
      <w:r>
        <w:rPr>
          <w:rFonts w:ascii="Garamond" w:hAnsi="Garamond"/>
          <w:szCs w:val="24"/>
        </w:rPr>
        <w:t>. Available at: https://www.yicaiglobal.com/news/huawei-to-entice-global-phd-grads-with-usd290000-salaries (Accessed: 28 April 2024).</w:t>
      </w:r>
    </w:p>
    <w:p>
      <w:pPr>
        <w:pStyle w:val="6"/>
        <w:spacing w:line="36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Zhang, W., Alon, I. and Lattemann, C. (2020) </w:t>
      </w:r>
      <w:r>
        <w:rPr>
          <w:rFonts w:ascii="Garamond" w:hAnsi="Garamond"/>
          <w:i/>
          <w:iCs/>
          <w:szCs w:val="24"/>
        </w:rPr>
        <w:t>Huawei goes global: Volume I: Made in China for the world</w:t>
      </w:r>
      <w:r>
        <w:rPr>
          <w:rFonts w:ascii="Garamond" w:hAnsi="Garamond"/>
          <w:szCs w:val="24"/>
        </w:rPr>
        <w:t>. Springer.</w:t>
      </w:r>
    </w:p>
    <w:p>
      <w:pPr>
        <w:spacing w:line="360" w:lineRule="auto"/>
        <w:rPr>
          <w:rFonts w:ascii="Garamond" w:hAnsi="Garamond"/>
          <w:sz w:val="18"/>
          <w:szCs w:val="13"/>
          <w:lang w:eastAsia="zh-CN"/>
        </w:rPr>
      </w:pPr>
      <w:r>
        <w:rPr>
          <w:rFonts w:ascii="Garamond" w:hAnsi="Garamond"/>
          <w:szCs w:val="24"/>
          <w:lang w:eastAsia="zh-CN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</w:pPr>
      <w:r>
        <w:separator/>
      </w:r>
    </w:p>
  </w:footnote>
  <w:footnote w:type="continuationSeparator" w:id="1">
    <w:p>
      <w:pPr>
        <w:spacing w:line="48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A3tTQzMze0MDQ2MTNQ0lEKTi0uzszPAykwrAUA2JHX/iwAAAA="/>
    <w:docVar w:name="commondata" w:val="eyJoZGlkIjoiZTU0ZDdmMmJlM2U3NTA0ODY0ZmM0NzM5ZmJjNGUyNDMifQ=="/>
  </w:docVars>
  <w:rsids>
    <w:rsidRoot w:val="000B3428"/>
    <w:rsid w:val="000B3428"/>
    <w:rsid w:val="00193359"/>
    <w:rsid w:val="00575151"/>
    <w:rsid w:val="00685CDF"/>
    <w:rsid w:val="00E3181D"/>
    <w:rsid w:val="00F07B44"/>
    <w:rsid w:val="06A578C6"/>
    <w:rsid w:val="1D061E52"/>
    <w:rsid w:val="29E05285"/>
    <w:rsid w:val="63BA6C0F"/>
    <w:rsid w:val="7A1F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480" w:lineRule="auto"/>
    </w:pPr>
    <w:rPr>
      <w:rFonts w:ascii="Arial" w:hAnsi="Arial" w:cs="Times New Roman" w:eastAsiaTheme="minorEastAsia"/>
      <w:kern w:val="0"/>
      <w:sz w:val="24"/>
      <w:szCs w:val="20"/>
      <w:lang w:val="en-GB" w:eastAsia="en-GB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customStyle="1" w:styleId="6">
    <w:name w:val="Bibliography"/>
    <w:basedOn w:val="1"/>
    <w:next w:val="1"/>
    <w:autoRedefine/>
    <w:unhideWhenUsed/>
    <w:uiPriority w:val="37"/>
    <w:pPr>
      <w:spacing w:after="240" w:line="240" w:lineRule="auto"/>
    </w:pPr>
  </w:style>
  <w:style w:type="character" w:customStyle="1" w:styleId="7">
    <w:name w:val="页眉 字符"/>
    <w:basedOn w:val="5"/>
    <w:link w:val="3"/>
    <w:uiPriority w:val="99"/>
    <w:rPr>
      <w:rFonts w:ascii="Arial" w:hAnsi="Arial" w:cs="Times New Roman"/>
      <w:kern w:val="0"/>
      <w:sz w:val="18"/>
      <w:szCs w:val="18"/>
      <w:lang w:val="en-GB" w:eastAsia="en-GB"/>
    </w:rPr>
  </w:style>
  <w:style w:type="character" w:customStyle="1" w:styleId="8">
    <w:name w:val="页脚 字符"/>
    <w:basedOn w:val="5"/>
    <w:link w:val="2"/>
    <w:uiPriority w:val="99"/>
    <w:rPr>
      <w:rFonts w:ascii="Arial" w:hAnsi="Arial" w:cs="Times New Roman"/>
      <w:kern w:val="0"/>
      <w:sz w:val="18"/>
      <w:szCs w:val="18"/>
      <w:lang w:val="en-GB" w:eastAsia="en-GB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445</Words>
  <Characters>2843</Characters>
  <Lines>64</Lines>
  <Paragraphs>25</Paragraphs>
  <TotalTime>14</TotalTime>
  <ScaleCrop>false</ScaleCrop>
  <LinksUpToDate>false</LinksUpToDate>
  <CharactersWithSpaces>3263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2024-04-28T06:12:00Z</dcterms:created>
  <dc:creator>Wei Shanshan</dc:creator>
  <cp:lastModifiedBy>@</cp:lastModifiedBy>
  <dcterms:modified xsi:type="dcterms:W3CDTF">2024-04-28T20:41:28Z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3295ff4a-37af-40f5-a7ab-c3ab71008f3e</vt:lpwstr>
  </property>
  <property fmtid="{D5CDD505-2E9C-101B-9397-08002B2CF9AE}" pid="3" name="ZOTERO_PREF_1">
    <vt:lpwstr>&lt;data data-version="3" zotero-version="6.0.36"&gt;&lt;session id="tdnTPYJv"/&gt;&lt;style id="http://www.zotero.org/styles/harvard-cite-them-right" hasBibliography="1" bibliographyStyleHasBeenSet="1"/&gt;&lt;prefs&gt;&lt;pref name="fieldType" value="Field"/&gt;&lt;/prefs&gt;&lt;/data&gt;</vt:lpwstr>
  </property>
  <property fmtid="{D5CDD505-2E9C-101B-9397-08002B2CF9AE}" pid="4" name="KSOProductBuildVer">
    <vt:lpwstr>2052-12.1.0.16729</vt:lpwstr>
  </property>
  <property fmtid="{D5CDD505-2E9C-101B-9397-08002B2CF9AE}" pid="5" name="ICV">
    <vt:lpwstr>B139D6C369964B219A6EB7B435EA0FD6_13</vt:lpwstr>
  </property>
</Properties>
</file>