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C3571" w14:textId="77777777" w:rsidR="00BD7FBB" w:rsidRDefault="00BD7FBB">
      <w:pPr>
        <w:pStyle w:val="Title"/>
        <w:spacing w:after="0"/>
        <w:jc w:val="center"/>
        <w:rPr>
          <w:b/>
        </w:rPr>
      </w:pPr>
      <w:bookmarkStart w:id="0" w:name="_heading=h.gjdgxs" w:colFirst="0" w:colLast="0"/>
      <w:bookmarkEnd w:id="0"/>
    </w:p>
    <w:p w14:paraId="4BBB0DDC" w14:textId="77777777" w:rsidR="00BD7FBB" w:rsidRDefault="00BD7FBB">
      <w:pPr>
        <w:pStyle w:val="Title"/>
        <w:spacing w:after="0"/>
        <w:jc w:val="center"/>
        <w:rPr>
          <w:b/>
        </w:rPr>
      </w:pPr>
    </w:p>
    <w:p w14:paraId="620F9AA5" w14:textId="77777777" w:rsidR="00BD7FBB" w:rsidRDefault="00BD7FBB">
      <w:pPr>
        <w:pStyle w:val="Title"/>
        <w:spacing w:after="0"/>
        <w:jc w:val="center"/>
        <w:rPr>
          <w:b/>
        </w:rPr>
      </w:pPr>
    </w:p>
    <w:p w14:paraId="0BAC9119" w14:textId="77777777" w:rsidR="00BD7FBB" w:rsidRDefault="00BD7FBB">
      <w:pPr>
        <w:pStyle w:val="Title"/>
        <w:spacing w:after="0"/>
        <w:jc w:val="center"/>
        <w:rPr>
          <w:b/>
        </w:rPr>
      </w:pPr>
    </w:p>
    <w:p w14:paraId="15B67ED4" w14:textId="55F0E309" w:rsidR="001D221B" w:rsidRPr="001D221B" w:rsidRDefault="001D221B" w:rsidP="001D221B">
      <w:pPr>
        <w:pStyle w:val="Title"/>
        <w:spacing w:after="0"/>
        <w:jc w:val="center"/>
        <w:rPr>
          <w:b/>
          <w:sz w:val="32"/>
          <w:szCs w:val="32"/>
        </w:rPr>
      </w:pPr>
      <w:r>
        <w:rPr>
          <w:b/>
          <w:sz w:val="32"/>
          <w:szCs w:val="32"/>
        </w:rPr>
        <w:t xml:space="preserve">Name: </w:t>
      </w:r>
      <w:proofErr w:type="spellStart"/>
      <w:r>
        <w:rPr>
          <w:b/>
          <w:sz w:val="32"/>
          <w:szCs w:val="32"/>
        </w:rPr>
        <w:t>Crina</w:t>
      </w:r>
      <w:proofErr w:type="spellEnd"/>
      <w:r>
        <w:rPr>
          <w:b/>
          <w:sz w:val="32"/>
          <w:szCs w:val="32"/>
        </w:rPr>
        <w:t xml:space="preserve"> </w:t>
      </w:r>
      <w:proofErr w:type="spellStart"/>
      <w:r>
        <w:rPr>
          <w:b/>
          <w:sz w:val="32"/>
          <w:szCs w:val="32"/>
        </w:rPr>
        <w:t>Mihut</w:t>
      </w:r>
      <w:proofErr w:type="spellEnd"/>
      <w:r>
        <w:rPr>
          <w:b/>
          <w:sz w:val="32"/>
          <w:szCs w:val="32"/>
        </w:rPr>
        <w:br/>
        <w:t>Student ID: 2218982</w:t>
      </w:r>
      <w:r>
        <w:rPr>
          <w:b/>
          <w:sz w:val="32"/>
          <w:szCs w:val="32"/>
        </w:rPr>
        <w:br/>
        <w:t>Module code: LCBB4001</w:t>
      </w:r>
      <w:r>
        <w:rPr>
          <w:b/>
          <w:sz w:val="32"/>
          <w:szCs w:val="32"/>
        </w:rPr>
        <w:br/>
        <w:t xml:space="preserve">Module name: Accounting Fundamentals </w:t>
      </w:r>
      <w:r>
        <w:rPr>
          <w:b/>
          <w:sz w:val="32"/>
          <w:szCs w:val="32"/>
        </w:rPr>
        <w:br/>
        <w:t>Lecturer: Ivana Rozic</w:t>
      </w:r>
    </w:p>
    <w:p w14:paraId="1467F900" w14:textId="2BF34E08" w:rsidR="001D221B" w:rsidRPr="001D221B" w:rsidRDefault="001D221B" w:rsidP="001D221B">
      <w:pPr>
        <w:pStyle w:val="Normal1"/>
      </w:pPr>
    </w:p>
    <w:p w14:paraId="6EEB671F" w14:textId="77777777" w:rsidR="00BD7FBB" w:rsidRDefault="00000000">
      <w:pPr>
        <w:pBdr>
          <w:top w:val="nil"/>
          <w:left w:val="nil"/>
          <w:bottom w:val="nil"/>
          <w:right w:val="nil"/>
          <w:between w:val="nil"/>
        </w:pBdr>
        <w:rPr>
          <w:color w:val="000000"/>
        </w:rPr>
      </w:pPr>
      <w:r>
        <w:br w:type="page"/>
      </w:r>
    </w:p>
    <w:p w14:paraId="57E007B2" w14:textId="77777777" w:rsidR="00BD7FBB" w:rsidRDefault="00000000">
      <w:pPr>
        <w:pBdr>
          <w:top w:val="nil"/>
          <w:left w:val="nil"/>
          <w:bottom w:val="nil"/>
          <w:right w:val="nil"/>
          <w:between w:val="nil"/>
        </w:pBdr>
        <w:jc w:val="center"/>
        <w:rPr>
          <w:b/>
          <w:color w:val="000000"/>
        </w:rPr>
      </w:pPr>
      <w:r>
        <w:rPr>
          <w:b/>
          <w:color w:val="000000"/>
        </w:rPr>
        <w:lastRenderedPageBreak/>
        <w:t>Table of Content</w:t>
      </w:r>
    </w:p>
    <w:p w14:paraId="4894262F" w14:textId="77777777" w:rsidR="00BD7FBB" w:rsidRDefault="00BD7FBB">
      <w:pPr>
        <w:pBdr>
          <w:top w:val="nil"/>
          <w:left w:val="nil"/>
          <w:bottom w:val="nil"/>
          <w:right w:val="nil"/>
          <w:between w:val="nil"/>
        </w:pBdr>
        <w:rPr>
          <w:b/>
          <w:color w:val="000000"/>
        </w:rPr>
      </w:pPr>
    </w:p>
    <w:sdt>
      <w:sdtPr>
        <w:id w:val="-173033688"/>
        <w:docPartObj>
          <w:docPartGallery w:val="Table of Contents"/>
          <w:docPartUnique/>
        </w:docPartObj>
      </w:sdtPr>
      <w:sdtContent>
        <w:p w14:paraId="7689AFD7" w14:textId="77777777" w:rsidR="00BD7FBB" w:rsidRDefault="00000000">
          <w:pPr>
            <w:widowControl w:val="0"/>
            <w:pBdr>
              <w:top w:val="nil"/>
              <w:left w:val="nil"/>
              <w:bottom w:val="nil"/>
              <w:right w:val="nil"/>
              <w:between w:val="nil"/>
            </w:pBdr>
            <w:tabs>
              <w:tab w:val="right" w:pos="9360"/>
            </w:tabs>
            <w:spacing w:before="60"/>
            <w:rPr>
              <w:b/>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"_heading=h.30j0zll" </w:instrText>
          </w:r>
          <w:r>
            <w:fldChar w:fldCharType="separate"/>
          </w:r>
          <w:r>
            <w:rPr>
              <w:b/>
              <w:color w:val="000000"/>
            </w:rPr>
            <w:t>Introduction</w:t>
          </w:r>
          <w:r>
            <w:rPr>
              <w:b/>
              <w:color w:val="000000"/>
            </w:rPr>
            <w:tab/>
            <w:t>3</w:t>
          </w:r>
        </w:p>
        <w:p w14:paraId="1B2BB1FC" w14:textId="77777777" w:rsidR="00BD7FBB" w:rsidRDefault="00000000">
          <w:pPr>
            <w:widowControl w:val="0"/>
            <w:pBdr>
              <w:top w:val="nil"/>
              <w:left w:val="nil"/>
              <w:bottom w:val="nil"/>
              <w:right w:val="nil"/>
              <w:between w:val="nil"/>
            </w:pBdr>
            <w:tabs>
              <w:tab w:val="right" w:pos="9360"/>
            </w:tabs>
            <w:spacing w:before="60"/>
            <w:rPr>
              <w:b/>
              <w:color w:val="000000"/>
            </w:rPr>
          </w:pPr>
          <w:r>
            <w:fldChar w:fldCharType="end"/>
          </w:r>
          <w:r>
            <w:fldChar w:fldCharType="begin"/>
          </w:r>
          <w:r>
            <w:instrText xml:space="preserve"> HYPERLINK \l "_heading=h.1fob9te" </w:instrText>
          </w:r>
          <w:r>
            <w:fldChar w:fldCharType="separate"/>
          </w:r>
          <w:r>
            <w:rPr>
              <w:b/>
              <w:color w:val="000000"/>
            </w:rPr>
            <w:t>Main Body</w:t>
          </w:r>
          <w:r>
            <w:rPr>
              <w:b/>
              <w:color w:val="000000"/>
            </w:rPr>
            <w:tab/>
            <w:t>3</w:t>
          </w:r>
        </w:p>
        <w:p w14:paraId="7657D328" w14:textId="77777777" w:rsidR="00BD7FBB" w:rsidRDefault="00000000">
          <w:pPr>
            <w:widowControl w:val="0"/>
            <w:pBdr>
              <w:top w:val="nil"/>
              <w:left w:val="nil"/>
              <w:bottom w:val="nil"/>
              <w:right w:val="nil"/>
              <w:between w:val="nil"/>
            </w:pBdr>
            <w:tabs>
              <w:tab w:val="right" w:pos="9360"/>
            </w:tabs>
            <w:spacing w:before="60"/>
            <w:ind w:left="360"/>
            <w:rPr>
              <w:color w:val="000000"/>
            </w:rPr>
          </w:pPr>
          <w:r>
            <w:fldChar w:fldCharType="end"/>
          </w:r>
          <w:r>
            <w:fldChar w:fldCharType="begin"/>
          </w:r>
          <w:r>
            <w:instrText xml:space="preserve"> HYPERLINK \l "_heading=h.3znysh7" </w:instrText>
          </w:r>
          <w:r>
            <w:fldChar w:fldCharType="separate"/>
          </w:r>
          <w:r>
            <w:rPr>
              <w:color w:val="000000"/>
            </w:rPr>
            <w:t>Question 1</w:t>
          </w:r>
          <w:r>
            <w:rPr>
              <w:color w:val="000000"/>
            </w:rPr>
            <w:tab/>
            <w:t>3</w:t>
          </w:r>
        </w:p>
        <w:p w14:paraId="224C91BB" w14:textId="77777777" w:rsidR="00BD7FBB" w:rsidRDefault="00000000">
          <w:pPr>
            <w:widowControl w:val="0"/>
            <w:pBdr>
              <w:top w:val="nil"/>
              <w:left w:val="nil"/>
              <w:bottom w:val="nil"/>
              <w:right w:val="nil"/>
              <w:between w:val="nil"/>
            </w:pBdr>
            <w:tabs>
              <w:tab w:val="right" w:pos="9360"/>
            </w:tabs>
            <w:spacing w:before="60"/>
            <w:ind w:left="360"/>
            <w:rPr>
              <w:color w:val="000000"/>
            </w:rPr>
          </w:pPr>
          <w:r>
            <w:fldChar w:fldCharType="end"/>
          </w:r>
          <w:r>
            <w:fldChar w:fldCharType="begin"/>
          </w:r>
          <w:r>
            <w:instrText xml:space="preserve"> HYPERLINK \l "_heading=h.2et92p0" </w:instrText>
          </w:r>
          <w:r>
            <w:fldChar w:fldCharType="separate"/>
          </w:r>
          <w:r>
            <w:rPr>
              <w:color w:val="000000"/>
            </w:rPr>
            <w:t>Question 2</w:t>
          </w:r>
          <w:r>
            <w:rPr>
              <w:color w:val="000000"/>
            </w:rPr>
            <w:tab/>
            <w:t>6</w:t>
          </w:r>
        </w:p>
        <w:p w14:paraId="6E7F717F" w14:textId="77777777" w:rsidR="00BD7FBB" w:rsidRDefault="00000000">
          <w:pPr>
            <w:widowControl w:val="0"/>
            <w:pBdr>
              <w:top w:val="nil"/>
              <w:left w:val="nil"/>
              <w:bottom w:val="nil"/>
              <w:right w:val="nil"/>
              <w:between w:val="nil"/>
            </w:pBdr>
            <w:tabs>
              <w:tab w:val="right" w:pos="9360"/>
            </w:tabs>
            <w:spacing w:before="60"/>
            <w:rPr>
              <w:b/>
              <w:color w:val="000000"/>
            </w:rPr>
          </w:pPr>
          <w:r>
            <w:fldChar w:fldCharType="end"/>
          </w:r>
          <w:r>
            <w:fldChar w:fldCharType="begin"/>
          </w:r>
          <w:r>
            <w:instrText xml:space="preserve"> HYPERLINK \l "_heading=h.tyjcwt" </w:instrText>
          </w:r>
          <w:r>
            <w:fldChar w:fldCharType="separate"/>
          </w:r>
          <w:r>
            <w:rPr>
              <w:b/>
              <w:color w:val="000000"/>
            </w:rPr>
            <w:t>Conclusion</w:t>
          </w:r>
          <w:r>
            <w:rPr>
              <w:b/>
              <w:color w:val="000000"/>
            </w:rPr>
            <w:tab/>
            <w:t>12</w:t>
          </w:r>
        </w:p>
        <w:p w14:paraId="2A3208AE" w14:textId="77777777" w:rsidR="00BD7FBB" w:rsidRDefault="00000000">
          <w:pPr>
            <w:widowControl w:val="0"/>
            <w:pBdr>
              <w:top w:val="nil"/>
              <w:left w:val="nil"/>
              <w:bottom w:val="nil"/>
              <w:right w:val="nil"/>
              <w:between w:val="nil"/>
            </w:pBdr>
            <w:tabs>
              <w:tab w:val="right" w:pos="9360"/>
            </w:tabs>
            <w:spacing w:before="60"/>
            <w:rPr>
              <w:b/>
              <w:color w:val="000000"/>
            </w:rPr>
          </w:pPr>
          <w:r>
            <w:fldChar w:fldCharType="end"/>
          </w:r>
          <w:hyperlink w:anchor="_heading=h.3dy6vkm">
            <w:r>
              <w:rPr>
                <w:b/>
                <w:color w:val="000000"/>
              </w:rPr>
              <w:t>References</w:t>
            </w:r>
            <w:r>
              <w:rPr>
                <w:b/>
                <w:color w:val="000000"/>
              </w:rPr>
              <w:tab/>
              <w:t>13</w:t>
            </w:r>
          </w:hyperlink>
          <w:r>
            <w:fldChar w:fldCharType="end"/>
          </w:r>
        </w:p>
      </w:sdtContent>
    </w:sdt>
    <w:p w14:paraId="5C83B248" w14:textId="77777777" w:rsidR="00BD7FBB" w:rsidRDefault="00BD7FBB">
      <w:pPr>
        <w:pBdr>
          <w:top w:val="nil"/>
          <w:left w:val="nil"/>
          <w:bottom w:val="nil"/>
          <w:right w:val="nil"/>
          <w:between w:val="nil"/>
        </w:pBdr>
        <w:rPr>
          <w:b/>
          <w:color w:val="000000"/>
        </w:rPr>
      </w:pPr>
    </w:p>
    <w:p w14:paraId="435B6167" w14:textId="77777777" w:rsidR="00BD7FBB" w:rsidRDefault="00000000">
      <w:pPr>
        <w:pBdr>
          <w:top w:val="nil"/>
          <w:left w:val="nil"/>
          <w:bottom w:val="nil"/>
          <w:right w:val="nil"/>
          <w:between w:val="nil"/>
        </w:pBdr>
        <w:rPr>
          <w:color w:val="000000"/>
        </w:rPr>
      </w:pPr>
      <w:r>
        <w:br w:type="page"/>
      </w:r>
    </w:p>
    <w:p w14:paraId="23B47FD1" w14:textId="77777777" w:rsidR="00BD7FBB" w:rsidRDefault="00000000">
      <w:pPr>
        <w:pStyle w:val="Heading1"/>
      </w:pPr>
      <w:bookmarkStart w:id="1" w:name="_heading=h.30j0zll" w:colFirst="0" w:colLast="0"/>
      <w:bookmarkEnd w:id="1"/>
      <w:r>
        <w:lastRenderedPageBreak/>
        <w:t>Introduction</w:t>
      </w:r>
    </w:p>
    <w:p w14:paraId="5E982EC5" w14:textId="77777777" w:rsidR="00BD7FBB" w:rsidRDefault="00000000">
      <w:pPr>
        <w:pBdr>
          <w:top w:val="nil"/>
          <w:left w:val="nil"/>
          <w:bottom w:val="nil"/>
          <w:right w:val="nil"/>
          <w:between w:val="nil"/>
        </w:pBdr>
        <w:rPr>
          <w:color w:val="000000"/>
        </w:rPr>
      </w:pPr>
      <w:r>
        <w:rPr>
          <w:color w:val="000000"/>
        </w:rPr>
        <w:t>The study aims to provide information about the financial health and position of Wales Plc with the help of the preparation of the Income statement and Balance Sheet. After that, an explanation has been provided about the balancing of the statement of finance. Further, this study imparts information about Sweets Plc's efficiency in its operation through ratio analysis. The analysis of the ratio has been done to know the profitability, efficiency, and liquidity of the organization. It helps in understanding the performance of the organization over some time.</w:t>
      </w:r>
    </w:p>
    <w:p w14:paraId="0F471E1A" w14:textId="77777777" w:rsidR="00BD7FBB" w:rsidRDefault="00000000">
      <w:pPr>
        <w:pStyle w:val="Heading1"/>
      </w:pPr>
      <w:bookmarkStart w:id="2" w:name="_heading=h.1fob9te" w:colFirst="0" w:colLast="0"/>
      <w:bookmarkEnd w:id="2"/>
      <w:r>
        <w:t>Main Body</w:t>
      </w:r>
    </w:p>
    <w:p w14:paraId="365A7974" w14:textId="77777777" w:rsidR="00BD7FBB" w:rsidRDefault="00000000">
      <w:pPr>
        <w:pStyle w:val="Heading2"/>
      </w:pPr>
      <w:bookmarkStart w:id="3" w:name="_heading=h.3znysh7" w:colFirst="0" w:colLast="0"/>
      <w:bookmarkEnd w:id="3"/>
      <w:r>
        <w:t>Question 1</w:t>
      </w:r>
    </w:p>
    <w:p w14:paraId="47F21ED9" w14:textId="77777777" w:rsidR="00BD7FBB" w:rsidRDefault="00000000">
      <w:pPr>
        <w:pBdr>
          <w:top w:val="nil"/>
          <w:left w:val="nil"/>
          <w:bottom w:val="nil"/>
          <w:right w:val="nil"/>
          <w:between w:val="nil"/>
        </w:pBdr>
        <w:rPr>
          <w:b/>
          <w:color w:val="000000"/>
        </w:rPr>
      </w:pPr>
      <w:r>
        <w:rPr>
          <w:b/>
          <w:color w:val="000000"/>
        </w:rPr>
        <w:t>a) Income statement and Balance sheet statement of Wales Plc</w:t>
      </w:r>
    </w:p>
    <w:p w14:paraId="2E963E27" w14:textId="77777777" w:rsidR="00BD7FBB" w:rsidRDefault="00000000">
      <w:pPr>
        <w:pBdr>
          <w:top w:val="nil"/>
          <w:left w:val="nil"/>
          <w:bottom w:val="nil"/>
          <w:right w:val="nil"/>
          <w:between w:val="nil"/>
        </w:pBdr>
        <w:rPr>
          <w:b/>
          <w:color w:val="000000"/>
        </w:rPr>
      </w:pPr>
      <w:r>
        <w:rPr>
          <w:b/>
          <w:color w:val="000000"/>
        </w:rPr>
        <w:t xml:space="preserve">Part </w:t>
      </w:r>
      <w:proofErr w:type="gramStart"/>
      <w:r>
        <w:rPr>
          <w:b/>
          <w:color w:val="000000"/>
        </w:rPr>
        <w:t>A:-</w:t>
      </w:r>
      <w:proofErr w:type="gramEnd"/>
      <w:r>
        <w:rPr>
          <w:b/>
          <w:color w:val="000000"/>
        </w:rPr>
        <w:t xml:space="preserve"> Income statement</w:t>
      </w:r>
    </w:p>
    <w:p w14:paraId="54DB3768" w14:textId="77777777" w:rsidR="00BD7FBB" w:rsidRDefault="00000000">
      <w:pPr>
        <w:pBdr>
          <w:top w:val="nil"/>
          <w:left w:val="nil"/>
          <w:bottom w:val="nil"/>
          <w:right w:val="nil"/>
          <w:between w:val="nil"/>
        </w:pBdr>
        <w:jc w:val="center"/>
        <w:rPr>
          <w:color w:val="000000"/>
        </w:rPr>
      </w:pPr>
      <w:r>
        <w:rPr>
          <w:noProof/>
        </w:rPr>
        <w:drawing>
          <wp:inline distT="114300" distB="114300" distL="114300" distR="114300" wp14:anchorId="369E0236" wp14:editId="66C7926E">
            <wp:extent cx="5943600" cy="3276600"/>
            <wp:effectExtent l="25400" t="25400" r="25400" b="2540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5943600" cy="3276600"/>
                    </a:xfrm>
                    <a:prstGeom prst="rect">
                      <a:avLst/>
                    </a:prstGeom>
                    <a:ln w="25400">
                      <a:solidFill>
                        <a:srgbClr val="000000"/>
                      </a:solidFill>
                      <a:prstDash val="solid"/>
                    </a:ln>
                  </pic:spPr>
                </pic:pic>
              </a:graphicData>
            </a:graphic>
          </wp:inline>
        </w:drawing>
      </w:r>
    </w:p>
    <w:p w14:paraId="78E9776E" w14:textId="77777777" w:rsidR="00BD7FBB" w:rsidRDefault="00000000">
      <w:pPr>
        <w:pBdr>
          <w:top w:val="nil"/>
          <w:left w:val="nil"/>
          <w:bottom w:val="nil"/>
          <w:right w:val="nil"/>
          <w:between w:val="nil"/>
        </w:pBdr>
        <w:jc w:val="center"/>
        <w:rPr>
          <w:b/>
          <w:color w:val="000000"/>
        </w:rPr>
      </w:pPr>
      <w:r>
        <w:rPr>
          <w:b/>
          <w:color w:val="000000"/>
        </w:rPr>
        <w:t>Figure 1: Income statement of Wales Plc</w:t>
      </w:r>
    </w:p>
    <w:p w14:paraId="2F97B152" w14:textId="77777777" w:rsidR="00BD7FBB" w:rsidRDefault="00000000">
      <w:pPr>
        <w:pBdr>
          <w:top w:val="nil"/>
          <w:left w:val="nil"/>
          <w:bottom w:val="nil"/>
          <w:right w:val="nil"/>
          <w:between w:val="nil"/>
        </w:pBdr>
        <w:jc w:val="center"/>
        <w:rPr>
          <w:color w:val="000000"/>
        </w:rPr>
      </w:pPr>
      <w:r>
        <w:rPr>
          <w:color w:val="000000"/>
        </w:rPr>
        <w:t>(Source: Self-Developed, 2023).</w:t>
      </w:r>
    </w:p>
    <w:p w14:paraId="697A6217" w14:textId="77777777" w:rsidR="00BD7FBB" w:rsidRDefault="00000000">
      <w:pPr>
        <w:pBdr>
          <w:top w:val="nil"/>
          <w:left w:val="nil"/>
          <w:bottom w:val="nil"/>
          <w:right w:val="nil"/>
          <w:between w:val="nil"/>
        </w:pBdr>
        <w:rPr>
          <w:color w:val="000000"/>
        </w:rPr>
      </w:pPr>
      <w:r>
        <w:rPr>
          <w:color w:val="000000"/>
        </w:rPr>
        <w:t xml:space="preserve">An Income statement refers to the statement which helps in showing the income and expenditure of the company related to any particular year. It is also efficient in showing the profit or loss made by the company through the operation of a specific year. The reason for preparing is that it is efficient in showing the financial health and position of the company. It is also termed a profit and loss statement. Different groups need such a statement and they can be categorised into internal </w:t>
      </w:r>
      <w:r>
        <w:rPr>
          <w:color w:val="000000"/>
        </w:rPr>
        <w:lastRenderedPageBreak/>
        <w:t>and external users. On the other hand, its external users include competitors, creditors, and investors. They need such statements to know the credibility of the company to make decisions related to investment (</w:t>
      </w:r>
      <w:proofErr w:type="spellStart"/>
      <w:r>
        <w:rPr>
          <w:color w:val="000000"/>
        </w:rPr>
        <w:t>Zoho</w:t>
      </w:r>
      <w:proofErr w:type="spellEnd"/>
      <w:r>
        <w:rPr>
          <w:color w:val="000000"/>
        </w:rPr>
        <w:t>, 2021). The income statement is efficient in providing information about the revenue generated by the company through the selling of its service and product. It also provides information about expenses generated to carry on the operation of the business and to contribute to making revenue (BDC, 2023). The above figure shows the Income statement of Wales Plc for the period 31 December 2022. It shows the figure of the revenue generated from the year is £800,000 in respect of the cost of sales figure which is £578,650. The difference between both leads to the figure of Gross Profit which is £221,350. After that, the operating expenses of Wales Plc were subtracted from the gross profit. The total of the operating expense</w:t>
      </w:r>
      <w:r>
        <w:t xml:space="preserve">s </w:t>
      </w:r>
      <w:r>
        <w:rPr>
          <w:color w:val="000000"/>
        </w:rPr>
        <w:t xml:space="preserve">which is being subtracted from gross profit to get the figure of net </w:t>
      </w:r>
      <w:r>
        <w:t>loss which</w:t>
      </w:r>
      <w:r>
        <w:rPr>
          <w:color w:val="000000"/>
        </w:rPr>
        <w:t xml:space="preserve"> is £</w:t>
      </w:r>
      <w:r>
        <w:t xml:space="preserve"> -650</w:t>
      </w:r>
      <w:r>
        <w:rPr>
          <w:color w:val="000000"/>
        </w:rPr>
        <w:t xml:space="preserve">. As the figure of net profit is </w:t>
      </w:r>
      <w:r>
        <w:t xml:space="preserve">negative </w:t>
      </w:r>
      <w:r>
        <w:rPr>
          <w:color w:val="000000"/>
        </w:rPr>
        <w:t xml:space="preserve">which indicates that the company is not profitable as it is not efficient in meeting its expenses and able to generate </w:t>
      </w:r>
      <w:r>
        <w:t>negative figures</w:t>
      </w:r>
      <w:r>
        <w:rPr>
          <w:color w:val="000000"/>
        </w:rPr>
        <w:t xml:space="preserve"> in profit. The </w:t>
      </w:r>
      <w:r>
        <w:t xml:space="preserve">negative </w:t>
      </w:r>
      <w:r>
        <w:rPr>
          <w:color w:val="000000"/>
        </w:rPr>
        <w:t>net profit implies that Wales plc does not ha</w:t>
      </w:r>
      <w:r>
        <w:t xml:space="preserve">ve </w:t>
      </w:r>
      <w:r>
        <w:rPr>
          <w:color w:val="000000"/>
        </w:rPr>
        <w:t xml:space="preserve">higher potential in meeting its debts. The information obtained by the company through this statement helps in taking positive decisions to contribute further progress to the company. The company can take rational decisions in contributing further to the net profit. </w:t>
      </w:r>
    </w:p>
    <w:p w14:paraId="1711FB41" w14:textId="77777777" w:rsidR="00BD7FBB" w:rsidRDefault="00000000">
      <w:pPr>
        <w:pBdr>
          <w:top w:val="nil"/>
          <w:left w:val="nil"/>
          <w:bottom w:val="nil"/>
          <w:right w:val="nil"/>
          <w:between w:val="nil"/>
        </w:pBdr>
        <w:rPr>
          <w:b/>
          <w:color w:val="000000"/>
        </w:rPr>
      </w:pPr>
      <w:r>
        <w:rPr>
          <w:b/>
          <w:color w:val="000000"/>
        </w:rPr>
        <w:t xml:space="preserve">Part </w:t>
      </w:r>
      <w:proofErr w:type="gramStart"/>
      <w:r>
        <w:rPr>
          <w:b/>
          <w:color w:val="000000"/>
        </w:rPr>
        <w:t>B:-</w:t>
      </w:r>
      <w:proofErr w:type="gramEnd"/>
      <w:r>
        <w:rPr>
          <w:b/>
          <w:color w:val="000000"/>
        </w:rPr>
        <w:t xml:space="preserve"> The Financial statement of Wales Plc</w:t>
      </w:r>
    </w:p>
    <w:p w14:paraId="27E0997F" w14:textId="77777777" w:rsidR="00BD7FBB" w:rsidRDefault="00000000">
      <w:pPr>
        <w:pBdr>
          <w:top w:val="nil"/>
          <w:left w:val="nil"/>
          <w:bottom w:val="nil"/>
          <w:right w:val="nil"/>
          <w:between w:val="nil"/>
        </w:pBdr>
        <w:rPr>
          <w:color w:val="000000"/>
        </w:rPr>
      </w:pPr>
      <w:r>
        <w:rPr>
          <w:color w:val="000000"/>
        </w:rPr>
        <w:t>The financial statement of the organisation is to be meant as the balance sheet which includes the equity capital, liabilities, total debt, and many more. The preparation of an effective balance sheet which will give the full information to the company has been done by balancing the balance sheet from both sides. The amount of the balance of both should match each other so that means the above process which has been made to make a balance sheet is right. The balance sheet signifies (Asset = Liabilities + Equity) (</w:t>
      </w:r>
      <w:r>
        <w:rPr>
          <w:color w:val="222222"/>
          <w:highlight w:val="white"/>
        </w:rPr>
        <w:t>Economic Times, 2023)</w:t>
      </w:r>
      <w:r>
        <w:rPr>
          <w:color w:val="000000"/>
        </w:rPr>
        <w:t xml:space="preserve">. The usual calculation of the BL is made every six months of the differences or every quarter. The BL carries 2 heads one is the liabilities and the other is the assets. The assets which have been used in the balance sheet mean that it is things or resources which are owned by the company. The asset has its justification it is also divided into current assets, tangible assets, long term assets. The liabilities head refers to the debt of the company. The company can calculate its total debts by just </w:t>
      </w:r>
      <w:proofErr w:type="spellStart"/>
      <w:r>
        <w:rPr>
          <w:color w:val="000000"/>
        </w:rPr>
        <w:t>analyzing</w:t>
      </w:r>
      <w:proofErr w:type="spellEnd"/>
      <w:r>
        <w:rPr>
          <w:color w:val="000000"/>
        </w:rPr>
        <w:t xml:space="preserve"> the liability side of the BL. The balance sheet carries other heads also like the owner's equity or the shareholder. The liabilities and the equity are equal to the assets. This process has been mentioned as the book value of the company (</w:t>
      </w:r>
      <w:proofErr w:type="spellStart"/>
      <w:r>
        <w:rPr>
          <w:color w:val="222222"/>
          <w:highlight w:val="white"/>
        </w:rPr>
        <w:t>Breckenfelder</w:t>
      </w:r>
      <w:proofErr w:type="spellEnd"/>
      <w:r>
        <w:rPr>
          <w:color w:val="222222"/>
          <w:highlight w:val="white"/>
        </w:rPr>
        <w:t xml:space="preserve">, and </w:t>
      </w:r>
      <w:proofErr w:type="spellStart"/>
      <w:r>
        <w:rPr>
          <w:color w:val="222222"/>
          <w:highlight w:val="white"/>
        </w:rPr>
        <w:t>Ivashina</w:t>
      </w:r>
      <w:proofErr w:type="spellEnd"/>
      <w:r>
        <w:rPr>
          <w:color w:val="222222"/>
          <w:highlight w:val="white"/>
        </w:rPr>
        <w:t>, 2021).</w:t>
      </w:r>
      <w:r>
        <w:rPr>
          <w:color w:val="000000"/>
        </w:rPr>
        <w:t xml:space="preserve"> </w:t>
      </w:r>
    </w:p>
    <w:p w14:paraId="6E6D6F68" w14:textId="77777777" w:rsidR="00BD7FBB" w:rsidRDefault="00000000">
      <w:pPr>
        <w:pBdr>
          <w:top w:val="nil"/>
          <w:left w:val="nil"/>
          <w:bottom w:val="nil"/>
          <w:right w:val="nil"/>
          <w:between w:val="nil"/>
        </w:pBdr>
        <w:jc w:val="center"/>
        <w:rPr>
          <w:color w:val="000000"/>
        </w:rPr>
      </w:pPr>
      <w:r>
        <w:rPr>
          <w:noProof/>
        </w:rPr>
        <w:lastRenderedPageBreak/>
        <w:drawing>
          <wp:inline distT="114300" distB="114300" distL="114300" distR="114300" wp14:anchorId="11496460" wp14:editId="479C6541">
            <wp:extent cx="5943600" cy="2908300"/>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908300"/>
                    </a:xfrm>
                    <a:prstGeom prst="rect">
                      <a:avLst/>
                    </a:prstGeom>
                    <a:ln w="25400">
                      <a:solidFill>
                        <a:srgbClr val="000000"/>
                      </a:solidFill>
                      <a:prstDash val="solid"/>
                    </a:ln>
                  </pic:spPr>
                </pic:pic>
              </a:graphicData>
            </a:graphic>
          </wp:inline>
        </w:drawing>
      </w:r>
    </w:p>
    <w:p w14:paraId="7757D38D" w14:textId="77777777" w:rsidR="00BD7FBB" w:rsidRDefault="00000000">
      <w:pPr>
        <w:pBdr>
          <w:top w:val="nil"/>
          <w:left w:val="nil"/>
          <w:bottom w:val="nil"/>
          <w:right w:val="nil"/>
          <w:between w:val="nil"/>
        </w:pBdr>
        <w:jc w:val="center"/>
        <w:rPr>
          <w:b/>
          <w:color w:val="000000"/>
        </w:rPr>
      </w:pPr>
      <w:r>
        <w:rPr>
          <w:b/>
          <w:color w:val="000000"/>
        </w:rPr>
        <w:t>Figure: 2. Balance sheet of Wales plc.</w:t>
      </w:r>
    </w:p>
    <w:p w14:paraId="7F5BC247" w14:textId="77777777" w:rsidR="00BD7FBB" w:rsidRDefault="00000000">
      <w:pPr>
        <w:pBdr>
          <w:top w:val="nil"/>
          <w:left w:val="nil"/>
          <w:bottom w:val="nil"/>
          <w:right w:val="nil"/>
          <w:between w:val="nil"/>
        </w:pBdr>
        <w:jc w:val="center"/>
        <w:rPr>
          <w:color w:val="000000"/>
        </w:rPr>
      </w:pPr>
      <w:r>
        <w:rPr>
          <w:color w:val="000000"/>
        </w:rPr>
        <w:t>(Source: Self-Developed, 2023).</w:t>
      </w:r>
    </w:p>
    <w:p w14:paraId="7E3919F2" w14:textId="77777777" w:rsidR="00BD7FBB" w:rsidRDefault="00000000">
      <w:pPr>
        <w:pBdr>
          <w:top w:val="nil"/>
          <w:left w:val="nil"/>
          <w:bottom w:val="nil"/>
          <w:right w:val="nil"/>
          <w:between w:val="nil"/>
        </w:pBdr>
        <w:rPr>
          <w:color w:val="000000"/>
        </w:rPr>
      </w:pPr>
      <w:r>
        <w:rPr>
          <w:color w:val="000000"/>
        </w:rPr>
        <w:t xml:space="preserve">Figure 2 is been done for the preparation of the balance sheet of Wales plc in this balances sheet on the liabilities side all the liabilities are been mentioned the total equity </w:t>
      </w:r>
      <w:r>
        <w:t>before</w:t>
      </w:r>
      <w:r>
        <w:rPr>
          <w:color w:val="000000"/>
        </w:rPr>
        <w:t xml:space="preserve"> the net </w:t>
      </w:r>
      <w:r>
        <w:t>loss</w:t>
      </w:r>
      <w:r>
        <w:rPr>
          <w:color w:val="000000"/>
        </w:rPr>
        <w:t xml:space="preserve"> of the liabilities is £</w:t>
      </w:r>
      <w:r>
        <w:t>1,400,000</w:t>
      </w:r>
      <w:r>
        <w:rPr>
          <w:color w:val="000000"/>
        </w:rPr>
        <w:t xml:space="preserve"> after that addition of net </w:t>
      </w:r>
      <w:r>
        <w:t xml:space="preserve">loss </w:t>
      </w:r>
      <w:r>
        <w:rPr>
          <w:color w:val="000000"/>
        </w:rPr>
        <w:t xml:space="preserve">and retained </w:t>
      </w:r>
      <w:proofErr w:type="spellStart"/>
      <w:r>
        <w:rPr>
          <w:color w:val="000000"/>
        </w:rPr>
        <w:t>earning</w:t>
      </w:r>
      <w:proofErr w:type="spellEnd"/>
      <w:r>
        <w:rPr>
          <w:color w:val="000000"/>
        </w:rPr>
        <w:t xml:space="preserve"> are been made after that all the current liabilities are been added together from which the total liabilities is £</w:t>
      </w:r>
      <w:r>
        <w:t>2,026,975</w:t>
      </w:r>
      <w:r>
        <w:rPr>
          <w:color w:val="000000"/>
        </w:rPr>
        <w:t>. Now on the assets side, there is only one fixed asset which is the plant then the current assets have been added in it the total value of the assets side is £</w:t>
      </w:r>
      <w:r>
        <w:t>2,026,975</w:t>
      </w:r>
      <w:r>
        <w:rPr>
          <w:color w:val="000000"/>
        </w:rPr>
        <w:t xml:space="preserve">. Now it is seen that the liabilities are equal to the assets which defines that the balance sheet has been tallied. </w:t>
      </w:r>
    </w:p>
    <w:p w14:paraId="6FA5585D" w14:textId="77777777" w:rsidR="00BD7FBB" w:rsidRDefault="00000000">
      <w:pPr>
        <w:pBdr>
          <w:top w:val="nil"/>
          <w:left w:val="nil"/>
          <w:bottom w:val="nil"/>
          <w:right w:val="nil"/>
          <w:between w:val="nil"/>
        </w:pBdr>
        <w:rPr>
          <w:b/>
          <w:color w:val="000000"/>
        </w:rPr>
      </w:pPr>
      <w:r>
        <w:rPr>
          <w:b/>
          <w:color w:val="000000"/>
        </w:rPr>
        <w:t xml:space="preserve">b) Why balancing is important in the statement of financial wealth? </w:t>
      </w:r>
    </w:p>
    <w:p w14:paraId="353BE6F1" w14:textId="77777777" w:rsidR="00BD7FBB" w:rsidRDefault="00000000">
      <w:pPr>
        <w:pBdr>
          <w:top w:val="nil"/>
          <w:left w:val="nil"/>
          <w:bottom w:val="nil"/>
          <w:right w:val="nil"/>
          <w:between w:val="nil"/>
        </w:pBdr>
        <w:rPr>
          <w:b/>
          <w:color w:val="000000"/>
        </w:rPr>
      </w:pPr>
      <w:r>
        <w:rPr>
          <w:color w:val="000000"/>
        </w:rPr>
        <w:t>The report has the equity, assets, and liabilities of the company for making a data report. The snapshot has been provided for the financial condition within the business for specific data. It has been said that it is one of the financial reports and it is made everywhere along with the statement of cash flow and the income report. The use of the report is done for the double entry system of accounting is done. The approach provides the upgradation in the assets and the liabilities. The reason behind the balance of the BL is the principle of the accounting system which carries the double entry system. The system of accounting records every translation at least 2 times in various accounts and also checks to see if the entries have been consistent or not. (</w:t>
      </w:r>
      <w:r>
        <w:rPr>
          <w:color w:val="222222"/>
          <w:highlight w:val="white"/>
        </w:rPr>
        <w:t>Bragg, 2023).</w:t>
      </w:r>
      <w:r>
        <w:rPr>
          <w:color w:val="000000"/>
        </w:rPr>
        <w:t xml:space="preserve">    </w:t>
      </w:r>
    </w:p>
    <w:p w14:paraId="56176877" w14:textId="77777777" w:rsidR="00BD7FBB" w:rsidRDefault="00000000">
      <w:pPr>
        <w:pStyle w:val="Heading2"/>
      </w:pPr>
      <w:bookmarkStart w:id="4" w:name="_heading=h.2et92p0" w:colFirst="0" w:colLast="0"/>
      <w:bookmarkEnd w:id="4"/>
      <w:r>
        <w:t xml:space="preserve">Question 2 </w:t>
      </w:r>
    </w:p>
    <w:p w14:paraId="5B0F90EB" w14:textId="77777777" w:rsidR="00BD7FBB" w:rsidRDefault="00000000">
      <w:pPr>
        <w:pBdr>
          <w:top w:val="nil"/>
          <w:left w:val="nil"/>
          <w:bottom w:val="nil"/>
          <w:right w:val="nil"/>
          <w:between w:val="nil"/>
        </w:pBdr>
        <w:rPr>
          <w:b/>
          <w:color w:val="000000"/>
        </w:rPr>
      </w:pPr>
      <w:r>
        <w:rPr>
          <w:b/>
          <w:color w:val="000000"/>
        </w:rPr>
        <w:t>Part one</w:t>
      </w:r>
    </w:p>
    <w:p w14:paraId="7F377297" w14:textId="77777777" w:rsidR="00BD7FBB" w:rsidRDefault="00000000">
      <w:pPr>
        <w:pBdr>
          <w:top w:val="nil"/>
          <w:left w:val="nil"/>
          <w:bottom w:val="nil"/>
          <w:right w:val="nil"/>
          <w:between w:val="nil"/>
        </w:pBdr>
        <w:rPr>
          <w:b/>
          <w:color w:val="000000"/>
        </w:rPr>
      </w:pPr>
      <w:r>
        <w:rPr>
          <w:b/>
          <w:color w:val="000000"/>
        </w:rPr>
        <w:lastRenderedPageBreak/>
        <w:t xml:space="preserve">a) ROCE </w:t>
      </w:r>
    </w:p>
    <w:p w14:paraId="0D34084A" w14:textId="77777777" w:rsidR="00BD7FBB" w:rsidRDefault="00000000">
      <w:pPr>
        <w:pBdr>
          <w:top w:val="nil"/>
          <w:left w:val="nil"/>
          <w:bottom w:val="nil"/>
          <w:right w:val="nil"/>
          <w:between w:val="nil"/>
        </w:pBdr>
        <w:rPr>
          <w:b/>
          <w:color w:val="000000"/>
        </w:rPr>
      </w:pPr>
      <w:r>
        <w:rPr>
          <w:color w:val="000000"/>
        </w:rPr>
        <w:t xml:space="preserve">The ROCE means the return on capital employed. It helps in look after the performance of the organisation. The ratio is part of financial ratio which shows if the organization is good at generating profit from the help of its capital or not. The organization has many resources based on financial terms. The company grows its business by </w:t>
      </w:r>
      <w:proofErr w:type="spellStart"/>
      <w:r>
        <w:rPr>
          <w:color w:val="000000"/>
        </w:rPr>
        <w:t>analyzing</w:t>
      </w:r>
      <w:proofErr w:type="spellEnd"/>
      <w:r>
        <w:rPr>
          <w:color w:val="000000"/>
        </w:rPr>
        <w:t xml:space="preserve"> it. ROCE is a profitable ratio in the financial managers used by the stakeholders which can use the data for investing in the company (</w:t>
      </w:r>
      <w:proofErr w:type="spellStart"/>
      <w:r>
        <w:rPr>
          <w:color w:val="222222"/>
          <w:highlight w:val="white"/>
        </w:rPr>
        <w:t>Shrotriya</w:t>
      </w:r>
      <w:proofErr w:type="spellEnd"/>
      <w:r>
        <w:rPr>
          <w:color w:val="222222"/>
          <w:highlight w:val="white"/>
        </w:rPr>
        <w:t>, 2019).</w:t>
      </w:r>
    </w:p>
    <w:p w14:paraId="202EB50F"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55E55929" wp14:editId="5A9A5EF9">
            <wp:extent cx="5576332" cy="1228353"/>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576332" cy="1228353"/>
                    </a:xfrm>
                    <a:prstGeom prst="rect">
                      <a:avLst/>
                    </a:prstGeom>
                    <a:ln w="25400">
                      <a:solidFill>
                        <a:srgbClr val="000000"/>
                      </a:solidFill>
                      <a:prstDash val="solid"/>
                    </a:ln>
                  </pic:spPr>
                </pic:pic>
              </a:graphicData>
            </a:graphic>
          </wp:inline>
        </w:drawing>
      </w:r>
    </w:p>
    <w:p w14:paraId="3AE4C070" w14:textId="77777777" w:rsidR="00BD7FBB" w:rsidRDefault="00000000">
      <w:pPr>
        <w:pBdr>
          <w:top w:val="nil"/>
          <w:left w:val="nil"/>
          <w:bottom w:val="nil"/>
          <w:right w:val="nil"/>
          <w:between w:val="nil"/>
        </w:pBdr>
        <w:jc w:val="center"/>
        <w:rPr>
          <w:b/>
          <w:color w:val="000000"/>
        </w:rPr>
      </w:pPr>
      <w:r>
        <w:rPr>
          <w:b/>
          <w:color w:val="000000"/>
        </w:rPr>
        <w:t xml:space="preserve">Figure: 3. Calculation of ROCE in accounts of the </w:t>
      </w:r>
      <w:proofErr w:type="gramStart"/>
      <w:r>
        <w:rPr>
          <w:b/>
          <w:color w:val="000000"/>
        </w:rPr>
        <w:t>Sweets</w:t>
      </w:r>
      <w:proofErr w:type="gramEnd"/>
      <w:r>
        <w:rPr>
          <w:b/>
          <w:color w:val="000000"/>
        </w:rPr>
        <w:t xml:space="preserve"> plc</w:t>
      </w:r>
    </w:p>
    <w:p w14:paraId="74B7672B" w14:textId="77777777" w:rsidR="00BD7FBB" w:rsidRDefault="00000000">
      <w:pPr>
        <w:pBdr>
          <w:top w:val="nil"/>
          <w:left w:val="nil"/>
          <w:bottom w:val="nil"/>
          <w:right w:val="nil"/>
          <w:between w:val="nil"/>
        </w:pBdr>
        <w:jc w:val="center"/>
        <w:rPr>
          <w:color w:val="000000"/>
        </w:rPr>
      </w:pPr>
      <w:r>
        <w:rPr>
          <w:color w:val="000000"/>
        </w:rPr>
        <w:t>(Source: Self-Developed, 2023).</w:t>
      </w:r>
    </w:p>
    <w:p w14:paraId="3AFDDEB2" w14:textId="77777777" w:rsidR="00BD7FBB" w:rsidRDefault="00000000">
      <w:pPr>
        <w:pBdr>
          <w:top w:val="nil"/>
          <w:left w:val="nil"/>
          <w:bottom w:val="nil"/>
          <w:right w:val="nil"/>
          <w:between w:val="nil"/>
        </w:pBdr>
        <w:rPr>
          <w:color w:val="222222"/>
          <w:highlight w:val="white"/>
        </w:rPr>
      </w:pPr>
      <w:r>
        <w:rPr>
          <w:color w:val="222222"/>
          <w:highlight w:val="white"/>
        </w:rPr>
        <w:t xml:space="preserve">In the above figure, the calculation of the ROCE has been made over there the data of the </w:t>
      </w:r>
      <w:proofErr w:type="gramStart"/>
      <w:r>
        <w:rPr>
          <w:color w:val="222222"/>
          <w:highlight w:val="white"/>
        </w:rPr>
        <w:t>Sweet</w:t>
      </w:r>
      <w:proofErr w:type="gramEnd"/>
      <w:r>
        <w:rPr>
          <w:color w:val="222222"/>
          <w:highlight w:val="white"/>
        </w:rPr>
        <w:t xml:space="preserve"> plc company has been made. The calculator will be made for 2 years in 2021 the profit of the company is 11.14% but in 2022 the profit is 9.93%. The profit </w:t>
      </w:r>
      <w:proofErr w:type="gramStart"/>
      <w:r>
        <w:rPr>
          <w:color w:val="222222"/>
          <w:highlight w:val="white"/>
        </w:rPr>
        <w:t>of  the</w:t>
      </w:r>
      <w:proofErr w:type="gramEnd"/>
      <w:r>
        <w:rPr>
          <w:color w:val="222222"/>
          <w:highlight w:val="white"/>
        </w:rPr>
        <w:t xml:space="preserve"> company is been decreased in comparison to the past year </w:t>
      </w:r>
    </w:p>
    <w:p w14:paraId="38553918" w14:textId="77777777" w:rsidR="00BD7FBB" w:rsidRDefault="00000000">
      <w:pPr>
        <w:pBdr>
          <w:top w:val="nil"/>
          <w:left w:val="nil"/>
          <w:bottom w:val="nil"/>
          <w:right w:val="nil"/>
          <w:between w:val="nil"/>
        </w:pBdr>
        <w:rPr>
          <w:color w:val="000000"/>
        </w:rPr>
      </w:pPr>
      <w:r>
        <w:rPr>
          <w:b/>
          <w:color w:val="000000"/>
        </w:rPr>
        <w:t>b) ROE</w:t>
      </w:r>
      <w:r>
        <w:rPr>
          <w:color w:val="000000"/>
        </w:rPr>
        <w:t xml:space="preserve"> </w:t>
      </w:r>
    </w:p>
    <w:p w14:paraId="387C0CCF" w14:textId="77777777" w:rsidR="00BD7FBB" w:rsidRDefault="00000000">
      <w:pPr>
        <w:pBdr>
          <w:top w:val="nil"/>
          <w:left w:val="nil"/>
          <w:bottom w:val="nil"/>
          <w:right w:val="nil"/>
          <w:between w:val="nil"/>
        </w:pBdr>
        <w:rPr>
          <w:b/>
          <w:color w:val="000000"/>
        </w:rPr>
      </w:pPr>
      <w:r>
        <w:rPr>
          <w:color w:val="000000"/>
        </w:rPr>
        <w:t xml:space="preserve">The ROE refers to the Return </w:t>
      </w:r>
      <w:proofErr w:type="gramStart"/>
      <w:r>
        <w:rPr>
          <w:color w:val="000000"/>
        </w:rPr>
        <w:t>On</w:t>
      </w:r>
      <w:proofErr w:type="gramEnd"/>
      <w:r>
        <w:rPr>
          <w:color w:val="000000"/>
        </w:rPr>
        <w:t xml:space="preserve"> Equity it helps to measure the organization's net income which is divided between the equity of the shareholders. It is said to be as the increase in the ROE is better for the company which indicates how the company is converting its financing equity into the form of profit (</w:t>
      </w:r>
      <w:proofErr w:type="spellStart"/>
      <w:r>
        <w:rPr>
          <w:color w:val="222222"/>
          <w:highlight w:val="white"/>
        </w:rPr>
        <w:t>Daniswara</w:t>
      </w:r>
      <w:proofErr w:type="spellEnd"/>
      <w:r>
        <w:rPr>
          <w:color w:val="222222"/>
          <w:highlight w:val="white"/>
        </w:rPr>
        <w:t xml:space="preserve">, and </w:t>
      </w:r>
      <w:proofErr w:type="spellStart"/>
      <w:r>
        <w:rPr>
          <w:color w:val="222222"/>
          <w:highlight w:val="white"/>
        </w:rPr>
        <w:t>Daryanto</w:t>
      </w:r>
      <w:proofErr w:type="spellEnd"/>
      <w:r>
        <w:rPr>
          <w:color w:val="222222"/>
          <w:highlight w:val="white"/>
        </w:rPr>
        <w:t xml:space="preserve">, 2020). </w:t>
      </w:r>
    </w:p>
    <w:p w14:paraId="0A0438CB" w14:textId="77777777" w:rsidR="00BD7FBB" w:rsidRDefault="00000000">
      <w:pPr>
        <w:pBdr>
          <w:top w:val="nil"/>
          <w:left w:val="nil"/>
          <w:bottom w:val="nil"/>
          <w:right w:val="nil"/>
          <w:between w:val="nil"/>
        </w:pBdr>
        <w:rPr>
          <w:color w:val="000000"/>
        </w:rPr>
      </w:pPr>
      <w:r>
        <w:rPr>
          <w:noProof/>
          <w:color w:val="000000"/>
        </w:rPr>
        <w:drawing>
          <wp:inline distT="114300" distB="114300" distL="114300" distR="114300" wp14:anchorId="6F3A5191" wp14:editId="2B582316">
            <wp:extent cx="5300663" cy="1257208"/>
            <wp:effectExtent l="25400" t="25400" r="25400" b="2540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300663" cy="1257208"/>
                    </a:xfrm>
                    <a:prstGeom prst="rect">
                      <a:avLst/>
                    </a:prstGeom>
                    <a:ln w="25400">
                      <a:solidFill>
                        <a:srgbClr val="000000"/>
                      </a:solidFill>
                      <a:prstDash val="solid"/>
                    </a:ln>
                  </pic:spPr>
                </pic:pic>
              </a:graphicData>
            </a:graphic>
          </wp:inline>
        </w:drawing>
      </w:r>
    </w:p>
    <w:p w14:paraId="5F03842F" w14:textId="77777777" w:rsidR="00BD7FBB" w:rsidRDefault="00000000">
      <w:pPr>
        <w:pBdr>
          <w:top w:val="nil"/>
          <w:left w:val="nil"/>
          <w:bottom w:val="nil"/>
          <w:right w:val="nil"/>
          <w:between w:val="nil"/>
        </w:pBdr>
        <w:jc w:val="center"/>
        <w:rPr>
          <w:b/>
          <w:color w:val="000000"/>
        </w:rPr>
      </w:pPr>
      <w:r>
        <w:rPr>
          <w:b/>
          <w:color w:val="000000"/>
        </w:rPr>
        <w:t xml:space="preserve">Figure: 4. Calculation of ROE ratio of Sweet Plc. </w:t>
      </w:r>
    </w:p>
    <w:p w14:paraId="24F2E102" w14:textId="77777777" w:rsidR="00BD7FBB" w:rsidRDefault="00000000">
      <w:pPr>
        <w:pBdr>
          <w:top w:val="nil"/>
          <w:left w:val="nil"/>
          <w:bottom w:val="nil"/>
          <w:right w:val="nil"/>
          <w:between w:val="nil"/>
        </w:pBdr>
        <w:jc w:val="center"/>
        <w:rPr>
          <w:color w:val="000000"/>
        </w:rPr>
      </w:pPr>
      <w:r>
        <w:rPr>
          <w:color w:val="000000"/>
        </w:rPr>
        <w:t>(Source: Self-Developed, 2023).</w:t>
      </w:r>
    </w:p>
    <w:p w14:paraId="14AECCB7" w14:textId="77777777" w:rsidR="00BD7FBB" w:rsidRDefault="00000000">
      <w:pPr>
        <w:pBdr>
          <w:top w:val="nil"/>
          <w:left w:val="nil"/>
          <w:bottom w:val="nil"/>
          <w:right w:val="nil"/>
          <w:between w:val="nil"/>
        </w:pBdr>
        <w:rPr>
          <w:color w:val="000000"/>
        </w:rPr>
      </w:pPr>
      <w:r>
        <w:rPr>
          <w:color w:val="222222"/>
          <w:highlight w:val="white"/>
        </w:rPr>
        <w:lastRenderedPageBreak/>
        <w:t xml:space="preserve">In the above figure the evaluation of ROE is done based on the </w:t>
      </w:r>
      <w:proofErr w:type="gramStart"/>
      <w:r>
        <w:rPr>
          <w:color w:val="222222"/>
          <w:highlight w:val="white"/>
        </w:rPr>
        <w:t>Sweet</w:t>
      </w:r>
      <w:proofErr w:type="gramEnd"/>
      <w:r>
        <w:rPr>
          <w:color w:val="222222"/>
          <w:highlight w:val="white"/>
        </w:rPr>
        <w:t xml:space="preserve"> plc company data here it is seen that in 2021 the company will be profitable because its rate is 1.44 but in 2022 the company will be less profitable the ratio is 1.22.   </w:t>
      </w:r>
      <w:r>
        <w:rPr>
          <w:color w:val="000000"/>
        </w:rPr>
        <w:t xml:space="preserve">  </w:t>
      </w:r>
    </w:p>
    <w:p w14:paraId="10F04ACC" w14:textId="77777777" w:rsidR="00BD7FBB" w:rsidRDefault="00000000">
      <w:pPr>
        <w:pBdr>
          <w:top w:val="nil"/>
          <w:left w:val="nil"/>
          <w:bottom w:val="nil"/>
          <w:right w:val="nil"/>
          <w:between w:val="nil"/>
        </w:pBdr>
        <w:rPr>
          <w:color w:val="000000"/>
        </w:rPr>
      </w:pPr>
      <w:r>
        <w:rPr>
          <w:b/>
          <w:color w:val="000000"/>
        </w:rPr>
        <w:t>c) Earnings per share</w:t>
      </w:r>
      <w:r>
        <w:rPr>
          <w:color w:val="000000"/>
        </w:rPr>
        <w:t xml:space="preserve"> </w:t>
      </w:r>
    </w:p>
    <w:p w14:paraId="6D721E11" w14:textId="77777777" w:rsidR="00BD7FBB" w:rsidRDefault="00000000">
      <w:pPr>
        <w:pBdr>
          <w:top w:val="nil"/>
          <w:left w:val="nil"/>
          <w:bottom w:val="nil"/>
          <w:right w:val="nil"/>
          <w:between w:val="nil"/>
        </w:pBdr>
        <w:rPr>
          <w:b/>
          <w:color w:val="000000"/>
        </w:rPr>
      </w:pPr>
      <w:r>
        <w:rPr>
          <w:color w:val="000000"/>
        </w:rPr>
        <w:t>The term earning per share is known as the EPS also. The EPS is done by evaluating the annual income or the quarterly income with the value of the stock shares outstanding. It is seen that the increase in the EPS of the company means the perceived value and the profit will be more by the investors (</w:t>
      </w:r>
      <w:proofErr w:type="spellStart"/>
      <w:r>
        <w:rPr>
          <w:color w:val="222222"/>
          <w:highlight w:val="white"/>
        </w:rPr>
        <w:t>Gartner_Inc</w:t>
      </w:r>
      <w:proofErr w:type="spellEnd"/>
      <w:r>
        <w:rPr>
          <w:color w:val="222222"/>
          <w:highlight w:val="white"/>
        </w:rPr>
        <w:t>, 2023).</w:t>
      </w:r>
    </w:p>
    <w:p w14:paraId="4DF86797"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6F46BCC2" wp14:editId="07C46068">
            <wp:extent cx="4953000" cy="1381387"/>
            <wp:effectExtent l="25400" t="25400" r="25400" b="2540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4953000" cy="1381387"/>
                    </a:xfrm>
                    <a:prstGeom prst="rect">
                      <a:avLst/>
                    </a:prstGeom>
                    <a:ln w="25400">
                      <a:solidFill>
                        <a:srgbClr val="000000"/>
                      </a:solidFill>
                      <a:prstDash val="solid"/>
                    </a:ln>
                  </pic:spPr>
                </pic:pic>
              </a:graphicData>
            </a:graphic>
          </wp:inline>
        </w:drawing>
      </w:r>
    </w:p>
    <w:p w14:paraId="4DAAD79C" w14:textId="77777777" w:rsidR="00BD7FBB" w:rsidRDefault="00000000">
      <w:pPr>
        <w:pBdr>
          <w:top w:val="nil"/>
          <w:left w:val="nil"/>
          <w:bottom w:val="nil"/>
          <w:right w:val="nil"/>
          <w:between w:val="nil"/>
        </w:pBdr>
        <w:jc w:val="center"/>
        <w:rPr>
          <w:b/>
          <w:color w:val="000000"/>
        </w:rPr>
      </w:pPr>
      <w:r>
        <w:rPr>
          <w:b/>
          <w:color w:val="000000"/>
        </w:rPr>
        <w:t xml:space="preserve">Figure: 5. Evaluation of earnings per share of </w:t>
      </w:r>
      <w:proofErr w:type="gramStart"/>
      <w:r>
        <w:rPr>
          <w:b/>
          <w:color w:val="000000"/>
        </w:rPr>
        <w:t>Sweet</w:t>
      </w:r>
      <w:proofErr w:type="gramEnd"/>
      <w:r>
        <w:rPr>
          <w:b/>
          <w:color w:val="000000"/>
        </w:rPr>
        <w:t xml:space="preserve"> plc.</w:t>
      </w:r>
    </w:p>
    <w:p w14:paraId="2E1E47A7" w14:textId="77777777" w:rsidR="00BD7FBB" w:rsidRDefault="00000000">
      <w:pPr>
        <w:pBdr>
          <w:top w:val="nil"/>
          <w:left w:val="nil"/>
          <w:bottom w:val="nil"/>
          <w:right w:val="nil"/>
          <w:between w:val="nil"/>
        </w:pBdr>
        <w:jc w:val="center"/>
        <w:rPr>
          <w:color w:val="000000"/>
        </w:rPr>
      </w:pPr>
      <w:r>
        <w:rPr>
          <w:color w:val="000000"/>
        </w:rPr>
        <w:t>(Source: Self-Developed, 2023).</w:t>
      </w:r>
    </w:p>
    <w:p w14:paraId="5AAF8C30" w14:textId="77777777" w:rsidR="00BD7FBB" w:rsidRDefault="00000000">
      <w:pPr>
        <w:pBdr>
          <w:top w:val="nil"/>
          <w:left w:val="nil"/>
          <w:bottom w:val="nil"/>
          <w:right w:val="nil"/>
          <w:between w:val="nil"/>
        </w:pBdr>
        <w:rPr>
          <w:color w:val="000000"/>
        </w:rPr>
      </w:pPr>
      <w:r>
        <w:rPr>
          <w:color w:val="222222"/>
          <w:highlight w:val="white"/>
        </w:rPr>
        <w:t xml:space="preserve">In the overhead figure, it has been seen that the EPS of 2021 is 1.44 and the EPS of 2022 is 2.44. These two values define that the rates of the </w:t>
      </w:r>
      <w:proofErr w:type="gramStart"/>
      <w:r>
        <w:rPr>
          <w:color w:val="222222"/>
          <w:highlight w:val="white"/>
        </w:rPr>
        <w:t>company  Sweet</w:t>
      </w:r>
      <w:proofErr w:type="gramEnd"/>
      <w:r>
        <w:rPr>
          <w:color w:val="222222"/>
          <w:highlight w:val="white"/>
        </w:rPr>
        <w:t xml:space="preserve"> plc are increasing from last year's value.  </w:t>
      </w:r>
    </w:p>
    <w:p w14:paraId="1BA1E1F6" w14:textId="77777777" w:rsidR="00BD7FBB" w:rsidRDefault="00BD7FBB">
      <w:pPr>
        <w:pBdr>
          <w:top w:val="nil"/>
          <w:left w:val="nil"/>
          <w:bottom w:val="nil"/>
          <w:right w:val="nil"/>
          <w:between w:val="nil"/>
        </w:pBdr>
        <w:rPr>
          <w:color w:val="000000"/>
        </w:rPr>
      </w:pPr>
    </w:p>
    <w:p w14:paraId="2C6649A6" w14:textId="77777777" w:rsidR="00BD7FBB" w:rsidRDefault="00000000">
      <w:pPr>
        <w:pBdr>
          <w:top w:val="nil"/>
          <w:left w:val="nil"/>
          <w:bottom w:val="nil"/>
          <w:right w:val="nil"/>
          <w:between w:val="nil"/>
        </w:pBdr>
        <w:rPr>
          <w:color w:val="000000"/>
        </w:rPr>
      </w:pPr>
      <w:r>
        <w:rPr>
          <w:b/>
          <w:color w:val="000000"/>
        </w:rPr>
        <w:t>d) Net profitability ratio</w:t>
      </w:r>
    </w:p>
    <w:p w14:paraId="6B243061" w14:textId="77777777" w:rsidR="00BD7FBB" w:rsidRDefault="00000000">
      <w:pPr>
        <w:pBdr>
          <w:top w:val="nil"/>
          <w:left w:val="nil"/>
          <w:bottom w:val="nil"/>
          <w:right w:val="nil"/>
          <w:between w:val="nil"/>
        </w:pBdr>
        <w:rPr>
          <w:b/>
          <w:color w:val="000000"/>
        </w:rPr>
      </w:pPr>
      <w:r>
        <w:rPr>
          <w:color w:val="000000"/>
        </w:rPr>
        <w:t>Profitability ratio is the other name of the NP margin of the company. It is the part of the financial ratio. This is used in the evaluation of the % profit of the total revenue which has been produced by the company. The amount has been measured in the form of the net profit of an organization in the form of per euro of the gained revenue. (</w:t>
      </w:r>
      <w:r>
        <w:rPr>
          <w:color w:val="222222"/>
          <w:highlight w:val="white"/>
        </w:rPr>
        <w:t>Mulyadi, and Sinaga, 2020).</w:t>
      </w:r>
    </w:p>
    <w:p w14:paraId="6660F997"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13B32810" wp14:editId="5B149CB7">
            <wp:extent cx="5229225" cy="1198940"/>
            <wp:effectExtent l="25400" t="25400" r="25400" b="2540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229225" cy="1198940"/>
                    </a:xfrm>
                    <a:prstGeom prst="rect">
                      <a:avLst/>
                    </a:prstGeom>
                    <a:ln w="25400">
                      <a:solidFill>
                        <a:srgbClr val="000000"/>
                      </a:solidFill>
                      <a:prstDash val="solid"/>
                    </a:ln>
                  </pic:spPr>
                </pic:pic>
              </a:graphicData>
            </a:graphic>
          </wp:inline>
        </w:drawing>
      </w:r>
    </w:p>
    <w:p w14:paraId="3153F58A" w14:textId="77777777" w:rsidR="00BD7FBB" w:rsidRDefault="00000000">
      <w:pPr>
        <w:pBdr>
          <w:top w:val="nil"/>
          <w:left w:val="nil"/>
          <w:bottom w:val="nil"/>
          <w:right w:val="nil"/>
          <w:between w:val="nil"/>
        </w:pBdr>
        <w:jc w:val="center"/>
        <w:rPr>
          <w:b/>
          <w:color w:val="000000"/>
        </w:rPr>
      </w:pPr>
      <w:r>
        <w:rPr>
          <w:b/>
          <w:color w:val="000000"/>
        </w:rPr>
        <w:t xml:space="preserve">Figure: 6. Evaluation of the Net Profit Margin. </w:t>
      </w:r>
    </w:p>
    <w:p w14:paraId="7CFF873F" w14:textId="77777777" w:rsidR="00BD7FBB" w:rsidRDefault="00000000">
      <w:pPr>
        <w:pBdr>
          <w:top w:val="nil"/>
          <w:left w:val="nil"/>
          <w:bottom w:val="nil"/>
          <w:right w:val="nil"/>
          <w:between w:val="nil"/>
        </w:pBdr>
        <w:jc w:val="center"/>
        <w:rPr>
          <w:color w:val="000000"/>
        </w:rPr>
      </w:pPr>
      <w:r>
        <w:rPr>
          <w:color w:val="000000"/>
        </w:rPr>
        <w:lastRenderedPageBreak/>
        <w:t>(Source: Self-Developed, 2023).</w:t>
      </w:r>
    </w:p>
    <w:p w14:paraId="71F46D1A" w14:textId="77777777" w:rsidR="00BD7FBB" w:rsidRDefault="00000000">
      <w:pPr>
        <w:pBdr>
          <w:top w:val="nil"/>
          <w:left w:val="nil"/>
          <w:bottom w:val="nil"/>
          <w:right w:val="nil"/>
          <w:between w:val="nil"/>
        </w:pBdr>
        <w:rPr>
          <w:color w:val="000000"/>
        </w:rPr>
      </w:pPr>
      <w:r>
        <w:rPr>
          <w:color w:val="222222"/>
          <w:highlight w:val="white"/>
        </w:rPr>
        <w:t xml:space="preserve">The above figure is showing the Net Profit Margin based on the 2 years in 2021 the profit is 6.40% and in 2022 the profit is 5.68% it is seen that </w:t>
      </w:r>
      <w:proofErr w:type="gramStart"/>
      <w:r>
        <w:rPr>
          <w:color w:val="222222"/>
          <w:highlight w:val="white"/>
        </w:rPr>
        <w:t>Sweet</w:t>
      </w:r>
      <w:proofErr w:type="gramEnd"/>
      <w:r>
        <w:rPr>
          <w:color w:val="222222"/>
          <w:highlight w:val="white"/>
        </w:rPr>
        <w:t xml:space="preserve"> plc has less net profit margin in 2022.  </w:t>
      </w:r>
      <w:r>
        <w:rPr>
          <w:color w:val="000000"/>
        </w:rPr>
        <w:t xml:space="preserve">  </w:t>
      </w:r>
    </w:p>
    <w:p w14:paraId="490A69F8" w14:textId="77777777" w:rsidR="00BD7FBB" w:rsidRDefault="00000000">
      <w:pPr>
        <w:pBdr>
          <w:top w:val="nil"/>
          <w:left w:val="nil"/>
          <w:bottom w:val="nil"/>
          <w:right w:val="nil"/>
          <w:between w:val="nil"/>
        </w:pBdr>
        <w:rPr>
          <w:b/>
          <w:color w:val="000000"/>
        </w:rPr>
      </w:pPr>
      <w:r>
        <w:rPr>
          <w:b/>
          <w:color w:val="000000"/>
        </w:rPr>
        <w:t>e) Asset turnover</w:t>
      </w:r>
    </w:p>
    <w:p w14:paraId="2F901BBF" w14:textId="77777777" w:rsidR="00BD7FBB" w:rsidRDefault="00000000">
      <w:pPr>
        <w:pBdr>
          <w:top w:val="nil"/>
          <w:left w:val="nil"/>
          <w:bottom w:val="nil"/>
          <w:right w:val="nil"/>
          <w:between w:val="nil"/>
        </w:pBdr>
        <w:rPr>
          <w:b/>
          <w:color w:val="000000"/>
        </w:rPr>
      </w:pPr>
      <w:r>
        <w:rPr>
          <w:color w:val="000000"/>
        </w:rPr>
        <w:t xml:space="preserve">Total turnover ratio is the other </w:t>
      </w:r>
      <w:proofErr w:type="spellStart"/>
      <w:r>
        <w:rPr>
          <w:color w:val="000000"/>
        </w:rPr>
        <w:t>nam</w:t>
      </w:r>
      <w:proofErr w:type="spellEnd"/>
      <w:r>
        <w:rPr>
          <w:color w:val="000000"/>
        </w:rPr>
        <w:t xml:space="preserve"> of asset turnover. It helps in </w:t>
      </w:r>
      <w:proofErr w:type="spellStart"/>
      <w:proofErr w:type="gramStart"/>
      <w:r>
        <w:rPr>
          <w:color w:val="000000"/>
        </w:rPr>
        <w:t>evulating</w:t>
      </w:r>
      <w:proofErr w:type="spellEnd"/>
      <w:r>
        <w:rPr>
          <w:color w:val="000000"/>
        </w:rPr>
        <w:t xml:space="preserve">  the</w:t>
      </w:r>
      <w:proofErr w:type="gramEnd"/>
      <w:r>
        <w:rPr>
          <w:color w:val="000000"/>
        </w:rPr>
        <w:t xml:space="preserve"> efficiency of the organisation in which the organisation has been using the asset of the produce sales. It has been said that the increase in the rate of the asset turnover ratio signifies the efficiencies in the comparison with their competitor with a decreased ratio (</w:t>
      </w:r>
      <w:r>
        <w:rPr>
          <w:color w:val="222222"/>
          <w:highlight w:val="white"/>
        </w:rPr>
        <w:t xml:space="preserve">Corporate Finance Institute, 2023). </w:t>
      </w:r>
    </w:p>
    <w:p w14:paraId="46854142"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40CD0D72" wp14:editId="158996A6">
            <wp:extent cx="5138738" cy="1152525"/>
            <wp:effectExtent l="25400" t="25400" r="25400" b="254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138738" cy="1152525"/>
                    </a:xfrm>
                    <a:prstGeom prst="rect">
                      <a:avLst/>
                    </a:prstGeom>
                    <a:ln w="25400">
                      <a:solidFill>
                        <a:srgbClr val="000000"/>
                      </a:solidFill>
                      <a:prstDash val="solid"/>
                    </a:ln>
                  </pic:spPr>
                </pic:pic>
              </a:graphicData>
            </a:graphic>
          </wp:inline>
        </w:drawing>
      </w:r>
    </w:p>
    <w:p w14:paraId="012556C6" w14:textId="77777777" w:rsidR="00BD7FBB" w:rsidRDefault="00000000">
      <w:pPr>
        <w:pBdr>
          <w:top w:val="nil"/>
          <w:left w:val="nil"/>
          <w:bottom w:val="nil"/>
          <w:right w:val="nil"/>
          <w:between w:val="nil"/>
        </w:pBdr>
        <w:jc w:val="center"/>
        <w:rPr>
          <w:b/>
          <w:color w:val="000000"/>
        </w:rPr>
      </w:pPr>
      <w:r>
        <w:rPr>
          <w:b/>
          <w:color w:val="000000"/>
        </w:rPr>
        <w:t xml:space="preserve">Figure: 7. Evaluation of asset turnover. </w:t>
      </w:r>
    </w:p>
    <w:p w14:paraId="107E9C96" w14:textId="77777777" w:rsidR="00BD7FBB" w:rsidRDefault="00000000">
      <w:pPr>
        <w:pBdr>
          <w:top w:val="nil"/>
          <w:left w:val="nil"/>
          <w:bottom w:val="nil"/>
          <w:right w:val="nil"/>
          <w:between w:val="nil"/>
        </w:pBdr>
        <w:jc w:val="center"/>
        <w:rPr>
          <w:color w:val="000000"/>
        </w:rPr>
      </w:pPr>
      <w:r>
        <w:rPr>
          <w:color w:val="000000"/>
        </w:rPr>
        <w:t>(Source: Self-Developed, 2023).</w:t>
      </w:r>
    </w:p>
    <w:p w14:paraId="6449D1E0" w14:textId="77777777" w:rsidR="00BD7FBB" w:rsidRDefault="00000000">
      <w:pPr>
        <w:pBdr>
          <w:top w:val="nil"/>
          <w:left w:val="nil"/>
          <w:bottom w:val="nil"/>
          <w:right w:val="nil"/>
          <w:between w:val="nil"/>
        </w:pBdr>
        <w:rPr>
          <w:color w:val="000000"/>
        </w:rPr>
      </w:pPr>
      <w:r>
        <w:rPr>
          <w:color w:val="222222"/>
          <w:highlight w:val="white"/>
        </w:rPr>
        <w:t xml:space="preserve">The above figure was created for the evaluation of knowing the Asset Turnover Ratio of the Sweet plc Company. In 2021 the company gained 0.68 whereas in 2022 the gained 1.28.  </w:t>
      </w:r>
    </w:p>
    <w:p w14:paraId="7F056A3B" w14:textId="77777777" w:rsidR="00BD7FBB" w:rsidRDefault="00000000">
      <w:pPr>
        <w:pBdr>
          <w:top w:val="nil"/>
          <w:left w:val="nil"/>
          <w:bottom w:val="nil"/>
          <w:right w:val="nil"/>
          <w:between w:val="nil"/>
        </w:pBdr>
        <w:rPr>
          <w:b/>
          <w:color w:val="000000"/>
        </w:rPr>
      </w:pPr>
      <w:r>
        <w:rPr>
          <w:b/>
          <w:color w:val="000000"/>
        </w:rPr>
        <w:t>f) Stock holding days</w:t>
      </w:r>
    </w:p>
    <w:p w14:paraId="0DC95884" w14:textId="77777777" w:rsidR="00BD7FBB" w:rsidRDefault="00000000">
      <w:pPr>
        <w:pBdr>
          <w:top w:val="nil"/>
          <w:left w:val="nil"/>
          <w:bottom w:val="nil"/>
          <w:right w:val="nil"/>
          <w:between w:val="nil"/>
        </w:pBdr>
        <w:rPr>
          <w:color w:val="000000"/>
        </w:rPr>
      </w:pPr>
      <w:r>
        <w:rPr>
          <w:color w:val="000000"/>
        </w:rPr>
        <w:t xml:space="preserve">The evaluation of the stock holding days is done for </w:t>
      </w:r>
      <w:proofErr w:type="spellStart"/>
      <w:r>
        <w:rPr>
          <w:color w:val="000000"/>
        </w:rPr>
        <w:t>analyzing</w:t>
      </w:r>
      <w:proofErr w:type="spellEnd"/>
      <w:r>
        <w:rPr>
          <w:color w:val="000000"/>
        </w:rPr>
        <w:t xml:space="preserve"> how frequently the company will sell its inventories to get money. The stock holding days are known as the inventory holding period; it provides information on how long the company is going to sell its organization's goods. (</w:t>
      </w:r>
      <w:r>
        <w:rPr>
          <w:color w:val="222222"/>
          <w:highlight w:val="white"/>
        </w:rPr>
        <w:t>Indeed, 2023).</w:t>
      </w:r>
    </w:p>
    <w:p w14:paraId="005575D5"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5A6515AD" wp14:editId="72FD709A">
            <wp:extent cx="5943600" cy="990600"/>
            <wp:effectExtent l="25400" t="25400" r="25400" b="25400"/>
            <wp:docPr id="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6996107E" w14:textId="77777777" w:rsidR="00BD7FBB" w:rsidRDefault="00000000">
      <w:pPr>
        <w:pBdr>
          <w:top w:val="nil"/>
          <w:left w:val="nil"/>
          <w:bottom w:val="nil"/>
          <w:right w:val="nil"/>
          <w:between w:val="nil"/>
        </w:pBdr>
        <w:jc w:val="center"/>
        <w:rPr>
          <w:b/>
          <w:color w:val="000000"/>
        </w:rPr>
      </w:pPr>
      <w:r>
        <w:rPr>
          <w:b/>
          <w:color w:val="000000"/>
        </w:rPr>
        <w:t xml:space="preserve">Figure: 8. Evaluation of stock holding days of </w:t>
      </w:r>
      <w:proofErr w:type="gramStart"/>
      <w:r>
        <w:rPr>
          <w:b/>
          <w:color w:val="000000"/>
        </w:rPr>
        <w:t>Sweet</w:t>
      </w:r>
      <w:proofErr w:type="gramEnd"/>
      <w:r>
        <w:rPr>
          <w:b/>
          <w:color w:val="000000"/>
        </w:rPr>
        <w:t xml:space="preserve"> plc.</w:t>
      </w:r>
    </w:p>
    <w:p w14:paraId="3D03A0BF" w14:textId="77777777" w:rsidR="00BD7FBB" w:rsidRDefault="00000000">
      <w:pPr>
        <w:pBdr>
          <w:top w:val="nil"/>
          <w:left w:val="nil"/>
          <w:bottom w:val="nil"/>
          <w:right w:val="nil"/>
          <w:between w:val="nil"/>
        </w:pBdr>
        <w:jc w:val="center"/>
        <w:rPr>
          <w:color w:val="000000"/>
        </w:rPr>
      </w:pPr>
      <w:r>
        <w:rPr>
          <w:color w:val="000000"/>
        </w:rPr>
        <w:t>(Source: Self-Developed, 2023).</w:t>
      </w:r>
    </w:p>
    <w:p w14:paraId="4F3A819F" w14:textId="77777777" w:rsidR="00BD7FBB" w:rsidRDefault="00000000">
      <w:pPr>
        <w:pBdr>
          <w:top w:val="nil"/>
          <w:left w:val="nil"/>
          <w:bottom w:val="nil"/>
          <w:right w:val="nil"/>
          <w:between w:val="nil"/>
        </w:pBdr>
        <w:rPr>
          <w:color w:val="000000"/>
        </w:rPr>
      </w:pPr>
      <w:r>
        <w:rPr>
          <w:color w:val="000000"/>
        </w:rPr>
        <w:t xml:space="preserve">In the above figure, the evaluation of the stock holding days has been done by the </w:t>
      </w:r>
      <w:proofErr w:type="gramStart"/>
      <w:r>
        <w:rPr>
          <w:color w:val="000000"/>
        </w:rPr>
        <w:t>Sweet</w:t>
      </w:r>
      <w:proofErr w:type="gramEnd"/>
      <w:r>
        <w:rPr>
          <w:color w:val="000000"/>
        </w:rPr>
        <w:t xml:space="preserve"> plc company. In 2021 it has 79.88 days and in 2022 the company has 77.69 days.  </w:t>
      </w:r>
    </w:p>
    <w:p w14:paraId="128BA07C" w14:textId="77777777" w:rsidR="00BD7FBB" w:rsidRDefault="00000000">
      <w:pPr>
        <w:pBdr>
          <w:top w:val="nil"/>
          <w:left w:val="nil"/>
          <w:bottom w:val="nil"/>
          <w:right w:val="nil"/>
          <w:between w:val="nil"/>
        </w:pBdr>
        <w:rPr>
          <w:b/>
          <w:color w:val="000000"/>
        </w:rPr>
      </w:pPr>
      <w:r>
        <w:rPr>
          <w:b/>
          <w:color w:val="000000"/>
        </w:rPr>
        <w:t xml:space="preserve">g) </w:t>
      </w:r>
      <w:proofErr w:type="gramStart"/>
      <w:r>
        <w:rPr>
          <w:b/>
          <w:color w:val="000000"/>
        </w:rPr>
        <w:t>Debtors</w:t>
      </w:r>
      <w:proofErr w:type="gramEnd"/>
      <w:r>
        <w:rPr>
          <w:b/>
          <w:color w:val="000000"/>
        </w:rPr>
        <w:t xml:space="preserve"> collection period</w:t>
      </w:r>
    </w:p>
    <w:p w14:paraId="119861DB" w14:textId="77777777" w:rsidR="00BD7FBB" w:rsidRDefault="00000000">
      <w:pPr>
        <w:pBdr>
          <w:top w:val="nil"/>
          <w:left w:val="nil"/>
          <w:bottom w:val="nil"/>
          <w:right w:val="nil"/>
          <w:between w:val="nil"/>
        </w:pBdr>
        <w:rPr>
          <w:color w:val="222222"/>
          <w:highlight w:val="white"/>
        </w:rPr>
      </w:pPr>
      <w:r>
        <w:rPr>
          <w:color w:val="000000"/>
        </w:rPr>
        <w:lastRenderedPageBreak/>
        <w:t>The debtor's collection period means to be the average of the numeric value of the day which requires the collection of receivables from the customers. It helps to measure the interval to issues in making the invoice in the form of a receipt for the customer's cash. Here the average period is calculated by the divisor of the owed amount by the debtor's trade / the annual sales on credit and then multiplying it by three hundred sixty-five days. (</w:t>
      </w:r>
      <w:r>
        <w:rPr>
          <w:color w:val="222222"/>
          <w:highlight w:val="white"/>
        </w:rPr>
        <w:t xml:space="preserve">Oxford Reference, 2023). </w:t>
      </w:r>
    </w:p>
    <w:p w14:paraId="1DEED9DD" w14:textId="77777777" w:rsidR="00BD7FBB" w:rsidRDefault="00000000">
      <w:pPr>
        <w:pBdr>
          <w:top w:val="nil"/>
          <w:left w:val="nil"/>
          <w:bottom w:val="nil"/>
          <w:right w:val="nil"/>
          <w:between w:val="nil"/>
        </w:pBdr>
        <w:rPr>
          <w:color w:val="000000"/>
        </w:rPr>
      </w:pPr>
      <w:r>
        <w:rPr>
          <w:noProof/>
          <w:color w:val="000000"/>
        </w:rPr>
        <w:drawing>
          <wp:inline distT="114300" distB="114300" distL="114300" distR="114300" wp14:anchorId="7FD5AD37" wp14:editId="43631F20">
            <wp:extent cx="5943600" cy="990600"/>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6F28BBD0" w14:textId="77777777" w:rsidR="00BD7FBB" w:rsidRDefault="00000000">
      <w:pPr>
        <w:pBdr>
          <w:top w:val="nil"/>
          <w:left w:val="nil"/>
          <w:bottom w:val="nil"/>
          <w:right w:val="nil"/>
          <w:between w:val="nil"/>
        </w:pBdr>
        <w:jc w:val="center"/>
        <w:rPr>
          <w:b/>
          <w:color w:val="000000"/>
        </w:rPr>
      </w:pPr>
      <w:r>
        <w:rPr>
          <w:b/>
          <w:color w:val="000000"/>
        </w:rPr>
        <w:t xml:space="preserve">Figure: 9. Evaluation of Debtors collection period of </w:t>
      </w:r>
      <w:proofErr w:type="gramStart"/>
      <w:r>
        <w:rPr>
          <w:b/>
          <w:color w:val="000000"/>
        </w:rPr>
        <w:t>Sweet</w:t>
      </w:r>
      <w:proofErr w:type="gramEnd"/>
      <w:r>
        <w:rPr>
          <w:b/>
          <w:color w:val="000000"/>
        </w:rPr>
        <w:t xml:space="preserve"> plc.</w:t>
      </w:r>
    </w:p>
    <w:p w14:paraId="08BA142D" w14:textId="77777777" w:rsidR="00BD7FBB" w:rsidRDefault="00000000">
      <w:pPr>
        <w:pBdr>
          <w:top w:val="nil"/>
          <w:left w:val="nil"/>
          <w:bottom w:val="nil"/>
          <w:right w:val="nil"/>
          <w:between w:val="nil"/>
        </w:pBdr>
        <w:jc w:val="center"/>
        <w:rPr>
          <w:color w:val="000000"/>
        </w:rPr>
      </w:pPr>
      <w:r>
        <w:rPr>
          <w:color w:val="000000"/>
        </w:rPr>
        <w:t>(Source: Self-Developed, 2023).</w:t>
      </w:r>
    </w:p>
    <w:p w14:paraId="65A4AE54" w14:textId="77777777" w:rsidR="00BD7FBB" w:rsidRDefault="00000000">
      <w:pPr>
        <w:pBdr>
          <w:top w:val="nil"/>
          <w:left w:val="nil"/>
          <w:bottom w:val="nil"/>
          <w:right w:val="nil"/>
          <w:between w:val="nil"/>
        </w:pBdr>
        <w:rPr>
          <w:color w:val="000000"/>
        </w:rPr>
      </w:pPr>
      <w:r>
        <w:rPr>
          <w:color w:val="000000"/>
        </w:rPr>
        <w:t xml:space="preserve">In the above figure, the evaluation of debtors' collection periods has been done. the collection period for 2021 is 67.66 days and the collection period for 2022 is 72.93 days  </w:t>
      </w:r>
    </w:p>
    <w:p w14:paraId="79C0BE41" w14:textId="77777777" w:rsidR="00BD7FBB" w:rsidRDefault="00000000">
      <w:pPr>
        <w:pBdr>
          <w:top w:val="nil"/>
          <w:left w:val="nil"/>
          <w:bottom w:val="nil"/>
          <w:right w:val="nil"/>
          <w:between w:val="nil"/>
        </w:pBdr>
        <w:rPr>
          <w:b/>
          <w:color w:val="000000"/>
        </w:rPr>
      </w:pPr>
      <w:r>
        <w:rPr>
          <w:b/>
          <w:color w:val="000000"/>
        </w:rPr>
        <w:t xml:space="preserve">h) Current ratio </w:t>
      </w:r>
    </w:p>
    <w:p w14:paraId="724FB979" w14:textId="77777777" w:rsidR="00BD7FBB" w:rsidRDefault="00000000">
      <w:pPr>
        <w:pBdr>
          <w:top w:val="nil"/>
          <w:left w:val="nil"/>
          <w:bottom w:val="nil"/>
          <w:right w:val="nil"/>
          <w:between w:val="nil"/>
        </w:pBdr>
        <w:rPr>
          <w:color w:val="222222"/>
          <w:highlight w:val="white"/>
        </w:rPr>
      </w:pPr>
      <w:r>
        <w:rPr>
          <w:color w:val="000000"/>
        </w:rPr>
        <w:t>The current ratio is used by the accountant. It helps the professional to understand the condition of the organisation at a provided moment. This ratio is elevated by comparing the organization's current liabilities and current assets. working capital ratio is the other name of the CR of the company. (</w:t>
      </w:r>
      <w:r>
        <w:rPr>
          <w:color w:val="222222"/>
          <w:highlight w:val="white"/>
        </w:rPr>
        <w:t>Mulyadi, and Sinaga, 2020).</w:t>
      </w:r>
    </w:p>
    <w:p w14:paraId="778B4C84" w14:textId="77777777" w:rsidR="00BD7FBB" w:rsidRDefault="00000000">
      <w:pPr>
        <w:pBdr>
          <w:top w:val="nil"/>
          <w:left w:val="nil"/>
          <w:bottom w:val="nil"/>
          <w:right w:val="nil"/>
          <w:between w:val="nil"/>
        </w:pBdr>
        <w:rPr>
          <w:color w:val="000000"/>
        </w:rPr>
      </w:pPr>
      <w:r>
        <w:rPr>
          <w:noProof/>
          <w:color w:val="000000"/>
        </w:rPr>
        <w:drawing>
          <wp:inline distT="114300" distB="114300" distL="114300" distR="114300" wp14:anchorId="4CADEA1D" wp14:editId="46FB2C0F">
            <wp:extent cx="5943600" cy="1003300"/>
            <wp:effectExtent l="25400" t="25400" r="25400" b="25400"/>
            <wp:docPr id="2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1003300"/>
                    </a:xfrm>
                    <a:prstGeom prst="rect">
                      <a:avLst/>
                    </a:prstGeom>
                    <a:ln w="25400">
                      <a:solidFill>
                        <a:srgbClr val="000000"/>
                      </a:solidFill>
                      <a:prstDash val="solid"/>
                    </a:ln>
                  </pic:spPr>
                </pic:pic>
              </a:graphicData>
            </a:graphic>
          </wp:inline>
        </w:drawing>
      </w:r>
    </w:p>
    <w:p w14:paraId="36036402" w14:textId="77777777" w:rsidR="00BD7FBB" w:rsidRDefault="00000000">
      <w:pPr>
        <w:pBdr>
          <w:top w:val="nil"/>
          <w:left w:val="nil"/>
          <w:bottom w:val="nil"/>
          <w:right w:val="nil"/>
          <w:between w:val="nil"/>
        </w:pBdr>
        <w:jc w:val="center"/>
        <w:rPr>
          <w:b/>
          <w:color w:val="000000"/>
        </w:rPr>
      </w:pPr>
      <w:r>
        <w:rPr>
          <w:b/>
          <w:color w:val="000000"/>
        </w:rPr>
        <w:t>Figure: 10. Evaluation of the Current Ratio of Sweet Plc.</w:t>
      </w:r>
    </w:p>
    <w:p w14:paraId="3B20648A" w14:textId="77777777" w:rsidR="00BD7FBB" w:rsidRDefault="00000000">
      <w:pPr>
        <w:pBdr>
          <w:top w:val="nil"/>
          <w:left w:val="nil"/>
          <w:bottom w:val="nil"/>
          <w:right w:val="nil"/>
          <w:between w:val="nil"/>
        </w:pBdr>
        <w:jc w:val="center"/>
        <w:rPr>
          <w:color w:val="000000"/>
        </w:rPr>
      </w:pPr>
      <w:r>
        <w:rPr>
          <w:color w:val="000000"/>
        </w:rPr>
        <w:t>(Source: Self-Developed, 2023).</w:t>
      </w:r>
    </w:p>
    <w:p w14:paraId="64BDC45E" w14:textId="77777777" w:rsidR="00BD7FBB" w:rsidRDefault="00000000">
      <w:pPr>
        <w:pBdr>
          <w:top w:val="nil"/>
          <w:left w:val="nil"/>
          <w:bottom w:val="nil"/>
          <w:right w:val="nil"/>
          <w:between w:val="nil"/>
        </w:pBdr>
        <w:rPr>
          <w:color w:val="000000"/>
        </w:rPr>
      </w:pPr>
      <w:r>
        <w:rPr>
          <w:color w:val="000000"/>
        </w:rPr>
        <w:t xml:space="preserve">In the above figure, the evaluation of the current ratio has been done for </w:t>
      </w:r>
      <w:proofErr w:type="gramStart"/>
      <w:r>
        <w:rPr>
          <w:color w:val="000000"/>
        </w:rPr>
        <w:t>Sweet</w:t>
      </w:r>
      <w:proofErr w:type="gramEnd"/>
      <w:r>
        <w:rPr>
          <w:color w:val="000000"/>
        </w:rPr>
        <w:t xml:space="preserve"> plc the current ratio of 2021 is 0.92, and in 2022 the ratio is 0.77. Here it is seen that the company has less liquidity in the company. </w:t>
      </w:r>
    </w:p>
    <w:p w14:paraId="5F2339DD" w14:textId="77777777" w:rsidR="00BD7FBB" w:rsidRDefault="00000000">
      <w:pPr>
        <w:pBdr>
          <w:top w:val="nil"/>
          <w:left w:val="nil"/>
          <w:bottom w:val="nil"/>
          <w:right w:val="nil"/>
          <w:between w:val="nil"/>
        </w:pBdr>
        <w:rPr>
          <w:b/>
          <w:color w:val="000000"/>
        </w:rPr>
      </w:pPr>
      <w:proofErr w:type="spellStart"/>
      <w:r>
        <w:rPr>
          <w:b/>
          <w:color w:val="000000"/>
        </w:rPr>
        <w:t>i</w:t>
      </w:r>
      <w:proofErr w:type="spellEnd"/>
      <w:r>
        <w:rPr>
          <w:b/>
          <w:color w:val="000000"/>
        </w:rPr>
        <w:t>) Gearing ratio</w:t>
      </w:r>
    </w:p>
    <w:p w14:paraId="656FCCD1" w14:textId="77777777" w:rsidR="00BD7FBB" w:rsidRDefault="00000000">
      <w:pPr>
        <w:pBdr>
          <w:top w:val="nil"/>
          <w:left w:val="nil"/>
          <w:bottom w:val="nil"/>
          <w:right w:val="nil"/>
          <w:between w:val="nil"/>
        </w:pBdr>
        <w:rPr>
          <w:color w:val="000000"/>
        </w:rPr>
      </w:pPr>
      <w:r>
        <w:rPr>
          <w:color w:val="000000"/>
        </w:rPr>
        <w:t xml:space="preserve">this ratio compares little from the equity of the owners to debt or a company that is borrowing the fund. It helps in measuring the financial entities of the leverage which degrees demonstrate to the cavities of the firm which are being funded by the shareholders (Bragg, 2023). </w:t>
      </w:r>
    </w:p>
    <w:p w14:paraId="0D115F98" w14:textId="77777777" w:rsidR="00BD7FBB" w:rsidRDefault="00000000">
      <w:pPr>
        <w:pBdr>
          <w:top w:val="nil"/>
          <w:left w:val="nil"/>
          <w:bottom w:val="nil"/>
          <w:right w:val="nil"/>
          <w:between w:val="nil"/>
        </w:pBdr>
        <w:rPr>
          <w:color w:val="000000"/>
        </w:rPr>
      </w:pPr>
      <w:r>
        <w:rPr>
          <w:noProof/>
          <w:color w:val="000000"/>
        </w:rPr>
        <w:lastRenderedPageBreak/>
        <w:drawing>
          <wp:inline distT="114300" distB="114300" distL="114300" distR="114300" wp14:anchorId="2CD606E7" wp14:editId="29D3A263">
            <wp:extent cx="5943600" cy="1003300"/>
            <wp:effectExtent l="25400" t="25400" r="25400" b="2540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1003300"/>
                    </a:xfrm>
                    <a:prstGeom prst="rect">
                      <a:avLst/>
                    </a:prstGeom>
                    <a:ln w="25400">
                      <a:solidFill>
                        <a:srgbClr val="000000"/>
                      </a:solidFill>
                      <a:prstDash val="solid"/>
                    </a:ln>
                  </pic:spPr>
                </pic:pic>
              </a:graphicData>
            </a:graphic>
          </wp:inline>
        </w:drawing>
      </w:r>
    </w:p>
    <w:p w14:paraId="6E8D12BF" w14:textId="77777777" w:rsidR="00BD7FBB" w:rsidRDefault="00000000">
      <w:pPr>
        <w:pBdr>
          <w:top w:val="nil"/>
          <w:left w:val="nil"/>
          <w:bottom w:val="nil"/>
          <w:right w:val="nil"/>
          <w:between w:val="nil"/>
        </w:pBdr>
        <w:jc w:val="center"/>
        <w:rPr>
          <w:b/>
          <w:color w:val="000000"/>
        </w:rPr>
      </w:pPr>
      <w:r>
        <w:rPr>
          <w:b/>
          <w:color w:val="000000"/>
        </w:rPr>
        <w:t xml:space="preserve">Figure: 11. Evaluation of gearing ratio of </w:t>
      </w:r>
      <w:proofErr w:type="gramStart"/>
      <w:r>
        <w:rPr>
          <w:b/>
          <w:color w:val="000000"/>
        </w:rPr>
        <w:t>Sweet</w:t>
      </w:r>
      <w:proofErr w:type="gramEnd"/>
      <w:r>
        <w:rPr>
          <w:b/>
          <w:color w:val="000000"/>
        </w:rPr>
        <w:t xml:space="preserve"> plc.</w:t>
      </w:r>
    </w:p>
    <w:p w14:paraId="351522FF" w14:textId="77777777" w:rsidR="00BD7FBB" w:rsidRDefault="00000000">
      <w:pPr>
        <w:pBdr>
          <w:top w:val="nil"/>
          <w:left w:val="nil"/>
          <w:bottom w:val="nil"/>
          <w:right w:val="nil"/>
          <w:between w:val="nil"/>
        </w:pBdr>
        <w:jc w:val="center"/>
        <w:rPr>
          <w:color w:val="000000"/>
        </w:rPr>
      </w:pPr>
      <w:r>
        <w:rPr>
          <w:color w:val="000000"/>
        </w:rPr>
        <w:t>(Source: Self-Developed, 2023).</w:t>
      </w:r>
    </w:p>
    <w:p w14:paraId="06EC62FD" w14:textId="77777777" w:rsidR="00BD7FBB" w:rsidRDefault="00000000">
      <w:pPr>
        <w:pBdr>
          <w:top w:val="nil"/>
          <w:left w:val="nil"/>
          <w:bottom w:val="nil"/>
          <w:right w:val="nil"/>
          <w:between w:val="nil"/>
        </w:pBdr>
        <w:rPr>
          <w:color w:val="000000"/>
        </w:rPr>
      </w:pPr>
      <w:r>
        <w:rPr>
          <w:color w:val="000000"/>
        </w:rPr>
        <w:t xml:space="preserve">In the above diagram, the evaluation of the gearing ratio has been made in this evaluation the data is been taken from </w:t>
      </w:r>
      <w:proofErr w:type="gramStart"/>
      <w:r>
        <w:rPr>
          <w:color w:val="000000"/>
        </w:rPr>
        <w:t>Sweet</w:t>
      </w:r>
      <w:proofErr w:type="gramEnd"/>
      <w:r>
        <w:rPr>
          <w:color w:val="000000"/>
        </w:rPr>
        <w:t xml:space="preserve"> plc in which the 2 years are been evaluated the first year is 2021 its value is 1.42, and the ratio for 2022 I also 1.42 here it is seen that the ratio does not change so much in the years. </w:t>
      </w:r>
    </w:p>
    <w:p w14:paraId="359E28ED" w14:textId="77777777" w:rsidR="00BD7FBB" w:rsidRDefault="00000000">
      <w:pPr>
        <w:pBdr>
          <w:top w:val="nil"/>
          <w:left w:val="nil"/>
          <w:bottom w:val="nil"/>
          <w:right w:val="nil"/>
          <w:between w:val="nil"/>
        </w:pBdr>
        <w:rPr>
          <w:b/>
          <w:color w:val="000000"/>
        </w:rPr>
      </w:pPr>
      <w:r>
        <w:rPr>
          <w:b/>
          <w:color w:val="000000"/>
        </w:rPr>
        <w:t xml:space="preserve">j) Interest cover </w:t>
      </w:r>
    </w:p>
    <w:p w14:paraId="0F94DB9A" w14:textId="77777777" w:rsidR="00BD7FBB" w:rsidRDefault="00000000">
      <w:pPr>
        <w:pBdr>
          <w:top w:val="nil"/>
          <w:left w:val="nil"/>
          <w:bottom w:val="nil"/>
          <w:right w:val="nil"/>
          <w:between w:val="nil"/>
        </w:pBdr>
        <w:rPr>
          <w:color w:val="000000"/>
        </w:rPr>
      </w:pPr>
      <w:r>
        <w:rPr>
          <w:color w:val="000000"/>
        </w:rPr>
        <w:t>The interest cover ratio another name is the ICR this ratio also falls in the financial ratio which determines how an organization can pay the interest on the debt which is outstanding. The ICR is mostly used by investors, lenders, and creditors to know their riskiness for lending capital in an organization (</w:t>
      </w:r>
      <w:r>
        <w:rPr>
          <w:color w:val="222222"/>
          <w:highlight w:val="white"/>
        </w:rPr>
        <w:t>Corporate Finance Institute, 2023).</w:t>
      </w:r>
    </w:p>
    <w:p w14:paraId="5CB94BB4" w14:textId="77777777" w:rsidR="00BD7FBB"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37097AF8" wp14:editId="01BF4F1E">
            <wp:extent cx="5943600" cy="977900"/>
            <wp:effectExtent l="25400" t="25400" r="25400" b="25400"/>
            <wp:docPr id="2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4B9A3166" w14:textId="77777777" w:rsidR="00BD7FBB" w:rsidRDefault="00000000">
      <w:pPr>
        <w:pBdr>
          <w:top w:val="nil"/>
          <w:left w:val="nil"/>
          <w:bottom w:val="nil"/>
          <w:right w:val="nil"/>
          <w:between w:val="nil"/>
        </w:pBdr>
        <w:jc w:val="center"/>
        <w:rPr>
          <w:b/>
          <w:color w:val="000000"/>
        </w:rPr>
      </w:pPr>
      <w:r>
        <w:rPr>
          <w:b/>
          <w:color w:val="000000"/>
        </w:rPr>
        <w:t xml:space="preserve">Figure: 12. Evaluation of interest cover of </w:t>
      </w:r>
      <w:proofErr w:type="gramStart"/>
      <w:r>
        <w:rPr>
          <w:b/>
          <w:color w:val="000000"/>
        </w:rPr>
        <w:t>Sweet</w:t>
      </w:r>
      <w:proofErr w:type="gramEnd"/>
      <w:r>
        <w:rPr>
          <w:b/>
          <w:color w:val="000000"/>
        </w:rPr>
        <w:t xml:space="preserve"> plc.</w:t>
      </w:r>
    </w:p>
    <w:p w14:paraId="7565FD4E" w14:textId="77777777" w:rsidR="00BD7FBB" w:rsidRDefault="00000000">
      <w:pPr>
        <w:pBdr>
          <w:top w:val="nil"/>
          <w:left w:val="nil"/>
          <w:bottom w:val="nil"/>
          <w:right w:val="nil"/>
          <w:between w:val="nil"/>
        </w:pBdr>
        <w:jc w:val="center"/>
        <w:rPr>
          <w:color w:val="000000"/>
        </w:rPr>
      </w:pPr>
      <w:r>
        <w:rPr>
          <w:color w:val="000000"/>
        </w:rPr>
        <w:t>(Source: Self-Developed, 2023).</w:t>
      </w:r>
    </w:p>
    <w:p w14:paraId="64B37EB6" w14:textId="77777777" w:rsidR="00BD7FBB" w:rsidRDefault="00000000">
      <w:pPr>
        <w:pBdr>
          <w:top w:val="nil"/>
          <w:left w:val="nil"/>
          <w:bottom w:val="nil"/>
          <w:right w:val="nil"/>
          <w:between w:val="nil"/>
        </w:pBdr>
        <w:rPr>
          <w:color w:val="000000"/>
        </w:rPr>
      </w:pPr>
      <w:r>
        <w:rPr>
          <w:color w:val="000000"/>
        </w:rPr>
        <w:t xml:space="preserve">In the above figure, the evaluation of the interest cover ratio has been done with the given data of the </w:t>
      </w:r>
      <w:proofErr w:type="gramStart"/>
      <w:r>
        <w:rPr>
          <w:color w:val="000000"/>
        </w:rPr>
        <w:t>Sweet</w:t>
      </w:r>
      <w:proofErr w:type="gramEnd"/>
      <w:r>
        <w:rPr>
          <w:color w:val="000000"/>
        </w:rPr>
        <w:t xml:space="preserve"> plc company here it is seen that the company has calculated the 2 years of ICR in 2021 the rate is 3.56, and in 2022 the rate is 3.86 it has been seen that the rate of the ratio is ben increase in the coming year.  </w:t>
      </w:r>
    </w:p>
    <w:p w14:paraId="5511032D" w14:textId="77777777" w:rsidR="00BD7FBB" w:rsidRDefault="00000000">
      <w:pPr>
        <w:pBdr>
          <w:top w:val="nil"/>
          <w:left w:val="nil"/>
          <w:bottom w:val="nil"/>
          <w:right w:val="nil"/>
          <w:between w:val="nil"/>
        </w:pBdr>
        <w:rPr>
          <w:b/>
          <w:color w:val="000000"/>
        </w:rPr>
      </w:pPr>
      <w:r>
        <w:rPr>
          <w:b/>
          <w:color w:val="000000"/>
        </w:rPr>
        <w:t>Part Two</w:t>
      </w:r>
    </w:p>
    <w:p w14:paraId="08B3C73E" w14:textId="77777777" w:rsidR="00BD7FBB" w:rsidRDefault="00000000">
      <w:pPr>
        <w:pBdr>
          <w:top w:val="nil"/>
          <w:left w:val="nil"/>
          <w:bottom w:val="nil"/>
          <w:right w:val="nil"/>
          <w:between w:val="nil"/>
        </w:pBdr>
        <w:rPr>
          <w:b/>
          <w:color w:val="000000"/>
        </w:rPr>
      </w:pPr>
      <w:r>
        <w:rPr>
          <w:color w:val="000000"/>
        </w:rPr>
        <w:t xml:space="preserve">The financial performance of the </w:t>
      </w:r>
      <w:proofErr w:type="gramStart"/>
      <w:r>
        <w:rPr>
          <w:color w:val="000000"/>
        </w:rPr>
        <w:t>Sweet</w:t>
      </w:r>
      <w:proofErr w:type="gramEnd"/>
      <w:r>
        <w:rPr>
          <w:color w:val="000000"/>
        </w:rPr>
        <w:t xml:space="preserve"> plc company has been </w:t>
      </w:r>
      <w:proofErr w:type="spellStart"/>
      <w:r>
        <w:rPr>
          <w:color w:val="000000"/>
        </w:rPr>
        <w:t>analyzed</w:t>
      </w:r>
      <w:proofErr w:type="spellEnd"/>
      <w:r>
        <w:rPr>
          <w:color w:val="000000"/>
        </w:rPr>
        <w:t xml:space="preserve"> based on the ratio analysis. All the analysis is being made based on 2021 and 2022. In the Return on the capital employed ratio the performance of the company has decreased which means the company has not used its capital efficiently and is getting a higher return on its investments. In the ROE ratio, it has been seen that the company's performance in 2022 the performance of the company has decreased which means </w:t>
      </w:r>
      <w:r>
        <w:rPr>
          <w:color w:val="000000"/>
        </w:rPr>
        <w:lastRenderedPageBreak/>
        <w:t xml:space="preserve">the company is less in creating the profit. In EPS the company's performance has been </w:t>
      </w:r>
      <w:proofErr w:type="spellStart"/>
      <w:r>
        <w:rPr>
          <w:color w:val="000000"/>
        </w:rPr>
        <w:t>analyzed</w:t>
      </w:r>
      <w:proofErr w:type="spellEnd"/>
      <w:r>
        <w:rPr>
          <w:color w:val="000000"/>
        </w:rPr>
        <w:t xml:space="preserve"> and in the year 2022, the rate has increased which means the company will get more investment from the shareholders. The net profitability of </w:t>
      </w:r>
      <w:proofErr w:type="gramStart"/>
      <w:r>
        <w:rPr>
          <w:color w:val="000000"/>
        </w:rPr>
        <w:t>Sweet</w:t>
      </w:r>
      <w:proofErr w:type="gramEnd"/>
      <w:r>
        <w:rPr>
          <w:color w:val="000000"/>
        </w:rPr>
        <w:t xml:space="preserve"> plc Limited has less in 2022 which means the company’s total gross profit of the company is going down in the income statement. The asset turnover ratio of the company will be increasing in 2022 which means the company is performing nicely. The company stock holding days in the next few years will take less time to reals there because releasing time of the stock will decrease in the next year. The debtor's collection period of the company will be increased in 2022 which means the collection efforts of the coming are reducing. The current ratio of the company is very less in both years because the company liquidations are less. The gearing ratio for both years of the company is the same. The interest cover for the company is increasing in the coming year which means the company is poised to pay their debts.     </w:t>
      </w:r>
    </w:p>
    <w:p w14:paraId="73EF4C98" w14:textId="77777777" w:rsidR="00BD7FBB" w:rsidRDefault="00000000">
      <w:pPr>
        <w:pStyle w:val="Heading1"/>
      </w:pPr>
      <w:bookmarkStart w:id="5" w:name="_heading=h.tyjcwt" w:colFirst="0" w:colLast="0"/>
      <w:bookmarkEnd w:id="5"/>
      <w:r>
        <w:t xml:space="preserve">Conclusion </w:t>
      </w:r>
    </w:p>
    <w:p w14:paraId="3E5A5077" w14:textId="77777777" w:rsidR="00BD7FBB" w:rsidRDefault="00000000">
      <w:pPr>
        <w:pBdr>
          <w:top w:val="nil"/>
          <w:left w:val="nil"/>
          <w:bottom w:val="nil"/>
          <w:right w:val="nil"/>
          <w:between w:val="nil"/>
        </w:pBdr>
        <w:rPr>
          <w:color w:val="000000"/>
        </w:rPr>
      </w:pPr>
      <w:r>
        <w:rPr>
          <w:color w:val="000000"/>
        </w:rPr>
        <w:t xml:space="preserve">This assignment contains the analysis of two companies in question 1 the preparation of the income statement and balance sheet are being made which is based on the Wales plc company I have been made and why the balance is important in the statement of financial position it has also been mentioned over here. In question 2 the evaluation of the ratio of </w:t>
      </w:r>
      <w:proofErr w:type="gramStart"/>
      <w:r>
        <w:rPr>
          <w:color w:val="000000"/>
        </w:rPr>
        <w:t>Sweet</w:t>
      </w:r>
      <w:proofErr w:type="gramEnd"/>
      <w:r>
        <w:rPr>
          <w:color w:val="000000"/>
        </w:rPr>
        <w:t xml:space="preserve"> plc company has been mentioned and the analysing of the company has been done based on the ratio analysis. </w:t>
      </w:r>
    </w:p>
    <w:p w14:paraId="29CDB8C7" w14:textId="77777777" w:rsidR="00BD7FBB" w:rsidRDefault="00000000">
      <w:pPr>
        <w:pBdr>
          <w:top w:val="nil"/>
          <w:left w:val="nil"/>
          <w:bottom w:val="nil"/>
          <w:right w:val="nil"/>
          <w:between w:val="nil"/>
        </w:pBdr>
        <w:rPr>
          <w:b/>
          <w:color w:val="000000"/>
        </w:rPr>
      </w:pPr>
      <w:r>
        <w:br w:type="page"/>
      </w:r>
    </w:p>
    <w:p w14:paraId="54367213" w14:textId="77777777" w:rsidR="00BD7FBB" w:rsidRDefault="00000000">
      <w:pPr>
        <w:pStyle w:val="Heading1"/>
      </w:pPr>
      <w:bookmarkStart w:id="6" w:name="_heading=h.3dy6vkm" w:colFirst="0" w:colLast="0"/>
      <w:bookmarkEnd w:id="6"/>
      <w:r>
        <w:lastRenderedPageBreak/>
        <w:t>References</w:t>
      </w:r>
    </w:p>
    <w:p w14:paraId="47C31D31" w14:textId="77777777" w:rsidR="00BD7FBB" w:rsidRDefault="00000000">
      <w:pPr>
        <w:pBdr>
          <w:top w:val="nil"/>
          <w:left w:val="nil"/>
          <w:bottom w:val="nil"/>
          <w:right w:val="nil"/>
          <w:between w:val="nil"/>
        </w:pBdr>
        <w:spacing w:before="240" w:after="240"/>
        <w:rPr>
          <w:color w:val="000000"/>
        </w:rPr>
      </w:pPr>
      <w:r>
        <w:rPr>
          <w:color w:val="000000"/>
        </w:rPr>
        <w:t xml:space="preserve">BDC. (2023) </w:t>
      </w:r>
      <w:r>
        <w:rPr>
          <w:i/>
          <w:color w:val="000000"/>
        </w:rPr>
        <w:t>What is an income statement</w:t>
      </w:r>
      <w:r>
        <w:rPr>
          <w:color w:val="000000"/>
        </w:rPr>
        <w:t xml:space="preserve">, </w:t>
      </w:r>
      <w:r>
        <w:rPr>
          <w:i/>
          <w:color w:val="000000"/>
        </w:rPr>
        <w:t>BDC.ca</w:t>
      </w:r>
      <w:r>
        <w:rPr>
          <w:color w:val="000000"/>
        </w:rPr>
        <w:t xml:space="preserve">. Available at: https://www.bdc.ca/en/articles-tools/entrepreneur-toolkit/templates-business-guides/glossary/income-statement (Accessed: 11 July 2023). </w:t>
      </w:r>
    </w:p>
    <w:p w14:paraId="2343B5EC"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Bragg, S. (2023) </w:t>
      </w:r>
      <w:r>
        <w:rPr>
          <w:i/>
          <w:color w:val="222222"/>
          <w:highlight w:val="white"/>
        </w:rPr>
        <w:t>Gearing ratio definition</w:t>
      </w:r>
      <w:r>
        <w:rPr>
          <w:color w:val="222222"/>
          <w:highlight w:val="white"/>
        </w:rPr>
        <w:t xml:space="preserve">, </w:t>
      </w:r>
      <w:proofErr w:type="spellStart"/>
      <w:r>
        <w:rPr>
          <w:i/>
          <w:color w:val="222222"/>
          <w:highlight w:val="white"/>
        </w:rPr>
        <w:t>AccountingTools</w:t>
      </w:r>
      <w:proofErr w:type="spellEnd"/>
      <w:r>
        <w:rPr>
          <w:color w:val="222222"/>
          <w:highlight w:val="white"/>
        </w:rPr>
        <w:t xml:space="preserve">. Available at: https://www.accountingtools.com/articles/gearing-ratio (Accessed: 12 July 2023). </w:t>
      </w:r>
    </w:p>
    <w:p w14:paraId="77A6DF65"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Bragg, S. (2023) </w:t>
      </w:r>
      <w:r>
        <w:rPr>
          <w:i/>
          <w:color w:val="222222"/>
          <w:highlight w:val="white"/>
        </w:rPr>
        <w:t>Statement of financial position definition</w:t>
      </w:r>
      <w:r>
        <w:rPr>
          <w:color w:val="222222"/>
          <w:highlight w:val="white"/>
        </w:rPr>
        <w:t xml:space="preserve">, </w:t>
      </w:r>
      <w:proofErr w:type="spellStart"/>
      <w:r>
        <w:rPr>
          <w:i/>
          <w:color w:val="222222"/>
          <w:highlight w:val="white"/>
        </w:rPr>
        <w:t>AccountingTools</w:t>
      </w:r>
      <w:proofErr w:type="spellEnd"/>
      <w:r>
        <w:rPr>
          <w:color w:val="222222"/>
          <w:highlight w:val="white"/>
        </w:rPr>
        <w:t xml:space="preserve">. Available at: https://www.accountingtools.com/articles/what-is-the-statement-of-financial-position.html (Accessed: 12 July 2023). </w:t>
      </w:r>
    </w:p>
    <w:p w14:paraId="57D51C87" w14:textId="77777777" w:rsidR="00BD7FBB" w:rsidRDefault="00000000">
      <w:pPr>
        <w:pBdr>
          <w:top w:val="nil"/>
          <w:left w:val="nil"/>
          <w:bottom w:val="nil"/>
          <w:right w:val="nil"/>
          <w:between w:val="nil"/>
        </w:pBdr>
        <w:spacing w:before="240" w:after="240"/>
        <w:rPr>
          <w:color w:val="222222"/>
          <w:highlight w:val="white"/>
        </w:rPr>
      </w:pPr>
      <w:proofErr w:type="spellStart"/>
      <w:r>
        <w:rPr>
          <w:color w:val="222222"/>
          <w:highlight w:val="white"/>
        </w:rPr>
        <w:t>Breckenfelder</w:t>
      </w:r>
      <w:proofErr w:type="spellEnd"/>
      <w:r>
        <w:rPr>
          <w:color w:val="222222"/>
          <w:highlight w:val="white"/>
        </w:rPr>
        <w:t xml:space="preserve">, J. and </w:t>
      </w:r>
      <w:proofErr w:type="spellStart"/>
      <w:r>
        <w:rPr>
          <w:color w:val="222222"/>
          <w:highlight w:val="white"/>
        </w:rPr>
        <w:t>Ivashina</w:t>
      </w:r>
      <w:proofErr w:type="spellEnd"/>
      <w:r>
        <w:rPr>
          <w:color w:val="222222"/>
          <w:highlight w:val="white"/>
        </w:rPr>
        <w:t>, V., (2021). Bank balance sheet constraints and bond liquidity.</w:t>
      </w:r>
    </w:p>
    <w:p w14:paraId="25B4442E"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Corporate Finance Institute (2023) </w:t>
      </w:r>
      <w:r>
        <w:rPr>
          <w:i/>
          <w:color w:val="222222"/>
          <w:highlight w:val="white"/>
        </w:rPr>
        <w:t>Interest coverage ratio</w:t>
      </w:r>
      <w:r>
        <w:rPr>
          <w:color w:val="222222"/>
          <w:highlight w:val="white"/>
        </w:rPr>
        <w:t xml:space="preserve">, </w:t>
      </w:r>
      <w:r>
        <w:rPr>
          <w:i/>
          <w:color w:val="222222"/>
          <w:highlight w:val="white"/>
        </w:rPr>
        <w:t>Corporate Finance Institute</w:t>
      </w:r>
      <w:r>
        <w:rPr>
          <w:color w:val="222222"/>
          <w:highlight w:val="white"/>
        </w:rPr>
        <w:t>. Available at: https://corporatefinanceinstitute.com/resources/commercial-lending/interest-coverage-ratio/ (Accessed: 12 July 2023).</w:t>
      </w:r>
    </w:p>
    <w:p w14:paraId="0FA86A16"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Corporate Finance Institute. (2023) </w:t>
      </w:r>
      <w:r>
        <w:rPr>
          <w:i/>
          <w:color w:val="222222"/>
          <w:highlight w:val="white"/>
        </w:rPr>
        <w:t>Asset turnover ratio</w:t>
      </w:r>
      <w:r>
        <w:rPr>
          <w:color w:val="222222"/>
          <w:highlight w:val="white"/>
        </w:rPr>
        <w:t xml:space="preserve">, </w:t>
      </w:r>
      <w:r>
        <w:rPr>
          <w:i/>
          <w:color w:val="222222"/>
          <w:highlight w:val="white"/>
        </w:rPr>
        <w:t>Corporate Finance Institute</w:t>
      </w:r>
      <w:r>
        <w:rPr>
          <w:color w:val="222222"/>
          <w:highlight w:val="white"/>
        </w:rPr>
        <w:t xml:space="preserve">. Available at: https://corporatefinanceinstitute.com/resources/accounting/asset-turnover-ratio/ (Accessed: 12 July 2023). </w:t>
      </w:r>
    </w:p>
    <w:p w14:paraId="4AFA8B82" w14:textId="77777777" w:rsidR="00BD7FBB" w:rsidRDefault="00000000">
      <w:pPr>
        <w:pBdr>
          <w:top w:val="nil"/>
          <w:left w:val="nil"/>
          <w:bottom w:val="nil"/>
          <w:right w:val="nil"/>
          <w:between w:val="nil"/>
        </w:pBdr>
        <w:spacing w:before="240" w:after="240"/>
        <w:rPr>
          <w:color w:val="222222"/>
          <w:highlight w:val="white"/>
        </w:rPr>
      </w:pPr>
      <w:proofErr w:type="spellStart"/>
      <w:r>
        <w:rPr>
          <w:color w:val="222222"/>
          <w:highlight w:val="white"/>
        </w:rPr>
        <w:t>Daniswara</w:t>
      </w:r>
      <w:proofErr w:type="spellEnd"/>
      <w:r>
        <w:rPr>
          <w:color w:val="222222"/>
          <w:highlight w:val="white"/>
        </w:rPr>
        <w:t xml:space="preserve">, H.P. and </w:t>
      </w:r>
      <w:proofErr w:type="spellStart"/>
      <w:r>
        <w:rPr>
          <w:color w:val="222222"/>
          <w:highlight w:val="white"/>
        </w:rPr>
        <w:t>Daryanto</w:t>
      </w:r>
      <w:proofErr w:type="spellEnd"/>
      <w:r>
        <w:rPr>
          <w:color w:val="222222"/>
          <w:highlight w:val="white"/>
        </w:rPr>
        <w:t xml:space="preserve">, W.M., (2020). </w:t>
      </w:r>
      <w:proofErr w:type="spellStart"/>
      <w:r>
        <w:rPr>
          <w:color w:val="222222"/>
          <w:highlight w:val="white"/>
        </w:rPr>
        <w:t>Earning</w:t>
      </w:r>
      <w:proofErr w:type="spellEnd"/>
      <w:r>
        <w:rPr>
          <w:color w:val="222222"/>
          <w:highlight w:val="white"/>
        </w:rPr>
        <w:t xml:space="preserve"> Per Share (EPS), Price Book Value (PBV), Return on Asset (ROA), Return on Equity (ROE), and </w:t>
      </w:r>
      <w:proofErr w:type="spellStart"/>
      <w:r>
        <w:rPr>
          <w:color w:val="222222"/>
          <w:highlight w:val="white"/>
        </w:rPr>
        <w:t>Indeks</w:t>
      </w:r>
      <w:proofErr w:type="spellEnd"/>
      <w:r>
        <w:rPr>
          <w:color w:val="222222"/>
          <w:highlight w:val="white"/>
        </w:rPr>
        <w:t xml:space="preserve"> Harga Saham </w:t>
      </w:r>
      <w:proofErr w:type="spellStart"/>
      <w:r>
        <w:rPr>
          <w:color w:val="222222"/>
          <w:highlight w:val="white"/>
        </w:rPr>
        <w:t>Gabungan</w:t>
      </w:r>
      <w:proofErr w:type="spellEnd"/>
      <w:r>
        <w:rPr>
          <w:color w:val="222222"/>
          <w:highlight w:val="white"/>
        </w:rPr>
        <w:t xml:space="preserve"> (IHSG) Effect on Stock Return. </w:t>
      </w:r>
      <w:r>
        <w:rPr>
          <w:i/>
          <w:color w:val="222222"/>
          <w:highlight w:val="white"/>
        </w:rPr>
        <w:t>South East Asia Journal of Contemporary Business, Economics, and Law</w:t>
      </w:r>
      <w:r>
        <w:rPr>
          <w:color w:val="222222"/>
          <w:highlight w:val="white"/>
        </w:rPr>
        <w:t xml:space="preserve">, </w:t>
      </w:r>
      <w:r>
        <w:rPr>
          <w:i/>
          <w:color w:val="222222"/>
          <w:highlight w:val="white"/>
        </w:rPr>
        <w:t>20</w:t>
      </w:r>
      <w:r>
        <w:rPr>
          <w:color w:val="222222"/>
          <w:highlight w:val="white"/>
        </w:rPr>
        <w:t>(1), pp.11-27.</w:t>
      </w:r>
    </w:p>
    <w:p w14:paraId="08C6D8F1"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Economic Times. (2023) </w:t>
      </w:r>
      <w:r>
        <w:rPr>
          <w:i/>
          <w:color w:val="222222"/>
          <w:highlight w:val="white"/>
        </w:rPr>
        <w:t>What is a balance sheet? definition of balance sheet, balance sheet meaning</w:t>
      </w:r>
      <w:r>
        <w:rPr>
          <w:color w:val="222222"/>
          <w:highlight w:val="white"/>
        </w:rPr>
        <w:t xml:space="preserve">, </w:t>
      </w:r>
      <w:r>
        <w:rPr>
          <w:i/>
          <w:color w:val="222222"/>
          <w:highlight w:val="white"/>
        </w:rPr>
        <w:t>The Economic Times</w:t>
      </w:r>
      <w:r>
        <w:rPr>
          <w:color w:val="222222"/>
          <w:highlight w:val="white"/>
        </w:rPr>
        <w:t xml:space="preserve">. Available at: https://economictimes.indiatimes.com/definition/balance-sheet (Accessed: 12 July 2023). </w:t>
      </w:r>
    </w:p>
    <w:p w14:paraId="4F7D3971" w14:textId="77777777" w:rsidR="00BD7FBB" w:rsidRDefault="00000000">
      <w:pPr>
        <w:pBdr>
          <w:top w:val="nil"/>
          <w:left w:val="nil"/>
          <w:bottom w:val="nil"/>
          <w:right w:val="nil"/>
          <w:between w:val="nil"/>
        </w:pBdr>
        <w:spacing w:before="240" w:after="240"/>
        <w:rPr>
          <w:color w:val="222222"/>
          <w:highlight w:val="white"/>
        </w:rPr>
      </w:pPr>
      <w:proofErr w:type="spellStart"/>
      <w:r>
        <w:rPr>
          <w:color w:val="222222"/>
          <w:highlight w:val="white"/>
        </w:rPr>
        <w:t>Gartner_Inc</w:t>
      </w:r>
      <w:proofErr w:type="spellEnd"/>
      <w:r>
        <w:rPr>
          <w:color w:val="222222"/>
          <w:highlight w:val="white"/>
        </w:rPr>
        <w:t xml:space="preserve">. (2023) </w:t>
      </w:r>
      <w:r>
        <w:rPr>
          <w:i/>
          <w:color w:val="222222"/>
          <w:highlight w:val="white"/>
        </w:rPr>
        <w:t xml:space="preserve">Definition of earnings per share (EPS) - </w:t>
      </w:r>
      <w:proofErr w:type="spellStart"/>
      <w:r>
        <w:rPr>
          <w:i/>
          <w:color w:val="222222"/>
          <w:highlight w:val="white"/>
        </w:rPr>
        <w:t>gartner</w:t>
      </w:r>
      <w:proofErr w:type="spellEnd"/>
      <w:r>
        <w:rPr>
          <w:i/>
          <w:color w:val="222222"/>
          <w:highlight w:val="white"/>
        </w:rPr>
        <w:t xml:space="preserve"> finance glossary</w:t>
      </w:r>
      <w:r>
        <w:rPr>
          <w:color w:val="222222"/>
          <w:highlight w:val="white"/>
        </w:rPr>
        <w:t xml:space="preserve">, </w:t>
      </w:r>
      <w:r>
        <w:rPr>
          <w:i/>
          <w:color w:val="222222"/>
          <w:highlight w:val="white"/>
        </w:rPr>
        <w:t>Gartner</w:t>
      </w:r>
      <w:r>
        <w:rPr>
          <w:color w:val="222222"/>
          <w:highlight w:val="white"/>
        </w:rPr>
        <w:t xml:space="preserve">. Available at: https://www.gartner.com/en/finance/glossary/earnings-per-share-eps- (Accessed: 12 July 2023). </w:t>
      </w:r>
    </w:p>
    <w:p w14:paraId="12117E1E"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lastRenderedPageBreak/>
        <w:t xml:space="preserve">Indeed. (2023) </w:t>
      </w:r>
      <w:r>
        <w:rPr>
          <w:i/>
          <w:color w:val="222222"/>
          <w:highlight w:val="white"/>
        </w:rPr>
        <w:t>How to calculate days in inventory (with 3 examples)</w:t>
      </w:r>
      <w:r>
        <w:rPr>
          <w:color w:val="222222"/>
          <w:highlight w:val="white"/>
        </w:rPr>
        <w:t xml:space="preserve">. Available at: https://www.indeed.com/career-advice/career-development/how-to-calculate-days-in-inventory (Accessed: 12 July 2023). </w:t>
      </w:r>
    </w:p>
    <w:p w14:paraId="4420051D"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Mulyadi, D. and Sinaga, O., (2020). Analysis of Current Ratio, Net Profit Margin, and Good Corporate Governance against Company Value. </w:t>
      </w:r>
      <w:r>
        <w:rPr>
          <w:i/>
          <w:color w:val="222222"/>
          <w:highlight w:val="white"/>
        </w:rPr>
        <w:t>Systematic Reviews in Pharmacy</w:t>
      </w:r>
      <w:r>
        <w:rPr>
          <w:color w:val="222222"/>
          <w:highlight w:val="white"/>
        </w:rPr>
        <w:t xml:space="preserve">, </w:t>
      </w:r>
      <w:r>
        <w:rPr>
          <w:i/>
          <w:color w:val="222222"/>
          <w:highlight w:val="white"/>
        </w:rPr>
        <w:t>11</w:t>
      </w:r>
      <w:r>
        <w:rPr>
          <w:color w:val="222222"/>
          <w:highlight w:val="white"/>
        </w:rPr>
        <w:t>(1).</w:t>
      </w:r>
    </w:p>
    <w:p w14:paraId="1B70F690"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Mulyadi, D. and Sinaga, O., (2020). Analysis of Current Ratio, Net Profit Margin, and Good Corporate Governance against Company Value. </w:t>
      </w:r>
      <w:r>
        <w:rPr>
          <w:i/>
          <w:color w:val="222222"/>
          <w:highlight w:val="white"/>
        </w:rPr>
        <w:t>Systematic Reviews in Pharmacy</w:t>
      </w:r>
      <w:r>
        <w:rPr>
          <w:color w:val="222222"/>
          <w:highlight w:val="white"/>
        </w:rPr>
        <w:t xml:space="preserve">, </w:t>
      </w:r>
      <w:r>
        <w:rPr>
          <w:i/>
          <w:color w:val="222222"/>
          <w:highlight w:val="white"/>
        </w:rPr>
        <w:t>11</w:t>
      </w:r>
      <w:r>
        <w:rPr>
          <w:color w:val="222222"/>
          <w:highlight w:val="white"/>
        </w:rPr>
        <w:t>(1).</w:t>
      </w:r>
    </w:p>
    <w:p w14:paraId="57AFC1A9" w14:textId="77777777" w:rsidR="00BD7FBB" w:rsidRDefault="00000000">
      <w:pPr>
        <w:pBdr>
          <w:top w:val="nil"/>
          <w:left w:val="nil"/>
          <w:bottom w:val="nil"/>
          <w:right w:val="nil"/>
          <w:between w:val="nil"/>
        </w:pBdr>
        <w:spacing w:before="240" w:after="240"/>
        <w:rPr>
          <w:color w:val="222222"/>
          <w:highlight w:val="white"/>
        </w:rPr>
      </w:pPr>
      <w:r>
        <w:rPr>
          <w:color w:val="222222"/>
          <w:highlight w:val="white"/>
        </w:rPr>
        <w:t xml:space="preserve">Oxford Reference. (2023) </w:t>
      </w:r>
      <w:r>
        <w:rPr>
          <w:i/>
          <w:color w:val="222222"/>
          <w:highlight w:val="white"/>
        </w:rPr>
        <w:t>Debtor collection period</w:t>
      </w:r>
      <w:r>
        <w:rPr>
          <w:color w:val="222222"/>
          <w:highlight w:val="white"/>
        </w:rPr>
        <w:t xml:space="preserve">, </w:t>
      </w:r>
      <w:r>
        <w:rPr>
          <w:i/>
          <w:color w:val="222222"/>
          <w:highlight w:val="white"/>
        </w:rPr>
        <w:t>Oxford Reference</w:t>
      </w:r>
      <w:r>
        <w:rPr>
          <w:color w:val="222222"/>
          <w:highlight w:val="white"/>
        </w:rPr>
        <w:t xml:space="preserve">. Available at: https://www.oxfordreference.com/display/10.1093/oi/authority.20110803095705185 (Accessed: 12 July 2023). </w:t>
      </w:r>
    </w:p>
    <w:p w14:paraId="0CA557F3" w14:textId="77777777" w:rsidR="00BD7FBB" w:rsidRDefault="00000000">
      <w:pPr>
        <w:pBdr>
          <w:top w:val="nil"/>
          <w:left w:val="nil"/>
          <w:bottom w:val="nil"/>
          <w:right w:val="nil"/>
          <w:between w:val="nil"/>
        </w:pBdr>
        <w:spacing w:before="240" w:after="240"/>
        <w:rPr>
          <w:color w:val="222222"/>
          <w:highlight w:val="white"/>
        </w:rPr>
      </w:pPr>
      <w:proofErr w:type="spellStart"/>
      <w:r>
        <w:rPr>
          <w:color w:val="222222"/>
          <w:highlight w:val="white"/>
        </w:rPr>
        <w:t>Shrotriya</w:t>
      </w:r>
      <w:proofErr w:type="spellEnd"/>
      <w:r>
        <w:rPr>
          <w:color w:val="222222"/>
          <w:highlight w:val="white"/>
        </w:rPr>
        <w:t xml:space="preserve">, V., (2019). Analysis of return on total assets (ROTA) and return on capital employed (ROCE) of IFFCO limited. </w:t>
      </w:r>
      <w:r>
        <w:rPr>
          <w:i/>
          <w:color w:val="222222"/>
          <w:highlight w:val="white"/>
        </w:rPr>
        <w:t>International Journal of Research and Analytical Reviews</w:t>
      </w:r>
      <w:r>
        <w:rPr>
          <w:color w:val="222222"/>
          <w:highlight w:val="white"/>
        </w:rPr>
        <w:t xml:space="preserve">, </w:t>
      </w:r>
      <w:r>
        <w:rPr>
          <w:i/>
          <w:color w:val="222222"/>
          <w:highlight w:val="white"/>
        </w:rPr>
        <w:t>6</w:t>
      </w:r>
      <w:r>
        <w:rPr>
          <w:color w:val="222222"/>
          <w:highlight w:val="white"/>
        </w:rPr>
        <w:t>(2), pp.746-754.</w:t>
      </w:r>
    </w:p>
    <w:p w14:paraId="3E2BB9CD" w14:textId="77777777" w:rsidR="00BD7FBB" w:rsidRDefault="00000000">
      <w:pPr>
        <w:pBdr>
          <w:top w:val="nil"/>
          <w:left w:val="nil"/>
          <w:bottom w:val="nil"/>
          <w:right w:val="nil"/>
          <w:between w:val="nil"/>
        </w:pBdr>
        <w:spacing w:before="240" w:after="240"/>
        <w:rPr>
          <w:color w:val="000000"/>
        </w:rPr>
      </w:pPr>
      <w:proofErr w:type="spellStart"/>
      <w:r>
        <w:rPr>
          <w:color w:val="000000"/>
        </w:rPr>
        <w:t>Zoho</w:t>
      </w:r>
      <w:proofErr w:type="spellEnd"/>
      <w:r>
        <w:rPr>
          <w:color w:val="000000"/>
        </w:rPr>
        <w:t xml:space="preserve">. (2021) </w:t>
      </w:r>
      <w:r>
        <w:rPr>
          <w:i/>
          <w:color w:val="000000"/>
        </w:rPr>
        <w:t xml:space="preserve">Income statement - definition, example &amp; format of income statement - </w:t>
      </w:r>
      <w:proofErr w:type="spellStart"/>
      <w:r>
        <w:rPr>
          <w:i/>
          <w:color w:val="000000"/>
        </w:rPr>
        <w:t>Zoho</w:t>
      </w:r>
      <w:proofErr w:type="spellEnd"/>
      <w:r>
        <w:rPr>
          <w:i/>
          <w:color w:val="000000"/>
        </w:rPr>
        <w:t xml:space="preserve"> books</w:t>
      </w:r>
      <w:r>
        <w:rPr>
          <w:color w:val="000000"/>
        </w:rPr>
        <w:t xml:space="preserve">, </w:t>
      </w:r>
      <w:r>
        <w:rPr>
          <w:i/>
          <w:color w:val="000000"/>
        </w:rPr>
        <w:t>Essential Business Guides</w:t>
      </w:r>
      <w:r>
        <w:rPr>
          <w:color w:val="000000"/>
        </w:rPr>
        <w:t xml:space="preserve">. Available at: https://www.zoho.com/books/guides/what-is-an-income-statement.html (Accessed: 11 July 2023). </w:t>
      </w:r>
    </w:p>
    <w:p w14:paraId="2E83D3FA" w14:textId="77777777" w:rsidR="00BD7FBB" w:rsidRDefault="00BD7FBB">
      <w:pPr>
        <w:pBdr>
          <w:top w:val="nil"/>
          <w:left w:val="nil"/>
          <w:bottom w:val="nil"/>
          <w:right w:val="nil"/>
          <w:between w:val="nil"/>
        </w:pBdr>
        <w:spacing w:before="240" w:after="240"/>
        <w:rPr>
          <w:color w:val="222222"/>
          <w:highlight w:val="white"/>
        </w:rPr>
      </w:pPr>
    </w:p>
    <w:p w14:paraId="1267E3E2" w14:textId="77777777" w:rsidR="00BD7FBB" w:rsidRDefault="00BD7FBB">
      <w:pPr>
        <w:pBdr>
          <w:top w:val="nil"/>
          <w:left w:val="nil"/>
          <w:bottom w:val="nil"/>
          <w:right w:val="nil"/>
          <w:between w:val="nil"/>
        </w:pBdr>
        <w:rPr>
          <w:color w:val="000000"/>
        </w:rPr>
      </w:pPr>
    </w:p>
    <w:sectPr w:rsidR="00BD7FBB" w:rsidSect="00075B07">
      <w:footerReference w:type="default" r:id="rId1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69358" w14:textId="77777777" w:rsidR="00804BA3" w:rsidRDefault="00804BA3">
      <w:pPr>
        <w:spacing w:line="240" w:lineRule="auto"/>
      </w:pPr>
      <w:r>
        <w:separator/>
      </w:r>
    </w:p>
  </w:endnote>
  <w:endnote w:type="continuationSeparator" w:id="0">
    <w:p w14:paraId="5CC99FA5" w14:textId="77777777" w:rsidR="00804BA3" w:rsidRDefault="00804B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073669"/>
      <w:docPartObj>
        <w:docPartGallery w:val="Page Numbers (Bottom of Page)"/>
        <w:docPartUnique/>
      </w:docPartObj>
    </w:sdtPr>
    <w:sdtEndPr>
      <w:rPr>
        <w:noProof/>
      </w:rPr>
    </w:sdtEndPr>
    <w:sdtContent>
      <w:p w14:paraId="484961FB" w14:textId="48696ECA" w:rsidR="00075B07" w:rsidRDefault="00075B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2322D9" w14:textId="77777777" w:rsidR="00BD7FBB" w:rsidRDefault="00BD7FB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4A1BE" w14:textId="77777777" w:rsidR="00804BA3" w:rsidRDefault="00804BA3">
      <w:pPr>
        <w:spacing w:line="240" w:lineRule="auto"/>
      </w:pPr>
      <w:r>
        <w:separator/>
      </w:r>
    </w:p>
  </w:footnote>
  <w:footnote w:type="continuationSeparator" w:id="0">
    <w:p w14:paraId="149C8649" w14:textId="77777777" w:rsidR="00804BA3" w:rsidRDefault="00804B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FBB"/>
    <w:rsid w:val="00075B07"/>
    <w:rsid w:val="001D221B"/>
    <w:rsid w:val="00804BA3"/>
    <w:rsid w:val="008150EC"/>
    <w:rsid w:val="00BD7F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72453"/>
  <w15:docId w15:val="{B79DA599-B83C-45E4-B8AC-F7226B34A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unhideWhenUsed/>
    <w:qFormat/>
    <w:pPr>
      <w:keepNext/>
      <w:keepLines/>
      <w:outlineLvl w:val="1"/>
    </w:pPr>
    <w:rPr>
      <w:b/>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83062"/>
    <w:pPr>
      <w:tabs>
        <w:tab w:val="center" w:pos="4513"/>
        <w:tab w:val="right" w:pos="9026"/>
      </w:tabs>
      <w:spacing w:line="240" w:lineRule="auto"/>
    </w:pPr>
  </w:style>
  <w:style w:type="character" w:customStyle="1" w:styleId="HeaderChar">
    <w:name w:val="Header Char"/>
    <w:basedOn w:val="DefaultParagraphFont"/>
    <w:link w:val="Header"/>
    <w:uiPriority w:val="99"/>
    <w:rsid w:val="00183062"/>
  </w:style>
  <w:style w:type="paragraph" w:styleId="Footer">
    <w:name w:val="footer"/>
    <w:basedOn w:val="Normal"/>
    <w:link w:val="FooterChar"/>
    <w:uiPriority w:val="99"/>
    <w:unhideWhenUsed/>
    <w:rsid w:val="00183062"/>
    <w:pPr>
      <w:tabs>
        <w:tab w:val="center" w:pos="4513"/>
        <w:tab w:val="right" w:pos="9026"/>
      </w:tabs>
      <w:spacing w:line="240" w:lineRule="auto"/>
    </w:pPr>
  </w:style>
  <w:style w:type="character" w:customStyle="1" w:styleId="FooterChar">
    <w:name w:val="Footer Char"/>
    <w:basedOn w:val="DefaultParagraphFont"/>
    <w:link w:val="Footer"/>
    <w:uiPriority w:val="99"/>
    <w:rsid w:val="00183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0gXPhQjIHZpju+lHjurZif1G5Q==">CgMxLjAyCGguZ2pkZ3hzMgloLjMwajB6bGwyCWguMWZvYjl0ZTIJaC4zem55c2g3MgloLjJldDkycDAyCGgudHlqY3d0MgloLjNkeTZ2a204AHIhMU1rcXNuQzJJWkRudmxua0t3SlQtMVJyU1J5VWt3cVRr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2761</Words>
  <Characters>15738</Characters>
  <Application>Microsoft Office Word</Application>
  <DocSecurity>0</DocSecurity>
  <Lines>131</Lines>
  <Paragraphs>36</Paragraphs>
  <ScaleCrop>false</ScaleCrop>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Nicolae</cp:lastModifiedBy>
  <cp:revision>2</cp:revision>
  <dcterms:created xsi:type="dcterms:W3CDTF">2023-08-31T20:21:00Z</dcterms:created>
  <dcterms:modified xsi:type="dcterms:W3CDTF">2023-08-31T20:21:00Z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8e070e79d57051da0d3646b99f65c532f078d7b00df97064218cb73b7bb4d727</vt:lpwstr>
  </property>
</Properties>
</file>